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8"/>
        <w:tblW w:w="6592" w:type="dxa"/>
        <w:jc w:val="center"/>
        <w:tblLayout w:type="fixed"/>
        <w:tblCellMar>
          <w:top w:w="0" w:type="dxa"/>
          <w:left w:w="108" w:type="dxa"/>
          <w:bottom w:w="0" w:type="dxa"/>
          <w:right w:w="108" w:type="dxa"/>
        </w:tblCellMar>
      </w:tblPr>
      <w:tblGrid>
        <w:gridCol w:w="4767"/>
        <w:gridCol w:w="1825"/>
      </w:tblGrid>
      <w:tr w14:paraId="0FEF8706">
        <w:tblPrEx>
          <w:tblCellMar>
            <w:top w:w="0" w:type="dxa"/>
            <w:left w:w="108" w:type="dxa"/>
            <w:bottom w:w="0" w:type="dxa"/>
            <w:right w:w="108" w:type="dxa"/>
          </w:tblCellMar>
        </w:tblPrEx>
        <w:trPr>
          <w:trHeight w:val="850" w:hRule="atLeast"/>
          <w:jc w:val="center"/>
        </w:trPr>
        <w:tc>
          <w:tcPr>
            <w:tcW w:w="6592" w:type="dxa"/>
            <w:gridSpan w:val="2"/>
          </w:tcPr>
          <w:p w14:paraId="66882490">
            <w:pPr>
              <w:spacing w:line="240" w:lineRule="auto"/>
              <w:ind w:right="-164" w:firstLine="669"/>
              <w:jc w:val="center"/>
              <w:rPr>
                <w:sz w:val="52"/>
              </w:rPr>
            </w:pPr>
            <w:r>
              <w:rPr>
                <w:rFonts w:eastAsia="黑体"/>
                <w:position w:val="4"/>
                <w:sz w:val="32"/>
                <w:szCs w:val="32"/>
              </w:rPr>
              <w:t>北 京 市 地 方 标 准</w:t>
            </w:r>
            <w:r>
              <w:rPr>
                <w:rFonts w:eastAsia="方正大标宋简体"/>
                <w:position w:val="4"/>
                <w:sz w:val="32"/>
                <w:szCs w:val="32"/>
              </w:rPr>
              <w:t xml:space="preserve">   </w:t>
            </w:r>
            <w:r>
              <w:rPr>
                <w:position w:val="-2"/>
              </w:rPr>
              <w:drawing>
                <wp:inline distT="0" distB="0" distL="0" distR="0">
                  <wp:extent cx="843915" cy="436245"/>
                  <wp:effectExtent l="0" t="0" r="0" b="190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843915" cy="436245"/>
                          </a:xfrm>
                          <a:prstGeom prst="rect">
                            <a:avLst/>
                          </a:prstGeom>
                          <a:noFill/>
                          <a:ln>
                            <a:noFill/>
                          </a:ln>
                        </pic:spPr>
                      </pic:pic>
                    </a:graphicData>
                  </a:graphic>
                </wp:inline>
              </w:drawing>
            </w:r>
          </w:p>
        </w:tc>
      </w:tr>
      <w:tr w14:paraId="340E9BB1">
        <w:tblPrEx>
          <w:tblCellMar>
            <w:top w:w="0" w:type="dxa"/>
            <w:left w:w="108" w:type="dxa"/>
            <w:bottom w:w="0" w:type="dxa"/>
            <w:right w:w="108" w:type="dxa"/>
          </w:tblCellMar>
        </w:tblPrEx>
        <w:trPr>
          <w:trHeight w:val="956" w:hRule="atLeast"/>
          <w:jc w:val="center"/>
        </w:trPr>
        <w:tc>
          <w:tcPr>
            <w:tcW w:w="6592" w:type="dxa"/>
            <w:gridSpan w:val="2"/>
            <w:tcBorders>
              <w:bottom w:val="single" w:color="auto" w:sz="8" w:space="0"/>
            </w:tcBorders>
          </w:tcPr>
          <w:p w14:paraId="731BBB6E">
            <w:pPr>
              <w:tabs>
                <w:tab w:val="left" w:pos="3200"/>
              </w:tabs>
              <w:spacing w:before="397"/>
              <w:ind w:firstLine="2880" w:firstLineChars="1200"/>
              <w:rPr>
                <w:rFonts w:eastAsia="黑体"/>
                <w:sz w:val="24"/>
              </w:rPr>
            </w:pPr>
            <w:r>
              <w:rPr>
                <w:rFonts w:eastAsia="黑体"/>
                <w:sz w:val="24"/>
              </w:rPr>
              <w:t>编  号：</w:t>
            </w:r>
            <w:bookmarkStart w:id="0" w:name="_Hlk156986730"/>
            <w:r>
              <w:rPr>
                <w:rFonts w:eastAsia="黑体"/>
                <w:sz w:val="24"/>
              </w:rPr>
              <w:t>DB</w:t>
            </w:r>
            <w:r>
              <w:rPr>
                <w:rFonts w:eastAsia="黑体"/>
                <w:bCs/>
                <w:sz w:val="24"/>
              </w:rPr>
              <w:t>11/T XXXX-</w:t>
            </w:r>
            <w:bookmarkEnd w:id="0"/>
            <w:r>
              <w:rPr>
                <w:rFonts w:eastAsia="黑体"/>
                <w:bCs/>
                <w:sz w:val="24"/>
              </w:rPr>
              <w:t>XXXX</w:t>
            </w:r>
          </w:p>
          <w:p w14:paraId="09F26B64">
            <w:pPr>
              <w:ind w:firstLine="2880" w:firstLineChars="1200"/>
              <w:jc w:val="left"/>
            </w:pPr>
            <w:r>
              <w:rPr>
                <w:rFonts w:eastAsia="黑体"/>
                <w:sz w:val="24"/>
              </w:rPr>
              <w:t>备案号：</w:t>
            </w:r>
          </w:p>
        </w:tc>
      </w:tr>
      <w:tr w14:paraId="1DB1E7D0">
        <w:tblPrEx>
          <w:tblCellMar>
            <w:top w:w="0" w:type="dxa"/>
            <w:left w:w="108" w:type="dxa"/>
            <w:bottom w:w="0" w:type="dxa"/>
            <w:right w:w="108" w:type="dxa"/>
          </w:tblCellMar>
        </w:tblPrEx>
        <w:trPr>
          <w:trHeight w:val="1602" w:hRule="atLeast"/>
          <w:jc w:val="center"/>
        </w:trPr>
        <w:tc>
          <w:tcPr>
            <w:tcW w:w="6592" w:type="dxa"/>
            <w:gridSpan w:val="2"/>
            <w:tcBorders>
              <w:top w:val="single" w:color="auto" w:sz="8" w:space="0"/>
            </w:tcBorders>
          </w:tcPr>
          <w:p w14:paraId="2F77B044">
            <w:pPr>
              <w:spacing w:before="794" w:line="360" w:lineRule="auto"/>
              <w:jc w:val="center"/>
              <w:textAlignment w:val="bottom"/>
              <w:rPr>
                <w:rFonts w:eastAsia="黑体"/>
                <w:sz w:val="48"/>
                <w:szCs w:val="48"/>
              </w:rPr>
            </w:pPr>
            <w:r>
              <w:rPr>
                <w:rFonts w:eastAsia="黑体"/>
                <w:spacing w:val="10"/>
                <w:sz w:val="44"/>
                <w:szCs w:val="44"/>
              </w:rPr>
              <w:t>城</w:t>
            </w:r>
            <w:r>
              <w:rPr>
                <w:rFonts w:eastAsia="黑体"/>
                <w:spacing w:val="8"/>
                <w:sz w:val="44"/>
                <w:szCs w:val="44"/>
              </w:rPr>
              <w:t>市</w:t>
            </w:r>
            <w:r>
              <w:rPr>
                <w:rFonts w:eastAsia="黑体"/>
                <w:spacing w:val="5"/>
                <w:sz w:val="44"/>
                <w:szCs w:val="44"/>
              </w:rPr>
              <w:t>轨道交通工程设计规范</w:t>
            </w:r>
          </w:p>
        </w:tc>
      </w:tr>
      <w:tr w14:paraId="007C7A59">
        <w:tblPrEx>
          <w:tblCellMar>
            <w:top w:w="0" w:type="dxa"/>
            <w:left w:w="108" w:type="dxa"/>
            <w:bottom w:w="0" w:type="dxa"/>
            <w:right w:w="108" w:type="dxa"/>
          </w:tblCellMar>
        </w:tblPrEx>
        <w:trPr>
          <w:trHeight w:val="458" w:hRule="atLeast"/>
          <w:jc w:val="center"/>
        </w:trPr>
        <w:tc>
          <w:tcPr>
            <w:tcW w:w="6592" w:type="dxa"/>
            <w:gridSpan w:val="2"/>
            <w:tcMar>
              <w:left w:w="0" w:type="dxa"/>
              <w:right w:w="0" w:type="dxa"/>
            </w:tcMar>
          </w:tcPr>
          <w:p w14:paraId="4D16D880">
            <w:pPr>
              <w:jc w:val="center"/>
              <w:textAlignment w:val="bottom"/>
            </w:pPr>
            <w:r>
              <w:rPr>
                <w:rFonts w:eastAsia="Times New Roman"/>
                <w:b/>
                <w:bCs/>
                <w:position w:val="5"/>
                <w:sz w:val="27"/>
                <w:szCs w:val="27"/>
              </w:rPr>
              <w:t>Code for design of urban rail transit</w:t>
            </w:r>
          </w:p>
        </w:tc>
      </w:tr>
      <w:tr w14:paraId="591CE908">
        <w:tblPrEx>
          <w:tblCellMar>
            <w:top w:w="0" w:type="dxa"/>
            <w:left w:w="108" w:type="dxa"/>
            <w:bottom w:w="0" w:type="dxa"/>
            <w:right w:w="108" w:type="dxa"/>
          </w:tblCellMar>
        </w:tblPrEx>
        <w:trPr>
          <w:trHeight w:val="2830" w:hRule="atLeast"/>
          <w:jc w:val="center"/>
        </w:trPr>
        <w:tc>
          <w:tcPr>
            <w:tcW w:w="6592" w:type="dxa"/>
            <w:gridSpan w:val="2"/>
          </w:tcPr>
          <w:p w14:paraId="426E65A0">
            <w:pPr>
              <w:pStyle w:val="200"/>
              <w:jc w:val="center"/>
              <w:rPr>
                <w:rFonts w:ascii="宋体" w:hAnsi="宋体" w:eastAsia="宋体"/>
                <w:sz w:val="22"/>
              </w:rPr>
            </w:pPr>
            <w:r>
              <w:rPr>
                <w:rFonts w:hint="eastAsia" w:ascii="宋体" w:hAnsi="宋体" w:eastAsia="宋体"/>
                <w:sz w:val="22"/>
              </w:rPr>
              <w:t>（征求意见稿）</w:t>
            </w:r>
          </w:p>
          <w:p w14:paraId="203D74EF">
            <w:pPr>
              <w:pStyle w:val="200"/>
            </w:pPr>
          </w:p>
          <w:p w14:paraId="70BBB08A">
            <w:pPr>
              <w:pStyle w:val="200"/>
            </w:pPr>
          </w:p>
          <w:p w14:paraId="6B70956B">
            <w:pPr>
              <w:pStyle w:val="200"/>
            </w:pPr>
          </w:p>
          <w:p w14:paraId="59210A4D">
            <w:pPr>
              <w:pStyle w:val="200"/>
            </w:pPr>
          </w:p>
          <w:p w14:paraId="6395237B">
            <w:pPr>
              <w:pStyle w:val="200"/>
            </w:pPr>
          </w:p>
          <w:p w14:paraId="6B7F1B05">
            <w:pPr>
              <w:pStyle w:val="200"/>
            </w:pPr>
          </w:p>
          <w:p w14:paraId="063C79E5">
            <w:pPr>
              <w:ind w:firstLine="426"/>
            </w:pPr>
          </w:p>
        </w:tc>
      </w:tr>
      <w:tr w14:paraId="2E6CFF69">
        <w:tblPrEx>
          <w:tblCellMar>
            <w:top w:w="0" w:type="dxa"/>
            <w:left w:w="108" w:type="dxa"/>
            <w:bottom w:w="0" w:type="dxa"/>
            <w:right w:w="108" w:type="dxa"/>
          </w:tblCellMar>
        </w:tblPrEx>
        <w:trPr>
          <w:trHeight w:val="474" w:hRule="atLeast"/>
          <w:jc w:val="center"/>
        </w:trPr>
        <w:tc>
          <w:tcPr>
            <w:tcW w:w="6592" w:type="dxa"/>
            <w:gridSpan w:val="2"/>
            <w:tcBorders>
              <w:bottom w:val="single" w:color="auto" w:sz="8" w:space="0"/>
            </w:tcBorders>
            <w:tcMar>
              <w:left w:w="0" w:type="dxa"/>
              <w:right w:w="0" w:type="dxa"/>
            </w:tcMar>
          </w:tcPr>
          <w:p w14:paraId="4524C381">
            <w:pPr>
              <w:ind w:right="67" w:rightChars="32"/>
              <w:jc w:val="left"/>
              <w:rPr>
                <w:rFonts w:ascii="黑体" w:hAnsi="黑体" w:eastAsia="黑体"/>
                <w:sz w:val="29"/>
                <w:szCs w:val="29"/>
              </w:rPr>
            </w:pPr>
            <w:r>
              <w:rPr>
                <w:rFonts w:ascii="黑体" w:hAnsi="黑体" w:eastAsia="黑体"/>
                <w:sz w:val="28"/>
                <w:szCs w:val="28"/>
              </w:rPr>
              <w:t>202X-XX-XX发布</w:t>
            </w:r>
            <w:r>
              <w:rPr>
                <w:rFonts w:ascii="黑体" w:hAnsi="黑体" w:eastAsia="黑体"/>
                <w:sz w:val="29"/>
                <w:szCs w:val="29"/>
              </w:rPr>
              <w:t xml:space="preserve">                 </w:t>
            </w:r>
            <w:r>
              <w:rPr>
                <w:rFonts w:ascii="黑体" w:hAnsi="黑体" w:eastAsia="黑体"/>
                <w:sz w:val="28"/>
                <w:szCs w:val="28"/>
              </w:rPr>
              <w:t>202X-XX-XX实施</w:t>
            </w:r>
          </w:p>
        </w:tc>
      </w:tr>
      <w:tr w14:paraId="5CD52C63">
        <w:tblPrEx>
          <w:tblCellMar>
            <w:top w:w="0" w:type="dxa"/>
            <w:left w:w="108" w:type="dxa"/>
            <w:bottom w:w="0" w:type="dxa"/>
            <w:right w:w="108" w:type="dxa"/>
          </w:tblCellMar>
        </w:tblPrEx>
        <w:trPr>
          <w:trHeight w:val="95" w:hRule="atLeast"/>
          <w:jc w:val="center"/>
        </w:trPr>
        <w:tc>
          <w:tcPr>
            <w:tcW w:w="6592" w:type="dxa"/>
            <w:gridSpan w:val="2"/>
            <w:tcBorders>
              <w:top w:val="single" w:color="auto" w:sz="8" w:space="0"/>
            </w:tcBorders>
            <w:tcMar>
              <w:left w:w="0" w:type="dxa"/>
              <w:right w:w="0" w:type="dxa"/>
            </w:tcMar>
          </w:tcPr>
          <w:p w14:paraId="268F26ED">
            <w:pPr>
              <w:spacing w:line="140" w:lineRule="exact"/>
              <w:ind w:firstLine="586"/>
              <w:jc w:val="center"/>
              <w:rPr>
                <w:rFonts w:eastAsia="黑体"/>
                <w:sz w:val="28"/>
              </w:rPr>
            </w:pPr>
          </w:p>
        </w:tc>
      </w:tr>
      <w:tr w14:paraId="3B447894">
        <w:tblPrEx>
          <w:tblCellMar>
            <w:top w:w="0" w:type="dxa"/>
            <w:left w:w="108" w:type="dxa"/>
            <w:bottom w:w="0" w:type="dxa"/>
            <w:right w:w="108" w:type="dxa"/>
          </w:tblCellMar>
        </w:tblPrEx>
        <w:trPr>
          <w:trHeight w:val="437" w:hRule="atLeast"/>
          <w:jc w:val="center"/>
        </w:trPr>
        <w:tc>
          <w:tcPr>
            <w:tcW w:w="4767" w:type="dxa"/>
            <w:vAlign w:val="bottom"/>
          </w:tcPr>
          <w:p w14:paraId="7914A715">
            <w:pPr>
              <w:spacing w:line="440" w:lineRule="exact"/>
              <w:ind w:left="-111" w:leftChars="-53" w:right="34" w:rightChars="16" w:firstLine="626"/>
              <w:jc w:val="distribute"/>
              <w:rPr>
                <w:rFonts w:eastAsia="方正黑体_GBK"/>
                <w:sz w:val="29"/>
                <w:szCs w:val="29"/>
              </w:rPr>
            </w:pPr>
            <w:r>
              <w:rPr>
                <w:rFonts w:eastAsia="黑体"/>
                <w:sz w:val="30"/>
                <w:szCs w:val="30"/>
              </w:rPr>
              <w:t>北京市规划和自然资源委员会</w:t>
            </w:r>
          </w:p>
        </w:tc>
        <w:tc>
          <w:tcPr>
            <w:tcW w:w="1825" w:type="dxa"/>
            <w:vMerge w:val="restart"/>
            <w:vAlign w:val="center"/>
          </w:tcPr>
          <w:p w14:paraId="285AB7A8">
            <w:pPr>
              <w:ind w:left="490" w:leftChars="100" w:hanging="280" w:hangingChars="100"/>
              <w:rPr>
                <w:sz w:val="28"/>
                <w:szCs w:val="28"/>
              </w:rPr>
            </w:pPr>
            <w:r>
              <w:rPr>
                <w:rFonts w:eastAsia="黑体"/>
                <w:sz w:val="28"/>
                <w:szCs w:val="28"/>
              </w:rPr>
              <w:t>联合发布</w:t>
            </w:r>
          </w:p>
        </w:tc>
      </w:tr>
      <w:tr w14:paraId="69D023CF">
        <w:tblPrEx>
          <w:tblCellMar>
            <w:top w:w="0" w:type="dxa"/>
            <w:left w:w="108" w:type="dxa"/>
            <w:bottom w:w="0" w:type="dxa"/>
            <w:right w:w="108" w:type="dxa"/>
          </w:tblCellMar>
        </w:tblPrEx>
        <w:trPr>
          <w:trHeight w:val="459" w:hRule="atLeast"/>
          <w:jc w:val="center"/>
        </w:trPr>
        <w:tc>
          <w:tcPr>
            <w:tcW w:w="4767" w:type="dxa"/>
          </w:tcPr>
          <w:p w14:paraId="4CD2A9B8">
            <w:pPr>
              <w:spacing w:line="440" w:lineRule="exact"/>
              <w:ind w:left="-111" w:leftChars="-53" w:right="34" w:rightChars="16" w:firstLine="626"/>
              <w:jc w:val="distribute"/>
              <w:rPr>
                <w:rFonts w:eastAsia="方正黑体_GBK"/>
                <w:sz w:val="29"/>
                <w:szCs w:val="29"/>
              </w:rPr>
            </w:pPr>
            <w:r>
              <w:rPr>
                <w:rFonts w:eastAsia="黑体"/>
                <w:sz w:val="30"/>
                <w:szCs w:val="30"/>
              </w:rPr>
              <w:t>北京市市场监督管理局</w:t>
            </w:r>
          </w:p>
        </w:tc>
        <w:tc>
          <w:tcPr>
            <w:tcW w:w="1825" w:type="dxa"/>
            <w:vMerge w:val="continue"/>
          </w:tcPr>
          <w:p w14:paraId="48C5DD85"/>
        </w:tc>
      </w:tr>
    </w:tbl>
    <w:p w14:paraId="70FABD00"/>
    <w:p w14:paraId="5E318C0E"/>
    <w:p w14:paraId="2DD6D406">
      <w:pPr>
        <w:sectPr>
          <w:headerReference r:id="rId5" w:type="default"/>
          <w:footerReference r:id="rId6" w:type="even"/>
          <w:type w:val="oddPage"/>
          <w:pgSz w:w="7937" w:h="11509"/>
          <w:pgMar w:top="680" w:right="624" w:bottom="680" w:left="624" w:header="680" w:footer="624" w:gutter="0"/>
          <w:pgNumType w:fmt="upperRoman" w:start="1"/>
          <w:cols w:space="720" w:num="1"/>
          <w:titlePg/>
          <w:docGrid w:type="lines" w:linePitch="312" w:charSpace="0"/>
        </w:sectPr>
      </w:pPr>
    </w:p>
    <w:p w14:paraId="2590A2FA"/>
    <w:p w14:paraId="38C91E86"/>
    <w:p w14:paraId="16A4BC05">
      <w:pPr>
        <w:adjustRightInd w:val="0"/>
        <w:snapToGrid w:val="0"/>
        <w:spacing w:line="240" w:lineRule="auto"/>
        <w:jc w:val="center"/>
        <w:rPr>
          <w:rFonts w:eastAsia="黑体"/>
          <w:sz w:val="28"/>
          <w:szCs w:val="28"/>
        </w:rPr>
      </w:pPr>
      <w:r>
        <w:rPr>
          <w:rFonts w:eastAsia="黑体"/>
          <w:sz w:val="28"/>
          <w:szCs w:val="28"/>
        </w:rPr>
        <w:t>北 京 市 地 方 标 准</w:t>
      </w:r>
    </w:p>
    <w:p w14:paraId="48CDCE47">
      <w:pPr>
        <w:widowControl/>
        <w:adjustRightInd w:val="0"/>
        <w:snapToGrid w:val="0"/>
        <w:spacing w:before="935" w:line="240" w:lineRule="auto"/>
        <w:jc w:val="center"/>
        <w:rPr>
          <w:rFonts w:ascii="黑体" w:hAnsi="黑体" w:eastAsia="黑体" w:cs="黑体"/>
          <w:sz w:val="32"/>
          <w:szCs w:val="32"/>
        </w:rPr>
      </w:pPr>
      <w:r>
        <w:rPr>
          <w:rFonts w:ascii="黑体" w:hAnsi="黑体" w:eastAsia="黑体" w:cs="黑体"/>
          <w:sz w:val="32"/>
          <w:szCs w:val="32"/>
        </w:rPr>
        <w:t>城市轨道交通工程设计规范</w:t>
      </w:r>
    </w:p>
    <w:p w14:paraId="1A6F580E"/>
    <w:p w14:paraId="3C91D7E5">
      <w:pPr>
        <w:widowControl/>
        <w:adjustRightInd w:val="0"/>
        <w:snapToGrid w:val="0"/>
        <w:spacing w:line="240" w:lineRule="auto"/>
        <w:jc w:val="center"/>
        <w:rPr>
          <w:rFonts w:eastAsia="方正小标宋_GBK"/>
          <w:sz w:val="24"/>
        </w:rPr>
      </w:pPr>
      <w:r>
        <w:rPr>
          <w:rFonts w:eastAsia="方正小标宋_GBK"/>
          <w:sz w:val="24"/>
        </w:rPr>
        <w:t>Code for design of urban rail transit</w:t>
      </w:r>
    </w:p>
    <w:p w14:paraId="4214389E">
      <w:pPr>
        <w:adjustRightInd w:val="0"/>
        <w:snapToGrid w:val="0"/>
        <w:spacing w:before="283" w:line="240" w:lineRule="auto"/>
        <w:jc w:val="center"/>
        <w:rPr>
          <w:rFonts w:eastAsia="方正小标宋_GBK"/>
          <w:sz w:val="24"/>
        </w:rPr>
      </w:pPr>
      <w:r>
        <w:rPr>
          <w:rFonts w:hint="eastAsia" w:eastAsia="方正小标宋_GBK"/>
          <w:sz w:val="24"/>
        </w:rPr>
        <w:t>DB11/T XXXX-XXXX</w:t>
      </w:r>
    </w:p>
    <w:p w14:paraId="1CCCE9BB"/>
    <w:p w14:paraId="7C2F66B9"/>
    <w:p w14:paraId="4184C576"/>
    <w:p w14:paraId="1D981C42"/>
    <w:p w14:paraId="6F80C207"/>
    <w:p w14:paraId="39A06D45">
      <w:pPr>
        <w:adjustRightInd w:val="0"/>
        <w:snapToGrid w:val="0"/>
        <w:spacing w:line="400" w:lineRule="exact"/>
        <w:ind w:firstLine="1339" w:firstLineChars="638"/>
        <w:rPr>
          <w:rFonts w:ascii="宋体" w:hAnsi="宋体" w:cs="宋体"/>
          <w:szCs w:val="21"/>
        </w:rPr>
      </w:pPr>
      <w:r>
        <w:rPr>
          <w:rFonts w:ascii="宋体" w:hAnsi="宋体" w:cs="宋体"/>
          <w:szCs w:val="21"/>
        </w:rPr>
        <w:t>主编单位：北京城建设计发展集团股份有限公司</w:t>
      </w:r>
    </w:p>
    <w:p w14:paraId="5A8CCB1A">
      <w:pPr>
        <w:adjustRightInd w:val="0"/>
        <w:snapToGrid w:val="0"/>
        <w:spacing w:line="400" w:lineRule="exact"/>
        <w:ind w:firstLine="1339" w:firstLineChars="638"/>
        <w:rPr>
          <w:rFonts w:ascii="宋体" w:hAnsi="宋体" w:cs="宋体"/>
          <w:szCs w:val="21"/>
        </w:rPr>
      </w:pPr>
      <w:r>
        <w:rPr>
          <w:rFonts w:ascii="宋体" w:hAnsi="宋体" w:cs="宋体"/>
          <w:szCs w:val="21"/>
        </w:rPr>
        <w:t>批准部门：</w:t>
      </w:r>
      <w:bookmarkStart w:id="1" w:name="OLE_LINK6"/>
      <w:r>
        <w:rPr>
          <w:rFonts w:ascii="宋体" w:hAnsi="宋体" w:cs="宋体"/>
          <w:szCs w:val="21"/>
        </w:rPr>
        <w:t>北京市规划和自然资源委员会</w:t>
      </w:r>
      <w:bookmarkEnd w:id="1"/>
    </w:p>
    <w:p w14:paraId="665898E2">
      <w:pPr>
        <w:adjustRightInd w:val="0"/>
        <w:snapToGrid w:val="0"/>
        <w:spacing w:line="400" w:lineRule="exact"/>
        <w:ind w:firstLine="2389" w:firstLineChars="1138"/>
        <w:rPr>
          <w:rFonts w:ascii="宋体" w:hAnsi="宋体" w:cs="宋体"/>
          <w:szCs w:val="21"/>
        </w:rPr>
      </w:pPr>
      <w:r>
        <w:rPr>
          <w:rFonts w:ascii="宋体" w:hAnsi="宋体" w:cs="宋体"/>
          <w:szCs w:val="21"/>
        </w:rPr>
        <w:t>北京市市场监督管理局</w:t>
      </w:r>
    </w:p>
    <w:p w14:paraId="6FEDFA47">
      <w:pPr>
        <w:adjustRightInd w:val="0"/>
        <w:snapToGrid w:val="0"/>
        <w:spacing w:line="400" w:lineRule="exact"/>
        <w:ind w:firstLine="1339" w:firstLineChars="638"/>
        <w:rPr>
          <w:rFonts w:ascii="宋体" w:hAnsi="宋体" w:cs="宋体"/>
          <w:szCs w:val="21"/>
        </w:rPr>
      </w:pPr>
      <w:r>
        <w:rPr>
          <w:rFonts w:ascii="宋体" w:hAnsi="宋体" w:cs="宋体"/>
          <w:szCs w:val="21"/>
        </w:rPr>
        <w:t>实施日期：20XX年XX月XX日</w:t>
      </w:r>
    </w:p>
    <w:p w14:paraId="17A77061"/>
    <w:p w14:paraId="0D8EF303"/>
    <w:p w14:paraId="400D6F4A"/>
    <w:p w14:paraId="5E73425F"/>
    <w:p w14:paraId="06C62436">
      <w:pPr>
        <w:spacing w:line="240" w:lineRule="auto"/>
        <w:jc w:val="center"/>
        <w:rPr>
          <w:rFonts w:ascii="方正黑体_GBK" w:hAnsi="方正黑体_GBK" w:eastAsia="方正黑体_GBK" w:cs="方正黑体_GBK"/>
          <w:spacing w:val="4"/>
          <w:sz w:val="30"/>
          <w:szCs w:val="30"/>
        </w:rPr>
      </w:pPr>
      <w:r>
        <w:rPr>
          <w:rFonts w:hint="eastAsia" w:ascii="方正黑体_GBK" w:hAnsi="方正黑体_GBK" w:eastAsia="方正黑体_GBK" w:cs="方正黑体_GBK"/>
          <w:spacing w:val="4"/>
          <w:sz w:val="30"/>
          <w:szCs w:val="30"/>
        </w:rPr>
        <w:t>202X  北京</w:t>
      </w:r>
    </w:p>
    <w:p w14:paraId="7A67DC18"/>
    <w:p w14:paraId="7D73728F">
      <w:pPr>
        <w:sectPr>
          <w:headerReference r:id="rId8" w:type="first"/>
          <w:footerReference r:id="rId9" w:type="first"/>
          <w:headerReference r:id="rId7" w:type="default"/>
          <w:pgSz w:w="7938" w:h="11510"/>
          <w:pgMar w:top="1247" w:right="907" w:bottom="1247" w:left="907" w:header="851" w:footer="992" w:gutter="0"/>
          <w:cols w:space="720" w:num="1"/>
          <w:docGrid w:linePitch="286" w:charSpace="0"/>
        </w:sectPr>
      </w:pPr>
    </w:p>
    <w:p w14:paraId="50FEE33D">
      <w:pPr>
        <w:spacing w:after="312"/>
        <w:jc w:val="center"/>
        <w:rPr>
          <w:rFonts w:ascii="黑体" w:hAnsi="黑体" w:eastAsia="黑体"/>
          <w:sz w:val="28"/>
          <w:szCs w:val="28"/>
        </w:rPr>
      </w:pPr>
      <w:r>
        <w:rPr>
          <w:rFonts w:ascii="黑体" w:hAnsi="黑体" w:eastAsia="黑体"/>
          <w:sz w:val="28"/>
          <w:szCs w:val="28"/>
        </w:rPr>
        <w:t>前</w:t>
      </w:r>
      <w:r>
        <w:rPr>
          <w:rFonts w:hint="eastAsia" w:ascii="黑体" w:hAnsi="黑体" w:eastAsia="黑体"/>
          <w:sz w:val="28"/>
          <w:szCs w:val="28"/>
        </w:rPr>
        <w:t xml:space="preserve"> </w:t>
      </w:r>
      <w:r>
        <w:rPr>
          <w:rFonts w:ascii="黑体" w:hAnsi="黑体" w:eastAsia="黑体"/>
          <w:sz w:val="28"/>
          <w:szCs w:val="28"/>
        </w:rPr>
        <w:t xml:space="preserve">   言</w:t>
      </w:r>
    </w:p>
    <w:p w14:paraId="5D608EC6">
      <w:pPr>
        <w:ind w:firstLine="420" w:firstLineChars="200"/>
      </w:pPr>
      <w:r>
        <w:t>为贯彻《首都标准化发展纲要2035》，</w:t>
      </w:r>
      <w:r>
        <w:rPr>
          <w:rFonts w:hint="eastAsia"/>
        </w:rPr>
        <w:t>推动《北京城市总体规划（2016年-2035年）》实施，</w:t>
      </w:r>
      <w:r>
        <w:t>体现北京发展目标和地方特点，进一步促进城市轨道交通的可持续发展，</w:t>
      </w:r>
      <w:r>
        <w:rPr>
          <w:rFonts w:hint="eastAsia"/>
        </w:rPr>
        <w:t>按照《北京市“十四五”时期规划和自然资源标准化工作规划（2021年-2025年）》</w:t>
      </w:r>
      <w:r>
        <w:t>和北京市</w:t>
      </w:r>
      <w:r>
        <w:rPr>
          <w:rFonts w:hint="eastAsia"/>
        </w:rPr>
        <w:t>市场监督管理局</w:t>
      </w:r>
      <w:r>
        <w:t>关于印发《2023年北京市地方标准修订项目计划</w:t>
      </w:r>
      <w:r>
        <w:rPr>
          <w:rFonts w:hint="eastAsia"/>
        </w:rPr>
        <w:t>（</w:t>
      </w:r>
      <w:r>
        <w:t>第三批</w:t>
      </w:r>
      <w:r>
        <w:rPr>
          <w:rFonts w:hint="eastAsia"/>
        </w:rPr>
        <w:t>）</w:t>
      </w:r>
      <w:r>
        <w:t>》的通知的要求，经北京城建设计发展集团股份有限公司会同有关单位共同编写、认真研究、反复讨论和修改，完成了本规范的修订工作。</w:t>
      </w:r>
    </w:p>
    <w:p w14:paraId="5C52262F">
      <w:pPr>
        <w:ind w:firstLine="420" w:firstLineChars="200"/>
      </w:pPr>
      <w:r>
        <w:t>在本规范修订过程中，修订组广泛调查、分析和总结了近年来北京市城市轨道交通工程设计、建设和运营管理方面积累的</w:t>
      </w:r>
      <w:r>
        <w:rPr>
          <w:rFonts w:hint="eastAsia"/>
        </w:rPr>
        <w:t>实践经验</w:t>
      </w:r>
      <w:r>
        <w:t>，吸取了以往工作中的教训，并借鉴了国</w:t>
      </w:r>
      <w:r>
        <w:rPr>
          <w:rFonts w:hint="eastAsia"/>
        </w:rPr>
        <w:t>（</w:t>
      </w:r>
      <w:r>
        <w:t>境</w:t>
      </w:r>
      <w:r>
        <w:rPr>
          <w:rFonts w:hint="eastAsia"/>
        </w:rPr>
        <w:t>）</w:t>
      </w:r>
      <w:r>
        <w:t>外城市轨道交通的有关成功经验和先进技术。本规范在修订过程中以多种方式</w:t>
      </w:r>
      <w:r>
        <w:rPr>
          <w:rFonts w:hint="eastAsia"/>
        </w:rPr>
        <w:t>、</w:t>
      </w:r>
      <w:r>
        <w:t>广泛</w:t>
      </w:r>
      <w:r>
        <w:rPr>
          <w:rFonts w:hint="eastAsia"/>
        </w:rPr>
        <w:t>地</w:t>
      </w:r>
      <w:r>
        <w:t>征求了城市轨道交通方面有关专家和单位的意见。</w:t>
      </w:r>
    </w:p>
    <w:p w14:paraId="568FB443">
      <w:pPr>
        <w:ind w:firstLine="420" w:firstLineChars="200"/>
      </w:pPr>
      <w:r>
        <w:rPr>
          <w:rFonts w:hint="eastAsia"/>
        </w:rPr>
        <w:t>本规范共分31章。主要内容包括总则、术语和定义、基本规定、运营组织、车辆、限界、线路、轨道、路基、车站建筑、高架结构、地下结构、工程防水、通风、空调与供暖、给水与排水、供电、通信、信号、车站运营设备、综合监控系统、环境与设备监控系统、火灾自动报警系统、乘客信息、自动售检票、安全防范、云平台、车辆基地、控制中心、交通衔接、防灾、环保节能。</w:t>
      </w:r>
    </w:p>
    <w:p w14:paraId="62034A5A">
      <w:pPr>
        <w:ind w:firstLine="420" w:firstLineChars="200"/>
      </w:pPr>
      <w:r>
        <w:rPr>
          <w:rFonts w:hint="eastAsia"/>
        </w:rPr>
        <w:t>本规范修订的主要技术内容是：1、适用范围将最高运行速度提高至140km/h，增加相关技术要求内容；2、新增互联互通、全自动运行、快慢车运行、灵活编组、上盖综合利用、网络安全、交流牵引或双流制牵引制式的系统适应性等新技术新应用；</w:t>
      </w:r>
      <w:r>
        <w:t>3</w:t>
      </w:r>
      <w:r>
        <w:rPr>
          <w:rFonts w:hint="eastAsia"/>
        </w:rPr>
        <w:t>、增加装配式预制板道床的相关内容；</w:t>
      </w:r>
      <w:r>
        <w:t>4</w:t>
      </w:r>
      <w:r>
        <w:rPr>
          <w:rFonts w:hint="eastAsia"/>
        </w:rPr>
        <w:t>、新增车辆段路基的工后沉降标准，调整路基压实控制指标的种类；</w:t>
      </w:r>
      <w:r>
        <w:t>5</w:t>
      </w:r>
      <w:r>
        <w:rPr>
          <w:rFonts w:hint="eastAsia"/>
        </w:rPr>
        <w:t>、修编了车站分级分类标准，补充多种运营组织模式下车站设计要求以及新增便民服务设施的设计要求；6、新增交通衔接章节，补充各类交通方式接驳设施要求；</w:t>
      </w:r>
      <w:r>
        <w:t>7</w:t>
      </w:r>
      <w:r>
        <w:rPr>
          <w:rFonts w:hint="eastAsia"/>
        </w:rPr>
        <w:t>、细化了地下工程各结构及工法的定义及适用范围，增加了机械化工法的适用范围，针对北京地下水上升的实际情况，强化了抗浮设计的相关内容；8、统一了车站疏散计算原则，细化了疏散计算及多场景下安全出口的消防设计要求，新增区间安全疏散和防淹设计的相关规定；</w:t>
      </w:r>
      <w:r>
        <w:t>9</w:t>
      </w:r>
      <w:r>
        <w:rPr>
          <w:rFonts w:hint="eastAsia"/>
        </w:rPr>
        <w:t>、新增防水淹设计的基本原则，对车站及区间的各个口部、车辆基地、控制中心、主变电所等主要类型建筑提出防水淹设计要求；</w:t>
      </w:r>
      <w:r>
        <w:t>10</w:t>
      </w:r>
      <w:r>
        <w:rPr>
          <w:rFonts w:hint="eastAsia"/>
        </w:rPr>
        <w:t>、更新了北京市暴雨强度公式，补充了海绵城市相关措施；</w:t>
      </w:r>
      <w:r>
        <w:t>11</w:t>
      </w:r>
      <w:r>
        <w:rPr>
          <w:rFonts w:hint="eastAsia"/>
        </w:rPr>
        <w:t>、增加了数据通信子系统和维护监测子系统两个章节；</w:t>
      </w:r>
      <w:r>
        <w:t>12</w:t>
      </w:r>
      <w:r>
        <w:rPr>
          <w:rFonts w:hint="eastAsia"/>
        </w:rPr>
        <w:t>、更新了系统</w:t>
      </w:r>
      <w:r>
        <w:t>RAMS、系统性能及能力、电磁兼容性与防护指标及要求，适应技术发展方向及系统稳定性可靠性提高，简化了降级系统要求。</w:t>
      </w:r>
    </w:p>
    <w:p w14:paraId="33483AA2">
      <w:pPr>
        <w:ind w:firstLine="420" w:firstLineChars="200"/>
        <w:rPr>
          <w:rFonts w:ascii="宋体" w:hAnsi="宋体" w:cs="宋体"/>
          <w:szCs w:val="21"/>
        </w:rPr>
      </w:pPr>
      <w:r>
        <w:rPr>
          <w:rFonts w:hint="eastAsia" w:ascii="宋体" w:hAnsi="宋体" w:cs="宋体"/>
          <w:szCs w:val="21"/>
        </w:rPr>
        <w:t>本标准由北京市规划和自然资源委员会和北京市市场监督管理局共同负责管理，北京市规划和自然资源委员会归口、组织实施，并负责组织编制单位对具体技术内容进行解释，北京市规划和自然资源标准化中心负责标准日常管理。</w:t>
      </w:r>
    </w:p>
    <w:p w14:paraId="74FE2DD1">
      <w:pPr>
        <w:ind w:firstLine="420" w:firstLineChars="200"/>
      </w:pPr>
      <w:r>
        <w:rPr>
          <w:rFonts w:hint="eastAsia" w:ascii="宋体" w:hAnsi="宋体" w:cs="宋体"/>
          <w:szCs w:val="21"/>
        </w:rPr>
        <w:t>本标准执行过程中如有意见和建议，请寄送至北京市规划和自然资源标准化中心，以供今后修订时参考。（地址：北京市通州区承安路1号院；电话：55595000；邮箱：bjbb@ghzrzyw.beijing.gov.cn）。</w:t>
      </w:r>
    </w:p>
    <w:p w14:paraId="5630AA61">
      <w:pPr>
        <w:rPr>
          <w:rFonts w:ascii="宋体" w:hAnsi="宋体" w:cs="宋体"/>
          <w:szCs w:val="21"/>
        </w:rPr>
      </w:pPr>
    </w:p>
    <w:p w14:paraId="24052408">
      <w:r>
        <w:rPr>
          <w:rFonts w:hint="eastAsia" w:ascii="黑体" w:hAnsi="黑体" w:eastAsia="黑体" w:cs="黑体"/>
          <w:spacing w:val="25"/>
          <w:kern w:val="0"/>
          <w:szCs w:val="21"/>
          <w:fitText w:val="1780" w:id="1706850828"/>
        </w:rPr>
        <w:t>本标准主编单</w:t>
      </w:r>
      <w:r>
        <w:rPr>
          <w:rFonts w:hint="eastAsia" w:ascii="黑体" w:hAnsi="黑体" w:eastAsia="黑体" w:cs="黑体"/>
          <w:spacing w:val="5"/>
          <w:kern w:val="0"/>
          <w:szCs w:val="21"/>
          <w:fitText w:val="1780" w:id="1706850828"/>
        </w:rPr>
        <w:t>位</w:t>
      </w:r>
      <w:r>
        <w:rPr>
          <w:rFonts w:hint="eastAsia" w:ascii="黑体" w:hAnsi="黑体" w:eastAsia="黑体" w:cs="黑体"/>
          <w:szCs w:val="21"/>
        </w:rPr>
        <w:t>：</w:t>
      </w:r>
      <w:r>
        <w:t>北京城建设计发展集团股份有限公司</w:t>
      </w:r>
    </w:p>
    <w:p w14:paraId="744403BF">
      <w:r>
        <w:rPr>
          <w:rFonts w:hint="eastAsia" w:ascii="黑体" w:hAnsi="黑体" w:eastAsia="黑体" w:cs="黑体"/>
          <w:spacing w:val="25"/>
          <w:kern w:val="0"/>
          <w:szCs w:val="21"/>
          <w:fitText w:val="1780" w:id="1271165397"/>
        </w:rPr>
        <w:t>本标准参编单</w:t>
      </w:r>
      <w:r>
        <w:rPr>
          <w:rFonts w:hint="eastAsia" w:ascii="黑体" w:hAnsi="黑体" w:eastAsia="黑体" w:cs="黑体"/>
          <w:spacing w:val="5"/>
          <w:kern w:val="0"/>
          <w:szCs w:val="21"/>
          <w:fitText w:val="1780" w:id="1271165397"/>
        </w:rPr>
        <w:t>位</w:t>
      </w:r>
      <w:r>
        <w:rPr>
          <w:rFonts w:hint="eastAsia" w:ascii="黑体" w:hAnsi="黑体" w:eastAsia="黑体" w:cs="黑体"/>
          <w:szCs w:val="21"/>
        </w:rPr>
        <w:t>：</w:t>
      </w:r>
      <w:r>
        <w:rPr>
          <w:rFonts w:hint="eastAsia"/>
        </w:rPr>
        <w:t>北京全路通信信号研究设计院</w:t>
      </w:r>
    </w:p>
    <w:p w14:paraId="7050A31B">
      <w:pPr>
        <w:ind w:firstLine="1984" w:firstLineChars="945"/>
      </w:pPr>
      <w:r>
        <w:rPr>
          <w:rFonts w:hint="eastAsia"/>
        </w:rPr>
        <w:t>北京市市政工程设计研究总院</w:t>
      </w:r>
    </w:p>
    <w:p w14:paraId="608E323A">
      <w:pPr>
        <w:ind w:firstLine="1984" w:firstLineChars="945"/>
      </w:pPr>
      <w:r>
        <w:rPr>
          <w:rFonts w:hint="eastAsia"/>
        </w:rPr>
        <w:t>北京市轨道交通设计研究院有限公司</w:t>
      </w:r>
    </w:p>
    <w:p w14:paraId="4A29B8CE">
      <w:pPr>
        <w:ind w:firstLine="1984" w:firstLineChars="945"/>
      </w:pPr>
      <w:r>
        <w:rPr>
          <w:rFonts w:hint="eastAsia"/>
        </w:rPr>
        <w:t>北京市地铁运营有限公司</w:t>
      </w:r>
    </w:p>
    <w:p w14:paraId="3DA39998">
      <w:pPr>
        <w:ind w:firstLine="1984" w:firstLineChars="945"/>
      </w:pPr>
      <w:r>
        <w:rPr>
          <w:rFonts w:hint="eastAsia"/>
        </w:rPr>
        <w:t>北京市基础设施投资有限公司</w:t>
      </w:r>
    </w:p>
    <w:p w14:paraId="48481F21">
      <w:pPr>
        <w:ind w:firstLine="1984" w:firstLineChars="945"/>
      </w:pPr>
      <w:r>
        <w:rPr>
          <w:rFonts w:hint="eastAsia"/>
        </w:rPr>
        <w:t>北京市轨道交通建设管理有限公司</w:t>
      </w:r>
    </w:p>
    <w:p w14:paraId="11DF16B3">
      <w:pPr>
        <w:ind w:firstLine="1984" w:firstLineChars="945"/>
      </w:pPr>
      <w:r>
        <w:rPr>
          <w:rFonts w:hint="eastAsia"/>
        </w:rPr>
        <w:t>北京轨道交通路网管理有限公司</w:t>
      </w:r>
    </w:p>
    <w:p w14:paraId="36767F1C">
      <w:pPr>
        <w:ind w:firstLine="1984" w:firstLineChars="945"/>
      </w:pPr>
    </w:p>
    <w:p w14:paraId="7AF723D8">
      <w:r>
        <w:rPr>
          <w:rFonts w:hint="eastAsia" w:ascii="黑体" w:hAnsi="黑体" w:eastAsia="黑体" w:cs="黑体"/>
          <w:szCs w:val="21"/>
        </w:rPr>
        <w:t>本标准主要起草人员：</w:t>
      </w:r>
      <w:r>
        <w:rPr>
          <w:rFonts w:hint="eastAsia" w:ascii="宋体" w:hAnsi="宋体" w:cs="黑体"/>
          <w:szCs w:val="21"/>
        </w:rPr>
        <w:t>（</w:t>
      </w:r>
      <w:r>
        <w:rPr>
          <w:rFonts w:hint="eastAsia"/>
        </w:rPr>
        <w:t>暂略）</w:t>
      </w:r>
    </w:p>
    <w:p w14:paraId="76270B07"/>
    <w:p w14:paraId="52DF0B98">
      <w:pPr>
        <w:rPr>
          <w:rFonts w:ascii="黑体" w:hAnsi="黑体" w:eastAsia="黑体" w:cs="黑体"/>
          <w:kern w:val="0"/>
          <w:szCs w:val="21"/>
        </w:rPr>
      </w:pPr>
      <w:r>
        <w:rPr>
          <w:rFonts w:hint="eastAsia" w:ascii="黑体" w:hAnsi="黑体" w:eastAsia="黑体" w:cs="黑体"/>
          <w:szCs w:val="21"/>
        </w:rPr>
        <w:t>本标准主要审查人员：</w:t>
      </w:r>
      <w:r>
        <w:rPr>
          <w:rFonts w:hint="eastAsia" w:ascii="宋体" w:hAnsi="宋体" w:cs="黑体"/>
          <w:szCs w:val="21"/>
        </w:rPr>
        <w:t>（</w:t>
      </w:r>
      <w:r>
        <w:rPr>
          <w:rFonts w:hint="eastAsia"/>
        </w:rPr>
        <w:t>暂略）</w:t>
      </w:r>
    </w:p>
    <w:p w14:paraId="51CCB064">
      <w:pPr>
        <w:rPr>
          <w:rFonts w:ascii="黑体" w:hAnsi="黑体" w:eastAsia="黑体" w:cs="黑体"/>
          <w:kern w:val="0"/>
          <w:szCs w:val="21"/>
        </w:rPr>
      </w:pPr>
    </w:p>
    <w:p w14:paraId="3497D4EE">
      <w:pPr>
        <w:rPr>
          <w:rFonts w:ascii="黑体" w:hAnsi="黑体" w:eastAsia="黑体" w:cs="黑体"/>
          <w:spacing w:val="26"/>
          <w:kern w:val="0"/>
          <w:szCs w:val="21"/>
        </w:rPr>
      </w:pPr>
    </w:p>
    <w:p w14:paraId="3FD077D1">
      <w:pPr>
        <w:sectPr>
          <w:headerReference r:id="rId10" w:type="default"/>
          <w:footerReference r:id="rId12" w:type="default"/>
          <w:headerReference r:id="rId11" w:type="even"/>
          <w:footerReference r:id="rId13" w:type="even"/>
          <w:pgSz w:w="7938" w:h="11510"/>
          <w:pgMar w:top="1247" w:right="907" w:bottom="1247" w:left="907" w:header="851" w:footer="850" w:gutter="0"/>
          <w:pgNumType w:start="1"/>
          <w:cols w:space="720" w:num="1"/>
          <w:docGrid w:linePitch="286" w:charSpace="0"/>
        </w:sectPr>
      </w:pPr>
    </w:p>
    <w:p w14:paraId="3B916019">
      <w:pPr>
        <w:ind w:firstLine="600"/>
        <w:jc w:val="center"/>
        <w:rPr>
          <w:rFonts w:ascii="黑体" w:hAnsi="黑体" w:eastAsia="黑体"/>
          <w:sz w:val="30"/>
          <w:szCs w:val="30"/>
        </w:rPr>
      </w:pPr>
      <w:r>
        <w:rPr>
          <w:rFonts w:hint="eastAsia" w:ascii="黑体" w:hAnsi="黑体" w:eastAsia="黑体"/>
          <w:sz w:val="30"/>
          <w:szCs w:val="30"/>
        </w:rPr>
        <w:t xml:space="preserve">目 </w:t>
      </w:r>
      <w:r>
        <w:rPr>
          <w:rFonts w:ascii="黑体" w:hAnsi="黑体" w:eastAsia="黑体"/>
          <w:sz w:val="30"/>
          <w:szCs w:val="30"/>
        </w:rPr>
        <w:t xml:space="preserve">   </w:t>
      </w:r>
      <w:r>
        <w:rPr>
          <w:rFonts w:hint="eastAsia" w:ascii="黑体" w:hAnsi="黑体" w:eastAsia="黑体"/>
          <w:sz w:val="30"/>
          <w:szCs w:val="30"/>
        </w:rPr>
        <w:t>次</w:t>
      </w:r>
    </w:p>
    <w:p w14:paraId="53206A62">
      <w:pPr>
        <w:pStyle w:val="59"/>
        <w:tabs>
          <w:tab w:val="left" w:pos="42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1</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总</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则</w:t>
      </w:r>
      <w:r>
        <w:rPr>
          <w:rFonts w:ascii="Times New Roman" w:hAnsi="Times New Roman"/>
          <w:b w:val="0"/>
          <w:i w:val="0"/>
        </w:rPr>
        <w:tab/>
      </w:r>
      <w:r>
        <w:rPr>
          <w:rFonts w:ascii="Times New Roman" w:hAnsi="Times New Roman"/>
          <w:b w:val="0"/>
          <w:i w:val="0"/>
        </w:rPr>
        <w:t>1</w:t>
      </w:r>
    </w:p>
    <w:p w14:paraId="1D9E207F">
      <w:pPr>
        <w:pStyle w:val="59"/>
        <w:tabs>
          <w:tab w:val="left" w:pos="42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2</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术语和定义</w:t>
      </w:r>
      <w:r>
        <w:rPr>
          <w:rFonts w:ascii="Times New Roman" w:hAnsi="Times New Roman"/>
          <w:b w:val="0"/>
          <w:i w:val="0"/>
        </w:rPr>
        <w:tab/>
      </w:r>
      <w:r>
        <w:rPr>
          <w:rFonts w:ascii="Times New Roman" w:hAnsi="Times New Roman"/>
          <w:b w:val="0"/>
          <w:i w:val="0"/>
        </w:rPr>
        <w:t>2</w:t>
      </w:r>
    </w:p>
    <w:p w14:paraId="56517B62">
      <w:pPr>
        <w:pStyle w:val="59"/>
        <w:tabs>
          <w:tab w:val="left" w:pos="42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3</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基本规定</w:t>
      </w:r>
      <w:r>
        <w:rPr>
          <w:rFonts w:ascii="Times New Roman" w:hAnsi="Times New Roman"/>
          <w:b w:val="0"/>
          <w:i w:val="0"/>
        </w:rPr>
        <w:tab/>
      </w:r>
      <w:r>
        <w:rPr>
          <w:rFonts w:ascii="Times New Roman" w:hAnsi="Times New Roman"/>
          <w:b w:val="0"/>
          <w:i w:val="0"/>
        </w:rPr>
        <w:t>12</w:t>
      </w:r>
    </w:p>
    <w:p w14:paraId="0EF730E0">
      <w:pPr>
        <w:pStyle w:val="59"/>
        <w:tabs>
          <w:tab w:val="left" w:pos="42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4</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运营组织</w:t>
      </w:r>
      <w:r>
        <w:rPr>
          <w:rFonts w:ascii="Times New Roman" w:hAnsi="Times New Roman"/>
          <w:b w:val="0"/>
          <w:i w:val="0"/>
        </w:rPr>
        <w:tab/>
      </w:r>
      <w:r>
        <w:rPr>
          <w:rFonts w:ascii="Times New Roman" w:hAnsi="Times New Roman"/>
          <w:b w:val="0"/>
          <w:i w:val="0"/>
        </w:rPr>
        <w:t>16</w:t>
      </w:r>
    </w:p>
    <w:p w14:paraId="3C1AC5C9">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4.1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16</w:t>
      </w:r>
    </w:p>
    <w:p w14:paraId="6A2283A3">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4.2</w:t>
      </w:r>
      <w:r>
        <w:rPr>
          <w:rFonts w:ascii="Times New Roman" w:hAnsi="Times New Roman" w:cstheme="minorBidi"/>
          <w:bCs w:val="0"/>
        </w:rPr>
        <w:tab/>
      </w:r>
      <w:r>
        <w:rPr>
          <w:rStyle w:val="122"/>
          <w:rFonts w:hint="eastAsia" w:ascii="Times New Roman" w:hAnsi="Times New Roman"/>
          <w:color w:val="auto"/>
          <w:u w:val="none"/>
        </w:rPr>
        <w:t>运营规模</w:t>
      </w:r>
      <w:r>
        <w:rPr>
          <w:rFonts w:ascii="Times New Roman" w:hAnsi="Times New Roman"/>
        </w:rPr>
        <w:tab/>
      </w:r>
      <w:r>
        <w:rPr>
          <w:rFonts w:ascii="Times New Roman" w:hAnsi="Times New Roman"/>
        </w:rPr>
        <w:t>17</w:t>
      </w:r>
    </w:p>
    <w:p w14:paraId="4920F954">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4.3</w:t>
      </w:r>
      <w:r>
        <w:rPr>
          <w:rFonts w:ascii="Times New Roman" w:hAnsi="Times New Roman" w:cstheme="minorBidi"/>
          <w:bCs w:val="0"/>
        </w:rPr>
        <w:tab/>
      </w:r>
      <w:r>
        <w:rPr>
          <w:rStyle w:val="122"/>
          <w:rFonts w:hint="eastAsia" w:ascii="Times New Roman" w:hAnsi="Times New Roman"/>
          <w:color w:val="auto"/>
          <w:u w:val="none"/>
        </w:rPr>
        <w:t>行车组织</w:t>
      </w:r>
      <w:r>
        <w:rPr>
          <w:rFonts w:ascii="Times New Roman" w:hAnsi="Times New Roman"/>
        </w:rPr>
        <w:tab/>
      </w:r>
      <w:r>
        <w:rPr>
          <w:rFonts w:ascii="Times New Roman" w:hAnsi="Times New Roman"/>
        </w:rPr>
        <w:t>18</w:t>
      </w:r>
    </w:p>
    <w:p w14:paraId="1109E1B0">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4.4</w:t>
      </w:r>
      <w:r>
        <w:rPr>
          <w:rFonts w:ascii="Times New Roman" w:hAnsi="Times New Roman" w:cstheme="minorBidi"/>
          <w:bCs w:val="0"/>
        </w:rPr>
        <w:tab/>
      </w:r>
      <w:r>
        <w:rPr>
          <w:rStyle w:val="122"/>
          <w:rFonts w:hint="eastAsia" w:ascii="Times New Roman" w:hAnsi="Times New Roman"/>
          <w:color w:val="auto"/>
          <w:u w:val="none"/>
        </w:rPr>
        <w:t>运营配线</w:t>
      </w:r>
      <w:r>
        <w:rPr>
          <w:rFonts w:ascii="Times New Roman" w:hAnsi="Times New Roman"/>
        </w:rPr>
        <w:tab/>
      </w:r>
      <w:r>
        <w:rPr>
          <w:rFonts w:ascii="Times New Roman" w:hAnsi="Times New Roman"/>
        </w:rPr>
        <w:t>22</w:t>
      </w:r>
    </w:p>
    <w:p w14:paraId="4323CC11">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4.5</w:t>
      </w:r>
      <w:r>
        <w:rPr>
          <w:rFonts w:ascii="Times New Roman" w:hAnsi="Times New Roman" w:cstheme="minorBidi"/>
          <w:bCs w:val="0"/>
        </w:rPr>
        <w:tab/>
      </w:r>
      <w:r>
        <w:rPr>
          <w:rStyle w:val="122"/>
          <w:rFonts w:hint="eastAsia" w:ascii="Times New Roman" w:hAnsi="Times New Roman"/>
          <w:color w:val="auto"/>
          <w:u w:val="none"/>
        </w:rPr>
        <w:t>运营管理</w:t>
      </w:r>
      <w:r>
        <w:rPr>
          <w:rFonts w:ascii="Times New Roman" w:hAnsi="Times New Roman"/>
        </w:rPr>
        <w:tab/>
      </w:r>
      <w:r>
        <w:rPr>
          <w:rFonts w:ascii="Times New Roman" w:hAnsi="Times New Roman"/>
        </w:rPr>
        <w:t>24</w:t>
      </w:r>
    </w:p>
    <w:p w14:paraId="4F588BAE">
      <w:pPr>
        <w:pStyle w:val="59"/>
        <w:tabs>
          <w:tab w:val="left" w:pos="42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5</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车</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辆</w:t>
      </w:r>
      <w:r>
        <w:rPr>
          <w:rFonts w:ascii="Times New Roman" w:hAnsi="Times New Roman"/>
          <w:b w:val="0"/>
          <w:i w:val="0"/>
        </w:rPr>
        <w:tab/>
      </w:r>
      <w:r>
        <w:rPr>
          <w:rFonts w:ascii="Times New Roman" w:hAnsi="Times New Roman"/>
          <w:b w:val="0"/>
          <w:i w:val="0"/>
        </w:rPr>
        <w:t>26</w:t>
      </w:r>
    </w:p>
    <w:p w14:paraId="12F37472">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5.1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26</w:t>
      </w:r>
    </w:p>
    <w:p w14:paraId="20C6F1EA">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5.2</w:t>
      </w:r>
      <w:r>
        <w:rPr>
          <w:rFonts w:ascii="Times New Roman" w:hAnsi="Times New Roman" w:cstheme="minorBidi"/>
          <w:bCs w:val="0"/>
        </w:rPr>
        <w:tab/>
      </w:r>
      <w:r>
        <w:rPr>
          <w:rStyle w:val="122"/>
          <w:rFonts w:hint="eastAsia" w:ascii="Times New Roman" w:hAnsi="Times New Roman"/>
          <w:color w:val="auto"/>
          <w:u w:val="none"/>
        </w:rPr>
        <w:t>车辆使用条件</w:t>
      </w:r>
      <w:r>
        <w:rPr>
          <w:rFonts w:ascii="Times New Roman" w:hAnsi="Times New Roman"/>
        </w:rPr>
        <w:tab/>
      </w:r>
      <w:r>
        <w:rPr>
          <w:rFonts w:ascii="Times New Roman" w:hAnsi="Times New Roman"/>
        </w:rPr>
        <w:t>26</w:t>
      </w:r>
    </w:p>
    <w:p w14:paraId="0B3B4FD7">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5.3</w:t>
      </w:r>
      <w:r>
        <w:rPr>
          <w:rFonts w:ascii="Times New Roman" w:hAnsi="Times New Roman" w:cstheme="minorBidi"/>
          <w:bCs w:val="0"/>
        </w:rPr>
        <w:tab/>
      </w:r>
      <w:r>
        <w:rPr>
          <w:rStyle w:val="122"/>
          <w:rFonts w:hint="eastAsia" w:ascii="Times New Roman" w:hAnsi="Times New Roman"/>
          <w:color w:val="auto"/>
          <w:u w:val="none"/>
        </w:rPr>
        <w:t>车辆主要技术规格</w:t>
      </w:r>
      <w:r>
        <w:rPr>
          <w:rFonts w:ascii="Times New Roman" w:hAnsi="Times New Roman"/>
        </w:rPr>
        <w:tab/>
      </w:r>
      <w:r>
        <w:rPr>
          <w:rFonts w:ascii="Times New Roman" w:hAnsi="Times New Roman"/>
        </w:rPr>
        <w:t>27</w:t>
      </w:r>
    </w:p>
    <w:p w14:paraId="7D72968F">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5.4</w:t>
      </w:r>
      <w:r>
        <w:rPr>
          <w:rFonts w:ascii="Times New Roman" w:hAnsi="Times New Roman" w:cstheme="minorBidi"/>
          <w:bCs w:val="0"/>
        </w:rPr>
        <w:tab/>
      </w:r>
      <w:r>
        <w:rPr>
          <w:rStyle w:val="122"/>
          <w:rFonts w:hint="eastAsia" w:ascii="Times New Roman" w:hAnsi="Times New Roman"/>
          <w:color w:val="auto"/>
          <w:u w:val="none"/>
        </w:rPr>
        <w:t>车辆运行主要技术指标</w:t>
      </w:r>
      <w:r>
        <w:rPr>
          <w:rFonts w:ascii="Times New Roman" w:hAnsi="Times New Roman"/>
        </w:rPr>
        <w:tab/>
      </w:r>
      <w:r>
        <w:rPr>
          <w:rFonts w:ascii="Times New Roman" w:hAnsi="Times New Roman"/>
        </w:rPr>
        <w:t>28</w:t>
      </w:r>
    </w:p>
    <w:p w14:paraId="3006F9A4">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5.5</w:t>
      </w:r>
      <w:r>
        <w:rPr>
          <w:rFonts w:ascii="Times New Roman" w:hAnsi="Times New Roman" w:cstheme="minorBidi"/>
          <w:bCs w:val="0"/>
        </w:rPr>
        <w:tab/>
      </w:r>
      <w:r>
        <w:rPr>
          <w:rStyle w:val="122"/>
          <w:rFonts w:hint="eastAsia" w:ascii="Times New Roman" w:hAnsi="Times New Roman"/>
          <w:color w:val="auto"/>
          <w:u w:val="none"/>
        </w:rPr>
        <w:t>车辆各主要部件及系统</w:t>
      </w:r>
      <w:r>
        <w:rPr>
          <w:rFonts w:ascii="Times New Roman" w:hAnsi="Times New Roman"/>
        </w:rPr>
        <w:tab/>
      </w:r>
      <w:r>
        <w:rPr>
          <w:rFonts w:ascii="Times New Roman" w:hAnsi="Times New Roman"/>
        </w:rPr>
        <w:t>30</w:t>
      </w:r>
    </w:p>
    <w:p w14:paraId="16A3CEA4">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5.6</w:t>
      </w:r>
      <w:r>
        <w:rPr>
          <w:rFonts w:ascii="Times New Roman" w:hAnsi="Times New Roman" w:cstheme="minorBidi"/>
          <w:bCs w:val="0"/>
        </w:rPr>
        <w:tab/>
      </w:r>
      <w:r>
        <w:rPr>
          <w:rStyle w:val="122"/>
          <w:rFonts w:hint="eastAsia" w:ascii="Times New Roman" w:hAnsi="Times New Roman"/>
          <w:color w:val="auto"/>
          <w:u w:val="none"/>
        </w:rPr>
        <w:t>安全与应急设施</w:t>
      </w:r>
      <w:r>
        <w:rPr>
          <w:rFonts w:ascii="Times New Roman" w:hAnsi="Times New Roman"/>
        </w:rPr>
        <w:tab/>
      </w:r>
      <w:r>
        <w:rPr>
          <w:rFonts w:ascii="Times New Roman" w:hAnsi="Times New Roman"/>
        </w:rPr>
        <w:t>34</w:t>
      </w:r>
    </w:p>
    <w:p w14:paraId="253B16B0">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5.7</w:t>
      </w:r>
      <w:r>
        <w:rPr>
          <w:rFonts w:ascii="Times New Roman" w:hAnsi="Times New Roman" w:cstheme="minorBidi"/>
          <w:bCs w:val="0"/>
        </w:rPr>
        <w:tab/>
      </w:r>
      <w:r>
        <w:rPr>
          <w:rStyle w:val="122"/>
          <w:rFonts w:hint="eastAsia" w:ascii="Times New Roman" w:hAnsi="Times New Roman"/>
          <w:color w:val="auto"/>
          <w:u w:val="none"/>
        </w:rPr>
        <w:t>全自动驾驶车辆</w:t>
      </w:r>
      <w:r>
        <w:rPr>
          <w:rFonts w:ascii="Times New Roman" w:hAnsi="Times New Roman"/>
        </w:rPr>
        <w:tab/>
      </w:r>
      <w:r>
        <w:rPr>
          <w:rFonts w:ascii="Times New Roman" w:hAnsi="Times New Roman"/>
        </w:rPr>
        <w:t>35</w:t>
      </w:r>
    </w:p>
    <w:p w14:paraId="66E21EC0">
      <w:pPr>
        <w:pStyle w:val="59"/>
        <w:tabs>
          <w:tab w:val="left" w:pos="42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6</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限</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界</w:t>
      </w:r>
      <w:r>
        <w:rPr>
          <w:rFonts w:ascii="Times New Roman" w:hAnsi="Times New Roman"/>
          <w:b w:val="0"/>
          <w:i w:val="0"/>
        </w:rPr>
        <w:tab/>
      </w:r>
      <w:r>
        <w:rPr>
          <w:rFonts w:ascii="Times New Roman" w:hAnsi="Times New Roman"/>
          <w:b w:val="0"/>
          <w:i w:val="0"/>
        </w:rPr>
        <w:t>36</w:t>
      </w:r>
    </w:p>
    <w:p w14:paraId="0BC28A2A">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6.1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36</w:t>
      </w:r>
    </w:p>
    <w:p w14:paraId="413B1BA4">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6.2</w:t>
      </w:r>
      <w:r>
        <w:rPr>
          <w:rFonts w:ascii="Times New Roman" w:hAnsi="Times New Roman" w:cstheme="minorBidi"/>
          <w:bCs w:val="0"/>
        </w:rPr>
        <w:tab/>
      </w:r>
      <w:r>
        <w:rPr>
          <w:rStyle w:val="122"/>
          <w:rFonts w:hint="eastAsia" w:ascii="Times New Roman" w:hAnsi="Times New Roman"/>
          <w:color w:val="auto"/>
          <w:u w:val="none"/>
        </w:rPr>
        <w:t>制定限界的基本参数</w:t>
      </w:r>
      <w:r>
        <w:rPr>
          <w:rFonts w:ascii="Times New Roman" w:hAnsi="Times New Roman"/>
        </w:rPr>
        <w:tab/>
      </w:r>
      <w:r>
        <w:rPr>
          <w:rFonts w:ascii="Times New Roman" w:hAnsi="Times New Roman"/>
        </w:rPr>
        <w:t>37</w:t>
      </w:r>
    </w:p>
    <w:p w14:paraId="13A026C4">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6.3</w:t>
      </w:r>
      <w:r>
        <w:rPr>
          <w:rFonts w:ascii="Times New Roman" w:hAnsi="Times New Roman" w:cstheme="minorBidi"/>
          <w:bCs w:val="0"/>
        </w:rPr>
        <w:tab/>
      </w:r>
      <w:r>
        <w:rPr>
          <w:rStyle w:val="122"/>
          <w:rFonts w:hint="eastAsia" w:ascii="Times New Roman" w:hAnsi="Times New Roman"/>
          <w:color w:val="auto"/>
          <w:u w:val="none"/>
        </w:rPr>
        <w:t>建</w:t>
      </w:r>
      <w:r>
        <w:rPr>
          <w:rStyle w:val="122"/>
          <w:rFonts w:ascii="Times New Roman" w:hAnsi="Times New Roman"/>
          <w:color w:val="auto"/>
          <w:u w:val="none"/>
        </w:rPr>
        <w:t xml:space="preserve"> </w:t>
      </w:r>
      <w:r>
        <w:rPr>
          <w:rStyle w:val="122"/>
          <w:rFonts w:hint="eastAsia" w:ascii="Times New Roman" w:hAnsi="Times New Roman"/>
          <w:color w:val="auto"/>
          <w:u w:val="none"/>
        </w:rPr>
        <w:t>筑</w:t>
      </w:r>
      <w:r>
        <w:rPr>
          <w:rStyle w:val="122"/>
          <w:rFonts w:ascii="Times New Roman" w:hAnsi="Times New Roman"/>
          <w:color w:val="auto"/>
          <w:u w:val="none"/>
        </w:rPr>
        <w:t xml:space="preserve"> </w:t>
      </w:r>
      <w:r>
        <w:rPr>
          <w:rStyle w:val="122"/>
          <w:rFonts w:hint="eastAsia" w:ascii="Times New Roman" w:hAnsi="Times New Roman"/>
          <w:color w:val="auto"/>
          <w:u w:val="none"/>
        </w:rPr>
        <w:t>限</w:t>
      </w:r>
      <w:r>
        <w:rPr>
          <w:rStyle w:val="122"/>
          <w:rFonts w:ascii="Times New Roman" w:hAnsi="Times New Roman"/>
          <w:color w:val="auto"/>
          <w:u w:val="none"/>
        </w:rPr>
        <w:t xml:space="preserve"> </w:t>
      </w:r>
      <w:r>
        <w:rPr>
          <w:rStyle w:val="122"/>
          <w:rFonts w:hint="eastAsia" w:ascii="Times New Roman" w:hAnsi="Times New Roman"/>
          <w:color w:val="auto"/>
          <w:u w:val="none"/>
        </w:rPr>
        <w:t>界</w:t>
      </w:r>
      <w:r>
        <w:rPr>
          <w:rFonts w:ascii="Times New Roman" w:hAnsi="Times New Roman"/>
        </w:rPr>
        <w:tab/>
      </w:r>
      <w:r>
        <w:rPr>
          <w:rFonts w:ascii="Times New Roman" w:hAnsi="Times New Roman"/>
        </w:rPr>
        <w:t>37</w:t>
      </w:r>
    </w:p>
    <w:p w14:paraId="01FBEBEC">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6.4</w:t>
      </w:r>
      <w:r>
        <w:rPr>
          <w:rFonts w:ascii="Times New Roman" w:hAnsi="Times New Roman" w:cstheme="minorBidi"/>
          <w:bCs w:val="0"/>
        </w:rPr>
        <w:tab/>
      </w:r>
      <w:r>
        <w:rPr>
          <w:rStyle w:val="122"/>
          <w:rFonts w:hint="eastAsia" w:ascii="Times New Roman" w:hAnsi="Times New Roman"/>
          <w:color w:val="auto"/>
          <w:u w:val="none"/>
        </w:rPr>
        <w:t>轨行区管线设备布置原则</w:t>
      </w:r>
      <w:r>
        <w:rPr>
          <w:rFonts w:ascii="Times New Roman" w:hAnsi="Times New Roman"/>
        </w:rPr>
        <w:tab/>
      </w:r>
      <w:r>
        <w:rPr>
          <w:rFonts w:ascii="Times New Roman" w:hAnsi="Times New Roman"/>
        </w:rPr>
        <w:t>41</w:t>
      </w:r>
    </w:p>
    <w:p w14:paraId="3896717C">
      <w:pPr>
        <w:pStyle w:val="59"/>
        <w:tabs>
          <w:tab w:val="left" w:pos="42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kern w:val="44"/>
          <w:u w:val="none"/>
          <w14:scene3d>
            <w14:lightRig w14:rig="threePt" w14:dir="t">
              <w14:rot w14:lat="0" w14:lon="0" w14:rev="0"/>
            </w14:lightRig>
          </w14:scene3d>
        </w:rPr>
        <w:t>7</w:t>
      </w:r>
      <w:r>
        <w:rPr>
          <w:rFonts w:ascii="Times New Roman" w:hAnsi="Times New Roman" w:cstheme="minorBidi"/>
          <w:b w:val="0"/>
          <w:bCs w:val="0"/>
          <w:i w:val="0"/>
          <w:iCs w:val="0"/>
          <w:szCs w:val="22"/>
        </w:rPr>
        <w:tab/>
      </w:r>
      <w:r>
        <w:rPr>
          <w:rStyle w:val="122"/>
          <w:rFonts w:hint="eastAsia" w:ascii="Times New Roman" w:hAnsi="Times New Roman"/>
          <w:b w:val="0"/>
          <w:i w:val="0"/>
          <w:color w:val="auto"/>
          <w:kern w:val="44"/>
          <w:u w:val="none"/>
        </w:rPr>
        <w:t>线</w:t>
      </w:r>
      <w:r>
        <w:rPr>
          <w:rStyle w:val="122"/>
          <w:rFonts w:ascii="Times New Roman" w:hAnsi="Times New Roman"/>
          <w:b w:val="0"/>
          <w:i w:val="0"/>
          <w:color w:val="auto"/>
          <w:kern w:val="44"/>
          <w:u w:val="none"/>
        </w:rPr>
        <w:t xml:space="preserve">    </w:t>
      </w:r>
      <w:r>
        <w:rPr>
          <w:rStyle w:val="122"/>
          <w:rFonts w:hint="eastAsia" w:ascii="Times New Roman" w:hAnsi="Times New Roman"/>
          <w:b w:val="0"/>
          <w:i w:val="0"/>
          <w:color w:val="auto"/>
          <w:kern w:val="44"/>
          <w:u w:val="none"/>
        </w:rPr>
        <w:t>路</w:t>
      </w:r>
      <w:r>
        <w:rPr>
          <w:rFonts w:ascii="Times New Roman" w:hAnsi="Times New Roman"/>
          <w:b w:val="0"/>
          <w:i w:val="0"/>
        </w:rPr>
        <w:tab/>
      </w:r>
      <w:r>
        <w:rPr>
          <w:rFonts w:ascii="Times New Roman" w:hAnsi="Times New Roman"/>
          <w:b w:val="0"/>
          <w:i w:val="0"/>
        </w:rPr>
        <w:t>43</w:t>
      </w:r>
    </w:p>
    <w:p w14:paraId="7E8C7717">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7.1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43</w:t>
      </w:r>
    </w:p>
    <w:p w14:paraId="6DC1A46A">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7.2</w:t>
      </w:r>
      <w:r>
        <w:rPr>
          <w:rFonts w:ascii="Times New Roman" w:hAnsi="Times New Roman" w:cstheme="minorBidi"/>
          <w:bCs w:val="0"/>
        </w:rPr>
        <w:tab/>
      </w:r>
      <w:r>
        <w:rPr>
          <w:rStyle w:val="122"/>
          <w:rFonts w:hint="eastAsia" w:ascii="Times New Roman" w:hAnsi="Times New Roman"/>
          <w:color w:val="auto"/>
          <w:u w:val="none"/>
        </w:rPr>
        <w:t>线路平面</w:t>
      </w:r>
      <w:r>
        <w:rPr>
          <w:rFonts w:ascii="Times New Roman" w:hAnsi="Times New Roman"/>
        </w:rPr>
        <w:tab/>
      </w:r>
      <w:r>
        <w:rPr>
          <w:rFonts w:ascii="Times New Roman" w:hAnsi="Times New Roman"/>
        </w:rPr>
        <w:t>46</w:t>
      </w:r>
    </w:p>
    <w:p w14:paraId="38CD6879">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7.3</w:t>
      </w:r>
      <w:r>
        <w:rPr>
          <w:rFonts w:ascii="Times New Roman" w:hAnsi="Times New Roman" w:cstheme="minorBidi"/>
          <w:bCs w:val="0"/>
        </w:rPr>
        <w:tab/>
      </w:r>
      <w:r>
        <w:rPr>
          <w:rStyle w:val="122"/>
          <w:rFonts w:hint="eastAsia" w:ascii="Times New Roman" w:hAnsi="Times New Roman"/>
          <w:color w:val="auto"/>
          <w:u w:val="none"/>
        </w:rPr>
        <w:t>线路纵断面</w:t>
      </w:r>
      <w:r>
        <w:rPr>
          <w:rFonts w:ascii="Times New Roman" w:hAnsi="Times New Roman"/>
        </w:rPr>
        <w:tab/>
      </w:r>
      <w:r>
        <w:rPr>
          <w:rFonts w:ascii="Times New Roman" w:hAnsi="Times New Roman"/>
        </w:rPr>
        <w:t>53</w:t>
      </w:r>
    </w:p>
    <w:p w14:paraId="3B2DCE70">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7.4</w:t>
      </w:r>
      <w:r>
        <w:rPr>
          <w:rFonts w:ascii="Times New Roman" w:hAnsi="Times New Roman" w:cstheme="minorBidi"/>
          <w:bCs w:val="0"/>
        </w:rPr>
        <w:tab/>
      </w:r>
      <w:r>
        <w:rPr>
          <w:rStyle w:val="122"/>
          <w:rFonts w:hint="eastAsia" w:ascii="Times New Roman" w:hAnsi="Times New Roman"/>
          <w:color w:val="auto"/>
          <w:u w:val="none"/>
        </w:rPr>
        <w:t>配线设置</w:t>
      </w:r>
      <w:r>
        <w:rPr>
          <w:rFonts w:ascii="Times New Roman" w:hAnsi="Times New Roman"/>
        </w:rPr>
        <w:tab/>
      </w:r>
      <w:r>
        <w:rPr>
          <w:rFonts w:ascii="Times New Roman" w:hAnsi="Times New Roman"/>
        </w:rPr>
        <w:t>55</w:t>
      </w:r>
    </w:p>
    <w:p w14:paraId="6755686A">
      <w:pPr>
        <w:pStyle w:val="59"/>
        <w:tabs>
          <w:tab w:val="left" w:pos="42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8</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轨</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道</w:t>
      </w:r>
      <w:r>
        <w:rPr>
          <w:rFonts w:ascii="Times New Roman" w:hAnsi="Times New Roman"/>
          <w:b w:val="0"/>
          <w:i w:val="0"/>
        </w:rPr>
        <w:tab/>
      </w:r>
      <w:r>
        <w:rPr>
          <w:rFonts w:ascii="Times New Roman" w:hAnsi="Times New Roman"/>
          <w:b w:val="0"/>
          <w:i w:val="0"/>
        </w:rPr>
        <w:t>56</w:t>
      </w:r>
    </w:p>
    <w:p w14:paraId="5293A085">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8.1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56</w:t>
      </w:r>
    </w:p>
    <w:p w14:paraId="0481EB62">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8.2</w:t>
      </w:r>
      <w:r>
        <w:rPr>
          <w:rFonts w:ascii="Times New Roman" w:hAnsi="Times New Roman" w:cstheme="minorBidi"/>
          <w:bCs w:val="0"/>
        </w:rPr>
        <w:tab/>
      </w:r>
      <w:r>
        <w:rPr>
          <w:rStyle w:val="122"/>
          <w:rFonts w:hint="eastAsia" w:ascii="Times New Roman" w:hAnsi="Times New Roman"/>
          <w:color w:val="auto"/>
          <w:u w:val="none"/>
        </w:rPr>
        <w:t>基本技术要求</w:t>
      </w:r>
      <w:r>
        <w:rPr>
          <w:rFonts w:ascii="Times New Roman" w:hAnsi="Times New Roman"/>
        </w:rPr>
        <w:tab/>
      </w:r>
      <w:r>
        <w:rPr>
          <w:rFonts w:ascii="Times New Roman" w:hAnsi="Times New Roman"/>
        </w:rPr>
        <w:t>56</w:t>
      </w:r>
    </w:p>
    <w:p w14:paraId="072FB2A5">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8.3</w:t>
      </w:r>
      <w:r>
        <w:rPr>
          <w:rFonts w:ascii="Times New Roman" w:hAnsi="Times New Roman" w:cstheme="minorBidi"/>
          <w:bCs w:val="0"/>
        </w:rPr>
        <w:tab/>
      </w:r>
      <w:r>
        <w:rPr>
          <w:rStyle w:val="122"/>
          <w:rFonts w:hint="eastAsia" w:ascii="Times New Roman" w:hAnsi="Times New Roman"/>
          <w:color w:val="auto"/>
          <w:u w:val="none"/>
        </w:rPr>
        <w:t>轨道部件</w:t>
      </w:r>
      <w:r>
        <w:rPr>
          <w:rFonts w:ascii="Times New Roman" w:hAnsi="Times New Roman"/>
        </w:rPr>
        <w:tab/>
      </w:r>
      <w:r>
        <w:rPr>
          <w:rFonts w:ascii="Times New Roman" w:hAnsi="Times New Roman"/>
        </w:rPr>
        <w:t>59</w:t>
      </w:r>
    </w:p>
    <w:p w14:paraId="4BE52594">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8.4</w:t>
      </w:r>
      <w:r>
        <w:rPr>
          <w:rFonts w:ascii="Times New Roman" w:hAnsi="Times New Roman" w:cstheme="minorBidi"/>
          <w:bCs w:val="0"/>
        </w:rPr>
        <w:tab/>
      </w:r>
      <w:r>
        <w:rPr>
          <w:rStyle w:val="122"/>
          <w:rFonts w:hint="eastAsia" w:ascii="Times New Roman" w:hAnsi="Times New Roman"/>
          <w:color w:val="auto"/>
          <w:u w:val="none"/>
        </w:rPr>
        <w:t>道床结构</w:t>
      </w:r>
      <w:r>
        <w:rPr>
          <w:rFonts w:ascii="Times New Roman" w:hAnsi="Times New Roman"/>
        </w:rPr>
        <w:tab/>
      </w:r>
      <w:r>
        <w:rPr>
          <w:rFonts w:ascii="Times New Roman" w:hAnsi="Times New Roman"/>
        </w:rPr>
        <w:t>61</w:t>
      </w:r>
    </w:p>
    <w:p w14:paraId="30DF7D1A">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8.5</w:t>
      </w:r>
      <w:r>
        <w:rPr>
          <w:rFonts w:ascii="Times New Roman" w:hAnsi="Times New Roman" w:cstheme="minorBidi"/>
          <w:bCs w:val="0"/>
        </w:rPr>
        <w:tab/>
      </w:r>
      <w:r>
        <w:rPr>
          <w:rStyle w:val="122"/>
          <w:rFonts w:hint="eastAsia" w:ascii="Times New Roman" w:hAnsi="Times New Roman"/>
          <w:color w:val="auto"/>
          <w:u w:val="none"/>
        </w:rPr>
        <w:t>无缝线路</w:t>
      </w:r>
      <w:r>
        <w:rPr>
          <w:rFonts w:ascii="Times New Roman" w:hAnsi="Times New Roman"/>
        </w:rPr>
        <w:tab/>
      </w:r>
      <w:r>
        <w:rPr>
          <w:rFonts w:ascii="Times New Roman" w:hAnsi="Times New Roman"/>
        </w:rPr>
        <w:t>63</w:t>
      </w:r>
    </w:p>
    <w:p w14:paraId="08CF1C39">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8.6</w:t>
      </w:r>
      <w:r>
        <w:rPr>
          <w:rFonts w:ascii="Times New Roman" w:hAnsi="Times New Roman" w:cstheme="minorBidi"/>
          <w:bCs w:val="0"/>
        </w:rPr>
        <w:tab/>
      </w:r>
      <w:r>
        <w:rPr>
          <w:rStyle w:val="122"/>
          <w:rFonts w:hint="eastAsia" w:ascii="Times New Roman" w:hAnsi="Times New Roman"/>
          <w:color w:val="auto"/>
          <w:u w:val="none"/>
        </w:rPr>
        <w:t>轨道减振</w:t>
      </w:r>
      <w:r>
        <w:rPr>
          <w:rFonts w:ascii="Times New Roman" w:hAnsi="Times New Roman"/>
        </w:rPr>
        <w:tab/>
      </w:r>
      <w:r>
        <w:rPr>
          <w:rFonts w:ascii="Times New Roman" w:hAnsi="Times New Roman"/>
        </w:rPr>
        <w:t>64</w:t>
      </w:r>
    </w:p>
    <w:p w14:paraId="0C7A7F04">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8.7</w:t>
      </w:r>
      <w:r>
        <w:rPr>
          <w:rFonts w:ascii="Times New Roman" w:hAnsi="Times New Roman" w:cstheme="minorBidi"/>
          <w:bCs w:val="0"/>
        </w:rPr>
        <w:tab/>
      </w:r>
      <w:r>
        <w:rPr>
          <w:rStyle w:val="122"/>
          <w:rFonts w:hint="eastAsia" w:ascii="Times New Roman" w:hAnsi="Times New Roman"/>
          <w:color w:val="auto"/>
          <w:u w:val="none"/>
        </w:rPr>
        <w:t>轨道安全设备及附属设备</w:t>
      </w:r>
      <w:r>
        <w:rPr>
          <w:rFonts w:ascii="Times New Roman" w:hAnsi="Times New Roman"/>
        </w:rPr>
        <w:tab/>
      </w:r>
      <w:r>
        <w:rPr>
          <w:rFonts w:ascii="Times New Roman" w:hAnsi="Times New Roman"/>
        </w:rPr>
        <w:t>65</w:t>
      </w:r>
    </w:p>
    <w:p w14:paraId="52677ACB">
      <w:pPr>
        <w:pStyle w:val="59"/>
        <w:tabs>
          <w:tab w:val="left" w:pos="42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9</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路</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基</w:t>
      </w:r>
      <w:r>
        <w:rPr>
          <w:rFonts w:ascii="Times New Roman" w:hAnsi="Times New Roman"/>
          <w:b w:val="0"/>
          <w:i w:val="0"/>
        </w:rPr>
        <w:tab/>
      </w:r>
      <w:r>
        <w:rPr>
          <w:rFonts w:ascii="Times New Roman" w:hAnsi="Times New Roman"/>
          <w:b w:val="0"/>
          <w:i w:val="0"/>
        </w:rPr>
        <w:t>67</w:t>
      </w:r>
    </w:p>
    <w:p w14:paraId="66DE9C61">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9.1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67</w:t>
      </w:r>
    </w:p>
    <w:p w14:paraId="05221EE4">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9.2</w:t>
      </w:r>
      <w:r>
        <w:rPr>
          <w:rFonts w:ascii="Times New Roman" w:hAnsi="Times New Roman" w:cstheme="minorBidi"/>
          <w:bCs w:val="0"/>
        </w:rPr>
        <w:tab/>
      </w:r>
      <w:r>
        <w:rPr>
          <w:rStyle w:val="122"/>
          <w:rFonts w:hint="eastAsia" w:ascii="Times New Roman" w:hAnsi="Times New Roman"/>
          <w:color w:val="auto"/>
          <w:u w:val="none"/>
        </w:rPr>
        <w:t>路基断面</w:t>
      </w:r>
      <w:r>
        <w:rPr>
          <w:rFonts w:ascii="Times New Roman" w:hAnsi="Times New Roman"/>
        </w:rPr>
        <w:tab/>
      </w:r>
      <w:r>
        <w:rPr>
          <w:rFonts w:ascii="Times New Roman" w:hAnsi="Times New Roman"/>
        </w:rPr>
        <w:t>67</w:t>
      </w:r>
    </w:p>
    <w:p w14:paraId="0907C8A7">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9.3</w:t>
      </w:r>
      <w:r>
        <w:rPr>
          <w:rFonts w:ascii="Times New Roman" w:hAnsi="Times New Roman" w:cstheme="minorBidi"/>
          <w:bCs w:val="0"/>
        </w:rPr>
        <w:tab/>
      </w:r>
      <w:r>
        <w:rPr>
          <w:rStyle w:val="122"/>
          <w:rFonts w:hint="eastAsia" w:ascii="Times New Roman" w:hAnsi="Times New Roman"/>
          <w:color w:val="auto"/>
          <w:u w:val="none"/>
        </w:rPr>
        <w:t>基床</w:t>
      </w:r>
      <w:r>
        <w:rPr>
          <w:rFonts w:ascii="Times New Roman" w:hAnsi="Times New Roman"/>
        </w:rPr>
        <w:tab/>
      </w:r>
      <w:r>
        <w:rPr>
          <w:rFonts w:ascii="Times New Roman" w:hAnsi="Times New Roman"/>
        </w:rPr>
        <w:t>68</w:t>
      </w:r>
    </w:p>
    <w:p w14:paraId="0AA96E83">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9.4</w:t>
      </w:r>
      <w:r>
        <w:rPr>
          <w:rFonts w:ascii="Times New Roman" w:hAnsi="Times New Roman" w:cstheme="minorBidi"/>
          <w:bCs w:val="0"/>
        </w:rPr>
        <w:tab/>
      </w:r>
      <w:r>
        <w:rPr>
          <w:rStyle w:val="122"/>
          <w:rFonts w:hint="eastAsia" w:ascii="Times New Roman" w:hAnsi="Times New Roman"/>
          <w:color w:val="auto"/>
          <w:u w:val="none"/>
        </w:rPr>
        <w:t>路堤</w:t>
      </w:r>
      <w:r>
        <w:rPr>
          <w:rFonts w:ascii="Times New Roman" w:hAnsi="Times New Roman"/>
        </w:rPr>
        <w:tab/>
      </w:r>
      <w:r>
        <w:rPr>
          <w:rFonts w:ascii="Times New Roman" w:hAnsi="Times New Roman"/>
        </w:rPr>
        <w:t>69</w:t>
      </w:r>
    </w:p>
    <w:p w14:paraId="210141C7">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9.5</w:t>
      </w:r>
      <w:r>
        <w:rPr>
          <w:rFonts w:ascii="Times New Roman" w:hAnsi="Times New Roman" w:cstheme="minorBidi"/>
          <w:bCs w:val="0"/>
        </w:rPr>
        <w:tab/>
      </w:r>
      <w:r>
        <w:rPr>
          <w:rStyle w:val="122"/>
          <w:rFonts w:hint="eastAsia" w:ascii="Times New Roman" w:hAnsi="Times New Roman"/>
          <w:color w:val="auto"/>
          <w:u w:val="none"/>
        </w:rPr>
        <w:t>路堑</w:t>
      </w:r>
      <w:r>
        <w:rPr>
          <w:rFonts w:ascii="Times New Roman" w:hAnsi="Times New Roman"/>
        </w:rPr>
        <w:tab/>
      </w:r>
      <w:r>
        <w:rPr>
          <w:rFonts w:ascii="Times New Roman" w:hAnsi="Times New Roman"/>
        </w:rPr>
        <w:t>70</w:t>
      </w:r>
    </w:p>
    <w:p w14:paraId="48452CE2">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9.6</w:t>
      </w:r>
      <w:r>
        <w:rPr>
          <w:rFonts w:ascii="Times New Roman" w:hAnsi="Times New Roman" w:cstheme="minorBidi"/>
          <w:bCs w:val="0"/>
        </w:rPr>
        <w:tab/>
      </w:r>
      <w:r>
        <w:rPr>
          <w:rStyle w:val="122"/>
          <w:rFonts w:hint="eastAsia" w:ascii="Times New Roman" w:hAnsi="Times New Roman"/>
          <w:color w:val="auto"/>
          <w:u w:val="none"/>
        </w:rPr>
        <w:t>工后沉降</w:t>
      </w:r>
      <w:r>
        <w:rPr>
          <w:rFonts w:ascii="Times New Roman" w:hAnsi="Times New Roman"/>
        </w:rPr>
        <w:tab/>
      </w:r>
      <w:r>
        <w:rPr>
          <w:rFonts w:ascii="Times New Roman" w:hAnsi="Times New Roman"/>
        </w:rPr>
        <w:t>71</w:t>
      </w:r>
    </w:p>
    <w:p w14:paraId="20D7BFC8">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9.7</w:t>
      </w:r>
      <w:r>
        <w:rPr>
          <w:rFonts w:ascii="Times New Roman" w:hAnsi="Times New Roman" w:cstheme="minorBidi"/>
          <w:bCs w:val="0"/>
        </w:rPr>
        <w:tab/>
      </w:r>
      <w:r>
        <w:rPr>
          <w:rStyle w:val="122"/>
          <w:rFonts w:hint="eastAsia" w:ascii="Times New Roman" w:hAnsi="Times New Roman"/>
          <w:color w:val="auto"/>
          <w:u w:val="none"/>
        </w:rPr>
        <w:t>地基处理</w:t>
      </w:r>
      <w:r>
        <w:rPr>
          <w:rFonts w:ascii="Times New Roman" w:hAnsi="Times New Roman"/>
        </w:rPr>
        <w:tab/>
      </w:r>
      <w:r>
        <w:rPr>
          <w:rFonts w:ascii="Times New Roman" w:hAnsi="Times New Roman"/>
        </w:rPr>
        <w:t>72</w:t>
      </w:r>
    </w:p>
    <w:p w14:paraId="0FE521CB">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9.8</w:t>
      </w:r>
      <w:r>
        <w:rPr>
          <w:rFonts w:ascii="Times New Roman" w:hAnsi="Times New Roman" w:cstheme="minorBidi"/>
          <w:bCs w:val="0"/>
        </w:rPr>
        <w:tab/>
      </w:r>
      <w:r>
        <w:rPr>
          <w:rStyle w:val="122"/>
          <w:rFonts w:hint="eastAsia" w:ascii="Times New Roman" w:hAnsi="Times New Roman"/>
          <w:color w:val="auto"/>
          <w:u w:val="none"/>
        </w:rPr>
        <w:t>过渡段</w:t>
      </w:r>
      <w:r>
        <w:rPr>
          <w:rFonts w:ascii="Times New Roman" w:hAnsi="Times New Roman"/>
        </w:rPr>
        <w:tab/>
      </w:r>
      <w:r>
        <w:rPr>
          <w:rFonts w:ascii="Times New Roman" w:hAnsi="Times New Roman"/>
        </w:rPr>
        <w:t>73</w:t>
      </w:r>
    </w:p>
    <w:p w14:paraId="644E1CD2">
      <w:pPr>
        <w:pStyle w:val="74"/>
        <w:tabs>
          <w:tab w:val="left" w:pos="840"/>
          <w:tab w:val="right" w:leader="dot" w:pos="6114"/>
        </w:tabs>
        <w:rPr>
          <w:rFonts w:ascii="Times New Roman" w:hAnsi="Times New Roman" w:cstheme="minorBidi"/>
          <w:bCs w:val="0"/>
        </w:rPr>
      </w:pPr>
      <w:r>
        <w:rPr>
          <w:rStyle w:val="122"/>
          <w:rFonts w:ascii="Times New Roman" w:hAnsi="Times New Roman"/>
          <w:color w:val="auto"/>
          <w:u w:val="none"/>
        </w:rPr>
        <w:t>9.9</w:t>
      </w:r>
      <w:r>
        <w:rPr>
          <w:rFonts w:ascii="Times New Roman" w:hAnsi="Times New Roman" w:cstheme="minorBidi"/>
          <w:bCs w:val="0"/>
        </w:rPr>
        <w:tab/>
      </w:r>
      <w:r>
        <w:rPr>
          <w:rStyle w:val="122"/>
          <w:rFonts w:hint="eastAsia" w:ascii="Times New Roman" w:hAnsi="Times New Roman"/>
          <w:color w:val="auto"/>
          <w:u w:val="none"/>
        </w:rPr>
        <w:t>路基支挡结构物</w:t>
      </w:r>
      <w:r>
        <w:rPr>
          <w:rFonts w:ascii="Times New Roman" w:hAnsi="Times New Roman"/>
        </w:rPr>
        <w:tab/>
      </w:r>
      <w:r>
        <w:rPr>
          <w:rFonts w:ascii="Times New Roman" w:hAnsi="Times New Roman"/>
        </w:rPr>
        <w:t>74</w:t>
      </w:r>
    </w:p>
    <w:p w14:paraId="23B48759">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9.10</w:t>
      </w:r>
      <w:r>
        <w:rPr>
          <w:rFonts w:ascii="Times New Roman" w:hAnsi="Times New Roman" w:cstheme="minorBidi"/>
          <w:bCs w:val="0"/>
        </w:rPr>
        <w:tab/>
      </w:r>
      <w:r>
        <w:rPr>
          <w:rStyle w:val="122"/>
          <w:rFonts w:hint="eastAsia" w:ascii="Times New Roman" w:hAnsi="Times New Roman"/>
          <w:color w:val="auto"/>
          <w:u w:val="none"/>
        </w:rPr>
        <w:t>线路防护、路基防护</w:t>
      </w:r>
      <w:r>
        <w:rPr>
          <w:rFonts w:ascii="Times New Roman" w:hAnsi="Times New Roman"/>
        </w:rPr>
        <w:tab/>
      </w:r>
      <w:r>
        <w:rPr>
          <w:rFonts w:ascii="Times New Roman" w:hAnsi="Times New Roman"/>
        </w:rPr>
        <w:t>74</w:t>
      </w:r>
    </w:p>
    <w:p w14:paraId="5FB919C0">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9.11</w:t>
      </w:r>
      <w:r>
        <w:rPr>
          <w:rFonts w:ascii="Times New Roman" w:hAnsi="Times New Roman" w:cstheme="minorBidi"/>
          <w:bCs w:val="0"/>
        </w:rPr>
        <w:tab/>
      </w:r>
      <w:r>
        <w:rPr>
          <w:rStyle w:val="122"/>
          <w:rFonts w:hint="eastAsia" w:ascii="Times New Roman" w:hAnsi="Times New Roman"/>
          <w:color w:val="auto"/>
          <w:u w:val="none"/>
        </w:rPr>
        <w:t>路基排水系统</w:t>
      </w:r>
      <w:r>
        <w:rPr>
          <w:rFonts w:ascii="Times New Roman" w:hAnsi="Times New Roman"/>
        </w:rPr>
        <w:tab/>
      </w:r>
      <w:r>
        <w:rPr>
          <w:rFonts w:ascii="Times New Roman" w:hAnsi="Times New Roman"/>
        </w:rPr>
        <w:t>74</w:t>
      </w:r>
    </w:p>
    <w:p w14:paraId="5B1DD256">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9.12</w:t>
      </w:r>
      <w:r>
        <w:rPr>
          <w:rFonts w:ascii="Times New Roman" w:hAnsi="Times New Roman" w:cstheme="minorBidi"/>
          <w:bCs w:val="0"/>
        </w:rPr>
        <w:tab/>
      </w:r>
      <w:r>
        <w:rPr>
          <w:rStyle w:val="122"/>
          <w:rFonts w:hint="eastAsia" w:ascii="Times New Roman" w:hAnsi="Times New Roman"/>
          <w:color w:val="auto"/>
          <w:u w:val="none"/>
        </w:rPr>
        <w:t>路基变形观测</w:t>
      </w:r>
      <w:r>
        <w:rPr>
          <w:rFonts w:ascii="Times New Roman" w:hAnsi="Times New Roman"/>
        </w:rPr>
        <w:tab/>
      </w:r>
      <w:r>
        <w:rPr>
          <w:rFonts w:ascii="Times New Roman" w:hAnsi="Times New Roman"/>
        </w:rPr>
        <w:t>75</w:t>
      </w:r>
    </w:p>
    <w:p w14:paraId="221B0330">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10</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车站建筑</w:t>
      </w:r>
      <w:r>
        <w:rPr>
          <w:rFonts w:ascii="Times New Roman" w:hAnsi="Times New Roman"/>
          <w:b w:val="0"/>
          <w:i w:val="0"/>
        </w:rPr>
        <w:tab/>
      </w:r>
      <w:r>
        <w:rPr>
          <w:rFonts w:ascii="Times New Roman" w:hAnsi="Times New Roman"/>
          <w:b w:val="0"/>
          <w:i w:val="0"/>
        </w:rPr>
        <w:t>76</w:t>
      </w:r>
    </w:p>
    <w:p w14:paraId="01560908">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10.1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76</w:t>
      </w:r>
    </w:p>
    <w:p w14:paraId="5CA51B0C">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10.2</w:t>
      </w:r>
      <w:r>
        <w:rPr>
          <w:rFonts w:ascii="Times New Roman" w:hAnsi="Times New Roman" w:cstheme="minorBidi"/>
          <w:bCs w:val="0"/>
        </w:rPr>
        <w:tab/>
      </w:r>
      <w:r>
        <w:rPr>
          <w:rStyle w:val="122"/>
          <w:rFonts w:hint="eastAsia" w:ascii="Times New Roman" w:hAnsi="Times New Roman"/>
          <w:color w:val="auto"/>
          <w:u w:val="none"/>
        </w:rPr>
        <w:t>车站设计标准</w:t>
      </w:r>
      <w:r>
        <w:rPr>
          <w:rFonts w:ascii="Times New Roman" w:hAnsi="Times New Roman"/>
        </w:rPr>
        <w:tab/>
      </w:r>
      <w:r>
        <w:rPr>
          <w:rFonts w:ascii="Times New Roman" w:hAnsi="Times New Roman"/>
        </w:rPr>
        <w:t>76</w:t>
      </w:r>
    </w:p>
    <w:p w14:paraId="450B7C78">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10.3</w:t>
      </w:r>
      <w:r>
        <w:rPr>
          <w:rFonts w:ascii="Times New Roman" w:hAnsi="Times New Roman" w:cstheme="minorBidi"/>
          <w:bCs w:val="0"/>
        </w:rPr>
        <w:tab/>
      </w:r>
      <w:r>
        <w:rPr>
          <w:rStyle w:val="122"/>
          <w:rFonts w:hint="eastAsia" w:ascii="Times New Roman" w:hAnsi="Times New Roman"/>
          <w:color w:val="auto"/>
          <w:u w:val="none"/>
        </w:rPr>
        <w:t>车站总体布局</w:t>
      </w:r>
      <w:r>
        <w:rPr>
          <w:rFonts w:ascii="Times New Roman" w:hAnsi="Times New Roman"/>
        </w:rPr>
        <w:tab/>
      </w:r>
      <w:r>
        <w:rPr>
          <w:rFonts w:ascii="Times New Roman" w:hAnsi="Times New Roman"/>
        </w:rPr>
        <w:t>78</w:t>
      </w:r>
    </w:p>
    <w:p w14:paraId="64B2D61E">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10.4</w:t>
      </w:r>
      <w:r>
        <w:rPr>
          <w:rFonts w:ascii="Times New Roman" w:hAnsi="Times New Roman" w:cstheme="minorBidi"/>
          <w:bCs w:val="0"/>
        </w:rPr>
        <w:tab/>
      </w:r>
      <w:r>
        <w:rPr>
          <w:rStyle w:val="122"/>
          <w:rFonts w:hint="eastAsia" w:ascii="Times New Roman" w:hAnsi="Times New Roman"/>
          <w:color w:val="auto"/>
          <w:u w:val="none"/>
        </w:rPr>
        <w:t>车站平面布局</w:t>
      </w:r>
      <w:r>
        <w:rPr>
          <w:rFonts w:ascii="Times New Roman" w:hAnsi="Times New Roman"/>
        </w:rPr>
        <w:tab/>
      </w:r>
      <w:r>
        <w:rPr>
          <w:rFonts w:ascii="Times New Roman" w:hAnsi="Times New Roman"/>
        </w:rPr>
        <w:t>81</w:t>
      </w:r>
    </w:p>
    <w:p w14:paraId="3BCD2486">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10.5</w:t>
      </w:r>
      <w:r>
        <w:rPr>
          <w:rFonts w:ascii="Times New Roman" w:hAnsi="Times New Roman" w:cstheme="minorBidi"/>
          <w:bCs w:val="0"/>
        </w:rPr>
        <w:tab/>
      </w:r>
      <w:r>
        <w:rPr>
          <w:rStyle w:val="122"/>
          <w:rFonts w:hint="eastAsia" w:ascii="Times New Roman" w:hAnsi="Times New Roman"/>
          <w:color w:val="auto"/>
          <w:u w:val="none"/>
        </w:rPr>
        <w:t>车站出入口</w:t>
      </w:r>
      <w:r>
        <w:rPr>
          <w:rFonts w:ascii="Times New Roman" w:hAnsi="Times New Roman"/>
        </w:rPr>
        <w:tab/>
      </w:r>
      <w:r>
        <w:rPr>
          <w:rFonts w:ascii="Times New Roman" w:hAnsi="Times New Roman"/>
        </w:rPr>
        <w:t>88</w:t>
      </w:r>
    </w:p>
    <w:p w14:paraId="47FF0A89">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10.6</w:t>
      </w:r>
      <w:r>
        <w:rPr>
          <w:rFonts w:ascii="Times New Roman" w:hAnsi="Times New Roman" w:cstheme="minorBidi"/>
          <w:bCs w:val="0"/>
        </w:rPr>
        <w:tab/>
      </w:r>
      <w:r>
        <w:rPr>
          <w:rStyle w:val="122"/>
          <w:rFonts w:hint="eastAsia" w:ascii="Times New Roman" w:hAnsi="Times New Roman"/>
          <w:color w:val="auto"/>
          <w:u w:val="none"/>
        </w:rPr>
        <w:t>风亭（井）与冷却塔</w:t>
      </w:r>
      <w:r>
        <w:rPr>
          <w:rFonts w:ascii="Times New Roman" w:hAnsi="Times New Roman"/>
        </w:rPr>
        <w:tab/>
      </w:r>
      <w:r>
        <w:rPr>
          <w:rFonts w:ascii="Times New Roman" w:hAnsi="Times New Roman"/>
        </w:rPr>
        <w:t>91</w:t>
      </w:r>
    </w:p>
    <w:p w14:paraId="1E440C27">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10.7</w:t>
      </w:r>
      <w:r>
        <w:rPr>
          <w:rFonts w:ascii="Times New Roman" w:hAnsi="Times New Roman" w:cstheme="minorBidi"/>
          <w:bCs w:val="0"/>
        </w:rPr>
        <w:tab/>
      </w:r>
      <w:r>
        <w:rPr>
          <w:rStyle w:val="122"/>
          <w:rFonts w:hint="eastAsia" w:ascii="Times New Roman" w:hAnsi="Times New Roman"/>
          <w:color w:val="auto"/>
          <w:u w:val="none"/>
        </w:rPr>
        <w:t>车站内部交通设施</w:t>
      </w:r>
      <w:r>
        <w:rPr>
          <w:rFonts w:ascii="Times New Roman" w:hAnsi="Times New Roman"/>
        </w:rPr>
        <w:tab/>
      </w:r>
      <w:r>
        <w:rPr>
          <w:rFonts w:ascii="Times New Roman" w:hAnsi="Times New Roman"/>
        </w:rPr>
        <w:t>93</w:t>
      </w:r>
    </w:p>
    <w:p w14:paraId="3392FA9A">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10.8</w:t>
      </w:r>
      <w:r>
        <w:rPr>
          <w:rFonts w:ascii="Times New Roman" w:hAnsi="Times New Roman" w:cstheme="minorBidi"/>
          <w:bCs w:val="0"/>
        </w:rPr>
        <w:tab/>
      </w:r>
      <w:r>
        <w:rPr>
          <w:rStyle w:val="122"/>
          <w:rFonts w:hint="eastAsia" w:ascii="Times New Roman" w:hAnsi="Times New Roman"/>
          <w:color w:val="auto"/>
          <w:u w:val="none"/>
        </w:rPr>
        <w:t>车站无障碍设施</w:t>
      </w:r>
      <w:r>
        <w:rPr>
          <w:rFonts w:ascii="Times New Roman" w:hAnsi="Times New Roman"/>
        </w:rPr>
        <w:tab/>
      </w:r>
      <w:r>
        <w:rPr>
          <w:rFonts w:ascii="Times New Roman" w:hAnsi="Times New Roman"/>
        </w:rPr>
        <w:t>94</w:t>
      </w:r>
    </w:p>
    <w:p w14:paraId="28A4B5E5">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10.9</w:t>
      </w:r>
      <w:r>
        <w:rPr>
          <w:rFonts w:ascii="Times New Roman" w:hAnsi="Times New Roman" w:cstheme="minorBidi"/>
          <w:bCs w:val="0"/>
        </w:rPr>
        <w:tab/>
      </w:r>
      <w:r>
        <w:rPr>
          <w:rStyle w:val="122"/>
          <w:rFonts w:hint="eastAsia" w:ascii="Times New Roman" w:hAnsi="Times New Roman"/>
          <w:color w:val="auto"/>
          <w:u w:val="none"/>
        </w:rPr>
        <w:t>车站环境设计</w:t>
      </w:r>
      <w:r>
        <w:rPr>
          <w:rFonts w:ascii="Times New Roman" w:hAnsi="Times New Roman"/>
        </w:rPr>
        <w:tab/>
      </w:r>
      <w:r>
        <w:rPr>
          <w:rFonts w:ascii="Times New Roman" w:hAnsi="Times New Roman"/>
        </w:rPr>
        <w:t>96</w:t>
      </w:r>
    </w:p>
    <w:p w14:paraId="51E2E4C3">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10.10</w:t>
      </w:r>
      <w:r>
        <w:rPr>
          <w:rFonts w:ascii="Times New Roman" w:hAnsi="Times New Roman" w:cstheme="minorBidi"/>
          <w:bCs w:val="0"/>
        </w:rPr>
        <w:tab/>
      </w:r>
      <w:r>
        <w:rPr>
          <w:rStyle w:val="122"/>
          <w:rFonts w:hint="eastAsia" w:ascii="Times New Roman" w:hAnsi="Times New Roman"/>
          <w:color w:val="auto"/>
          <w:u w:val="none"/>
        </w:rPr>
        <w:t>换乘车站</w:t>
      </w:r>
      <w:r>
        <w:rPr>
          <w:rFonts w:ascii="Times New Roman" w:hAnsi="Times New Roman"/>
        </w:rPr>
        <w:tab/>
      </w:r>
      <w:r>
        <w:rPr>
          <w:rFonts w:ascii="Times New Roman" w:hAnsi="Times New Roman"/>
        </w:rPr>
        <w:t>96</w:t>
      </w:r>
    </w:p>
    <w:p w14:paraId="086EED20">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10.11</w:t>
      </w:r>
      <w:r>
        <w:rPr>
          <w:rFonts w:ascii="Times New Roman" w:hAnsi="Times New Roman" w:cstheme="minorBidi"/>
          <w:bCs w:val="0"/>
        </w:rPr>
        <w:tab/>
      </w:r>
      <w:r>
        <w:rPr>
          <w:rStyle w:val="122"/>
          <w:rFonts w:hint="eastAsia" w:ascii="Times New Roman" w:hAnsi="Times New Roman"/>
          <w:color w:val="auto"/>
          <w:u w:val="none"/>
        </w:rPr>
        <w:t>管线综合</w:t>
      </w:r>
      <w:r>
        <w:rPr>
          <w:rFonts w:ascii="Times New Roman" w:hAnsi="Times New Roman"/>
        </w:rPr>
        <w:tab/>
      </w:r>
      <w:r>
        <w:rPr>
          <w:rFonts w:ascii="Times New Roman" w:hAnsi="Times New Roman"/>
        </w:rPr>
        <w:t>100</w:t>
      </w:r>
    </w:p>
    <w:p w14:paraId="228BA7C3">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10.12</w:t>
      </w:r>
      <w:r>
        <w:rPr>
          <w:rFonts w:ascii="Times New Roman" w:hAnsi="Times New Roman" w:cstheme="minorBidi"/>
          <w:bCs w:val="0"/>
        </w:rPr>
        <w:tab/>
      </w:r>
      <w:r>
        <w:rPr>
          <w:rStyle w:val="122"/>
          <w:rFonts w:hint="eastAsia" w:ascii="Times New Roman" w:hAnsi="Times New Roman"/>
          <w:color w:val="auto"/>
          <w:u w:val="none"/>
        </w:rPr>
        <w:t>便民服务设施</w:t>
      </w:r>
      <w:r>
        <w:rPr>
          <w:rFonts w:ascii="Times New Roman" w:hAnsi="Times New Roman"/>
        </w:rPr>
        <w:tab/>
      </w:r>
      <w:r>
        <w:rPr>
          <w:rFonts w:ascii="Times New Roman" w:hAnsi="Times New Roman"/>
        </w:rPr>
        <w:t>101</w:t>
      </w:r>
    </w:p>
    <w:p w14:paraId="62AFB416">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11</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高架结构</w:t>
      </w:r>
      <w:r>
        <w:rPr>
          <w:rFonts w:ascii="Times New Roman" w:hAnsi="Times New Roman"/>
          <w:b w:val="0"/>
          <w:i w:val="0"/>
        </w:rPr>
        <w:tab/>
      </w:r>
      <w:r>
        <w:rPr>
          <w:rFonts w:ascii="Times New Roman" w:hAnsi="Times New Roman"/>
          <w:b w:val="0"/>
          <w:i w:val="0"/>
        </w:rPr>
        <w:t>102</w:t>
      </w:r>
    </w:p>
    <w:p w14:paraId="099C9E71">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11.1</w:t>
      </w:r>
      <w:r>
        <w:rPr>
          <w:rFonts w:ascii="Times New Roman" w:hAnsi="Times New Roman" w:cstheme="minorBidi"/>
          <w:bCs w:val="0"/>
        </w:rPr>
        <w:tab/>
      </w:r>
      <w:r>
        <w:rPr>
          <w:rStyle w:val="122"/>
          <w:rFonts w:hint="eastAsia" w:ascii="Times New Roman" w:hAnsi="Times New Roman"/>
          <w:color w:val="auto"/>
          <w:u w:val="none"/>
        </w:rPr>
        <w:t>高架桥梁结构</w:t>
      </w:r>
      <w:r>
        <w:rPr>
          <w:rFonts w:ascii="Times New Roman" w:hAnsi="Times New Roman"/>
        </w:rPr>
        <w:tab/>
      </w:r>
      <w:r>
        <w:rPr>
          <w:rFonts w:ascii="Times New Roman" w:hAnsi="Times New Roman"/>
        </w:rPr>
        <w:t>102</w:t>
      </w:r>
    </w:p>
    <w:p w14:paraId="5876FE7C">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11.2</w:t>
      </w:r>
      <w:r>
        <w:rPr>
          <w:rFonts w:ascii="Times New Roman" w:hAnsi="Times New Roman" w:cstheme="minorBidi"/>
          <w:bCs w:val="0"/>
        </w:rPr>
        <w:tab/>
      </w:r>
      <w:r>
        <w:rPr>
          <w:rStyle w:val="122"/>
          <w:rFonts w:hint="eastAsia" w:ascii="Times New Roman" w:hAnsi="Times New Roman"/>
          <w:color w:val="auto"/>
          <w:u w:val="none"/>
        </w:rPr>
        <w:t>车站高架结构</w:t>
      </w:r>
      <w:r>
        <w:rPr>
          <w:rFonts w:ascii="Times New Roman" w:hAnsi="Times New Roman"/>
        </w:rPr>
        <w:tab/>
      </w:r>
      <w:r>
        <w:rPr>
          <w:rFonts w:ascii="Times New Roman" w:hAnsi="Times New Roman"/>
        </w:rPr>
        <w:t>116</w:t>
      </w:r>
    </w:p>
    <w:p w14:paraId="680DC60B">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11.3</w:t>
      </w:r>
      <w:r>
        <w:rPr>
          <w:rFonts w:ascii="Times New Roman" w:hAnsi="Times New Roman" w:cstheme="minorBidi"/>
          <w:bCs w:val="0"/>
        </w:rPr>
        <w:tab/>
      </w:r>
      <w:r>
        <w:rPr>
          <w:rStyle w:val="122"/>
          <w:rFonts w:hint="eastAsia" w:ascii="Times New Roman" w:hAnsi="Times New Roman"/>
          <w:color w:val="auto"/>
          <w:u w:val="none"/>
        </w:rPr>
        <w:t>工程材料</w:t>
      </w:r>
      <w:r>
        <w:rPr>
          <w:rFonts w:ascii="Times New Roman" w:hAnsi="Times New Roman"/>
        </w:rPr>
        <w:tab/>
      </w:r>
      <w:r>
        <w:rPr>
          <w:rFonts w:ascii="Times New Roman" w:hAnsi="Times New Roman"/>
        </w:rPr>
        <w:t>122</w:t>
      </w:r>
    </w:p>
    <w:p w14:paraId="73737C85">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12</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地下结构</w:t>
      </w:r>
      <w:r>
        <w:rPr>
          <w:rFonts w:ascii="Times New Roman" w:hAnsi="Times New Roman"/>
          <w:b w:val="0"/>
          <w:i w:val="0"/>
        </w:rPr>
        <w:tab/>
      </w:r>
      <w:r>
        <w:rPr>
          <w:rFonts w:ascii="Times New Roman" w:hAnsi="Times New Roman"/>
          <w:b w:val="0"/>
          <w:i w:val="0"/>
        </w:rPr>
        <w:t>124</w:t>
      </w:r>
    </w:p>
    <w:p w14:paraId="307CE311">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12.1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124</w:t>
      </w:r>
    </w:p>
    <w:p w14:paraId="421FDA9E">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12.2</w:t>
      </w:r>
      <w:r>
        <w:rPr>
          <w:rFonts w:ascii="Times New Roman" w:hAnsi="Times New Roman" w:cstheme="minorBidi"/>
          <w:bCs w:val="0"/>
        </w:rPr>
        <w:tab/>
      </w:r>
      <w:r>
        <w:rPr>
          <w:rStyle w:val="122"/>
          <w:rFonts w:hint="eastAsia" w:ascii="Times New Roman" w:hAnsi="Times New Roman"/>
          <w:color w:val="auto"/>
          <w:u w:val="none"/>
        </w:rPr>
        <w:t>施工方法和结构选型</w:t>
      </w:r>
      <w:r>
        <w:rPr>
          <w:rFonts w:ascii="Times New Roman" w:hAnsi="Times New Roman"/>
        </w:rPr>
        <w:tab/>
      </w:r>
      <w:r>
        <w:rPr>
          <w:rFonts w:ascii="Times New Roman" w:hAnsi="Times New Roman"/>
        </w:rPr>
        <w:t>126</w:t>
      </w:r>
    </w:p>
    <w:p w14:paraId="5B12B843">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12.3</w:t>
      </w:r>
      <w:r>
        <w:rPr>
          <w:rFonts w:ascii="Times New Roman" w:hAnsi="Times New Roman" w:cstheme="minorBidi"/>
          <w:bCs w:val="0"/>
        </w:rPr>
        <w:tab/>
      </w:r>
      <w:r>
        <w:rPr>
          <w:rStyle w:val="122"/>
          <w:rFonts w:hint="eastAsia" w:ascii="Times New Roman" w:hAnsi="Times New Roman"/>
          <w:color w:val="auto"/>
          <w:u w:val="none"/>
        </w:rPr>
        <w:t>荷载</w:t>
      </w:r>
      <w:r>
        <w:rPr>
          <w:rFonts w:ascii="Times New Roman" w:hAnsi="Times New Roman"/>
        </w:rPr>
        <w:tab/>
      </w:r>
      <w:r>
        <w:rPr>
          <w:rFonts w:ascii="Times New Roman" w:hAnsi="Times New Roman"/>
        </w:rPr>
        <w:t>127</w:t>
      </w:r>
    </w:p>
    <w:p w14:paraId="7833CC83">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12.4</w:t>
      </w:r>
      <w:r>
        <w:rPr>
          <w:rFonts w:ascii="Times New Roman" w:hAnsi="Times New Roman" w:cstheme="minorBidi"/>
          <w:bCs w:val="0"/>
        </w:rPr>
        <w:tab/>
      </w:r>
      <w:r>
        <w:rPr>
          <w:rStyle w:val="122"/>
          <w:rFonts w:hint="eastAsia" w:ascii="Times New Roman" w:hAnsi="Times New Roman"/>
          <w:color w:val="auto"/>
          <w:u w:val="none"/>
        </w:rPr>
        <w:t>明挖法、盖挖逆作法结构设计</w:t>
      </w:r>
      <w:r>
        <w:rPr>
          <w:rFonts w:ascii="Times New Roman" w:hAnsi="Times New Roman"/>
        </w:rPr>
        <w:tab/>
      </w:r>
      <w:r>
        <w:rPr>
          <w:rFonts w:ascii="Times New Roman" w:hAnsi="Times New Roman"/>
        </w:rPr>
        <w:t>131</w:t>
      </w:r>
    </w:p>
    <w:p w14:paraId="7639A630">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12.5</w:t>
      </w:r>
      <w:r>
        <w:rPr>
          <w:rFonts w:ascii="Times New Roman" w:hAnsi="Times New Roman" w:cstheme="minorBidi"/>
          <w:bCs w:val="0"/>
        </w:rPr>
        <w:tab/>
      </w:r>
      <w:r>
        <w:rPr>
          <w:rStyle w:val="122"/>
          <w:rFonts w:hint="eastAsia" w:ascii="Times New Roman" w:hAnsi="Times New Roman"/>
          <w:color w:val="auto"/>
          <w:u w:val="none"/>
        </w:rPr>
        <w:t>矿山法结构设计</w:t>
      </w:r>
      <w:r>
        <w:rPr>
          <w:rFonts w:ascii="Times New Roman" w:hAnsi="Times New Roman"/>
        </w:rPr>
        <w:tab/>
      </w:r>
      <w:r>
        <w:rPr>
          <w:rFonts w:ascii="Times New Roman" w:hAnsi="Times New Roman"/>
        </w:rPr>
        <w:t>141</w:t>
      </w:r>
    </w:p>
    <w:p w14:paraId="1CA96F28">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12.6</w:t>
      </w:r>
      <w:r>
        <w:rPr>
          <w:rFonts w:ascii="Times New Roman" w:hAnsi="Times New Roman" w:cstheme="minorBidi"/>
          <w:bCs w:val="0"/>
        </w:rPr>
        <w:tab/>
      </w:r>
      <w:r>
        <w:rPr>
          <w:rStyle w:val="122"/>
          <w:rFonts w:hint="eastAsia" w:ascii="Times New Roman" w:hAnsi="Times New Roman"/>
          <w:color w:val="auto"/>
          <w:u w:val="none"/>
        </w:rPr>
        <w:t>盾构法结构设计</w:t>
      </w:r>
      <w:r>
        <w:rPr>
          <w:rFonts w:ascii="Times New Roman" w:hAnsi="Times New Roman"/>
        </w:rPr>
        <w:tab/>
      </w:r>
      <w:r>
        <w:rPr>
          <w:rFonts w:ascii="Times New Roman" w:hAnsi="Times New Roman"/>
        </w:rPr>
        <w:t>147</w:t>
      </w:r>
    </w:p>
    <w:p w14:paraId="2B1A24C7">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12.7</w:t>
      </w:r>
      <w:r>
        <w:rPr>
          <w:rFonts w:ascii="Times New Roman" w:hAnsi="Times New Roman" w:cstheme="minorBidi"/>
          <w:bCs w:val="0"/>
        </w:rPr>
        <w:tab/>
      </w:r>
      <w:r>
        <w:rPr>
          <w:rStyle w:val="122"/>
          <w:rFonts w:hint="eastAsia" w:ascii="Times New Roman" w:hAnsi="Times New Roman"/>
          <w:color w:val="auto"/>
          <w:u w:val="none"/>
        </w:rPr>
        <w:t>顶管法结构设计</w:t>
      </w:r>
      <w:r>
        <w:rPr>
          <w:rFonts w:ascii="Times New Roman" w:hAnsi="Times New Roman"/>
        </w:rPr>
        <w:tab/>
      </w:r>
      <w:r>
        <w:rPr>
          <w:rFonts w:ascii="Times New Roman" w:hAnsi="Times New Roman"/>
        </w:rPr>
        <w:t>153</w:t>
      </w:r>
    </w:p>
    <w:p w14:paraId="2501B891">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12.8</w:t>
      </w:r>
      <w:r>
        <w:rPr>
          <w:rFonts w:ascii="Times New Roman" w:hAnsi="Times New Roman" w:cstheme="minorBidi"/>
          <w:bCs w:val="0"/>
        </w:rPr>
        <w:tab/>
      </w:r>
      <w:r>
        <w:rPr>
          <w:rStyle w:val="122"/>
          <w:rFonts w:hint="eastAsia" w:ascii="Times New Roman" w:hAnsi="Times New Roman"/>
          <w:color w:val="auto"/>
          <w:u w:val="none"/>
        </w:rPr>
        <w:t>地下结构抗震设计</w:t>
      </w:r>
      <w:r>
        <w:rPr>
          <w:rFonts w:ascii="Times New Roman" w:hAnsi="Times New Roman"/>
        </w:rPr>
        <w:tab/>
      </w:r>
      <w:r>
        <w:rPr>
          <w:rFonts w:ascii="Times New Roman" w:hAnsi="Times New Roman"/>
        </w:rPr>
        <w:t>155</w:t>
      </w:r>
    </w:p>
    <w:p w14:paraId="4E125716">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12.9</w:t>
      </w:r>
      <w:r>
        <w:rPr>
          <w:rFonts w:ascii="Times New Roman" w:hAnsi="Times New Roman" w:cstheme="minorBidi"/>
          <w:bCs w:val="0"/>
        </w:rPr>
        <w:tab/>
      </w:r>
      <w:r>
        <w:rPr>
          <w:rStyle w:val="122"/>
          <w:rFonts w:hint="eastAsia" w:ascii="Times New Roman" w:hAnsi="Times New Roman"/>
          <w:color w:val="auto"/>
          <w:u w:val="none"/>
        </w:rPr>
        <w:t>地下结构的耐久性要求</w:t>
      </w:r>
      <w:r>
        <w:rPr>
          <w:rFonts w:ascii="Times New Roman" w:hAnsi="Times New Roman"/>
        </w:rPr>
        <w:tab/>
      </w:r>
      <w:r>
        <w:rPr>
          <w:rFonts w:ascii="Times New Roman" w:hAnsi="Times New Roman"/>
        </w:rPr>
        <w:t>161</w:t>
      </w:r>
    </w:p>
    <w:p w14:paraId="30A3BA9D">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12.10</w:t>
      </w:r>
      <w:r>
        <w:rPr>
          <w:rFonts w:ascii="Times New Roman" w:hAnsi="Times New Roman" w:cstheme="minorBidi"/>
          <w:bCs w:val="0"/>
        </w:rPr>
        <w:tab/>
      </w:r>
      <w:r>
        <w:rPr>
          <w:rStyle w:val="122"/>
          <w:rFonts w:hint="eastAsia" w:ascii="Times New Roman" w:hAnsi="Times New Roman"/>
          <w:color w:val="auto"/>
          <w:u w:val="none"/>
        </w:rPr>
        <w:t>构造设计</w:t>
      </w:r>
      <w:r>
        <w:rPr>
          <w:rFonts w:ascii="Times New Roman" w:hAnsi="Times New Roman"/>
        </w:rPr>
        <w:tab/>
      </w:r>
      <w:r>
        <w:rPr>
          <w:rFonts w:ascii="Times New Roman" w:hAnsi="Times New Roman"/>
        </w:rPr>
        <w:t>162</w:t>
      </w:r>
    </w:p>
    <w:p w14:paraId="143AE7CA">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12.11</w:t>
      </w:r>
      <w:r>
        <w:rPr>
          <w:rFonts w:ascii="Times New Roman" w:hAnsi="Times New Roman" w:cstheme="minorBidi"/>
          <w:bCs w:val="0"/>
        </w:rPr>
        <w:tab/>
      </w:r>
      <w:r>
        <w:rPr>
          <w:rStyle w:val="122"/>
          <w:rFonts w:hint="eastAsia" w:ascii="Times New Roman" w:hAnsi="Times New Roman"/>
          <w:color w:val="auto"/>
          <w:u w:val="none"/>
        </w:rPr>
        <w:t>工程材料</w:t>
      </w:r>
      <w:r>
        <w:rPr>
          <w:rFonts w:ascii="Times New Roman" w:hAnsi="Times New Roman"/>
        </w:rPr>
        <w:tab/>
      </w:r>
      <w:r>
        <w:rPr>
          <w:rFonts w:ascii="Times New Roman" w:hAnsi="Times New Roman"/>
        </w:rPr>
        <w:t>164</w:t>
      </w:r>
    </w:p>
    <w:p w14:paraId="32DAE030">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12.12</w:t>
      </w:r>
      <w:r>
        <w:rPr>
          <w:rFonts w:ascii="Times New Roman" w:hAnsi="Times New Roman" w:cstheme="minorBidi"/>
          <w:bCs w:val="0"/>
        </w:rPr>
        <w:tab/>
      </w:r>
      <w:r>
        <w:rPr>
          <w:rStyle w:val="122"/>
          <w:rFonts w:hint="eastAsia" w:ascii="Times New Roman" w:hAnsi="Times New Roman"/>
          <w:color w:val="auto"/>
          <w:u w:val="none"/>
        </w:rPr>
        <w:t>安全风险工程设计</w:t>
      </w:r>
      <w:r>
        <w:rPr>
          <w:rFonts w:ascii="Times New Roman" w:hAnsi="Times New Roman"/>
        </w:rPr>
        <w:tab/>
      </w:r>
      <w:r>
        <w:rPr>
          <w:rFonts w:ascii="Times New Roman" w:hAnsi="Times New Roman"/>
        </w:rPr>
        <w:t>165</w:t>
      </w:r>
    </w:p>
    <w:p w14:paraId="11D766EF">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12.13</w:t>
      </w:r>
      <w:r>
        <w:rPr>
          <w:rFonts w:ascii="Times New Roman" w:hAnsi="Times New Roman" w:cstheme="minorBidi"/>
          <w:bCs w:val="0"/>
        </w:rPr>
        <w:tab/>
      </w:r>
      <w:r>
        <w:rPr>
          <w:rStyle w:val="122"/>
          <w:rFonts w:hint="eastAsia" w:ascii="Times New Roman" w:hAnsi="Times New Roman"/>
          <w:color w:val="auto"/>
          <w:u w:val="none"/>
        </w:rPr>
        <w:t>监控量测</w:t>
      </w:r>
      <w:r>
        <w:rPr>
          <w:rFonts w:ascii="Times New Roman" w:hAnsi="Times New Roman"/>
        </w:rPr>
        <w:tab/>
      </w:r>
      <w:r>
        <w:rPr>
          <w:rFonts w:ascii="Times New Roman" w:hAnsi="Times New Roman"/>
        </w:rPr>
        <w:t>168</w:t>
      </w:r>
    </w:p>
    <w:p w14:paraId="0F949BF8">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13</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工程防水</w:t>
      </w:r>
      <w:r>
        <w:rPr>
          <w:rFonts w:ascii="Times New Roman" w:hAnsi="Times New Roman"/>
          <w:b w:val="0"/>
          <w:i w:val="0"/>
        </w:rPr>
        <w:tab/>
      </w:r>
      <w:r>
        <w:rPr>
          <w:rFonts w:ascii="Times New Roman" w:hAnsi="Times New Roman"/>
          <w:b w:val="0"/>
          <w:i w:val="0"/>
        </w:rPr>
        <w:t>172</w:t>
      </w:r>
    </w:p>
    <w:p w14:paraId="533034F6">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13.1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172</w:t>
      </w:r>
    </w:p>
    <w:p w14:paraId="7B6CA039">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13.2</w:t>
      </w:r>
      <w:r>
        <w:rPr>
          <w:rFonts w:ascii="Times New Roman" w:hAnsi="Times New Roman" w:cstheme="minorBidi"/>
          <w:bCs w:val="0"/>
        </w:rPr>
        <w:tab/>
      </w:r>
      <w:r>
        <w:rPr>
          <w:rStyle w:val="122"/>
          <w:rFonts w:hint="eastAsia" w:ascii="Times New Roman" w:hAnsi="Times New Roman"/>
          <w:color w:val="auto"/>
          <w:u w:val="none"/>
        </w:rPr>
        <w:t>混凝土结构自防水</w:t>
      </w:r>
      <w:r>
        <w:rPr>
          <w:rFonts w:ascii="Times New Roman" w:hAnsi="Times New Roman"/>
        </w:rPr>
        <w:tab/>
      </w:r>
      <w:r>
        <w:rPr>
          <w:rFonts w:ascii="Times New Roman" w:hAnsi="Times New Roman"/>
        </w:rPr>
        <w:t>174</w:t>
      </w:r>
    </w:p>
    <w:p w14:paraId="114BA944">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13.3</w:t>
      </w:r>
      <w:r>
        <w:rPr>
          <w:rFonts w:ascii="Times New Roman" w:hAnsi="Times New Roman" w:cstheme="minorBidi"/>
          <w:bCs w:val="0"/>
        </w:rPr>
        <w:tab/>
      </w:r>
      <w:r>
        <w:rPr>
          <w:rStyle w:val="122"/>
          <w:rFonts w:hint="eastAsia" w:ascii="Times New Roman" w:hAnsi="Times New Roman"/>
          <w:color w:val="auto"/>
          <w:u w:val="none"/>
        </w:rPr>
        <w:t>防</w:t>
      </w:r>
      <w:r>
        <w:rPr>
          <w:rStyle w:val="122"/>
          <w:rFonts w:ascii="Times New Roman" w:hAnsi="Times New Roman"/>
          <w:color w:val="auto"/>
          <w:u w:val="none"/>
        </w:rPr>
        <w:t xml:space="preserve">  </w:t>
      </w:r>
      <w:r>
        <w:rPr>
          <w:rStyle w:val="122"/>
          <w:rFonts w:hint="eastAsia" w:ascii="Times New Roman" w:hAnsi="Times New Roman"/>
          <w:color w:val="auto"/>
          <w:u w:val="none"/>
        </w:rPr>
        <w:t>水</w:t>
      </w:r>
      <w:r>
        <w:rPr>
          <w:rStyle w:val="122"/>
          <w:rFonts w:ascii="Times New Roman" w:hAnsi="Times New Roman"/>
          <w:color w:val="auto"/>
          <w:u w:val="none"/>
        </w:rPr>
        <w:t xml:space="preserve">  </w:t>
      </w:r>
      <w:r>
        <w:rPr>
          <w:rStyle w:val="122"/>
          <w:rFonts w:hint="eastAsia" w:ascii="Times New Roman" w:hAnsi="Times New Roman"/>
          <w:color w:val="auto"/>
          <w:u w:val="none"/>
        </w:rPr>
        <w:t>层</w:t>
      </w:r>
      <w:r>
        <w:rPr>
          <w:rFonts w:ascii="Times New Roman" w:hAnsi="Times New Roman"/>
        </w:rPr>
        <w:tab/>
      </w:r>
      <w:r>
        <w:rPr>
          <w:rFonts w:ascii="Times New Roman" w:hAnsi="Times New Roman"/>
        </w:rPr>
        <w:t>176</w:t>
      </w:r>
    </w:p>
    <w:p w14:paraId="1EA9413D">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13.4</w:t>
      </w:r>
      <w:r>
        <w:rPr>
          <w:rFonts w:ascii="Times New Roman" w:hAnsi="Times New Roman" w:cstheme="minorBidi"/>
          <w:bCs w:val="0"/>
        </w:rPr>
        <w:tab/>
      </w:r>
      <w:r>
        <w:rPr>
          <w:rStyle w:val="122"/>
          <w:rFonts w:hint="eastAsia" w:ascii="Times New Roman" w:hAnsi="Times New Roman"/>
          <w:color w:val="auto"/>
          <w:u w:val="none"/>
        </w:rPr>
        <w:t>高架结构防水</w:t>
      </w:r>
      <w:r>
        <w:rPr>
          <w:rFonts w:ascii="Times New Roman" w:hAnsi="Times New Roman"/>
        </w:rPr>
        <w:tab/>
      </w:r>
      <w:r>
        <w:rPr>
          <w:rFonts w:ascii="Times New Roman" w:hAnsi="Times New Roman"/>
        </w:rPr>
        <w:t>178</w:t>
      </w:r>
    </w:p>
    <w:p w14:paraId="5E388917">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13.5</w:t>
      </w:r>
      <w:r>
        <w:rPr>
          <w:rFonts w:ascii="Times New Roman" w:hAnsi="Times New Roman" w:cstheme="minorBidi"/>
          <w:bCs w:val="0"/>
        </w:rPr>
        <w:tab/>
      </w:r>
      <w:r>
        <w:rPr>
          <w:rStyle w:val="122"/>
          <w:rFonts w:hint="eastAsia" w:ascii="Times New Roman" w:hAnsi="Times New Roman"/>
          <w:color w:val="auto"/>
          <w:u w:val="none"/>
        </w:rPr>
        <w:t>明挖法、盖挖法结构防水</w:t>
      </w:r>
      <w:r>
        <w:rPr>
          <w:rFonts w:ascii="Times New Roman" w:hAnsi="Times New Roman"/>
        </w:rPr>
        <w:tab/>
      </w:r>
      <w:r>
        <w:rPr>
          <w:rFonts w:ascii="Times New Roman" w:hAnsi="Times New Roman"/>
        </w:rPr>
        <w:t>178</w:t>
      </w:r>
    </w:p>
    <w:p w14:paraId="39F01F95">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13.6</w:t>
      </w:r>
      <w:r>
        <w:rPr>
          <w:rFonts w:ascii="Times New Roman" w:hAnsi="Times New Roman" w:cstheme="minorBidi"/>
          <w:bCs w:val="0"/>
        </w:rPr>
        <w:tab/>
      </w:r>
      <w:r>
        <w:rPr>
          <w:rStyle w:val="122"/>
          <w:rFonts w:hint="eastAsia" w:ascii="Times New Roman" w:hAnsi="Times New Roman"/>
          <w:color w:val="auto"/>
          <w:u w:val="none"/>
        </w:rPr>
        <w:t>矿山法结构防水</w:t>
      </w:r>
      <w:r>
        <w:rPr>
          <w:rFonts w:ascii="Times New Roman" w:hAnsi="Times New Roman"/>
        </w:rPr>
        <w:tab/>
      </w:r>
      <w:r>
        <w:rPr>
          <w:rFonts w:ascii="Times New Roman" w:hAnsi="Times New Roman"/>
        </w:rPr>
        <w:t>180</w:t>
      </w:r>
    </w:p>
    <w:p w14:paraId="4BF86401">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13.7</w:t>
      </w:r>
      <w:r>
        <w:rPr>
          <w:rFonts w:ascii="Times New Roman" w:hAnsi="Times New Roman" w:cstheme="minorBidi"/>
          <w:bCs w:val="0"/>
        </w:rPr>
        <w:tab/>
      </w:r>
      <w:r>
        <w:rPr>
          <w:rStyle w:val="122"/>
          <w:rFonts w:hint="eastAsia" w:ascii="Times New Roman" w:hAnsi="Times New Roman"/>
          <w:color w:val="auto"/>
          <w:u w:val="none"/>
        </w:rPr>
        <w:t>盾构法结构防水</w:t>
      </w:r>
      <w:r>
        <w:rPr>
          <w:rFonts w:ascii="Times New Roman" w:hAnsi="Times New Roman"/>
        </w:rPr>
        <w:tab/>
      </w:r>
      <w:r>
        <w:rPr>
          <w:rFonts w:ascii="Times New Roman" w:hAnsi="Times New Roman"/>
        </w:rPr>
        <w:t>181</w:t>
      </w:r>
    </w:p>
    <w:p w14:paraId="13216224">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13.8</w:t>
      </w:r>
      <w:r>
        <w:rPr>
          <w:rFonts w:ascii="Times New Roman" w:hAnsi="Times New Roman" w:cstheme="minorBidi"/>
          <w:bCs w:val="0"/>
        </w:rPr>
        <w:tab/>
      </w:r>
      <w:r>
        <w:rPr>
          <w:rStyle w:val="122"/>
          <w:rFonts w:hint="eastAsia" w:ascii="Times New Roman" w:hAnsi="Times New Roman"/>
          <w:color w:val="auto"/>
          <w:u w:val="none"/>
        </w:rPr>
        <w:t>细部构造防水</w:t>
      </w:r>
      <w:r>
        <w:rPr>
          <w:rFonts w:ascii="Times New Roman" w:hAnsi="Times New Roman"/>
        </w:rPr>
        <w:tab/>
      </w:r>
      <w:r>
        <w:rPr>
          <w:rFonts w:ascii="Times New Roman" w:hAnsi="Times New Roman"/>
        </w:rPr>
        <w:t>184</w:t>
      </w:r>
    </w:p>
    <w:p w14:paraId="02BEC883">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14</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通风、空调与供暖</w:t>
      </w:r>
      <w:r>
        <w:rPr>
          <w:rFonts w:ascii="Times New Roman" w:hAnsi="Times New Roman"/>
          <w:b w:val="0"/>
          <w:i w:val="0"/>
        </w:rPr>
        <w:tab/>
      </w:r>
      <w:r>
        <w:rPr>
          <w:rFonts w:ascii="Times New Roman" w:hAnsi="Times New Roman"/>
          <w:b w:val="0"/>
          <w:i w:val="0"/>
        </w:rPr>
        <w:t>187</w:t>
      </w:r>
    </w:p>
    <w:p w14:paraId="6C1EFD5D">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14.1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187</w:t>
      </w:r>
    </w:p>
    <w:p w14:paraId="7BEAC654">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14.2</w:t>
      </w:r>
      <w:r>
        <w:rPr>
          <w:rFonts w:ascii="Times New Roman" w:hAnsi="Times New Roman" w:cstheme="minorBidi"/>
          <w:bCs w:val="0"/>
        </w:rPr>
        <w:tab/>
      </w:r>
      <w:r>
        <w:rPr>
          <w:rStyle w:val="122"/>
          <w:rFonts w:hint="eastAsia" w:ascii="Times New Roman" w:hAnsi="Times New Roman"/>
          <w:color w:val="auto"/>
          <w:u w:val="none"/>
        </w:rPr>
        <w:t>地下线路</w:t>
      </w:r>
      <w:r>
        <w:rPr>
          <w:rFonts w:ascii="Times New Roman" w:hAnsi="Times New Roman"/>
        </w:rPr>
        <w:tab/>
      </w:r>
      <w:r>
        <w:rPr>
          <w:rFonts w:ascii="Times New Roman" w:hAnsi="Times New Roman"/>
        </w:rPr>
        <w:t>188</w:t>
      </w:r>
    </w:p>
    <w:p w14:paraId="78C78ADC">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14.3</w:t>
      </w:r>
      <w:r>
        <w:rPr>
          <w:rFonts w:ascii="Times New Roman" w:hAnsi="Times New Roman" w:cstheme="minorBidi"/>
          <w:bCs w:val="0"/>
        </w:rPr>
        <w:tab/>
      </w:r>
      <w:r>
        <w:rPr>
          <w:rStyle w:val="122"/>
          <w:rFonts w:hint="eastAsia" w:ascii="Times New Roman" w:hAnsi="Times New Roman"/>
          <w:color w:val="auto"/>
          <w:u w:val="none"/>
        </w:rPr>
        <w:t>高架与地面线路</w:t>
      </w:r>
      <w:r>
        <w:rPr>
          <w:rFonts w:ascii="Times New Roman" w:hAnsi="Times New Roman"/>
        </w:rPr>
        <w:tab/>
      </w:r>
      <w:r>
        <w:rPr>
          <w:rFonts w:ascii="Times New Roman" w:hAnsi="Times New Roman"/>
        </w:rPr>
        <w:t>196</w:t>
      </w:r>
    </w:p>
    <w:p w14:paraId="1A270DFD">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14.4</w:t>
      </w:r>
      <w:r>
        <w:rPr>
          <w:rFonts w:ascii="Times New Roman" w:hAnsi="Times New Roman" w:cstheme="minorBidi"/>
          <w:bCs w:val="0"/>
        </w:rPr>
        <w:tab/>
      </w:r>
      <w:r>
        <w:rPr>
          <w:rStyle w:val="122"/>
          <w:rFonts w:hint="eastAsia" w:ascii="Times New Roman" w:hAnsi="Times New Roman"/>
          <w:color w:val="auto"/>
          <w:u w:val="none"/>
        </w:rPr>
        <w:t>车辆基地与控制中心</w:t>
      </w:r>
      <w:r>
        <w:rPr>
          <w:rFonts w:ascii="Times New Roman" w:hAnsi="Times New Roman"/>
        </w:rPr>
        <w:tab/>
      </w:r>
      <w:r>
        <w:rPr>
          <w:rFonts w:ascii="Times New Roman" w:hAnsi="Times New Roman"/>
        </w:rPr>
        <w:t>197</w:t>
      </w:r>
    </w:p>
    <w:p w14:paraId="67506452">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14.5</w:t>
      </w:r>
      <w:r>
        <w:rPr>
          <w:rFonts w:ascii="Times New Roman" w:hAnsi="Times New Roman" w:cstheme="minorBidi"/>
          <w:bCs w:val="0"/>
        </w:rPr>
        <w:tab/>
      </w:r>
      <w:r>
        <w:rPr>
          <w:rStyle w:val="122"/>
          <w:rFonts w:hint="eastAsia" w:ascii="Times New Roman" w:hAnsi="Times New Roman"/>
          <w:color w:val="auto"/>
          <w:u w:val="none"/>
        </w:rPr>
        <w:t>系统控制</w:t>
      </w:r>
      <w:r>
        <w:rPr>
          <w:rFonts w:ascii="Times New Roman" w:hAnsi="Times New Roman"/>
        </w:rPr>
        <w:tab/>
      </w:r>
      <w:r>
        <w:rPr>
          <w:rFonts w:ascii="Times New Roman" w:hAnsi="Times New Roman"/>
        </w:rPr>
        <w:t>198</w:t>
      </w:r>
    </w:p>
    <w:p w14:paraId="12258D96">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15</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给水与排水</w:t>
      </w:r>
      <w:r>
        <w:rPr>
          <w:rFonts w:ascii="Times New Roman" w:hAnsi="Times New Roman"/>
          <w:b w:val="0"/>
          <w:i w:val="0"/>
        </w:rPr>
        <w:tab/>
      </w:r>
      <w:r>
        <w:rPr>
          <w:rFonts w:ascii="Times New Roman" w:hAnsi="Times New Roman"/>
          <w:b w:val="0"/>
          <w:i w:val="0"/>
        </w:rPr>
        <w:t>199</w:t>
      </w:r>
    </w:p>
    <w:p w14:paraId="45B56745">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15.1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199</w:t>
      </w:r>
    </w:p>
    <w:p w14:paraId="5B47893F">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15.2</w:t>
      </w:r>
      <w:r>
        <w:rPr>
          <w:rFonts w:ascii="Times New Roman" w:hAnsi="Times New Roman" w:cstheme="minorBidi"/>
          <w:bCs w:val="0"/>
        </w:rPr>
        <w:tab/>
      </w:r>
      <w:r>
        <w:rPr>
          <w:rStyle w:val="122"/>
          <w:rFonts w:hint="eastAsia" w:ascii="Times New Roman" w:hAnsi="Times New Roman"/>
          <w:color w:val="auto"/>
          <w:u w:val="none"/>
        </w:rPr>
        <w:t>车站与区间给水</w:t>
      </w:r>
      <w:r>
        <w:rPr>
          <w:rFonts w:ascii="Times New Roman" w:hAnsi="Times New Roman"/>
        </w:rPr>
        <w:tab/>
      </w:r>
      <w:r>
        <w:rPr>
          <w:rFonts w:ascii="Times New Roman" w:hAnsi="Times New Roman"/>
        </w:rPr>
        <w:t>199</w:t>
      </w:r>
    </w:p>
    <w:p w14:paraId="62692527">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15.3</w:t>
      </w:r>
      <w:r>
        <w:rPr>
          <w:rFonts w:ascii="Times New Roman" w:hAnsi="Times New Roman" w:cstheme="minorBidi"/>
          <w:bCs w:val="0"/>
        </w:rPr>
        <w:tab/>
      </w:r>
      <w:r>
        <w:rPr>
          <w:rStyle w:val="122"/>
          <w:rFonts w:hint="eastAsia" w:ascii="Times New Roman" w:hAnsi="Times New Roman"/>
          <w:color w:val="auto"/>
          <w:u w:val="none"/>
        </w:rPr>
        <w:t>车站与区间排水</w:t>
      </w:r>
      <w:r>
        <w:rPr>
          <w:rFonts w:ascii="Times New Roman" w:hAnsi="Times New Roman"/>
        </w:rPr>
        <w:tab/>
      </w:r>
      <w:r>
        <w:rPr>
          <w:rFonts w:ascii="Times New Roman" w:hAnsi="Times New Roman"/>
        </w:rPr>
        <w:t>201</w:t>
      </w:r>
    </w:p>
    <w:p w14:paraId="76C33F40">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15.4</w:t>
      </w:r>
      <w:r>
        <w:rPr>
          <w:rFonts w:ascii="Times New Roman" w:hAnsi="Times New Roman" w:cstheme="minorBidi"/>
          <w:bCs w:val="0"/>
        </w:rPr>
        <w:tab/>
      </w:r>
      <w:r>
        <w:rPr>
          <w:rStyle w:val="122"/>
          <w:rFonts w:hint="eastAsia" w:ascii="Times New Roman" w:hAnsi="Times New Roman"/>
          <w:color w:val="auto"/>
          <w:u w:val="none"/>
        </w:rPr>
        <w:t>车辆基地给水与排水</w:t>
      </w:r>
      <w:r>
        <w:rPr>
          <w:rFonts w:ascii="Times New Roman" w:hAnsi="Times New Roman"/>
        </w:rPr>
        <w:tab/>
      </w:r>
      <w:r>
        <w:rPr>
          <w:rFonts w:ascii="Times New Roman" w:hAnsi="Times New Roman"/>
        </w:rPr>
        <w:t>206</w:t>
      </w:r>
    </w:p>
    <w:p w14:paraId="3B5E84A5">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15.5</w:t>
      </w:r>
      <w:r>
        <w:rPr>
          <w:rFonts w:ascii="Times New Roman" w:hAnsi="Times New Roman" w:cstheme="minorBidi"/>
          <w:bCs w:val="0"/>
        </w:rPr>
        <w:tab/>
      </w:r>
      <w:r>
        <w:rPr>
          <w:rStyle w:val="122"/>
          <w:rFonts w:hint="eastAsia" w:ascii="Times New Roman" w:hAnsi="Times New Roman"/>
          <w:color w:val="auto"/>
          <w:u w:val="none"/>
        </w:rPr>
        <w:t>设备监控</w:t>
      </w:r>
      <w:r>
        <w:rPr>
          <w:rFonts w:ascii="Times New Roman" w:hAnsi="Times New Roman"/>
        </w:rPr>
        <w:tab/>
      </w:r>
      <w:r>
        <w:rPr>
          <w:rFonts w:ascii="Times New Roman" w:hAnsi="Times New Roman"/>
        </w:rPr>
        <w:t>208</w:t>
      </w:r>
    </w:p>
    <w:p w14:paraId="3413744D">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16</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供</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电</w:t>
      </w:r>
      <w:r>
        <w:rPr>
          <w:rFonts w:ascii="Times New Roman" w:hAnsi="Times New Roman"/>
          <w:b w:val="0"/>
          <w:i w:val="0"/>
        </w:rPr>
        <w:tab/>
      </w:r>
      <w:r>
        <w:rPr>
          <w:rFonts w:ascii="Times New Roman" w:hAnsi="Times New Roman"/>
          <w:b w:val="0"/>
          <w:i w:val="0"/>
        </w:rPr>
        <w:t>209</w:t>
      </w:r>
    </w:p>
    <w:p w14:paraId="696176F3">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16.1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209</w:t>
      </w:r>
    </w:p>
    <w:p w14:paraId="5B1D4555">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16.2</w:t>
      </w:r>
      <w:r>
        <w:rPr>
          <w:rFonts w:ascii="Times New Roman" w:hAnsi="Times New Roman" w:cstheme="minorBidi"/>
          <w:bCs w:val="0"/>
        </w:rPr>
        <w:tab/>
      </w:r>
      <w:r>
        <w:rPr>
          <w:rStyle w:val="122"/>
          <w:rFonts w:hint="eastAsia" w:ascii="Times New Roman" w:hAnsi="Times New Roman"/>
          <w:color w:val="auto"/>
          <w:u w:val="none"/>
        </w:rPr>
        <w:t>牵引供电系统</w:t>
      </w:r>
      <w:r>
        <w:rPr>
          <w:rFonts w:ascii="Times New Roman" w:hAnsi="Times New Roman"/>
        </w:rPr>
        <w:tab/>
      </w:r>
      <w:r>
        <w:rPr>
          <w:rFonts w:ascii="Times New Roman" w:hAnsi="Times New Roman"/>
        </w:rPr>
        <w:t>210</w:t>
      </w:r>
    </w:p>
    <w:p w14:paraId="0CF9ADCA">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16.3</w:t>
      </w:r>
      <w:r>
        <w:rPr>
          <w:rFonts w:ascii="Times New Roman" w:hAnsi="Times New Roman" w:cstheme="minorBidi"/>
          <w:bCs w:val="0"/>
        </w:rPr>
        <w:tab/>
      </w:r>
      <w:r>
        <w:rPr>
          <w:rStyle w:val="122"/>
          <w:rFonts w:hint="eastAsia" w:ascii="Times New Roman" w:hAnsi="Times New Roman"/>
          <w:color w:val="auto"/>
          <w:u w:val="none"/>
        </w:rPr>
        <w:t>外电源与中压供电网络</w:t>
      </w:r>
      <w:r>
        <w:rPr>
          <w:rFonts w:ascii="Times New Roman" w:hAnsi="Times New Roman"/>
        </w:rPr>
        <w:tab/>
      </w:r>
      <w:r>
        <w:rPr>
          <w:rFonts w:ascii="Times New Roman" w:hAnsi="Times New Roman"/>
        </w:rPr>
        <w:t>213</w:t>
      </w:r>
    </w:p>
    <w:p w14:paraId="618CE50A">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16.4</w:t>
      </w:r>
      <w:r>
        <w:rPr>
          <w:rFonts w:ascii="Times New Roman" w:hAnsi="Times New Roman" w:cstheme="minorBidi"/>
          <w:bCs w:val="0"/>
        </w:rPr>
        <w:tab/>
      </w:r>
      <w:r>
        <w:rPr>
          <w:rStyle w:val="122"/>
          <w:rFonts w:hint="eastAsia" w:ascii="Times New Roman" w:hAnsi="Times New Roman"/>
          <w:color w:val="auto"/>
          <w:u w:val="none"/>
        </w:rPr>
        <w:t>变电所</w:t>
      </w:r>
      <w:r>
        <w:rPr>
          <w:rFonts w:ascii="Times New Roman" w:hAnsi="Times New Roman"/>
        </w:rPr>
        <w:tab/>
      </w:r>
      <w:r>
        <w:rPr>
          <w:rFonts w:ascii="Times New Roman" w:hAnsi="Times New Roman"/>
        </w:rPr>
        <w:t>214</w:t>
      </w:r>
    </w:p>
    <w:p w14:paraId="753B957C">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16.5</w:t>
      </w:r>
      <w:r>
        <w:rPr>
          <w:rFonts w:ascii="Times New Roman" w:hAnsi="Times New Roman" w:cstheme="minorBidi"/>
          <w:bCs w:val="0"/>
        </w:rPr>
        <w:tab/>
      </w:r>
      <w:r>
        <w:rPr>
          <w:rStyle w:val="122"/>
          <w:rFonts w:hint="eastAsia" w:ascii="Times New Roman" w:hAnsi="Times New Roman"/>
          <w:color w:val="auto"/>
          <w:u w:val="none"/>
        </w:rPr>
        <w:t>牵引网</w:t>
      </w:r>
      <w:r>
        <w:rPr>
          <w:rFonts w:ascii="Times New Roman" w:hAnsi="Times New Roman"/>
        </w:rPr>
        <w:tab/>
      </w:r>
      <w:r>
        <w:rPr>
          <w:rFonts w:ascii="Times New Roman" w:hAnsi="Times New Roman"/>
        </w:rPr>
        <w:t>217</w:t>
      </w:r>
    </w:p>
    <w:p w14:paraId="09E2A29F">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16.6</w:t>
      </w:r>
      <w:r>
        <w:rPr>
          <w:rFonts w:ascii="Times New Roman" w:hAnsi="Times New Roman" w:cstheme="minorBidi"/>
          <w:bCs w:val="0"/>
        </w:rPr>
        <w:tab/>
      </w:r>
      <w:r>
        <w:rPr>
          <w:rStyle w:val="122"/>
          <w:rFonts w:hint="eastAsia" w:ascii="Times New Roman" w:hAnsi="Times New Roman"/>
          <w:color w:val="auto"/>
          <w:u w:val="none"/>
        </w:rPr>
        <w:t>继电保护、测量及自动装置</w:t>
      </w:r>
      <w:r>
        <w:rPr>
          <w:rFonts w:ascii="Times New Roman" w:hAnsi="Times New Roman"/>
        </w:rPr>
        <w:tab/>
      </w:r>
      <w:r>
        <w:rPr>
          <w:rFonts w:ascii="Times New Roman" w:hAnsi="Times New Roman"/>
        </w:rPr>
        <w:t>223</w:t>
      </w:r>
    </w:p>
    <w:p w14:paraId="568568E1">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16.7</w:t>
      </w:r>
      <w:r>
        <w:rPr>
          <w:rFonts w:ascii="Times New Roman" w:hAnsi="Times New Roman" w:cstheme="minorBidi"/>
          <w:bCs w:val="0"/>
        </w:rPr>
        <w:tab/>
      </w:r>
      <w:r>
        <w:rPr>
          <w:rStyle w:val="122"/>
          <w:rFonts w:hint="eastAsia" w:ascii="Times New Roman" w:hAnsi="Times New Roman"/>
          <w:color w:val="auto"/>
          <w:u w:val="none"/>
        </w:rPr>
        <w:t>电力监控系统与供电智运维系统</w:t>
      </w:r>
      <w:r>
        <w:rPr>
          <w:rFonts w:ascii="Times New Roman" w:hAnsi="Times New Roman"/>
        </w:rPr>
        <w:tab/>
      </w:r>
      <w:r>
        <w:rPr>
          <w:rFonts w:ascii="Times New Roman" w:hAnsi="Times New Roman"/>
        </w:rPr>
        <w:t>227</w:t>
      </w:r>
    </w:p>
    <w:p w14:paraId="571565A4">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16.8</w:t>
      </w:r>
      <w:r>
        <w:rPr>
          <w:rFonts w:ascii="Times New Roman" w:hAnsi="Times New Roman" w:cstheme="minorBidi"/>
          <w:bCs w:val="0"/>
        </w:rPr>
        <w:tab/>
      </w:r>
      <w:r>
        <w:rPr>
          <w:rStyle w:val="122"/>
          <w:rFonts w:hint="eastAsia" w:ascii="Times New Roman" w:hAnsi="Times New Roman"/>
          <w:color w:val="auto"/>
          <w:u w:val="none"/>
        </w:rPr>
        <w:t>动力与照明配电</w:t>
      </w:r>
      <w:r>
        <w:rPr>
          <w:rFonts w:ascii="Times New Roman" w:hAnsi="Times New Roman"/>
        </w:rPr>
        <w:tab/>
      </w:r>
      <w:r>
        <w:rPr>
          <w:rFonts w:ascii="Times New Roman" w:hAnsi="Times New Roman"/>
        </w:rPr>
        <w:t>230</w:t>
      </w:r>
    </w:p>
    <w:p w14:paraId="6AE91F9D">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16.9</w:t>
      </w:r>
      <w:r>
        <w:rPr>
          <w:rFonts w:ascii="Times New Roman" w:hAnsi="Times New Roman" w:cstheme="minorBidi"/>
          <w:bCs w:val="0"/>
        </w:rPr>
        <w:tab/>
      </w:r>
      <w:r>
        <w:rPr>
          <w:rStyle w:val="122"/>
          <w:rFonts w:hint="eastAsia" w:ascii="Times New Roman" w:hAnsi="Times New Roman"/>
          <w:color w:val="auto"/>
          <w:u w:val="none"/>
        </w:rPr>
        <w:t>供配电线路敷设</w:t>
      </w:r>
      <w:r>
        <w:rPr>
          <w:rFonts w:ascii="Times New Roman" w:hAnsi="Times New Roman"/>
        </w:rPr>
        <w:tab/>
      </w:r>
      <w:r>
        <w:rPr>
          <w:rFonts w:ascii="Times New Roman" w:hAnsi="Times New Roman"/>
        </w:rPr>
        <w:t>233</w:t>
      </w:r>
    </w:p>
    <w:p w14:paraId="0C6EBE7A">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16.10</w:t>
      </w:r>
      <w:r>
        <w:rPr>
          <w:rFonts w:ascii="Times New Roman" w:hAnsi="Times New Roman" w:cstheme="minorBidi"/>
          <w:bCs w:val="0"/>
        </w:rPr>
        <w:tab/>
      </w:r>
      <w:r>
        <w:rPr>
          <w:rStyle w:val="122"/>
          <w:rFonts w:hint="eastAsia" w:ascii="Times New Roman" w:hAnsi="Times New Roman"/>
          <w:color w:val="auto"/>
          <w:u w:val="none"/>
        </w:rPr>
        <w:t>杂散电流腐蚀防护、接地与电磁干扰防护</w:t>
      </w:r>
      <w:r>
        <w:rPr>
          <w:rFonts w:ascii="Times New Roman" w:hAnsi="Times New Roman"/>
        </w:rPr>
        <w:tab/>
      </w:r>
      <w:r>
        <w:rPr>
          <w:rFonts w:ascii="Times New Roman" w:hAnsi="Times New Roman"/>
        </w:rPr>
        <w:t>235</w:t>
      </w:r>
    </w:p>
    <w:p w14:paraId="0F8E0C4A">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17</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通</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信</w:t>
      </w:r>
      <w:r>
        <w:rPr>
          <w:rFonts w:ascii="Times New Roman" w:hAnsi="Times New Roman"/>
          <w:b w:val="0"/>
          <w:i w:val="0"/>
        </w:rPr>
        <w:tab/>
      </w:r>
      <w:r>
        <w:rPr>
          <w:rFonts w:ascii="Times New Roman" w:hAnsi="Times New Roman"/>
          <w:b w:val="0"/>
          <w:i w:val="0"/>
        </w:rPr>
        <w:t>238</w:t>
      </w:r>
    </w:p>
    <w:p w14:paraId="577A2EAD">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17.1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238</w:t>
      </w:r>
    </w:p>
    <w:p w14:paraId="055D7ABE">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17.2</w:t>
      </w:r>
      <w:r>
        <w:rPr>
          <w:rFonts w:ascii="Times New Roman" w:hAnsi="Times New Roman" w:cstheme="minorBidi"/>
          <w:bCs w:val="0"/>
        </w:rPr>
        <w:tab/>
      </w:r>
      <w:r>
        <w:rPr>
          <w:rStyle w:val="122"/>
          <w:rFonts w:hint="eastAsia" w:ascii="Times New Roman" w:hAnsi="Times New Roman"/>
          <w:color w:val="auto"/>
          <w:u w:val="none"/>
        </w:rPr>
        <w:t>专用通信系统</w:t>
      </w:r>
      <w:r>
        <w:rPr>
          <w:rFonts w:ascii="Times New Roman" w:hAnsi="Times New Roman"/>
        </w:rPr>
        <w:tab/>
      </w:r>
      <w:r>
        <w:rPr>
          <w:rFonts w:ascii="Times New Roman" w:hAnsi="Times New Roman"/>
        </w:rPr>
        <w:t>240</w:t>
      </w:r>
    </w:p>
    <w:p w14:paraId="6E3A80F8">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17.3</w:t>
      </w:r>
      <w:r>
        <w:rPr>
          <w:rFonts w:ascii="Times New Roman" w:hAnsi="Times New Roman" w:cstheme="minorBidi"/>
          <w:bCs w:val="0"/>
        </w:rPr>
        <w:tab/>
      </w:r>
      <w:r>
        <w:rPr>
          <w:rStyle w:val="122"/>
          <w:rFonts w:hint="eastAsia" w:ascii="Times New Roman" w:hAnsi="Times New Roman"/>
          <w:color w:val="auto"/>
          <w:u w:val="none"/>
        </w:rPr>
        <w:t>公安通信系统</w:t>
      </w:r>
      <w:r>
        <w:rPr>
          <w:rFonts w:ascii="Times New Roman" w:hAnsi="Times New Roman"/>
        </w:rPr>
        <w:tab/>
      </w:r>
      <w:r>
        <w:rPr>
          <w:rFonts w:ascii="Times New Roman" w:hAnsi="Times New Roman"/>
        </w:rPr>
        <w:t>253</w:t>
      </w:r>
    </w:p>
    <w:p w14:paraId="5572A1E7">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17.4</w:t>
      </w:r>
      <w:r>
        <w:rPr>
          <w:rFonts w:ascii="Times New Roman" w:hAnsi="Times New Roman" w:cstheme="minorBidi"/>
          <w:bCs w:val="0"/>
        </w:rPr>
        <w:tab/>
      </w:r>
      <w:r>
        <w:rPr>
          <w:rStyle w:val="122"/>
          <w:rFonts w:hint="eastAsia" w:ascii="Times New Roman" w:hAnsi="Times New Roman"/>
          <w:color w:val="auto"/>
          <w:u w:val="none"/>
        </w:rPr>
        <w:t>政务通信系统</w:t>
      </w:r>
      <w:r>
        <w:rPr>
          <w:rFonts w:ascii="Times New Roman" w:hAnsi="Times New Roman"/>
        </w:rPr>
        <w:tab/>
      </w:r>
      <w:r>
        <w:rPr>
          <w:rFonts w:ascii="Times New Roman" w:hAnsi="Times New Roman"/>
        </w:rPr>
        <w:t>256</w:t>
      </w:r>
    </w:p>
    <w:p w14:paraId="29BA05D8">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17.5</w:t>
      </w:r>
      <w:r>
        <w:rPr>
          <w:rFonts w:ascii="Times New Roman" w:hAnsi="Times New Roman" w:cstheme="minorBidi"/>
          <w:bCs w:val="0"/>
        </w:rPr>
        <w:tab/>
      </w:r>
      <w:r>
        <w:rPr>
          <w:rStyle w:val="122"/>
          <w:rFonts w:hint="eastAsia" w:ascii="Times New Roman" w:hAnsi="Times New Roman"/>
          <w:color w:val="auto"/>
          <w:u w:val="none"/>
        </w:rPr>
        <w:t>民用通信系统</w:t>
      </w:r>
      <w:r>
        <w:rPr>
          <w:rFonts w:ascii="Times New Roman" w:hAnsi="Times New Roman"/>
        </w:rPr>
        <w:tab/>
      </w:r>
      <w:r>
        <w:rPr>
          <w:rFonts w:ascii="Times New Roman" w:hAnsi="Times New Roman"/>
        </w:rPr>
        <w:t>256</w:t>
      </w:r>
    </w:p>
    <w:p w14:paraId="607EEAA9">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17.6</w:t>
      </w:r>
      <w:r>
        <w:rPr>
          <w:rFonts w:ascii="Times New Roman" w:hAnsi="Times New Roman" w:cstheme="minorBidi"/>
          <w:bCs w:val="0"/>
        </w:rPr>
        <w:tab/>
      </w:r>
      <w:r>
        <w:rPr>
          <w:rStyle w:val="122"/>
          <w:rFonts w:hint="eastAsia" w:ascii="Times New Roman" w:hAnsi="Times New Roman"/>
          <w:color w:val="auto"/>
          <w:u w:val="none"/>
        </w:rPr>
        <w:t>通信系统防雷要求</w:t>
      </w:r>
      <w:r>
        <w:rPr>
          <w:rFonts w:ascii="Times New Roman" w:hAnsi="Times New Roman"/>
        </w:rPr>
        <w:tab/>
      </w:r>
      <w:r>
        <w:rPr>
          <w:rFonts w:ascii="Times New Roman" w:hAnsi="Times New Roman"/>
        </w:rPr>
        <w:t>257</w:t>
      </w:r>
    </w:p>
    <w:p w14:paraId="7FFD4243">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17.7</w:t>
      </w:r>
      <w:r>
        <w:rPr>
          <w:rFonts w:ascii="Times New Roman" w:hAnsi="Times New Roman" w:cstheme="minorBidi"/>
          <w:bCs w:val="0"/>
        </w:rPr>
        <w:tab/>
      </w:r>
      <w:r>
        <w:rPr>
          <w:rStyle w:val="122"/>
          <w:rFonts w:hint="eastAsia" w:ascii="Times New Roman" w:hAnsi="Times New Roman"/>
          <w:color w:val="auto"/>
          <w:u w:val="none"/>
        </w:rPr>
        <w:t>通信用房要求</w:t>
      </w:r>
      <w:r>
        <w:rPr>
          <w:rFonts w:ascii="Times New Roman" w:hAnsi="Times New Roman"/>
        </w:rPr>
        <w:tab/>
      </w:r>
      <w:r>
        <w:rPr>
          <w:rFonts w:ascii="Times New Roman" w:hAnsi="Times New Roman"/>
        </w:rPr>
        <w:t>258</w:t>
      </w:r>
    </w:p>
    <w:p w14:paraId="31E4019F">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18</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信</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号</w:t>
      </w:r>
      <w:r>
        <w:rPr>
          <w:rFonts w:ascii="Times New Roman" w:hAnsi="Times New Roman"/>
          <w:b w:val="0"/>
          <w:i w:val="0"/>
        </w:rPr>
        <w:tab/>
      </w:r>
      <w:r>
        <w:rPr>
          <w:rFonts w:ascii="Times New Roman" w:hAnsi="Times New Roman"/>
          <w:b w:val="0"/>
          <w:i w:val="0"/>
        </w:rPr>
        <w:t>260</w:t>
      </w:r>
    </w:p>
    <w:p w14:paraId="131EFF37">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18.1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260</w:t>
      </w:r>
    </w:p>
    <w:p w14:paraId="27319B47">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18.2</w:t>
      </w:r>
      <w:r>
        <w:rPr>
          <w:rFonts w:ascii="Times New Roman" w:hAnsi="Times New Roman" w:cstheme="minorBidi"/>
          <w:bCs w:val="0"/>
        </w:rPr>
        <w:tab/>
      </w:r>
      <w:r>
        <w:rPr>
          <w:rStyle w:val="122"/>
          <w:rFonts w:hint="eastAsia" w:ascii="Times New Roman" w:hAnsi="Times New Roman"/>
          <w:color w:val="auto"/>
          <w:u w:val="none"/>
        </w:rPr>
        <w:t>列车自动监控子系统</w:t>
      </w:r>
      <w:r>
        <w:rPr>
          <w:rFonts w:ascii="Times New Roman" w:hAnsi="Times New Roman"/>
        </w:rPr>
        <w:tab/>
      </w:r>
      <w:r>
        <w:rPr>
          <w:rFonts w:ascii="Times New Roman" w:hAnsi="Times New Roman"/>
        </w:rPr>
        <w:t>263</w:t>
      </w:r>
    </w:p>
    <w:p w14:paraId="351EB268">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18.3</w:t>
      </w:r>
      <w:r>
        <w:rPr>
          <w:rFonts w:ascii="Times New Roman" w:hAnsi="Times New Roman" w:cstheme="minorBidi"/>
          <w:bCs w:val="0"/>
        </w:rPr>
        <w:tab/>
      </w:r>
      <w:r>
        <w:rPr>
          <w:rStyle w:val="122"/>
          <w:rFonts w:hint="eastAsia" w:ascii="Times New Roman" w:hAnsi="Times New Roman"/>
          <w:color w:val="auto"/>
          <w:u w:val="none"/>
        </w:rPr>
        <w:t>列车自动防护子系统</w:t>
      </w:r>
      <w:r>
        <w:rPr>
          <w:rFonts w:ascii="Times New Roman" w:hAnsi="Times New Roman"/>
        </w:rPr>
        <w:tab/>
      </w:r>
      <w:r>
        <w:rPr>
          <w:rFonts w:ascii="Times New Roman" w:hAnsi="Times New Roman"/>
        </w:rPr>
        <w:t>267</w:t>
      </w:r>
    </w:p>
    <w:p w14:paraId="75AF21C9">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18.4</w:t>
      </w:r>
      <w:r>
        <w:rPr>
          <w:rFonts w:ascii="Times New Roman" w:hAnsi="Times New Roman" w:cstheme="minorBidi"/>
          <w:bCs w:val="0"/>
        </w:rPr>
        <w:tab/>
      </w:r>
      <w:r>
        <w:rPr>
          <w:rStyle w:val="122"/>
          <w:rFonts w:hint="eastAsia" w:ascii="Times New Roman" w:hAnsi="Times New Roman"/>
          <w:color w:val="auto"/>
          <w:u w:val="none"/>
        </w:rPr>
        <w:t>列车自动运行子系统</w:t>
      </w:r>
      <w:r>
        <w:rPr>
          <w:rFonts w:ascii="Times New Roman" w:hAnsi="Times New Roman"/>
        </w:rPr>
        <w:tab/>
      </w:r>
      <w:r>
        <w:rPr>
          <w:rFonts w:ascii="Times New Roman" w:hAnsi="Times New Roman"/>
        </w:rPr>
        <w:t>271</w:t>
      </w:r>
    </w:p>
    <w:p w14:paraId="5AB00C56">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18.5</w:t>
      </w:r>
      <w:r>
        <w:rPr>
          <w:rFonts w:ascii="Times New Roman" w:hAnsi="Times New Roman" w:cstheme="minorBidi"/>
          <w:bCs w:val="0"/>
        </w:rPr>
        <w:tab/>
      </w:r>
      <w:r>
        <w:rPr>
          <w:rStyle w:val="122"/>
          <w:rFonts w:hint="eastAsia" w:ascii="Times New Roman" w:hAnsi="Times New Roman"/>
          <w:color w:val="auto"/>
          <w:u w:val="none"/>
        </w:rPr>
        <w:t>计算机联锁子系统</w:t>
      </w:r>
      <w:r>
        <w:rPr>
          <w:rFonts w:ascii="Times New Roman" w:hAnsi="Times New Roman"/>
        </w:rPr>
        <w:tab/>
      </w:r>
      <w:r>
        <w:rPr>
          <w:rFonts w:ascii="Times New Roman" w:hAnsi="Times New Roman"/>
        </w:rPr>
        <w:t>273</w:t>
      </w:r>
    </w:p>
    <w:p w14:paraId="2ED623DF">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18.6</w:t>
      </w:r>
      <w:r>
        <w:rPr>
          <w:rFonts w:ascii="Times New Roman" w:hAnsi="Times New Roman" w:cstheme="minorBidi"/>
          <w:bCs w:val="0"/>
        </w:rPr>
        <w:tab/>
      </w:r>
      <w:r>
        <w:rPr>
          <w:rStyle w:val="122"/>
          <w:rFonts w:hint="eastAsia" w:ascii="Times New Roman" w:hAnsi="Times New Roman"/>
          <w:color w:val="auto"/>
          <w:u w:val="none"/>
        </w:rPr>
        <w:t>数据通信子系统</w:t>
      </w:r>
      <w:r>
        <w:rPr>
          <w:rFonts w:ascii="Times New Roman" w:hAnsi="Times New Roman"/>
        </w:rPr>
        <w:tab/>
      </w:r>
      <w:r>
        <w:rPr>
          <w:rFonts w:ascii="Times New Roman" w:hAnsi="Times New Roman"/>
        </w:rPr>
        <w:t>277</w:t>
      </w:r>
    </w:p>
    <w:p w14:paraId="682AF9AD">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18.7</w:t>
      </w:r>
      <w:r>
        <w:rPr>
          <w:rFonts w:ascii="Times New Roman" w:hAnsi="Times New Roman" w:cstheme="minorBidi"/>
          <w:bCs w:val="0"/>
        </w:rPr>
        <w:tab/>
      </w:r>
      <w:r>
        <w:rPr>
          <w:rStyle w:val="122"/>
          <w:rFonts w:hint="eastAsia" w:ascii="Times New Roman" w:hAnsi="Times New Roman"/>
          <w:color w:val="auto"/>
          <w:u w:val="none"/>
        </w:rPr>
        <w:t>维护监测子系统</w:t>
      </w:r>
      <w:r>
        <w:rPr>
          <w:rFonts w:ascii="Times New Roman" w:hAnsi="Times New Roman"/>
        </w:rPr>
        <w:tab/>
      </w:r>
      <w:r>
        <w:rPr>
          <w:rFonts w:ascii="Times New Roman" w:hAnsi="Times New Roman"/>
        </w:rPr>
        <w:t>279</w:t>
      </w:r>
    </w:p>
    <w:p w14:paraId="53B94F9E">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18.8</w:t>
      </w:r>
      <w:r>
        <w:rPr>
          <w:rFonts w:ascii="Times New Roman" w:hAnsi="Times New Roman" w:cstheme="minorBidi"/>
          <w:bCs w:val="0"/>
        </w:rPr>
        <w:tab/>
      </w:r>
      <w:r>
        <w:rPr>
          <w:rStyle w:val="122"/>
          <w:rFonts w:hint="eastAsia" w:ascii="Times New Roman" w:hAnsi="Times New Roman"/>
          <w:color w:val="auto"/>
          <w:u w:val="none"/>
        </w:rPr>
        <w:t>车辆基地信号系统</w:t>
      </w:r>
      <w:r>
        <w:rPr>
          <w:rFonts w:ascii="Times New Roman" w:hAnsi="Times New Roman"/>
        </w:rPr>
        <w:tab/>
      </w:r>
      <w:r>
        <w:rPr>
          <w:rFonts w:ascii="Times New Roman" w:hAnsi="Times New Roman"/>
        </w:rPr>
        <w:t>281</w:t>
      </w:r>
    </w:p>
    <w:p w14:paraId="07303E36">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18.9</w:t>
      </w:r>
      <w:r>
        <w:rPr>
          <w:rFonts w:ascii="Times New Roman" w:hAnsi="Times New Roman" w:cstheme="minorBidi"/>
          <w:bCs w:val="0"/>
        </w:rPr>
        <w:tab/>
      </w:r>
      <w:r>
        <w:rPr>
          <w:rStyle w:val="122"/>
          <w:rFonts w:hint="eastAsia" w:ascii="Times New Roman" w:hAnsi="Times New Roman"/>
          <w:color w:val="auto"/>
          <w:u w:val="none"/>
        </w:rPr>
        <w:t>其他</w:t>
      </w:r>
      <w:r>
        <w:rPr>
          <w:rFonts w:ascii="Times New Roman" w:hAnsi="Times New Roman"/>
        </w:rPr>
        <w:tab/>
      </w:r>
      <w:r>
        <w:rPr>
          <w:rFonts w:ascii="Times New Roman" w:hAnsi="Times New Roman"/>
        </w:rPr>
        <w:t>285</w:t>
      </w:r>
    </w:p>
    <w:p w14:paraId="60CF60FA">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19</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车站运营设备</w:t>
      </w:r>
      <w:r>
        <w:rPr>
          <w:rFonts w:ascii="Times New Roman" w:hAnsi="Times New Roman"/>
          <w:b w:val="0"/>
          <w:i w:val="0"/>
        </w:rPr>
        <w:tab/>
      </w:r>
      <w:r>
        <w:rPr>
          <w:rFonts w:ascii="Times New Roman" w:hAnsi="Times New Roman"/>
          <w:b w:val="0"/>
          <w:i w:val="0"/>
        </w:rPr>
        <w:t>295</w:t>
      </w:r>
    </w:p>
    <w:p w14:paraId="0EC83BFA">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19.1</w:t>
      </w:r>
      <w:r>
        <w:rPr>
          <w:rFonts w:ascii="Times New Roman" w:hAnsi="Times New Roman" w:cstheme="minorBidi"/>
          <w:bCs w:val="0"/>
        </w:rPr>
        <w:tab/>
      </w:r>
      <w:r>
        <w:rPr>
          <w:rStyle w:val="122"/>
          <w:rFonts w:hint="eastAsia" w:ascii="Times New Roman" w:hAnsi="Times New Roman"/>
          <w:color w:val="auto"/>
          <w:u w:val="none"/>
        </w:rPr>
        <w:t>站台屏蔽门</w:t>
      </w:r>
      <w:r>
        <w:rPr>
          <w:rFonts w:ascii="Times New Roman" w:hAnsi="Times New Roman"/>
        </w:rPr>
        <w:tab/>
      </w:r>
      <w:r>
        <w:rPr>
          <w:rFonts w:ascii="Times New Roman" w:hAnsi="Times New Roman"/>
        </w:rPr>
        <w:t>295</w:t>
      </w:r>
    </w:p>
    <w:p w14:paraId="32B1A18A">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19.2</w:t>
      </w:r>
      <w:r>
        <w:rPr>
          <w:rFonts w:ascii="Times New Roman" w:hAnsi="Times New Roman" w:cstheme="minorBidi"/>
          <w:bCs w:val="0"/>
        </w:rPr>
        <w:tab/>
      </w:r>
      <w:r>
        <w:rPr>
          <w:rStyle w:val="122"/>
          <w:rFonts w:hint="eastAsia" w:ascii="Times New Roman" w:hAnsi="Times New Roman"/>
          <w:color w:val="auto"/>
          <w:u w:val="none"/>
        </w:rPr>
        <w:t>自动扶梯和自动人行道</w:t>
      </w:r>
      <w:r>
        <w:rPr>
          <w:rFonts w:ascii="Times New Roman" w:hAnsi="Times New Roman"/>
        </w:rPr>
        <w:tab/>
      </w:r>
      <w:r>
        <w:rPr>
          <w:rFonts w:ascii="Times New Roman" w:hAnsi="Times New Roman"/>
        </w:rPr>
        <w:t>302</w:t>
      </w:r>
    </w:p>
    <w:p w14:paraId="638EFC0E">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19.3</w:t>
      </w:r>
      <w:r>
        <w:rPr>
          <w:rFonts w:ascii="Times New Roman" w:hAnsi="Times New Roman" w:cstheme="minorBidi"/>
          <w:bCs w:val="0"/>
        </w:rPr>
        <w:tab/>
      </w:r>
      <w:r>
        <w:rPr>
          <w:rStyle w:val="122"/>
          <w:rFonts w:hint="eastAsia" w:ascii="Times New Roman" w:hAnsi="Times New Roman"/>
          <w:color w:val="auto"/>
          <w:u w:val="none"/>
        </w:rPr>
        <w:t>电梯</w:t>
      </w:r>
      <w:r>
        <w:rPr>
          <w:rFonts w:ascii="Times New Roman" w:hAnsi="Times New Roman"/>
        </w:rPr>
        <w:tab/>
      </w:r>
      <w:r>
        <w:rPr>
          <w:rFonts w:ascii="Times New Roman" w:hAnsi="Times New Roman"/>
        </w:rPr>
        <w:t>305</w:t>
      </w:r>
    </w:p>
    <w:p w14:paraId="7F688584">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20</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综合监控系统</w:t>
      </w:r>
      <w:r>
        <w:rPr>
          <w:rFonts w:ascii="Times New Roman" w:hAnsi="Times New Roman"/>
          <w:b w:val="0"/>
          <w:i w:val="0"/>
        </w:rPr>
        <w:tab/>
      </w:r>
      <w:r>
        <w:rPr>
          <w:rFonts w:ascii="Times New Roman" w:hAnsi="Times New Roman"/>
          <w:b w:val="0"/>
          <w:i w:val="0"/>
        </w:rPr>
        <w:t>307</w:t>
      </w:r>
    </w:p>
    <w:p w14:paraId="67D71063">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20.1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307</w:t>
      </w:r>
    </w:p>
    <w:p w14:paraId="409C947C">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20.2</w:t>
      </w:r>
      <w:r>
        <w:rPr>
          <w:rFonts w:ascii="Times New Roman" w:hAnsi="Times New Roman" w:cstheme="minorBidi"/>
          <w:bCs w:val="0"/>
        </w:rPr>
        <w:tab/>
      </w:r>
      <w:r>
        <w:rPr>
          <w:rStyle w:val="122"/>
          <w:rFonts w:hint="eastAsia" w:ascii="Times New Roman" w:hAnsi="Times New Roman"/>
          <w:color w:val="auto"/>
          <w:u w:val="none"/>
        </w:rPr>
        <w:t>系统构成</w:t>
      </w:r>
      <w:r>
        <w:rPr>
          <w:rFonts w:ascii="Times New Roman" w:hAnsi="Times New Roman"/>
        </w:rPr>
        <w:tab/>
      </w:r>
      <w:r>
        <w:rPr>
          <w:rFonts w:ascii="Times New Roman" w:hAnsi="Times New Roman"/>
        </w:rPr>
        <w:t>307</w:t>
      </w:r>
    </w:p>
    <w:p w14:paraId="51F92FD0">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20.3</w:t>
      </w:r>
      <w:r>
        <w:rPr>
          <w:rFonts w:ascii="Times New Roman" w:hAnsi="Times New Roman" w:cstheme="minorBidi"/>
          <w:bCs w:val="0"/>
        </w:rPr>
        <w:tab/>
      </w:r>
      <w:r>
        <w:rPr>
          <w:rStyle w:val="122"/>
          <w:rFonts w:hint="eastAsia" w:ascii="Times New Roman" w:hAnsi="Times New Roman"/>
          <w:color w:val="auto"/>
          <w:u w:val="none"/>
        </w:rPr>
        <w:t>系统功能</w:t>
      </w:r>
      <w:r>
        <w:rPr>
          <w:rFonts w:ascii="Times New Roman" w:hAnsi="Times New Roman"/>
        </w:rPr>
        <w:tab/>
      </w:r>
      <w:r>
        <w:rPr>
          <w:rFonts w:ascii="Times New Roman" w:hAnsi="Times New Roman"/>
        </w:rPr>
        <w:t>308</w:t>
      </w:r>
    </w:p>
    <w:p w14:paraId="5FAC2570">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20.4</w:t>
      </w:r>
      <w:r>
        <w:rPr>
          <w:rFonts w:ascii="Times New Roman" w:hAnsi="Times New Roman" w:cstheme="minorBidi"/>
          <w:bCs w:val="0"/>
        </w:rPr>
        <w:tab/>
      </w:r>
      <w:r>
        <w:rPr>
          <w:rStyle w:val="122"/>
          <w:rFonts w:hint="eastAsia" w:ascii="Times New Roman" w:hAnsi="Times New Roman"/>
          <w:color w:val="auto"/>
          <w:u w:val="none"/>
        </w:rPr>
        <w:t>系统软件</w:t>
      </w:r>
      <w:r>
        <w:rPr>
          <w:rFonts w:ascii="Times New Roman" w:hAnsi="Times New Roman"/>
        </w:rPr>
        <w:tab/>
      </w:r>
      <w:r>
        <w:rPr>
          <w:rFonts w:ascii="Times New Roman" w:hAnsi="Times New Roman"/>
        </w:rPr>
        <w:t>311</w:t>
      </w:r>
    </w:p>
    <w:p w14:paraId="6A252296">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20.5</w:t>
      </w:r>
      <w:r>
        <w:rPr>
          <w:rFonts w:ascii="Times New Roman" w:hAnsi="Times New Roman" w:cstheme="minorBidi"/>
          <w:bCs w:val="0"/>
        </w:rPr>
        <w:tab/>
      </w:r>
      <w:r>
        <w:rPr>
          <w:rStyle w:val="122"/>
          <w:rFonts w:hint="eastAsia" w:ascii="Times New Roman" w:hAnsi="Times New Roman"/>
          <w:color w:val="auto"/>
          <w:u w:val="none"/>
        </w:rPr>
        <w:t>供电、接地及防雷</w:t>
      </w:r>
      <w:r>
        <w:rPr>
          <w:rFonts w:ascii="Times New Roman" w:hAnsi="Times New Roman"/>
        </w:rPr>
        <w:tab/>
      </w:r>
      <w:r>
        <w:rPr>
          <w:rFonts w:ascii="Times New Roman" w:hAnsi="Times New Roman"/>
        </w:rPr>
        <w:t>312</w:t>
      </w:r>
    </w:p>
    <w:p w14:paraId="2DACB9B9">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20.6</w:t>
      </w:r>
      <w:r>
        <w:rPr>
          <w:rFonts w:ascii="Times New Roman" w:hAnsi="Times New Roman" w:cstheme="minorBidi"/>
          <w:bCs w:val="0"/>
        </w:rPr>
        <w:tab/>
      </w:r>
      <w:r>
        <w:rPr>
          <w:rStyle w:val="122"/>
          <w:rFonts w:hint="eastAsia" w:ascii="Times New Roman" w:hAnsi="Times New Roman"/>
          <w:color w:val="auto"/>
          <w:u w:val="none"/>
        </w:rPr>
        <w:t>布线</w:t>
      </w:r>
      <w:r>
        <w:rPr>
          <w:rFonts w:ascii="Times New Roman" w:hAnsi="Times New Roman"/>
        </w:rPr>
        <w:tab/>
      </w:r>
      <w:r>
        <w:rPr>
          <w:rFonts w:ascii="Times New Roman" w:hAnsi="Times New Roman"/>
        </w:rPr>
        <w:t>312</w:t>
      </w:r>
    </w:p>
    <w:p w14:paraId="565DB0E4">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20.7</w:t>
      </w:r>
      <w:r>
        <w:rPr>
          <w:rFonts w:ascii="Times New Roman" w:hAnsi="Times New Roman" w:cstheme="minorBidi"/>
          <w:bCs w:val="0"/>
        </w:rPr>
        <w:tab/>
      </w:r>
      <w:r>
        <w:rPr>
          <w:rStyle w:val="122"/>
          <w:rFonts w:hint="eastAsia" w:ascii="Times New Roman" w:hAnsi="Times New Roman"/>
          <w:color w:val="auto"/>
          <w:u w:val="none"/>
        </w:rPr>
        <w:t>系统设备布置</w:t>
      </w:r>
      <w:r>
        <w:rPr>
          <w:rFonts w:ascii="Times New Roman" w:hAnsi="Times New Roman"/>
        </w:rPr>
        <w:tab/>
      </w:r>
      <w:r>
        <w:rPr>
          <w:rFonts w:ascii="Times New Roman" w:hAnsi="Times New Roman"/>
        </w:rPr>
        <w:t>313</w:t>
      </w:r>
    </w:p>
    <w:p w14:paraId="63580DFE">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20.8</w:t>
      </w:r>
      <w:r>
        <w:rPr>
          <w:rFonts w:ascii="Times New Roman" w:hAnsi="Times New Roman" w:cstheme="minorBidi"/>
          <w:bCs w:val="0"/>
        </w:rPr>
        <w:tab/>
      </w:r>
      <w:r>
        <w:rPr>
          <w:rStyle w:val="122"/>
          <w:rFonts w:hint="eastAsia" w:ascii="Times New Roman" w:hAnsi="Times New Roman"/>
          <w:color w:val="auto"/>
          <w:u w:val="none"/>
        </w:rPr>
        <w:t>系统性能</w:t>
      </w:r>
      <w:r>
        <w:rPr>
          <w:rFonts w:ascii="Times New Roman" w:hAnsi="Times New Roman"/>
        </w:rPr>
        <w:tab/>
      </w:r>
      <w:r>
        <w:rPr>
          <w:rFonts w:ascii="Times New Roman" w:hAnsi="Times New Roman"/>
        </w:rPr>
        <w:t>313</w:t>
      </w:r>
    </w:p>
    <w:p w14:paraId="441DAA15">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21</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环境与设备监控系统</w:t>
      </w:r>
      <w:r>
        <w:rPr>
          <w:rFonts w:ascii="Times New Roman" w:hAnsi="Times New Roman"/>
          <w:b w:val="0"/>
          <w:i w:val="0"/>
        </w:rPr>
        <w:tab/>
      </w:r>
      <w:r>
        <w:rPr>
          <w:rFonts w:ascii="Times New Roman" w:hAnsi="Times New Roman"/>
          <w:b w:val="0"/>
          <w:i w:val="0"/>
        </w:rPr>
        <w:t>314</w:t>
      </w:r>
    </w:p>
    <w:p w14:paraId="4112B52E">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21.1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314</w:t>
      </w:r>
    </w:p>
    <w:p w14:paraId="05BD7F7B">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21.2</w:t>
      </w:r>
      <w:r>
        <w:rPr>
          <w:rFonts w:ascii="Times New Roman" w:hAnsi="Times New Roman" w:cstheme="minorBidi"/>
          <w:bCs w:val="0"/>
        </w:rPr>
        <w:tab/>
      </w:r>
      <w:r>
        <w:rPr>
          <w:rStyle w:val="122"/>
          <w:rFonts w:hint="eastAsia" w:ascii="Times New Roman" w:hAnsi="Times New Roman"/>
          <w:color w:val="auto"/>
          <w:u w:val="none"/>
        </w:rPr>
        <w:t>系统构成</w:t>
      </w:r>
      <w:r>
        <w:rPr>
          <w:rFonts w:ascii="Times New Roman" w:hAnsi="Times New Roman"/>
        </w:rPr>
        <w:tab/>
      </w:r>
      <w:r>
        <w:rPr>
          <w:rFonts w:ascii="Times New Roman" w:hAnsi="Times New Roman"/>
        </w:rPr>
        <w:t>315</w:t>
      </w:r>
    </w:p>
    <w:p w14:paraId="51D03606">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21.3</w:t>
      </w:r>
      <w:r>
        <w:rPr>
          <w:rFonts w:ascii="Times New Roman" w:hAnsi="Times New Roman" w:cstheme="minorBidi"/>
          <w:bCs w:val="0"/>
        </w:rPr>
        <w:tab/>
      </w:r>
      <w:r>
        <w:rPr>
          <w:rStyle w:val="122"/>
          <w:rFonts w:hint="eastAsia" w:ascii="Times New Roman" w:hAnsi="Times New Roman"/>
          <w:color w:val="auto"/>
          <w:u w:val="none"/>
        </w:rPr>
        <w:t>系统功能</w:t>
      </w:r>
      <w:r>
        <w:rPr>
          <w:rFonts w:ascii="Times New Roman" w:hAnsi="Times New Roman"/>
        </w:rPr>
        <w:tab/>
      </w:r>
      <w:r>
        <w:rPr>
          <w:rFonts w:ascii="Times New Roman" w:hAnsi="Times New Roman"/>
        </w:rPr>
        <w:t>315</w:t>
      </w:r>
    </w:p>
    <w:p w14:paraId="3BB561B1">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21.4</w:t>
      </w:r>
      <w:r>
        <w:rPr>
          <w:rFonts w:ascii="Times New Roman" w:hAnsi="Times New Roman" w:cstheme="minorBidi"/>
          <w:bCs w:val="0"/>
        </w:rPr>
        <w:tab/>
      </w:r>
      <w:r>
        <w:rPr>
          <w:rStyle w:val="122"/>
          <w:rFonts w:hint="eastAsia" w:ascii="Times New Roman" w:hAnsi="Times New Roman"/>
          <w:color w:val="auto"/>
          <w:u w:val="none"/>
        </w:rPr>
        <w:t>系统软件</w:t>
      </w:r>
      <w:r>
        <w:rPr>
          <w:rFonts w:ascii="Times New Roman" w:hAnsi="Times New Roman"/>
        </w:rPr>
        <w:tab/>
      </w:r>
      <w:r>
        <w:rPr>
          <w:rFonts w:ascii="Times New Roman" w:hAnsi="Times New Roman"/>
        </w:rPr>
        <w:t>317</w:t>
      </w:r>
    </w:p>
    <w:p w14:paraId="38719127">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21.5</w:t>
      </w:r>
      <w:r>
        <w:rPr>
          <w:rFonts w:ascii="Times New Roman" w:hAnsi="Times New Roman" w:cstheme="minorBidi"/>
          <w:bCs w:val="0"/>
        </w:rPr>
        <w:tab/>
      </w:r>
      <w:r>
        <w:rPr>
          <w:rStyle w:val="122"/>
          <w:rFonts w:hint="eastAsia" w:ascii="Times New Roman" w:hAnsi="Times New Roman"/>
          <w:color w:val="auto"/>
          <w:u w:val="none"/>
        </w:rPr>
        <w:t>供电、接地及防雷</w:t>
      </w:r>
      <w:r>
        <w:rPr>
          <w:rFonts w:ascii="Times New Roman" w:hAnsi="Times New Roman"/>
        </w:rPr>
        <w:tab/>
      </w:r>
      <w:r>
        <w:rPr>
          <w:rFonts w:ascii="Times New Roman" w:hAnsi="Times New Roman"/>
        </w:rPr>
        <w:t>317</w:t>
      </w:r>
    </w:p>
    <w:p w14:paraId="77DA5470">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21.6</w:t>
      </w:r>
      <w:r>
        <w:rPr>
          <w:rFonts w:ascii="Times New Roman" w:hAnsi="Times New Roman" w:cstheme="minorBidi"/>
          <w:bCs w:val="0"/>
        </w:rPr>
        <w:tab/>
      </w:r>
      <w:r>
        <w:rPr>
          <w:rStyle w:val="122"/>
          <w:rFonts w:hint="eastAsia" w:ascii="Times New Roman" w:hAnsi="Times New Roman"/>
          <w:color w:val="auto"/>
          <w:u w:val="none"/>
        </w:rPr>
        <w:t>布线</w:t>
      </w:r>
      <w:r>
        <w:rPr>
          <w:rFonts w:ascii="Times New Roman" w:hAnsi="Times New Roman"/>
        </w:rPr>
        <w:tab/>
      </w:r>
      <w:r>
        <w:rPr>
          <w:rFonts w:ascii="Times New Roman" w:hAnsi="Times New Roman"/>
        </w:rPr>
        <w:t>318</w:t>
      </w:r>
    </w:p>
    <w:p w14:paraId="0DE653A3">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21.7</w:t>
      </w:r>
      <w:r>
        <w:rPr>
          <w:rFonts w:ascii="Times New Roman" w:hAnsi="Times New Roman" w:cstheme="minorBidi"/>
          <w:bCs w:val="0"/>
        </w:rPr>
        <w:tab/>
      </w:r>
      <w:r>
        <w:rPr>
          <w:rStyle w:val="122"/>
          <w:rFonts w:hint="eastAsia" w:ascii="Times New Roman" w:hAnsi="Times New Roman"/>
          <w:color w:val="auto"/>
          <w:u w:val="none"/>
        </w:rPr>
        <w:t>系统设备布置</w:t>
      </w:r>
      <w:r>
        <w:rPr>
          <w:rFonts w:ascii="Times New Roman" w:hAnsi="Times New Roman"/>
        </w:rPr>
        <w:tab/>
      </w:r>
      <w:r>
        <w:rPr>
          <w:rFonts w:ascii="Times New Roman" w:hAnsi="Times New Roman"/>
        </w:rPr>
        <w:t>318</w:t>
      </w:r>
    </w:p>
    <w:p w14:paraId="58234CEF">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22</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火灾自动报警系统</w:t>
      </w:r>
      <w:r>
        <w:rPr>
          <w:rFonts w:ascii="Times New Roman" w:hAnsi="Times New Roman"/>
          <w:b w:val="0"/>
          <w:i w:val="0"/>
        </w:rPr>
        <w:tab/>
      </w:r>
      <w:r>
        <w:rPr>
          <w:rFonts w:ascii="Times New Roman" w:hAnsi="Times New Roman"/>
          <w:b w:val="0"/>
          <w:i w:val="0"/>
        </w:rPr>
        <w:t>320</w:t>
      </w:r>
    </w:p>
    <w:p w14:paraId="5D4B59EB">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22.1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320</w:t>
      </w:r>
    </w:p>
    <w:p w14:paraId="2EC57832">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22.2</w:t>
      </w:r>
      <w:r>
        <w:rPr>
          <w:rFonts w:ascii="Times New Roman" w:hAnsi="Times New Roman" w:cstheme="minorBidi"/>
          <w:bCs w:val="0"/>
        </w:rPr>
        <w:tab/>
      </w:r>
      <w:r>
        <w:rPr>
          <w:rStyle w:val="122"/>
          <w:rFonts w:hint="eastAsia" w:ascii="Times New Roman" w:hAnsi="Times New Roman"/>
          <w:color w:val="auto"/>
          <w:u w:val="none"/>
        </w:rPr>
        <w:t>系统构成</w:t>
      </w:r>
      <w:r>
        <w:rPr>
          <w:rFonts w:ascii="Times New Roman" w:hAnsi="Times New Roman"/>
        </w:rPr>
        <w:tab/>
      </w:r>
      <w:r>
        <w:rPr>
          <w:rFonts w:ascii="Times New Roman" w:hAnsi="Times New Roman"/>
        </w:rPr>
        <w:t>320</w:t>
      </w:r>
    </w:p>
    <w:p w14:paraId="68A0D840">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22.3</w:t>
      </w:r>
      <w:r>
        <w:rPr>
          <w:rFonts w:ascii="Times New Roman" w:hAnsi="Times New Roman" w:cstheme="minorBidi"/>
          <w:bCs w:val="0"/>
        </w:rPr>
        <w:tab/>
      </w:r>
      <w:r>
        <w:rPr>
          <w:rStyle w:val="122"/>
          <w:rFonts w:hint="eastAsia" w:ascii="Times New Roman" w:hAnsi="Times New Roman"/>
          <w:color w:val="auto"/>
          <w:u w:val="none"/>
        </w:rPr>
        <w:t>系统功能</w:t>
      </w:r>
      <w:r>
        <w:rPr>
          <w:rFonts w:ascii="Times New Roman" w:hAnsi="Times New Roman"/>
        </w:rPr>
        <w:tab/>
      </w:r>
      <w:r>
        <w:rPr>
          <w:rFonts w:ascii="Times New Roman" w:hAnsi="Times New Roman"/>
        </w:rPr>
        <w:t>321</w:t>
      </w:r>
    </w:p>
    <w:p w14:paraId="7D94F107">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22.4</w:t>
      </w:r>
      <w:r>
        <w:rPr>
          <w:rFonts w:ascii="Times New Roman" w:hAnsi="Times New Roman" w:cstheme="minorBidi"/>
          <w:bCs w:val="0"/>
        </w:rPr>
        <w:tab/>
      </w:r>
      <w:r>
        <w:rPr>
          <w:rStyle w:val="122"/>
          <w:rFonts w:hint="eastAsia" w:ascii="Times New Roman" w:hAnsi="Times New Roman"/>
          <w:color w:val="auto"/>
          <w:u w:val="none"/>
        </w:rPr>
        <w:t>消防联动控制</w:t>
      </w:r>
      <w:r>
        <w:rPr>
          <w:rFonts w:ascii="Times New Roman" w:hAnsi="Times New Roman"/>
        </w:rPr>
        <w:tab/>
      </w:r>
      <w:r>
        <w:rPr>
          <w:rFonts w:ascii="Times New Roman" w:hAnsi="Times New Roman"/>
        </w:rPr>
        <w:t>321</w:t>
      </w:r>
    </w:p>
    <w:p w14:paraId="55EF9B51">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22.5</w:t>
      </w:r>
      <w:r>
        <w:rPr>
          <w:rFonts w:ascii="Times New Roman" w:hAnsi="Times New Roman" w:cstheme="minorBidi"/>
          <w:bCs w:val="0"/>
        </w:rPr>
        <w:tab/>
      </w:r>
      <w:r>
        <w:rPr>
          <w:rStyle w:val="122"/>
          <w:rFonts w:hint="eastAsia" w:ascii="Times New Roman" w:hAnsi="Times New Roman"/>
          <w:color w:val="auto"/>
          <w:u w:val="none"/>
        </w:rPr>
        <w:t>火灾探测器与报警装置的设置</w:t>
      </w:r>
      <w:r>
        <w:rPr>
          <w:rFonts w:ascii="Times New Roman" w:hAnsi="Times New Roman"/>
        </w:rPr>
        <w:tab/>
      </w:r>
      <w:r>
        <w:rPr>
          <w:rFonts w:ascii="Times New Roman" w:hAnsi="Times New Roman"/>
        </w:rPr>
        <w:t>324</w:t>
      </w:r>
    </w:p>
    <w:p w14:paraId="64266357">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22.6</w:t>
      </w:r>
      <w:r>
        <w:rPr>
          <w:rFonts w:ascii="Times New Roman" w:hAnsi="Times New Roman" w:cstheme="minorBidi"/>
          <w:bCs w:val="0"/>
        </w:rPr>
        <w:tab/>
      </w:r>
      <w:r>
        <w:rPr>
          <w:rStyle w:val="122"/>
          <w:rFonts w:hint="eastAsia" w:ascii="Times New Roman" w:hAnsi="Times New Roman"/>
          <w:color w:val="auto"/>
          <w:u w:val="none"/>
        </w:rPr>
        <w:t>消防控制室</w:t>
      </w:r>
      <w:r>
        <w:rPr>
          <w:rFonts w:ascii="Times New Roman" w:hAnsi="Times New Roman"/>
        </w:rPr>
        <w:tab/>
      </w:r>
      <w:r>
        <w:rPr>
          <w:rFonts w:ascii="Times New Roman" w:hAnsi="Times New Roman"/>
        </w:rPr>
        <w:t>325</w:t>
      </w:r>
    </w:p>
    <w:p w14:paraId="2FBDF68B">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22.7</w:t>
      </w:r>
      <w:r>
        <w:rPr>
          <w:rFonts w:ascii="Times New Roman" w:hAnsi="Times New Roman" w:cstheme="minorBidi"/>
          <w:bCs w:val="0"/>
        </w:rPr>
        <w:tab/>
      </w:r>
      <w:r>
        <w:rPr>
          <w:rStyle w:val="122"/>
          <w:rFonts w:hint="eastAsia" w:ascii="Times New Roman" w:hAnsi="Times New Roman"/>
          <w:color w:val="auto"/>
          <w:u w:val="none"/>
        </w:rPr>
        <w:t>供电、接地及防雷</w:t>
      </w:r>
      <w:r>
        <w:rPr>
          <w:rFonts w:ascii="Times New Roman" w:hAnsi="Times New Roman"/>
        </w:rPr>
        <w:tab/>
      </w:r>
      <w:r>
        <w:rPr>
          <w:rFonts w:ascii="Times New Roman" w:hAnsi="Times New Roman"/>
        </w:rPr>
        <w:t>325</w:t>
      </w:r>
    </w:p>
    <w:p w14:paraId="25A80897">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22.8</w:t>
      </w:r>
      <w:r>
        <w:rPr>
          <w:rFonts w:ascii="Times New Roman" w:hAnsi="Times New Roman" w:cstheme="minorBidi"/>
          <w:bCs w:val="0"/>
        </w:rPr>
        <w:tab/>
      </w:r>
      <w:r>
        <w:rPr>
          <w:rStyle w:val="122"/>
          <w:rFonts w:hint="eastAsia" w:ascii="Times New Roman" w:hAnsi="Times New Roman"/>
          <w:color w:val="auto"/>
          <w:u w:val="none"/>
        </w:rPr>
        <w:t>布线</w:t>
      </w:r>
      <w:r>
        <w:rPr>
          <w:rFonts w:ascii="Times New Roman" w:hAnsi="Times New Roman"/>
        </w:rPr>
        <w:tab/>
      </w:r>
      <w:r>
        <w:rPr>
          <w:rFonts w:ascii="Times New Roman" w:hAnsi="Times New Roman"/>
        </w:rPr>
        <w:t>326</w:t>
      </w:r>
    </w:p>
    <w:p w14:paraId="3A5E5762">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23</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乘客信息</w:t>
      </w:r>
      <w:r>
        <w:rPr>
          <w:rFonts w:ascii="Times New Roman" w:hAnsi="Times New Roman"/>
          <w:b w:val="0"/>
          <w:i w:val="0"/>
        </w:rPr>
        <w:tab/>
      </w:r>
      <w:r>
        <w:rPr>
          <w:rFonts w:ascii="Times New Roman" w:hAnsi="Times New Roman"/>
          <w:b w:val="0"/>
          <w:i w:val="0"/>
        </w:rPr>
        <w:t>328</w:t>
      </w:r>
    </w:p>
    <w:p w14:paraId="504B0BDD">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23.1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328</w:t>
      </w:r>
    </w:p>
    <w:p w14:paraId="6A12FF24">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23.2</w:t>
      </w:r>
      <w:r>
        <w:rPr>
          <w:rFonts w:ascii="Times New Roman" w:hAnsi="Times New Roman" w:cstheme="minorBidi"/>
          <w:bCs w:val="0"/>
        </w:rPr>
        <w:tab/>
      </w:r>
      <w:r>
        <w:rPr>
          <w:rStyle w:val="122"/>
          <w:rFonts w:hint="eastAsia" w:ascii="Times New Roman" w:hAnsi="Times New Roman"/>
          <w:color w:val="auto"/>
          <w:u w:val="none"/>
        </w:rPr>
        <w:t>系统构成</w:t>
      </w:r>
      <w:r>
        <w:rPr>
          <w:rFonts w:ascii="Times New Roman" w:hAnsi="Times New Roman"/>
        </w:rPr>
        <w:tab/>
      </w:r>
      <w:r>
        <w:rPr>
          <w:rFonts w:ascii="Times New Roman" w:hAnsi="Times New Roman"/>
        </w:rPr>
        <w:t>328</w:t>
      </w:r>
    </w:p>
    <w:p w14:paraId="75D2EA75">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23.3</w:t>
      </w:r>
      <w:r>
        <w:rPr>
          <w:rFonts w:ascii="Times New Roman" w:hAnsi="Times New Roman" w:cstheme="minorBidi"/>
          <w:bCs w:val="0"/>
        </w:rPr>
        <w:tab/>
      </w:r>
      <w:r>
        <w:rPr>
          <w:rStyle w:val="122"/>
          <w:rFonts w:hint="eastAsia" w:ascii="Times New Roman" w:hAnsi="Times New Roman"/>
          <w:color w:val="auto"/>
          <w:u w:val="none"/>
        </w:rPr>
        <w:t>系统功能</w:t>
      </w:r>
      <w:r>
        <w:rPr>
          <w:rFonts w:ascii="Times New Roman" w:hAnsi="Times New Roman"/>
        </w:rPr>
        <w:tab/>
      </w:r>
      <w:r>
        <w:rPr>
          <w:rFonts w:ascii="Times New Roman" w:hAnsi="Times New Roman"/>
        </w:rPr>
        <w:t>329</w:t>
      </w:r>
    </w:p>
    <w:p w14:paraId="3779774D">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23.4</w:t>
      </w:r>
      <w:r>
        <w:rPr>
          <w:rFonts w:ascii="Times New Roman" w:hAnsi="Times New Roman" w:cstheme="minorBidi"/>
          <w:bCs w:val="0"/>
        </w:rPr>
        <w:tab/>
      </w:r>
      <w:r>
        <w:rPr>
          <w:rStyle w:val="122"/>
          <w:rFonts w:hint="eastAsia" w:ascii="Times New Roman" w:hAnsi="Times New Roman"/>
          <w:color w:val="auto"/>
          <w:u w:val="none"/>
        </w:rPr>
        <w:t>系统接口</w:t>
      </w:r>
      <w:r>
        <w:rPr>
          <w:rFonts w:ascii="Times New Roman" w:hAnsi="Times New Roman"/>
        </w:rPr>
        <w:tab/>
      </w:r>
      <w:r>
        <w:rPr>
          <w:rFonts w:ascii="Times New Roman" w:hAnsi="Times New Roman"/>
        </w:rPr>
        <w:t>330</w:t>
      </w:r>
    </w:p>
    <w:p w14:paraId="49E294EC">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23.5</w:t>
      </w:r>
      <w:r>
        <w:rPr>
          <w:rFonts w:ascii="Times New Roman" w:hAnsi="Times New Roman" w:cstheme="minorBidi"/>
          <w:bCs w:val="0"/>
        </w:rPr>
        <w:tab/>
      </w:r>
      <w:r>
        <w:rPr>
          <w:rStyle w:val="122"/>
          <w:rFonts w:hint="eastAsia" w:ascii="Times New Roman" w:hAnsi="Times New Roman"/>
          <w:color w:val="auto"/>
          <w:u w:val="none"/>
        </w:rPr>
        <w:t>供电、接地及防雷</w:t>
      </w:r>
      <w:r>
        <w:rPr>
          <w:rFonts w:ascii="Times New Roman" w:hAnsi="Times New Roman"/>
        </w:rPr>
        <w:tab/>
      </w:r>
      <w:r>
        <w:rPr>
          <w:rFonts w:ascii="Times New Roman" w:hAnsi="Times New Roman"/>
        </w:rPr>
        <w:t>330</w:t>
      </w:r>
    </w:p>
    <w:p w14:paraId="1477F44F">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24</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自动售检票</w:t>
      </w:r>
      <w:r>
        <w:rPr>
          <w:rFonts w:ascii="Times New Roman" w:hAnsi="Times New Roman"/>
          <w:b w:val="0"/>
          <w:i w:val="0"/>
        </w:rPr>
        <w:tab/>
      </w:r>
      <w:r>
        <w:rPr>
          <w:rFonts w:ascii="Times New Roman" w:hAnsi="Times New Roman"/>
          <w:b w:val="0"/>
          <w:i w:val="0"/>
        </w:rPr>
        <w:t>331</w:t>
      </w:r>
    </w:p>
    <w:p w14:paraId="58E4349E">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24.1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331</w:t>
      </w:r>
    </w:p>
    <w:p w14:paraId="45C37AE6">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24.2</w:t>
      </w:r>
      <w:r>
        <w:rPr>
          <w:rFonts w:ascii="Times New Roman" w:hAnsi="Times New Roman" w:cstheme="minorBidi"/>
          <w:bCs w:val="0"/>
        </w:rPr>
        <w:tab/>
      </w:r>
      <w:r>
        <w:rPr>
          <w:rStyle w:val="122"/>
          <w:rFonts w:hint="eastAsia" w:ascii="Times New Roman" w:hAnsi="Times New Roman"/>
          <w:color w:val="auto"/>
          <w:u w:val="none"/>
        </w:rPr>
        <w:t>票务管理</w:t>
      </w:r>
      <w:r>
        <w:rPr>
          <w:rFonts w:ascii="Times New Roman" w:hAnsi="Times New Roman"/>
        </w:rPr>
        <w:tab/>
      </w:r>
      <w:r>
        <w:rPr>
          <w:rFonts w:ascii="Times New Roman" w:hAnsi="Times New Roman"/>
        </w:rPr>
        <w:t>332</w:t>
      </w:r>
    </w:p>
    <w:p w14:paraId="774E99CD">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24.3</w:t>
      </w:r>
      <w:r>
        <w:rPr>
          <w:rFonts w:ascii="Times New Roman" w:hAnsi="Times New Roman" w:cstheme="minorBidi"/>
          <w:bCs w:val="0"/>
        </w:rPr>
        <w:tab/>
      </w:r>
      <w:r>
        <w:rPr>
          <w:rStyle w:val="122"/>
          <w:rFonts w:hint="eastAsia" w:ascii="Times New Roman" w:hAnsi="Times New Roman"/>
          <w:color w:val="auto"/>
          <w:u w:val="none"/>
        </w:rPr>
        <w:t>系统构成</w:t>
      </w:r>
      <w:r>
        <w:rPr>
          <w:rFonts w:ascii="Times New Roman" w:hAnsi="Times New Roman"/>
        </w:rPr>
        <w:tab/>
      </w:r>
      <w:r>
        <w:rPr>
          <w:rFonts w:ascii="Times New Roman" w:hAnsi="Times New Roman"/>
        </w:rPr>
        <w:t>333</w:t>
      </w:r>
    </w:p>
    <w:p w14:paraId="1D6F3BEB">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24.4</w:t>
      </w:r>
      <w:r>
        <w:rPr>
          <w:rFonts w:ascii="Times New Roman" w:hAnsi="Times New Roman" w:cstheme="minorBidi"/>
          <w:bCs w:val="0"/>
        </w:rPr>
        <w:tab/>
      </w:r>
      <w:r>
        <w:rPr>
          <w:rStyle w:val="122"/>
          <w:rFonts w:hint="eastAsia" w:ascii="Times New Roman" w:hAnsi="Times New Roman"/>
          <w:color w:val="auto"/>
          <w:u w:val="none"/>
        </w:rPr>
        <w:t>系统及设备主要功能</w:t>
      </w:r>
      <w:r>
        <w:rPr>
          <w:rFonts w:ascii="Times New Roman" w:hAnsi="Times New Roman"/>
        </w:rPr>
        <w:tab/>
      </w:r>
      <w:r>
        <w:rPr>
          <w:rFonts w:ascii="Times New Roman" w:hAnsi="Times New Roman"/>
        </w:rPr>
        <w:t>333</w:t>
      </w:r>
    </w:p>
    <w:p w14:paraId="4F5A7652">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24.5</w:t>
      </w:r>
      <w:r>
        <w:rPr>
          <w:rFonts w:ascii="Times New Roman" w:hAnsi="Times New Roman" w:cstheme="minorBidi"/>
          <w:bCs w:val="0"/>
        </w:rPr>
        <w:tab/>
      </w:r>
      <w:r>
        <w:rPr>
          <w:rStyle w:val="122"/>
          <w:rFonts w:hint="eastAsia" w:ascii="Times New Roman" w:hAnsi="Times New Roman"/>
          <w:color w:val="auto"/>
          <w:u w:val="none"/>
        </w:rPr>
        <w:t>电源及接地</w:t>
      </w:r>
      <w:r>
        <w:rPr>
          <w:rFonts w:ascii="Times New Roman" w:hAnsi="Times New Roman"/>
        </w:rPr>
        <w:tab/>
      </w:r>
      <w:r>
        <w:rPr>
          <w:rFonts w:ascii="Times New Roman" w:hAnsi="Times New Roman"/>
        </w:rPr>
        <w:t>337</w:t>
      </w:r>
    </w:p>
    <w:p w14:paraId="5C79FA5C">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24.6</w:t>
      </w:r>
      <w:r>
        <w:rPr>
          <w:rFonts w:ascii="Times New Roman" w:hAnsi="Times New Roman" w:cstheme="minorBidi"/>
          <w:bCs w:val="0"/>
        </w:rPr>
        <w:tab/>
      </w:r>
      <w:r>
        <w:rPr>
          <w:rStyle w:val="122"/>
          <w:rFonts w:hint="eastAsia" w:ascii="Times New Roman" w:hAnsi="Times New Roman"/>
          <w:color w:val="auto"/>
          <w:u w:val="none"/>
        </w:rPr>
        <w:t>电缆电线</w:t>
      </w:r>
      <w:r>
        <w:rPr>
          <w:rFonts w:ascii="Times New Roman" w:hAnsi="Times New Roman"/>
        </w:rPr>
        <w:tab/>
      </w:r>
      <w:r>
        <w:rPr>
          <w:rFonts w:ascii="Times New Roman" w:hAnsi="Times New Roman"/>
        </w:rPr>
        <w:t>337</w:t>
      </w:r>
    </w:p>
    <w:p w14:paraId="4E867BB4">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24.7</w:t>
      </w:r>
      <w:r>
        <w:rPr>
          <w:rFonts w:ascii="Times New Roman" w:hAnsi="Times New Roman" w:cstheme="minorBidi"/>
          <w:bCs w:val="0"/>
        </w:rPr>
        <w:tab/>
      </w:r>
      <w:r>
        <w:rPr>
          <w:rStyle w:val="122"/>
          <w:rFonts w:hint="eastAsia" w:ascii="Times New Roman" w:hAnsi="Times New Roman"/>
          <w:color w:val="auto"/>
          <w:u w:val="none"/>
        </w:rPr>
        <w:t>软件</w:t>
      </w:r>
      <w:r>
        <w:rPr>
          <w:rFonts w:ascii="Times New Roman" w:hAnsi="Times New Roman"/>
        </w:rPr>
        <w:tab/>
      </w:r>
      <w:r>
        <w:rPr>
          <w:rFonts w:ascii="Times New Roman" w:hAnsi="Times New Roman"/>
        </w:rPr>
        <w:t>338</w:t>
      </w:r>
    </w:p>
    <w:p w14:paraId="184491E4">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24.8</w:t>
      </w:r>
      <w:r>
        <w:rPr>
          <w:rFonts w:ascii="Times New Roman" w:hAnsi="Times New Roman" w:cstheme="minorBidi"/>
          <w:bCs w:val="0"/>
        </w:rPr>
        <w:tab/>
      </w:r>
      <w:r>
        <w:rPr>
          <w:rStyle w:val="122"/>
          <w:rFonts w:hint="eastAsia" w:ascii="Times New Roman" w:hAnsi="Times New Roman"/>
          <w:color w:val="auto"/>
          <w:u w:val="none"/>
        </w:rPr>
        <w:t>时钟</w:t>
      </w:r>
      <w:r>
        <w:rPr>
          <w:rFonts w:ascii="Times New Roman" w:hAnsi="Times New Roman"/>
        </w:rPr>
        <w:tab/>
      </w:r>
      <w:r>
        <w:rPr>
          <w:rFonts w:ascii="Times New Roman" w:hAnsi="Times New Roman"/>
        </w:rPr>
        <w:t>338</w:t>
      </w:r>
    </w:p>
    <w:p w14:paraId="199DA814">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24.9</w:t>
      </w:r>
      <w:r>
        <w:rPr>
          <w:rFonts w:ascii="Times New Roman" w:hAnsi="Times New Roman" w:cstheme="minorBidi"/>
          <w:bCs w:val="0"/>
        </w:rPr>
        <w:tab/>
      </w:r>
      <w:r>
        <w:rPr>
          <w:rStyle w:val="122"/>
          <w:rFonts w:hint="eastAsia" w:ascii="Times New Roman" w:hAnsi="Times New Roman"/>
          <w:color w:val="auto"/>
          <w:u w:val="none"/>
        </w:rPr>
        <w:t>车站售检票终端设备</w:t>
      </w:r>
      <w:r>
        <w:rPr>
          <w:rFonts w:ascii="Times New Roman" w:hAnsi="Times New Roman"/>
        </w:rPr>
        <w:tab/>
      </w:r>
      <w:r>
        <w:rPr>
          <w:rFonts w:ascii="Times New Roman" w:hAnsi="Times New Roman"/>
        </w:rPr>
        <w:t>338</w:t>
      </w:r>
    </w:p>
    <w:p w14:paraId="5045CF59">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24.10</w:t>
      </w:r>
      <w:r>
        <w:rPr>
          <w:rFonts w:ascii="Times New Roman" w:hAnsi="Times New Roman" w:cstheme="minorBidi"/>
          <w:bCs w:val="0"/>
        </w:rPr>
        <w:tab/>
      </w:r>
      <w:r>
        <w:rPr>
          <w:rStyle w:val="122"/>
          <w:rFonts w:hint="eastAsia" w:ascii="Times New Roman" w:hAnsi="Times New Roman"/>
          <w:color w:val="auto"/>
          <w:u w:val="none"/>
        </w:rPr>
        <w:t>线路设备用房</w:t>
      </w:r>
      <w:r>
        <w:rPr>
          <w:rFonts w:ascii="Times New Roman" w:hAnsi="Times New Roman"/>
        </w:rPr>
        <w:tab/>
      </w:r>
      <w:r>
        <w:rPr>
          <w:rFonts w:ascii="Times New Roman" w:hAnsi="Times New Roman"/>
        </w:rPr>
        <w:t>339</w:t>
      </w:r>
    </w:p>
    <w:p w14:paraId="21305922">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25</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安全防范</w:t>
      </w:r>
      <w:r>
        <w:rPr>
          <w:rFonts w:ascii="Times New Roman" w:hAnsi="Times New Roman"/>
          <w:b w:val="0"/>
          <w:i w:val="0"/>
        </w:rPr>
        <w:tab/>
      </w:r>
      <w:r>
        <w:rPr>
          <w:rFonts w:ascii="Times New Roman" w:hAnsi="Times New Roman"/>
          <w:b w:val="0"/>
          <w:i w:val="0"/>
        </w:rPr>
        <w:t>341</w:t>
      </w:r>
    </w:p>
    <w:p w14:paraId="56D831FC">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25.1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341</w:t>
      </w:r>
    </w:p>
    <w:p w14:paraId="3F027912">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25.2</w:t>
      </w:r>
      <w:r>
        <w:rPr>
          <w:rFonts w:ascii="Times New Roman" w:hAnsi="Times New Roman" w:cstheme="minorBidi"/>
          <w:bCs w:val="0"/>
        </w:rPr>
        <w:tab/>
      </w:r>
      <w:r>
        <w:rPr>
          <w:rStyle w:val="122"/>
          <w:rFonts w:hint="eastAsia" w:ascii="Times New Roman" w:hAnsi="Times New Roman"/>
          <w:color w:val="auto"/>
          <w:u w:val="none"/>
        </w:rPr>
        <w:t>门禁系统</w:t>
      </w:r>
      <w:r>
        <w:rPr>
          <w:rFonts w:ascii="Times New Roman" w:hAnsi="Times New Roman"/>
        </w:rPr>
        <w:tab/>
      </w:r>
      <w:r>
        <w:rPr>
          <w:rFonts w:ascii="Times New Roman" w:hAnsi="Times New Roman"/>
        </w:rPr>
        <w:t>341</w:t>
      </w:r>
    </w:p>
    <w:p w14:paraId="5CEB904A">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25.3</w:t>
      </w:r>
      <w:r>
        <w:rPr>
          <w:rFonts w:ascii="Times New Roman" w:hAnsi="Times New Roman" w:cstheme="minorBidi"/>
          <w:bCs w:val="0"/>
        </w:rPr>
        <w:tab/>
      </w:r>
      <w:r>
        <w:rPr>
          <w:rStyle w:val="122"/>
          <w:rFonts w:hint="eastAsia" w:ascii="Times New Roman" w:hAnsi="Times New Roman"/>
          <w:color w:val="auto"/>
          <w:u w:val="none"/>
        </w:rPr>
        <w:t>周界防范</w:t>
      </w:r>
      <w:r>
        <w:rPr>
          <w:rFonts w:ascii="Times New Roman" w:hAnsi="Times New Roman"/>
        </w:rPr>
        <w:tab/>
      </w:r>
      <w:r>
        <w:rPr>
          <w:rFonts w:ascii="Times New Roman" w:hAnsi="Times New Roman"/>
        </w:rPr>
        <w:t>345</w:t>
      </w:r>
    </w:p>
    <w:p w14:paraId="540B3E2C">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25.4</w:t>
      </w:r>
      <w:r>
        <w:rPr>
          <w:rFonts w:ascii="Times New Roman" w:hAnsi="Times New Roman" w:cstheme="minorBidi"/>
          <w:bCs w:val="0"/>
        </w:rPr>
        <w:tab/>
      </w:r>
      <w:r>
        <w:rPr>
          <w:rStyle w:val="122"/>
          <w:rFonts w:hint="eastAsia" w:ascii="Times New Roman" w:hAnsi="Times New Roman"/>
          <w:color w:val="auto"/>
          <w:u w:val="none"/>
        </w:rPr>
        <w:t>安全检查及探测系统</w:t>
      </w:r>
      <w:r>
        <w:rPr>
          <w:rFonts w:ascii="Times New Roman" w:hAnsi="Times New Roman"/>
        </w:rPr>
        <w:tab/>
      </w:r>
      <w:r>
        <w:rPr>
          <w:rFonts w:ascii="Times New Roman" w:hAnsi="Times New Roman"/>
        </w:rPr>
        <w:t>347</w:t>
      </w:r>
    </w:p>
    <w:p w14:paraId="4E5D0F47">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26</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云平台</w:t>
      </w:r>
      <w:r>
        <w:rPr>
          <w:rFonts w:ascii="Times New Roman" w:hAnsi="Times New Roman"/>
          <w:b w:val="0"/>
          <w:i w:val="0"/>
        </w:rPr>
        <w:tab/>
      </w:r>
      <w:r>
        <w:rPr>
          <w:rFonts w:ascii="Times New Roman" w:hAnsi="Times New Roman"/>
          <w:b w:val="0"/>
          <w:i w:val="0"/>
        </w:rPr>
        <w:t>349</w:t>
      </w:r>
    </w:p>
    <w:p w14:paraId="631FE2D8">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26.1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349</w:t>
      </w:r>
    </w:p>
    <w:p w14:paraId="594E6051">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26.2</w:t>
      </w:r>
      <w:r>
        <w:rPr>
          <w:rFonts w:ascii="Times New Roman" w:hAnsi="Times New Roman" w:cstheme="minorBidi"/>
          <w:bCs w:val="0"/>
        </w:rPr>
        <w:tab/>
      </w:r>
      <w:r>
        <w:rPr>
          <w:rStyle w:val="122"/>
          <w:rFonts w:hint="eastAsia" w:ascii="Times New Roman" w:hAnsi="Times New Roman"/>
          <w:color w:val="auto"/>
          <w:u w:val="none"/>
        </w:rPr>
        <w:t>系统架构及功能</w:t>
      </w:r>
      <w:r>
        <w:rPr>
          <w:rFonts w:ascii="Times New Roman" w:hAnsi="Times New Roman"/>
        </w:rPr>
        <w:tab/>
      </w:r>
      <w:r>
        <w:rPr>
          <w:rFonts w:ascii="Times New Roman" w:hAnsi="Times New Roman"/>
        </w:rPr>
        <w:t>349</w:t>
      </w:r>
    </w:p>
    <w:p w14:paraId="2ED1FA30">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26.3</w:t>
      </w:r>
      <w:r>
        <w:rPr>
          <w:rFonts w:ascii="Times New Roman" w:hAnsi="Times New Roman" w:cstheme="minorBidi"/>
          <w:bCs w:val="0"/>
        </w:rPr>
        <w:tab/>
      </w:r>
      <w:r>
        <w:rPr>
          <w:rStyle w:val="122"/>
          <w:rFonts w:hint="eastAsia" w:ascii="Times New Roman" w:hAnsi="Times New Roman"/>
          <w:color w:val="auto"/>
          <w:u w:val="none"/>
        </w:rPr>
        <w:t>设备用房及环境要求</w:t>
      </w:r>
      <w:r>
        <w:rPr>
          <w:rFonts w:ascii="Times New Roman" w:hAnsi="Times New Roman"/>
        </w:rPr>
        <w:tab/>
      </w:r>
      <w:r>
        <w:rPr>
          <w:rFonts w:ascii="Times New Roman" w:hAnsi="Times New Roman"/>
        </w:rPr>
        <w:t>350</w:t>
      </w:r>
    </w:p>
    <w:p w14:paraId="4877D974">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27</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车辆基地</w:t>
      </w:r>
      <w:r>
        <w:rPr>
          <w:rFonts w:ascii="Times New Roman" w:hAnsi="Times New Roman"/>
          <w:b w:val="0"/>
          <w:i w:val="0"/>
        </w:rPr>
        <w:tab/>
      </w:r>
      <w:r>
        <w:rPr>
          <w:rFonts w:ascii="Times New Roman" w:hAnsi="Times New Roman"/>
          <w:b w:val="0"/>
          <w:i w:val="0"/>
        </w:rPr>
        <w:t>351</w:t>
      </w:r>
    </w:p>
    <w:p w14:paraId="38DE2510">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27.1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351</w:t>
      </w:r>
    </w:p>
    <w:p w14:paraId="3D409C32">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27.2</w:t>
      </w:r>
      <w:r>
        <w:rPr>
          <w:rFonts w:ascii="Times New Roman" w:hAnsi="Times New Roman" w:cstheme="minorBidi"/>
          <w:bCs w:val="0"/>
        </w:rPr>
        <w:tab/>
      </w:r>
      <w:r>
        <w:rPr>
          <w:rStyle w:val="122"/>
          <w:rFonts w:hint="eastAsia" w:ascii="Times New Roman" w:hAnsi="Times New Roman"/>
          <w:color w:val="auto"/>
          <w:u w:val="none"/>
        </w:rPr>
        <w:t>车辆基地功能</w:t>
      </w:r>
      <w:r>
        <w:rPr>
          <w:rFonts w:ascii="Times New Roman" w:hAnsi="Times New Roman"/>
        </w:rPr>
        <w:tab/>
      </w:r>
      <w:r>
        <w:rPr>
          <w:rFonts w:ascii="Times New Roman" w:hAnsi="Times New Roman"/>
        </w:rPr>
        <w:t>352</w:t>
      </w:r>
    </w:p>
    <w:p w14:paraId="72B50BA5">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27.3</w:t>
      </w:r>
      <w:r>
        <w:rPr>
          <w:rFonts w:ascii="Times New Roman" w:hAnsi="Times New Roman" w:cstheme="minorBidi"/>
          <w:bCs w:val="0"/>
        </w:rPr>
        <w:tab/>
      </w:r>
      <w:r>
        <w:rPr>
          <w:rStyle w:val="122"/>
          <w:rFonts w:hint="eastAsia" w:ascii="Times New Roman" w:hAnsi="Times New Roman"/>
          <w:color w:val="auto"/>
          <w:u w:val="none"/>
        </w:rPr>
        <w:t>车辆检修标准及设施规模</w:t>
      </w:r>
      <w:r>
        <w:rPr>
          <w:rFonts w:ascii="Times New Roman" w:hAnsi="Times New Roman"/>
        </w:rPr>
        <w:tab/>
      </w:r>
      <w:r>
        <w:rPr>
          <w:rFonts w:ascii="Times New Roman" w:hAnsi="Times New Roman"/>
        </w:rPr>
        <w:t>353</w:t>
      </w:r>
    </w:p>
    <w:p w14:paraId="268C9ED9">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27.4</w:t>
      </w:r>
      <w:r>
        <w:rPr>
          <w:rFonts w:ascii="Times New Roman" w:hAnsi="Times New Roman" w:cstheme="minorBidi"/>
          <w:bCs w:val="0"/>
        </w:rPr>
        <w:tab/>
      </w:r>
      <w:r>
        <w:rPr>
          <w:rStyle w:val="122"/>
          <w:rFonts w:hint="eastAsia" w:ascii="Times New Roman" w:hAnsi="Times New Roman"/>
          <w:color w:val="auto"/>
          <w:u w:val="none"/>
        </w:rPr>
        <w:t>车辆基地选址及总图设计</w:t>
      </w:r>
      <w:r>
        <w:rPr>
          <w:rFonts w:ascii="Times New Roman" w:hAnsi="Times New Roman"/>
        </w:rPr>
        <w:tab/>
      </w:r>
      <w:r>
        <w:rPr>
          <w:rFonts w:ascii="Times New Roman" w:hAnsi="Times New Roman"/>
        </w:rPr>
        <w:t>354</w:t>
      </w:r>
    </w:p>
    <w:p w14:paraId="7BB69F81">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27.5</w:t>
      </w:r>
      <w:r>
        <w:rPr>
          <w:rFonts w:ascii="Times New Roman" w:hAnsi="Times New Roman" w:cstheme="minorBidi"/>
          <w:bCs w:val="0"/>
        </w:rPr>
        <w:tab/>
      </w:r>
      <w:r>
        <w:rPr>
          <w:rStyle w:val="122"/>
          <w:rFonts w:hint="eastAsia" w:ascii="Times New Roman" w:hAnsi="Times New Roman"/>
          <w:color w:val="auto"/>
          <w:u w:val="none"/>
        </w:rPr>
        <w:t>车辆运用、整备设施</w:t>
      </w:r>
      <w:r>
        <w:rPr>
          <w:rFonts w:ascii="Times New Roman" w:hAnsi="Times New Roman"/>
        </w:rPr>
        <w:tab/>
      </w:r>
      <w:r>
        <w:rPr>
          <w:rFonts w:ascii="Times New Roman" w:hAnsi="Times New Roman"/>
        </w:rPr>
        <w:t>357</w:t>
      </w:r>
    </w:p>
    <w:p w14:paraId="28120C4E">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27.6</w:t>
      </w:r>
      <w:r>
        <w:rPr>
          <w:rFonts w:ascii="Times New Roman" w:hAnsi="Times New Roman" w:cstheme="minorBidi"/>
          <w:bCs w:val="0"/>
        </w:rPr>
        <w:tab/>
      </w:r>
      <w:r>
        <w:rPr>
          <w:rStyle w:val="122"/>
          <w:rFonts w:hint="eastAsia" w:ascii="Times New Roman" w:hAnsi="Times New Roman"/>
          <w:color w:val="auto"/>
          <w:u w:val="none"/>
        </w:rPr>
        <w:t>车辆检修设施</w:t>
      </w:r>
      <w:r>
        <w:rPr>
          <w:rFonts w:ascii="Times New Roman" w:hAnsi="Times New Roman"/>
        </w:rPr>
        <w:tab/>
      </w:r>
      <w:r>
        <w:rPr>
          <w:rFonts w:ascii="Times New Roman" w:hAnsi="Times New Roman"/>
        </w:rPr>
        <w:t>361</w:t>
      </w:r>
    </w:p>
    <w:p w14:paraId="576ECA4D">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27.7</w:t>
      </w:r>
      <w:r>
        <w:rPr>
          <w:rFonts w:ascii="Times New Roman" w:hAnsi="Times New Roman" w:cstheme="minorBidi"/>
          <w:bCs w:val="0"/>
        </w:rPr>
        <w:tab/>
      </w:r>
      <w:r>
        <w:rPr>
          <w:rStyle w:val="122"/>
          <w:rFonts w:hint="eastAsia" w:ascii="Times New Roman" w:hAnsi="Times New Roman"/>
          <w:color w:val="auto"/>
          <w:u w:val="none"/>
        </w:rPr>
        <w:t>车辆基地站场线路</w:t>
      </w:r>
      <w:r>
        <w:rPr>
          <w:rFonts w:ascii="Times New Roman" w:hAnsi="Times New Roman"/>
        </w:rPr>
        <w:tab/>
      </w:r>
      <w:r>
        <w:rPr>
          <w:rFonts w:ascii="Times New Roman" w:hAnsi="Times New Roman"/>
        </w:rPr>
        <w:t>367</w:t>
      </w:r>
    </w:p>
    <w:p w14:paraId="5053CE21">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27.8</w:t>
      </w:r>
      <w:r>
        <w:rPr>
          <w:rFonts w:ascii="Times New Roman" w:hAnsi="Times New Roman" w:cstheme="minorBidi"/>
          <w:bCs w:val="0"/>
        </w:rPr>
        <w:tab/>
      </w:r>
      <w:r>
        <w:rPr>
          <w:rStyle w:val="122"/>
          <w:rFonts w:hint="eastAsia" w:ascii="Times New Roman" w:hAnsi="Times New Roman"/>
          <w:color w:val="auto"/>
          <w:u w:val="none"/>
        </w:rPr>
        <w:t>设备维修与动力设施</w:t>
      </w:r>
      <w:r>
        <w:rPr>
          <w:rFonts w:ascii="Times New Roman" w:hAnsi="Times New Roman"/>
        </w:rPr>
        <w:tab/>
      </w:r>
      <w:r>
        <w:rPr>
          <w:rFonts w:ascii="Times New Roman" w:hAnsi="Times New Roman"/>
        </w:rPr>
        <w:t>368</w:t>
      </w:r>
    </w:p>
    <w:p w14:paraId="3A179FE1">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27.9</w:t>
      </w:r>
      <w:r>
        <w:rPr>
          <w:rFonts w:ascii="Times New Roman" w:hAnsi="Times New Roman" w:cstheme="minorBidi"/>
          <w:bCs w:val="0"/>
        </w:rPr>
        <w:tab/>
      </w:r>
      <w:r>
        <w:rPr>
          <w:rStyle w:val="122"/>
          <w:rFonts w:hint="eastAsia" w:ascii="Times New Roman" w:hAnsi="Times New Roman"/>
          <w:color w:val="auto"/>
          <w:u w:val="none"/>
        </w:rPr>
        <w:t>综合维修中心</w:t>
      </w:r>
      <w:r>
        <w:rPr>
          <w:rFonts w:ascii="Times New Roman" w:hAnsi="Times New Roman"/>
        </w:rPr>
        <w:tab/>
      </w:r>
      <w:r>
        <w:rPr>
          <w:rFonts w:ascii="Times New Roman" w:hAnsi="Times New Roman"/>
        </w:rPr>
        <w:t>368</w:t>
      </w:r>
    </w:p>
    <w:p w14:paraId="375D570D">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27.10</w:t>
      </w:r>
      <w:r>
        <w:rPr>
          <w:rFonts w:ascii="Times New Roman" w:hAnsi="Times New Roman" w:cstheme="minorBidi"/>
          <w:bCs w:val="0"/>
        </w:rPr>
        <w:tab/>
      </w:r>
      <w:r>
        <w:rPr>
          <w:rStyle w:val="122"/>
          <w:rFonts w:hint="eastAsia" w:ascii="Times New Roman" w:hAnsi="Times New Roman"/>
          <w:color w:val="auto"/>
          <w:u w:val="none"/>
        </w:rPr>
        <w:t>物资总库</w:t>
      </w:r>
      <w:r>
        <w:rPr>
          <w:rFonts w:ascii="Times New Roman" w:hAnsi="Times New Roman"/>
        </w:rPr>
        <w:tab/>
      </w:r>
      <w:r>
        <w:rPr>
          <w:rFonts w:ascii="Times New Roman" w:hAnsi="Times New Roman"/>
        </w:rPr>
        <w:t>369</w:t>
      </w:r>
    </w:p>
    <w:p w14:paraId="12E15F2C">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27.11</w:t>
      </w:r>
      <w:r>
        <w:rPr>
          <w:rFonts w:ascii="Times New Roman" w:hAnsi="Times New Roman" w:cstheme="minorBidi"/>
          <w:bCs w:val="0"/>
        </w:rPr>
        <w:tab/>
      </w:r>
      <w:r>
        <w:rPr>
          <w:rStyle w:val="122"/>
          <w:rFonts w:hint="eastAsia" w:ascii="Times New Roman" w:hAnsi="Times New Roman"/>
          <w:color w:val="auto"/>
          <w:u w:val="none"/>
        </w:rPr>
        <w:t>培训中心</w:t>
      </w:r>
      <w:r>
        <w:rPr>
          <w:rFonts w:ascii="Times New Roman" w:hAnsi="Times New Roman"/>
        </w:rPr>
        <w:tab/>
      </w:r>
      <w:r>
        <w:rPr>
          <w:rFonts w:ascii="Times New Roman" w:hAnsi="Times New Roman"/>
        </w:rPr>
        <w:t>370</w:t>
      </w:r>
    </w:p>
    <w:p w14:paraId="6B0CDF77">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27.12</w:t>
      </w:r>
      <w:r>
        <w:rPr>
          <w:rFonts w:ascii="Times New Roman" w:hAnsi="Times New Roman" w:cstheme="minorBidi"/>
          <w:bCs w:val="0"/>
        </w:rPr>
        <w:tab/>
      </w:r>
      <w:r>
        <w:rPr>
          <w:rStyle w:val="122"/>
          <w:rFonts w:hint="eastAsia" w:ascii="Times New Roman" w:hAnsi="Times New Roman"/>
          <w:color w:val="auto"/>
          <w:u w:val="none"/>
        </w:rPr>
        <w:t>房屋建筑</w:t>
      </w:r>
      <w:r>
        <w:rPr>
          <w:rFonts w:ascii="Times New Roman" w:hAnsi="Times New Roman"/>
        </w:rPr>
        <w:tab/>
      </w:r>
      <w:r>
        <w:rPr>
          <w:rFonts w:ascii="Times New Roman" w:hAnsi="Times New Roman"/>
        </w:rPr>
        <w:t>370</w:t>
      </w:r>
    </w:p>
    <w:p w14:paraId="67E5D92E">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27.13</w:t>
      </w:r>
      <w:r>
        <w:rPr>
          <w:rFonts w:ascii="Times New Roman" w:hAnsi="Times New Roman" w:cstheme="minorBidi"/>
          <w:bCs w:val="0"/>
        </w:rPr>
        <w:tab/>
      </w:r>
      <w:r>
        <w:rPr>
          <w:rStyle w:val="122"/>
          <w:rFonts w:hint="eastAsia" w:ascii="Times New Roman" w:hAnsi="Times New Roman"/>
          <w:color w:val="auto"/>
          <w:u w:val="none"/>
        </w:rPr>
        <w:t>资源共享</w:t>
      </w:r>
      <w:r>
        <w:rPr>
          <w:rFonts w:ascii="Times New Roman" w:hAnsi="Times New Roman"/>
        </w:rPr>
        <w:tab/>
      </w:r>
      <w:r>
        <w:rPr>
          <w:rFonts w:ascii="Times New Roman" w:hAnsi="Times New Roman"/>
        </w:rPr>
        <w:t>372</w:t>
      </w:r>
    </w:p>
    <w:p w14:paraId="77C9AAC6">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27.14</w:t>
      </w:r>
      <w:r>
        <w:rPr>
          <w:rFonts w:ascii="Times New Roman" w:hAnsi="Times New Roman" w:cstheme="minorBidi"/>
          <w:bCs w:val="0"/>
        </w:rPr>
        <w:tab/>
      </w:r>
      <w:r>
        <w:rPr>
          <w:rStyle w:val="122"/>
          <w:rFonts w:hint="eastAsia" w:ascii="Times New Roman" w:hAnsi="Times New Roman"/>
          <w:color w:val="auto"/>
          <w:u w:val="none"/>
        </w:rPr>
        <w:t>配套设施规模</w:t>
      </w:r>
      <w:r>
        <w:rPr>
          <w:rFonts w:ascii="Times New Roman" w:hAnsi="Times New Roman"/>
        </w:rPr>
        <w:tab/>
      </w:r>
      <w:r>
        <w:rPr>
          <w:rFonts w:ascii="Times New Roman" w:hAnsi="Times New Roman"/>
        </w:rPr>
        <w:t>374</w:t>
      </w:r>
    </w:p>
    <w:p w14:paraId="0EA971CF">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28</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控制中心</w:t>
      </w:r>
      <w:r>
        <w:rPr>
          <w:rFonts w:ascii="Times New Roman" w:hAnsi="Times New Roman"/>
          <w:b w:val="0"/>
          <w:i w:val="0"/>
        </w:rPr>
        <w:tab/>
      </w:r>
      <w:r>
        <w:rPr>
          <w:rFonts w:ascii="Times New Roman" w:hAnsi="Times New Roman"/>
          <w:b w:val="0"/>
          <w:i w:val="0"/>
        </w:rPr>
        <w:t>375</w:t>
      </w:r>
    </w:p>
    <w:p w14:paraId="157FB9B0">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28.1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375</w:t>
      </w:r>
    </w:p>
    <w:p w14:paraId="60036436">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28.2</w:t>
      </w:r>
      <w:r>
        <w:rPr>
          <w:rFonts w:ascii="Times New Roman" w:hAnsi="Times New Roman" w:cstheme="minorBidi"/>
          <w:bCs w:val="0"/>
        </w:rPr>
        <w:tab/>
      </w:r>
      <w:r>
        <w:rPr>
          <w:rStyle w:val="122"/>
          <w:rFonts w:hint="eastAsia" w:ascii="Times New Roman" w:hAnsi="Times New Roman"/>
          <w:color w:val="auto"/>
          <w:u w:val="none"/>
        </w:rPr>
        <w:t>控制中心设置</w:t>
      </w:r>
      <w:r>
        <w:rPr>
          <w:rFonts w:ascii="Times New Roman" w:hAnsi="Times New Roman"/>
        </w:rPr>
        <w:tab/>
      </w:r>
      <w:r>
        <w:rPr>
          <w:rFonts w:ascii="Times New Roman" w:hAnsi="Times New Roman"/>
        </w:rPr>
        <w:t>376</w:t>
      </w:r>
    </w:p>
    <w:p w14:paraId="7D284C32">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28.3</w:t>
      </w:r>
      <w:r>
        <w:rPr>
          <w:rFonts w:ascii="Times New Roman" w:hAnsi="Times New Roman" w:cstheme="minorBidi"/>
          <w:bCs w:val="0"/>
        </w:rPr>
        <w:tab/>
      </w:r>
      <w:r>
        <w:rPr>
          <w:rStyle w:val="122"/>
          <w:rFonts w:hint="eastAsia" w:ascii="Times New Roman" w:hAnsi="Times New Roman"/>
          <w:color w:val="auto"/>
          <w:u w:val="none"/>
        </w:rPr>
        <w:t>控制中心的管理</w:t>
      </w:r>
      <w:r>
        <w:rPr>
          <w:rFonts w:ascii="Times New Roman" w:hAnsi="Times New Roman"/>
        </w:rPr>
        <w:tab/>
      </w:r>
      <w:r>
        <w:rPr>
          <w:rFonts w:ascii="Times New Roman" w:hAnsi="Times New Roman"/>
        </w:rPr>
        <w:t>376</w:t>
      </w:r>
    </w:p>
    <w:p w14:paraId="0E001F8A">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28.4</w:t>
      </w:r>
      <w:r>
        <w:rPr>
          <w:rFonts w:ascii="Times New Roman" w:hAnsi="Times New Roman" w:cstheme="minorBidi"/>
          <w:bCs w:val="0"/>
        </w:rPr>
        <w:tab/>
      </w:r>
      <w:r>
        <w:rPr>
          <w:rStyle w:val="122"/>
          <w:rFonts w:hint="eastAsia" w:ascii="Times New Roman" w:hAnsi="Times New Roman"/>
          <w:color w:val="auto"/>
          <w:u w:val="none"/>
        </w:rPr>
        <w:t>控制中心布置分区及要求</w:t>
      </w:r>
      <w:r>
        <w:rPr>
          <w:rFonts w:ascii="Times New Roman" w:hAnsi="Times New Roman"/>
        </w:rPr>
        <w:tab/>
      </w:r>
      <w:r>
        <w:rPr>
          <w:rFonts w:ascii="Times New Roman" w:hAnsi="Times New Roman"/>
        </w:rPr>
        <w:t>377</w:t>
      </w:r>
    </w:p>
    <w:p w14:paraId="35C6B0E6">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28.5</w:t>
      </w:r>
      <w:r>
        <w:rPr>
          <w:rFonts w:ascii="Times New Roman" w:hAnsi="Times New Roman" w:cstheme="minorBidi"/>
          <w:bCs w:val="0"/>
        </w:rPr>
        <w:tab/>
      </w:r>
      <w:r>
        <w:rPr>
          <w:rStyle w:val="122"/>
          <w:rFonts w:hint="eastAsia" w:ascii="Times New Roman" w:hAnsi="Times New Roman"/>
          <w:color w:val="auto"/>
          <w:u w:val="none"/>
        </w:rPr>
        <w:t>建筑与结构</w:t>
      </w:r>
      <w:r>
        <w:rPr>
          <w:rFonts w:ascii="Times New Roman" w:hAnsi="Times New Roman"/>
        </w:rPr>
        <w:tab/>
      </w:r>
      <w:r>
        <w:rPr>
          <w:rFonts w:ascii="Times New Roman" w:hAnsi="Times New Roman"/>
        </w:rPr>
        <w:t>379</w:t>
      </w:r>
    </w:p>
    <w:p w14:paraId="227D3123">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28.6</w:t>
      </w:r>
      <w:r>
        <w:rPr>
          <w:rFonts w:ascii="Times New Roman" w:hAnsi="Times New Roman" w:cstheme="minorBidi"/>
          <w:bCs w:val="0"/>
        </w:rPr>
        <w:tab/>
      </w:r>
      <w:r>
        <w:rPr>
          <w:rStyle w:val="122"/>
          <w:rFonts w:hint="eastAsia" w:ascii="Times New Roman" w:hAnsi="Times New Roman"/>
          <w:color w:val="auto"/>
          <w:u w:val="none"/>
        </w:rPr>
        <w:t>附属设施</w:t>
      </w:r>
      <w:r>
        <w:rPr>
          <w:rFonts w:ascii="Times New Roman" w:hAnsi="Times New Roman"/>
        </w:rPr>
        <w:tab/>
      </w:r>
      <w:r>
        <w:rPr>
          <w:rFonts w:ascii="Times New Roman" w:hAnsi="Times New Roman"/>
        </w:rPr>
        <w:t>380</w:t>
      </w:r>
    </w:p>
    <w:p w14:paraId="37D2CD6E">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29</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交通衔接</w:t>
      </w:r>
      <w:r>
        <w:rPr>
          <w:rFonts w:ascii="Times New Roman" w:hAnsi="Times New Roman"/>
          <w:b w:val="0"/>
          <w:i w:val="0"/>
        </w:rPr>
        <w:tab/>
      </w:r>
      <w:r>
        <w:rPr>
          <w:rFonts w:ascii="Times New Roman" w:hAnsi="Times New Roman"/>
          <w:b w:val="0"/>
          <w:i w:val="0"/>
        </w:rPr>
        <w:t>382</w:t>
      </w:r>
    </w:p>
    <w:p w14:paraId="2D1FB3E7">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29.1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382</w:t>
      </w:r>
    </w:p>
    <w:p w14:paraId="34456E93">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29.2</w:t>
      </w:r>
      <w:r>
        <w:rPr>
          <w:rFonts w:ascii="Times New Roman" w:hAnsi="Times New Roman" w:cstheme="minorBidi"/>
          <w:bCs w:val="0"/>
        </w:rPr>
        <w:tab/>
      </w:r>
      <w:r>
        <w:rPr>
          <w:rStyle w:val="122"/>
          <w:rFonts w:hint="eastAsia" w:ascii="Times New Roman" w:hAnsi="Times New Roman"/>
          <w:color w:val="auto"/>
          <w:u w:val="none"/>
        </w:rPr>
        <w:t>各类接驳设施设计要求</w:t>
      </w:r>
      <w:r>
        <w:rPr>
          <w:rFonts w:ascii="Times New Roman" w:hAnsi="Times New Roman"/>
        </w:rPr>
        <w:tab/>
      </w:r>
      <w:r>
        <w:rPr>
          <w:rFonts w:ascii="Times New Roman" w:hAnsi="Times New Roman"/>
        </w:rPr>
        <w:t>383</w:t>
      </w:r>
    </w:p>
    <w:p w14:paraId="66AFC615">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30</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防</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灾</w:t>
      </w:r>
      <w:r>
        <w:rPr>
          <w:rFonts w:ascii="Times New Roman" w:hAnsi="Times New Roman"/>
          <w:b w:val="0"/>
          <w:i w:val="0"/>
        </w:rPr>
        <w:tab/>
      </w:r>
      <w:r>
        <w:rPr>
          <w:rFonts w:ascii="Times New Roman" w:hAnsi="Times New Roman"/>
          <w:b w:val="0"/>
          <w:i w:val="0"/>
        </w:rPr>
        <w:t>385</w:t>
      </w:r>
    </w:p>
    <w:p w14:paraId="004EF4D1">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30.1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385</w:t>
      </w:r>
    </w:p>
    <w:p w14:paraId="70129997">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30.2</w:t>
      </w:r>
      <w:r>
        <w:rPr>
          <w:rFonts w:ascii="Times New Roman" w:hAnsi="Times New Roman" w:cstheme="minorBidi"/>
          <w:bCs w:val="0"/>
        </w:rPr>
        <w:tab/>
      </w:r>
      <w:r>
        <w:rPr>
          <w:rStyle w:val="122"/>
          <w:rFonts w:hint="eastAsia" w:ascii="Times New Roman" w:hAnsi="Times New Roman"/>
          <w:color w:val="auto"/>
          <w:u w:val="none"/>
        </w:rPr>
        <w:t>建</w:t>
      </w:r>
      <w:r>
        <w:rPr>
          <w:rStyle w:val="122"/>
          <w:rFonts w:ascii="Times New Roman" w:hAnsi="Times New Roman"/>
          <w:color w:val="auto"/>
          <w:u w:val="none"/>
        </w:rPr>
        <w:t xml:space="preserve"> </w:t>
      </w:r>
      <w:r>
        <w:rPr>
          <w:rStyle w:val="122"/>
          <w:rFonts w:hint="eastAsia" w:ascii="Times New Roman" w:hAnsi="Times New Roman"/>
          <w:color w:val="auto"/>
          <w:u w:val="none"/>
        </w:rPr>
        <w:t>筑</w:t>
      </w:r>
      <w:r>
        <w:rPr>
          <w:rStyle w:val="122"/>
          <w:rFonts w:ascii="Times New Roman" w:hAnsi="Times New Roman"/>
          <w:color w:val="auto"/>
          <w:u w:val="none"/>
        </w:rPr>
        <w:t xml:space="preserve"> </w:t>
      </w:r>
      <w:r>
        <w:rPr>
          <w:rStyle w:val="122"/>
          <w:rFonts w:hint="eastAsia" w:ascii="Times New Roman" w:hAnsi="Times New Roman"/>
          <w:color w:val="auto"/>
          <w:u w:val="none"/>
        </w:rPr>
        <w:t>防</w:t>
      </w:r>
      <w:r>
        <w:rPr>
          <w:rStyle w:val="122"/>
          <w:rFonts w:ascii="Times New Roman" w:hAnsi="Times New Roman"/>
          <w:color w:val="auto"/>
          <w:u w:val="none"/>
        </w:rPr>
        <w:t xml:space="preserve"> </w:t>
      </w:r>
      <w:r>
        <w:rPr>
          <w:rStyle w:val="122"/>
          <w:rFonts w:hint="eastAsia" w:ascii="Times New Roman" w:hAnsi="Times New Roman"/>
          <w:color w:val="auto"/>
          <w:u w:val="none"/>
        </w:rPr>
        <w:t>火</w:t>
      </w:r>
      <w:r>
        <w:rPr>
          <w:rFonts w:ascii="Times New Roman" w:hAnsi="Times New Roman"/>
        </w:rPr>
        <w:tab/>
      </w:r>
      <w:r>
        <w:rPr>
          <w:rFonts w:ascii="Times New Roman" w:hAnsi="Times New Roman"/>
        </w:rPr>
        <w:t>386</w:t>
      </w:r>
    </w:p>
    <w:p w14:paraId="149B2162">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30.3</w:t>
      </w:r>
      <w:r>
        <w:rPr>
          <w:rFonts w:ascii="Times New Roman" w:hAnsi="Times New Roman" w:cstheme="minorBidi"/>
          <w:bCs w:val="0"/>
        </w:rPr>
        <w:tab/>
      </w:r>
      <w:r>
        <w:rPr>
          <w:rStyle w:val="122"/>
          <w:rFonts w:hint="eastAsia" w:ascii="Times New Roman" w:hAnsi="Times New Roman"/>
          <w:color w:val="auto"/>
          <w:u w:val="none"/>
        </w:rPr>
        <w:t>消防给水和灭火设施</w:t>
      </w:r>
      <w:r>
        <w:rPr>
          <w:rFonts w:ascii="Times New Roman" w:hAnsi="Times New Roman"/>
        </w:rPr>
        <w:tab/>
      </w:r>
      <w:r>
        <w:rPr>
          <w:rFonts w:ascii="Times New Roman" w:hAnsi="Times New Roman"/>
        </w:rPr>
        <w:t>414</w:t>
      </w:r>
    </w:p>
    <w:p w14:paraId="1E5C6147">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30.4</w:t>
      </w:r>
      <w:r>
        <w:rPr>
          <w:rFonts w:ascii="Times New Roman" w:hAnsi="Times New Roman" w:cstheme="minorBidi"/>
          <w:bCs w:val="0"/>
        </w:rPr>
        <w:tab/>
      </w:r>
      <w:r>
        <w:rPr>
          <w:rStyle w:val="122"/>
          <w:rFonts w:hint="eastAsia" w:ascii="Times New Roman" w:hAnsi="Times New Roman"/>
          <w:color w:val="auto"/>
          <w:u w:val="none"/>
        </w:rPr>
        <w:t>防排烟与事故通风</w:t>
      </w:r>
      <w:r>
        <w:rPr>
          <w:rFonts w:ascii="Times New Roman" w:hAnsi="Times New Roman"/>
        </w:rPr>
        <w:tab/>
      </w:r>
      <w:r>
        <w:rPr>
          <w:rFonts w:ascii="Times New Roman" w:hAnsi="Times New Roman"/>
        </w:rPr>
        <w:t>420</w:t>
      </w:r>
    </w:p>
    <w:p w14:paraId="590CAEDE">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30.5</w:t>
      </w:r>
      <w:r>
        <w:rPr>
          <w:rFonts w:ascii="Times New Roman" w:hAnsi="Times New Roman" w:cstheme="minorBidi"/>
          <w:bCs w:val="0"/>
        </w:rPr>
        <w:tab/>
      </w:r>
      <w:r>
        <w:rPr>
          <w:rStyle w:val="122"/>
          <w:rFonts w:hint="eastAsia" w:ascii="Times New Roman" w:hAnsi="Times New Roman"/>
          <w:color w:val="auto"/>
          <w:u w:val="none"/>
        </w:rPr>
        <w:t>电</w:t>
      </w:r>
      <w:r>
        <w:rPr>
          <w:rStyle w:val="122"/>
          <w:rFonts w:ascii="Times New Roman" w:hAnsi="Times New Roman"/>
          <w:color w:val="auto"/>
          <w:u w:val="none"/>
        </w:rPr>
        <w:t xml:space="preserve">    </w:t>
      </w:r>
      <w:r>
        <w:rPr>
          <w:rStyle w:val="122"/>
          <w:rFonts w:hint="eastAsia" w:ascii="Times New Roman" w:hAnsi="Times New Roman"/>
          <w:color w:val="auto"/>
          <w:u w:val="none"/>
        </w:rPr>
        <w:t>气</w:t>
      </w:r>
      <w:r>
        <w:rPr>
          <w:rFonts w:ascii="Times New Roman" w:hAnsi="Times New Roman"/>
        </w:rPr>
        <w:tab/>
      </w:r>
      <w:r>
        <w:rPr>
          <w:rFonts w:ascii="Times New Roman" w:hAnsi="Times New Roman"/>
        </w:rPr>
        <w:t>423</w:t>
      </w:r>
    </w:p>
    <w:p w14:paraId="569D5ED4">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30.6</w:t>
      </w:r>
      <w:r>
        <w:rPr>
          <w:rFonts w:ascii="Times New Roman" w:hAnsi="Times New Roman" w:cstheme="minorBidi"/>
          <w:bCs w:val="0"/>
        </w:rPr>
        <w:tab/>
      </w:r>
      <w:r>
        <w:rPr>
          <w:rStyle w:val="122"/>
          <w:rFonts w:hint="eastAsia" w:ascii="Times New Roman" w:hAnsi="Times New Roman"/>
          <w:color w:val="auto"/>
          <w:u w:val="none"/>
        </w:rPr>
        <w:t>防</w:t>
      </w:r>
      <w:r>
        <w:rPr>
          <w:rStyle w:val="122"/>
          <w:rFonts w:ascii="Times New Roman" w:hAnsi="Times New Roman"/>
          <w:color w:val="auto"/>
          <w:u w:val="none"/>
        </w:rPr>
        <w:t xml:space="preserve"> </w:t>
      </w:r>
      <w:r>
        <w:rPr>
          <w:rStyle w:val="122"/>
          <w:rFonts w:hint="eastAsia" w:ascii="Times New Roman" w:hAnsi="Times New Roman"/>
          <w:color w:val="auto"/>
          <w:u w:val="none"/>
        </w:rPr>
        <w:t>灾</w:t>
      </w:r>
      <w:r>
        <w:rPr>
          <w:rStyle w:val="122"/>
          <w:rFonts w:ascii="Times New Roman" w:hAnsi="Times New Roman"/>
          <w:color w:val="auto"/>
          <w:u w:val="none"/>
        </w:rPr>
        <w:t xml:space="preserve"> </w:t>
      </w:r>
      <w:r>
        <w:rPr>
          <w:rStyle w:val="122"/>
          <w:rFonts w:hint="eastAsia" w:ascii="Times New Roman" w:hAnsi="Times New Roman"/>
          <w:color w:val="auto"/>
          <w:u w:val="none"/>
        </w:rPr>
        <w:t>通</w:t>
      </w:r>
      <w:r>
        <w:rPr>
          <w:rStyle w:val="122"/>
          <w:rFonts w:ascii="Times New Roman" w:hAnsi="Times New Roman"/>
          <w:color w:val="auto"/>
          <w:u w:val="none"/>
        </w:rPr>
        <w:t xml:space="preserve"> </w:t>
      </w:r>
      <w:r>
        <w:rPr>
          <w:rStyle w:val="122"/>
          <w:rFonts w:hint="eastAsia" w:ascii="Times New Roman" w:hAnsi="Times New Roman"/>
          <w:color w:val="auto"/>
          <w:u w:val="none"/>
        </w:rPr>
        <w:t>信</w:t>
      </w:r>
      <w:r>
        <w:rPr>
          <w:rFonts w:ascii="Times New Roman" w:hAnsi="Times New Roman"/>
        </w:rPr>
        <w:tab/>
      </w:r>
      <w:r>
        <w:rPr>
          <w:rFonts w:ascii="Times New Roman" w:hAnsi="Times New Roman"/>
        </w:rPr>
        <w:t>427</w:t>
      </w:r>
    </w:p>
    <w:p w14:paraId="6E4BBF3C">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30.7</w:t>
      </w:r>
      <w:r>
        <w:rPr>
          <w:rFonts w:ascii="Times New Roman" w:hAnsi="Times New Roman" w:cstheme="minorBidi"/>
          <w:bCs w:val="0"/>
        </w:rPr>
        <w:tab/>
      </w:r>
      <w:r>
        <w:rPr>
          <w:rStyle w:val="122"/>
          <w:rFonts w:hint="eastAsia" w:ascii="Times New Roman" w:hAnsi="Times New Roman"/>
          <w:color w:val="auto"/>
          <w:u w:val="none"/>
        </w:rPr>
        <w:t>区间安全疏散</w:t>
      </w:r>
      <w:r>
        <w:rPr>
          <w:rFonts w:ascii="Times New Roman" w:hAnsi="Times New Roman"/>
        </w:rPr>
        <w:tab/>
      </w:r>
      <w:r>
        <w:rPr>
          <w:rFonts w:ascii="Times New Roman" w:hAnsi="Times New Roman"/>
        </w:rPr>
        <w:t>428</w:t>
      </w:r>
    </w:p>
    <w:p w14:paraId="6AF440ED">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30.8</w:t>
      </w:r>
      <w:r>
        <w:rPr>
          <w:rFonts w:ascii="Times New Roman" w:hAnsi="Times New Roman" w:cstheme="minorBidi"/>
          <w:bCs w:val="0"/>
        </w:rPr>
        <w:tab/>
      </w:r>
      <w:r>
        <w:rPr>
          <w:rStyle w:val="122"/>
          <w:rFonts w:hint="eastAsia" w:ascii="Times New Roman" w:hAnsi="Times New Roman"/>
          <w:color w:val="auto"/>
          <w:u w:val="none"/>
        </w:rPr>
        <w:t>防水淹</w:t>
      </w:r>
      <w:r>
        <w:rPr>
          <w:rFonts w:ascii="Times New Roman" w:hAnsi="Times New Roman"/>
        </w:rPr>
        <w:tab/>
      </w:r>
      <w:r>
        <w:rPr>
          <w:rFonts w:ascii="Times New Roman" w:hAnsi="Times New Roman"/>
        </w:rPr>
        <w:t>430</w:t>
      </w:r>
    </w:p>
    <w:p w14:paraId="376BC619">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30.9</w:t>
      </w:r>
      <w:r>
        <w:rPr>
          <w:rFonts w:ascii="Times New Roman" w:hAnsi="Times New Roman" w:cstheme="minorBidi"/>
          <w:bCs w:val="0"/>
        </w:rPr>
        <w:tab/>
      </w:r>
      <w:r>
        <w:rPr>
          <w:rStyle w:val="122"/>
          <w:rFonts w:hint="eastAsia" w:ascii="Times New Roman" w:hAnsi="Times New Roman"/>
          <w:color w:val="auto"/>
          <w:u w:val="none"/>
        </w:rPr>
        <w:t>其他灾害预防和报警</w:t>
      </w:r>
      <w:r>
        <w:rPr>
          <w:rFonts w:ascii="Times New Roman" w:hAnsi="Times New Roman"/>
        </w:rPr>
        <w:tab/>
      </w:r>
      <w:r>
        <w:rPr>
          <w:rFonts w:ascii="Times New Roman" w:hAnsi="Times New Roman"/>
        </w:rPr>
        <w:t>434</w:t>
      </w:r>
    </w:p>
    <w:p w14:paraId="3C9B8C9E">
      <w:pPr>
        <w:pStyle w:val="59"/>
        <w:tabs>
          <w:tab w:val="left" w:pos="630"/>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14:scene3d>
            <w14:lightRig w14:rig="threePt" w14:dir="t">
              <w14:rot w14:lat="0" w14:lon="0" w14:rev="0"/>
            </w14:lightRig>
          </w14:scene3d>
        </w:rPr>
        <w:t>31</w:t>
      </w:r>
      <w:r>
        <w:rPr>
          <w:rFonts w:ascii="Times New Roman" w:hAnsi="Times New Roman" w:cstheme="minorBidi"/>
          <w:b w:val="0"/>
          <w:bCs w:val="0"/>
          <w:i w:val="0"/>
          <w:iCs w:val="0"/>
          <w:szCs w:val="22"/>
        </w:rPr>
        <w:tab/>
      </w:r>
      <w:r>
        <w:rPr>
          <w:rStyle w:val="122"/>
          <w:rFonts w:hint="eastAsia" w:ascii="Times New Roman" w:hAnsi="Times New Roman"/>
          <w:b w:val="0"/>
          <w:i w:val="0"/>
          <w:color w:val="auto"/>
          <w:u w:val="none"/>
        </w:rPr>
        <w:t>环保节能</w:t>
      </w:r>
      <w:r>
        <w:rPr>
          <w:rFonts w:ascii="Times New Roman" w:hAnsi="Times New Roman"/>
          <w:b w:val="0"/>
          <w:i w:val="0"/>
        </w:rPr>
        <w:tab/>
      </w:r>
      <w:r>
        <w:rPr>
          <w:rFonts w:ascii="Times New Roman" w:hAnsi="Times New Roman"/>
          <w:b w:val="0"/>
          <w:i w:val="0"/>
        </w:rPr>
        <w:t>435</w:t>
      </w:r>
    </w:p>
    <w:p w14:paraId="366E5394">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31.1</w:t>
      </w:r>
      <w:r>
        <w:rPr>
          <w:rFonts w:ascii="Times New Roman" w:hAnsi="Times New Roman" w:cstheme="minorBidi"/>
          <w:bCs w:val="0"/>
        </w:rPr>
        <w:tab/>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435</w:t>
      </w:r>
    </w:p>
    <w:p w14:paraId="418927DD">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31.2</w:t>
      </w:r>
      <w:r>
        <w:rPr>
          <w:rFonts w:ascii="Times New Roman" w:hAnsi="Times New Roman" w:cstheme="minorBidi"/>
          <w:bCs w:val="0"/>
        </w:rPr>
        <w:tab/>
      </w:r>
      <w:r>
        <w:rPr>
          <w:rStyle w:val="122"/>
          <w:rFonts w:hint="eastAsia" w:ascii="Times New Roman" w:hAnsi="Times New Roman"/>
          <w:color w:val="auto"/>
          <w:u w:val="none"/>
        </w:rPr>
        <w:t>环境保护</w:t>
      </w:r>
      <w:r>
        <w:rPr>
          <w:rFonts w:ascii="Times New Roman" w:hAnsi="Times New Roman"/>
        </w:rPr>
        <w:tab/>
      </w:r>
      <w:r>
        <w:rPr>
          <w:rFonts w:ascii="Times New Roman" w:hAnsi="Times New Roman"/>
        </w:rPr>
        <w:t>435</w:t>
      </w:r>
    </w:p>
    <w:p w14:paraId="45CB0D9F">
      <w:pPr>
        <w:pStyle w:val="74"/>
        <w:tabs>
          <w:tab w:val="left" w:pos="1050"/>
          <w:tab w:val="right" w:leader="dot" w:pos="6114"/>
        </w:tabs>
        <w:rPr>
          <w:rFonts w:ascii="Times New Roman" w:hAnsi="Times New Roman" w:cstheme="minorBidi"/>
          <w:bCs w:val="0"/>
        </w:rPr>
      </w:pPr>
      <w:r>
        <w:rPr>
          <w:rStyle w:val="122"/>
          <w:rFonts w:ascii="Times New Roman" w:hAnsi="Times New Roman"/>
          <w:color w:val="auto"/>
          <w:u w:val="none"/>
        </w:rPr>
        <w:t>31.3</w:t>
      </w:r>
      <w:r>
        <w:rPr>
          <w:rFonts w:ascii="Times New Roman" w:hAnsi="Times New Roman" w:cstheme="minorBidi"/>
          <w:bCs w:val="0"/>
        </w:rPr>
        <w:tab/>
      </w:r>
      <w:r>
        <w:rPr>
          <w:rStyle w:val="122"/>
          <w:rFonts w:hint="eastAsia" w:ascii="Times New Roman" w:hAnsi="Times New Roman"/>
          <w:color w:val="auto"/>
          <w:u w:val="none"/>
        </w:rPr>
        <w:t>节约能源</w:t>
      </w:r>
      <w:r>
        <w:rPr>
          <w:rFonts w:ascii="Times New Roman" w:hAnsi="Times New Roman"/>
        </w:rPr>
        <w:tab/>
      </w:r>
      <w:r>
        <w:rPr>
          <w:rFonts w:ascii="Times New Roman" w:hAnsi="Times New Roman"/>
        </w:rPr>
        <w:t>437</w:t>
      </w:r>
    </w:p>
    <w:p w14:paraId="19D6596B">
      <w:pPr>
        <w:pStyle w:val="59"/>
        <w:tabs>
          <w:tab w:val="left" w:pos="225"/>
          <w:tab w:val="right" w:leader="dot" w:pos="6114"/>
        </w:tabs>
        <w:rPr>
          <w:rFonts w:ascii="Times New Roman" w:hAnsi="Times New Roman" w:cstheme="minorBidi"/>
          <w:b w:val="0"/>
          <w:bCs w:val="0"/>
          <w:i w:val="0"/>
          <w:iCs w:val="0"/>
          <w:szCs w:val="22"/>
        </w:rPr>
      </w:pPr>
      <w:r>
        <w:rPr>
          <w:rFonts w:hint="eastAsia" w:ascii="Times New Roman" w:hAnsi="Times New Roman" w:cstheme="minorBidi"/>
          <w:b w:val="0"/>
          <w:bCs w:val="0"/>
          <w:i w:val="0"/>
          <w:iCs w:val="0"/>
          <w:szCs w:val="22"/>
        </w:rPr>
        <w:t>条文说明</w:t>
      </w:r>
      <w:r>
        <w:rPr>
          <w:rFonts w:ascii="Times New Roman" w:hAnsi="Times New Roman"/>
          <w:b w:val="0"/>
          <w:i w:val="0"/>
        </w:rPr>
        <w:tab/>
      </w:r>
      <w:r>
        <w:rPr>
          <w:rFonts w:ascii="Times New Roman" w:hAnsi="Times New Roman"/>
          <w:b w:val="0"/>
          <w:i w:val="0"/>
        </w:rPr>
        <w:t>4</w:t>
      </w:r>
      <w:r>
        <w:rPr>
          <w:rFonts w:hint="eastAsia" w:ascii="Times New Roman" w:hAnsi="Times New Roman"/>
          <w:b w:val="0"/>
          <w:i w:val="0"/>
        </w:rPr>
        <w:t>41</w:t>
      </w:r>
    </w:p>
    <w:p w14:paraId="4F310A61">
      <w:pPr>
        <w:widowControl/>
        <w:spacing w:line="240" w:lineRule="auto"/>
        <w:jc w:val="left"/>
      </w:pPr>
    </w:p>
    <w:p w14:paraId="27680108">
      <w:pPr>
        <w:widowControl/>
        <w:spacing w:line="240" w:lineRule="auto"/>
        <w:jc w:val="left"/>
      </w:pPr>
      <w:r>
        <w:br w:type="page"/>
      </w:r>
    </w:p>
    <w:p w14:paraId="5BFC68EB">
      <w:pPr>
        <w:ind w:firstLine="600"/>
        <w:jc w:val="center"/>
        <w:rPr>
          <w:rFonts w:ascii="黑体" w:hAnsi="黑体" w:eastAsia="黑体"/>
          <w:sz w:val="30"/>
          <w:szCs w:val="30"/>
        </w:rPr>
      </w:pPr>
      <w:bookmarkStart w:id="2" w:name="_Toc357929296"/>
      <w:bookmarkStart w:id="3" w:name="_Toc337994105"/>
      <w:r>
        <w:rPr>
          <w:rFonts w:ascii="黑体" w:hAnsi="黑体" w:eastAsia="黑体"/>
          <w:sz w:val="30"/>
          <w:szCs w:val="30"/>
        </w:rPr>
        <w:t>CONTENTS</w:t>
      </w:r>
      <w:bookmarkEnd w:id="2"/>
      <w:bookmarkEnd w:id="3"/>
    </w:p>
    <w:p w14:paraId="7D51F77A"/>
    <w:p w14:paraId="4C900A0A">
      <w:pPr>
        <w:tabs>
          <w:tab w:val="left" w:leader="dot" w:pos="5670"/>
          <w:tab w:val="left" w:leader="dot" w:pos="5880"/>
          <w:tab w:val="right" w:leader="dot" w:pos="9256"/>
        </w:tabs>
      </w:pPr>
      <w:r>
        <w:t>1  General Provisions</w:t>
      </w:r>
      <w:r>
        <w:rPr>
          <w:rFonts w:hint="eastAsia"/>
        </w:rPr>
        <w:tab/>
      </w:r>
      <w:r>
        <w:t>1</w:t>
      </w:r>
    </w:p>
    <w:p w14:paraId="4CDE1240">
      <w:pPr>
        <w:tabs>
          <w:tab w:val="left" w:leader="dot" w:pos="5670"/>
          <w:tab w:val="left" w:leader="dot" w:pos="5880"/>
          <w:tab w:val="right" w:leader="dot" w:pos="9256"/>
        </w:tabs>
      </w:pPr>
      <w:r>
        <w:t>2</w:t>
      </w:r>
      <w:r>
        <w:rPr>
          <w:rFonts w:hint="eastAsia"/>
        </w:rPr>
        <w:t xml:space="preserve">  </w:t>
      </w:r>
      <w:r>
        <w:t>Terms and Definitions</w:t>
      </w:r>
      <w:r>
        <w:tab/>
      </w:r>
      <w:r>
        <w:rPr>
          <w:rFonts w:hint="eastAsia"/>
        </w:rPr>
        <w:t>2</w:t>
      </w:r>
    </w:p>
    <w:p w14:paraId="7E6EFB4F">
      <w:pPr>
        <w:tabs>
          <w:tab w:val="left" w:leader="dot" w:pos="5670"/>
          <w:tab w:val="left" w:leader="dot" w:pos="5880"/>
          <w:tab w:val="right" w:leader="dot" w:pos="9256"/>
        </w:tabs>
      </w:pPr>
      <w:r>
        <w:rPr>
          <w:rFonts w:hint="eastAsia"/>
        </w:rPr>
        <w:t xml:space="preserve">3  </w:t>
      </w:r>
      <w:r>
        <w:t>General Provisions</w:t>
      </w:r>
      <w:r>
        <w:tab/>
      </w:r>
      <w:r>
        <w:t>13</w:t>
      </w:r>
    </w:p>
    <w:p w14:paraId="02AC12A5">
      <w:pPr>
        <w:tabs>
          <w:tab w:val="left" w:leader="dot" w:pos="5670"/>
          <w:tab w:val="left" w:leader="dot" w:pos="5880"/>
          <w:tab w:val="right" w:leader="dot" w:pos="9256"/>
        </w:tabs>
      </w:pPr>
      <w:r>
        <w:rPr>
          <w:rFonts w:hint="eastAsia"/>
        </w:rPr>
        <w:t xml:space="preserve">4  </w:t>
      </w:r>
      <w:r>
        <w:t>Operation Organization</w:t>
      </w:r>
      <w:r>
        <w:rPr>
          <w:rFonts w:hint="eastAsia"/>
        </w:rPr>
        <w:tab/>
      </w:r>
      <w:r>
        <w:rPr>
          <w:rFonts w:hint="eastAsia"/>
        </w:rPr>
        <w:t>17</w:t>
      </w:r>
    </w:p>
    <w:p w14:paraId="1E53EAAF">
      <w:pPr>
        <w:tabs>
          <w:tab w:val="left" w:leader="dot" w:pos="5670"/>
          <w:tab w:val="left" w:leader="dot" w:pos="5880"/>
          <w:tab w:val="right" w:leader="dot" w:pos="9256"/>
        </w:tabs>
        <w:ind w:firstLine="210" w:firstLineChars="100"/>
      </w:pPr>
      <w:r>
        <w:rPr>
          <w:rFonts w:hint="eastAsia"/>
        </w:rPr>
        <w:t>4</w:t>
      </w:r>
      <w:r>
        <w:t>.1</w:t>
      </w:r>
      <w:r>
        <w:rPr>
          <w:rFonts w:hint="eastAsia"/>
        </w:rPr>
        <w:t xml:space="preserve">  </w:t>
      </w:r>
      <w:r>
        <w:t>General Requirements</w:t>
      </w:r>
      <w:r>
        <w:rPr>
          <w:rFonts w:hint="eastAsia"/>
        </w:rPr>
        <w:tab/>
      </w:r>
      <w:r>
        <w:rPr>
          <w:rFonts w:hint="eastAsia"/>
        </w:rPr>
        <w:t>17</w:t>
      </w:r>
    </w:p>
    <w:p w14:paraId="145EEB89">
      <w:pPr>
        <w:tabs>
          <w:tab w:val="left" w:leader="dot" w:pos="5670"/>
          <w:tab w:val="left" w:leader="dot" w:pos="5880"/>
          <w:tab w:val="right" w:leader="dot" w:pos="9256"/>
        </w:tabs>
        <w:ind w:firstLine="210" w:firstLineChars="100"/>
      </w:pPr>
      <w:r>
        <w:rPr>
          <w:rFonts w:hint="eastAsia"/>
        </w:rPr>
        <w:t>4</w:t>
      </w:r>
      <w:r>
        <w:t>.2  Operation Scale</w:t>
      </w:r>
      <w:r>
        <w:tab/>
      </w:r>
      <w:r>
        <w:rPr>
          <w:rFonts w:hint="eastAsia"/>
        </w:rPr>
        <w:t>1</w:t>
      </w:r>
      <w:r>
        <w:t>8</w:t>
      </w:r>
    </w:p>
    <w:p w14:paraId="187E947B">
      <w:pPr>
        <w:tabs>
          <w:tab w:val="left" w:leader="dot" w:pos="5670"/>
          <w:tab w:val="left" w:leader="dot" w:pos="5880"/>
          <w:tab w:val="right" w:leader="dot" w:pos="9256"/>
        </w:tabs>
        <w:ind w:firstLine="210" w:firstLineChars="100"/>
      </w:pPr>
      <w:r>
        <w:rPr>
          <w:rFonts w:hint="eastAsia"/>
        </w:rPr>
        <w:t>4</w:t>
      </w:r>
      <w:r>
        <w:t>.3  Train Dispatching</w:t>
      </w:r>
      <w:r>
        <w:tab/>
      </w:r>
      <w:r>
        <w:rPr>
          <w:rFonts w:hint="eastAsia"/>
        </w:rPr>
        <w:t>19</w:t>
      </w:r>
    </w:p>
    <w:p w14:paraId="4B12DE84">
      <w:pPr>
        <w:tabs>
          <w:tab w:val="left" w:leader="dot" w:pos="5670"/>
          <w:tab w:val="left" w:leader="dot" w:pos="5880"/>
          <w:tab w:val="right" w:leader="dot" w:pos="9256"/>
        </w:tabs>
        <w:ind w:firstLine="210" w:firstLineChars="100"/>
      </w:pPr>
      <w:r>
        <w:rPr>
          <w:rFonts w:hint="eastAsia"/>
        </w:rPr>
        <w:t>4</w:t>
      </w:r>
      <w:r>
        <w:t>.4</w:t>
      </w:r>
      <w:r>
        <w:rPr>
          <w:rFonts w:hint="eastAsia"/>
        </w:rPr>
        <w:t xml:space="preserve">  </w:t>
      </w:r>
      <w:r>
        <w:t>Operating Sidings</w:t>
      </w:r>
      <w:r>
        <w:tab/>
      </w:r>
      <w:r>
        <w:rPr>
          <w:rFonts w:hint="eastAsia"/>
        </w:rPr>
        <w:t>23</w:t>
      </w:r>
    </w:p>
    <w:p w14:paraId="2DEF51C2">
      <w:pPr>
        <w:tabs>
          <w:tab w:val="left" w:leader="dot" w:pos="5670"/>
          <w:tab w:val="left" w:leader="dot" w:pos="5880"/>
          <w:tab w:val="right" w:leader="dot" w:pos="9256"/>
        </w:tabs>
        <w:ind w:firstLine="210" w:firstLineChars="100"/>
      </w:pPr>
      <w:r>
        <w:rPr>
          <w:rFonts w:hint="eastAsia"/>
        </w:rPr>
        <w:t>4</w:t>
      </w:r>
      <w:r>
        <w:t>.</w:t>
      </w:r>
      <w:r>
        <w:rPr>
          <w:rFonts w:hint="eastAsia"/>
        </w:rPr>
        <w:t>5</w:t>
      </w:r>
      <w:r>
        <w:t xml:space="preserve">  Operating Management</w:t>
      </w:r>
      <w:r>
        <w:tab/>
      </w:r>
      <w:r>
        <w:rPr>
          <w:rFonts w:hint="eastAsia"/>
        </w:rPr>
        <w:t>25</w:t>
      </w:r>
    </w:p>
    <w:p w14:paraId="51205738">
      <w:pPr>
        <w:tabs>
          <w:tab w:val="left" w:leader="dot" w:pos="5670"/>
          <w:tab w:val="left" w:leader="dot" w:pos="5880"/>
          <w:tab w:val="right" w:leader="dot" w:pos="9256"/>
        </w:tabs>
      </w:pPr>
      <w:r>
        <w:rPr>
          <w:rFonts w:hint="eastAsia"/>
        </w:rPr>
        <w:t xml:space="preserve">5  </w:t>
      </w:r>
      <w:r>
        <w:t>Vehicle</w:t>
      </w:r>
      <w:r>
        <w:tab/>
      </w:r>
      <w:r>
        <w:rPr>
          <w:rFonts w:hint="eastAsia"/>
        </w:rPr>
        <w:t>27</w:t>
      </w:r>
    </w:p>
    <w:p w14:paraId="60BECDB8">
      <w:pPr>
        <w:pStyle w:val="461"/>
        <w:tabs>
          <w:tab w:val="left" w:leader="dot" w:pos="5670"/>
          <w:tab w:val="left" w:leader="dot" w:pos="5880"/>
          <w:tab w:val="right" w:leader="dot" w:pos="9256"/>
        </w:tabs>
        <w:ind w:firstLine="208" w:firstLineChars="100"/>
        <w:rPr>
          <w:rFonts w:ascii="Times New Roman" w:hAnsi="Times New Roman" w:cs="Times New Roman"/>
          <w:spacing w:val="4"/>
          <w:szCs w:val="24"/>
        </w:rPr>
      </w:pPr>
      <w:r>
        <w:rPr>
          <w:rFonts w:hint="eastAsia" w:ascii="Times New Roman" w:hAnsi="Times New Roman" w:cs="Times New Roman"/>
          <w:spacing w:val="4"/>
          <w:szCs w:val="24"/>
        </w:rPr>
        <w:t>5</w:t>
      </w:r>
      <w:r>
        <w:rPr>
          <w:rFonts w:ascii="Times New Roman" w:hAnsi="Times New Roman" w:cs="Times New Roman"/>
          <w:spacing w:val="4"/>
          <w:szCs w:val="24"/>
        </w:rPr>
        <w:t>.1  General Requirements</w:t>
      </w:r>
      <w:r>
        <w:rPr>
          <w:rFonts w:ascii="Times New Roman" w:hAnsi="Times New Roman" w:cs="Times New Roman"/>
          <w:spacing w:val="4"/>
          <w:szCs w:val="24"/>
        </w:rPr>
        <w:tab/>
      </w:r>
      <w:r>
        <w:rPr>
          <w:rFonts w:hint="eastAsia" w:ascii="Times New Roman" w:hAnsi="Times New Roman" w:cs="Times New Roman"/>
          <w:spacing w:val="4"/>
          <w:szCs w:val="24"/>
        </w:rPr>
        <w:t>27</w:t>
      </w:r>
    </w:p>
    <w:p w14:paraId="12E6E589">
      <w:pPr>
        <w:tabs>
          <w:tab w:val="left" w:leader="dot" w:pos="5670"/>
          <w:tab w:val="left" w:leader="dot" w:pos="5880"/>
          <w:tab w:val="right" w:leader="dot" w:pos="9256"/>
        </w:tabs>
        <w:ind w:firstLine="210" w:firstLineChars="100"/>
      </w:pPr>
      <w:r>
        <w:rPr>
          <w:rFonts w:hint="eastAsia"/>
        </w:rPr>
        <w:t>5</w:t>
      </w:r>
      <w:r>
        <w:t>.2  Service Conditions of Vehicle</w:t>
      </w:r>
      <w:r>
        <w:tab/>
      </w:r>
      <w:r>
        <w:rPr>
          <w:rFonts w:hint="eastAsia"/>
        </w:rPr>
        <w:t>27</w:t>
      </w:r>
    </w:p>
    <w:p w14:paraId="3F007C81">
      <w:pPr>
        <w:tabs>
          <w:tab w:val="left" w:leader="dot" w:pos="5670"/>
          <w:tab w:val="left" w:leader="dot" w:pos="5880"/>
          <w:tab w:val="right" w:leader="dot" w:pos="9256"/>
        </w:tabs>
        <w:ind w:firstLine="210" w:firstLineChars="100"/>
      </w:pPr>
      <w:r>
        <w:rPr>
          <w:rFonts w:hint="eastAsia"/>
        </w:rPr>
        <w:t>5</w:t>
      </w:r>
      <w:r>
        <w:t>.3</w:t>
      </w:r>
      <w:r>
        <w:rPr>
          <w:rFonts w:hint="eastAsia"/>
        </w:rPr>
        <w:t xml:space="preserve">  </w:t>
      </w:r>
      <w:r>
        <w:t>Main Technical Specifications of Vehicle</w:t>
      </w:r>
      <w:r>
        <w:rPr>
          <w:rFonts w:hint="eastAsia"/>
        </w:rPr>
        <w:t xml:space="preserve"> </w:t>
      </w:r>
      <w:r>
        <w:tab/>
      </w:r>
      <w:r>
        <w:rPr>
          <w:rFonts w:hint="eastAsia"/>
        </w:rPr>
        <w:t>28</w:t>
      </w:r>
    </w:p>
    <w:p w14:paraId="10B54280">
      <w:pPr>
        <w:tabs>
          <w:tab w:val="left" w:leader="dot" w:pos="5670"/>
          <w:tab w:val="left" w:leader="dot" w:pos="5880"/>
          <w:tab w:val="right" w:leader="dot" w:pos="9256"/>
        </w:tabs>
        <w:ind w:firstLine="210" w:firstLineChars="100"/>
      </w:pPr>
      <w:r>
        <w:rPr>
          <w:rFonts w:hint="eastAsia"/>
        </w:rPr>
        <w:t>5</w:t>
      </w:r>
      <w:r>
        <w:t>.4  Main Operation Technical Indexes of Vehicle</w:t>
      </w:r>
      <w:r>
        <w:tab/>
      </w:r>
      <w:r>
        <w:rPr>
          <w:rFonts w:hint="eastAsia"/>
        </w:rPr>
        <w:t>29</w:t>
      </w:r>
    </w:p>
    <w:p w14:paraId="14C4CF9E">
      <w:pPr>
        <w:tabs>
          <w:tab w:val="left" w:leader="dot" w:pos="5670"/>
          <w:tab w:val="left" w:leader="dot" w:pos="5880"/>
          <w:tab w:val="right" w:leader="dot" w:pos="9256"/>
        </w:tabs>
        <w:ind w:firstLine="210" w:firstLineChars="100"/>
      </w:pPr>
      <w:r>
        <w:rPr>
          <w:rFonts w:hint="eastAsia"/>
        </w:rPr>
        <w:t>5</w:t>
      </w:r>
      <w:r>
        <w:t>.5  Main Components and System of Vehicle</w:t>
      </w:r>
      <w:r>
        <w:tab/>
      </w:r>
      <w:r>
        <w:rPr>
          <w:rFonts w:hint="eastAsia"/>
        </w:rPr>
        <w:t>31</w:t>
      </w:r>
    </w:p>
    <w:p w14:paraId="5D5D8CD4">
      <w:pPr>
        <w:tabs>
          <w:tab w:val="left" w:leader="dot" w:pos="5670"/>
          <w:tab w:val="left" w:leader="dot" w:pos="5880"/>
          <w:tab w:val="right" w:leader="dot" w:pos="9256"/>
        </w:tabs>
        <w:ind w:firstLine="210" w:firstLineChars="100"/>
      </w:pPr>
      <w:r>
        <w:rPr>
          <w:rFonts w:hint="eastAsia"/>
        </w:rPr>
        <w:t>5.</w:t>
      </w:r>
      <w:r>
        <w:t>6  Safety and Emergency Facilities</w:t>
      </w:r>
      <w:r>
        <w:tab/>
      </w:r>
      <w:r>
        <w:rPr>
          <w:rFonts w:hint="eastAsia"/>
        </w:rPr>
        <w:t>35</w:t>
      </w:r>
    </w:p>
    <w:p w14:paraId="68F09634">
      <w:pPr>
        <w:tabs>
          <w:tab w:val="left" w:leader="dot" w:pos="5670"/>
          <w:tab w:val="left" w:leader="dot" w:pos="5880"/>
          <w:tab w:val="right" w:leader="dot" w:pos="9256"/>
        </w:tabs>
        <w:ind w:firstLine="210" w:firstLineChars="100"/>
      </w:pPr>
      <w:r>
        <w:rPr>
          <w:rFonts w:hint="eastAsia"/>
        </w:rPr>
        <w:t>5.7</w:t>
      </w:r>
      <w:r>
        <w:t xml:space="preserve">  Fully Automated Vehicles</w:t>
      </w:r>
      <w:r>
        <w:tab/>
      </w:r>
      <w:r>
        <w:rPr>
          <w:rFonts w:hint="eastAsia"/>
        </w:rPr>
        <w:t>36</w:t>
      </w:r>
    </w:p>
    <w:p w14:paraId="70BF2606">
      <w:pPr>
        <w:tabs>
          <w:tab w:val="left" w:leader="dot" w:pos="5670"/>
          <w:tab w:val="left" w:leader="dot" w:pos="5880"/>
          <w:tab w:val="right" w:leader="dot" w:pos="9256"/>
        </w:tabs>
      </w:pPr>
      <w:r>
        <w:rPr>
          <w:rFonts w:hint="eastAsia"/>
        </w:rPr>
        <w:t xml:space="preserve">6  </w:t>
      </w:r>
      <w:r>
        <w:t>Gauge</w:t>
      </w:r>
      <w:r>
        <w:tab/>
      </w:r>
      <w:r>
        <w:rPr>
          <w:rFonts w:hint="eastAsia"/>
        </w:rPr>
        <w:t>3</w:t>
      </w:r>
      <w:r>
        <w:t>7</w:t>
      </w:r>
    </w:p>
    <w:p w14:paraId="7022ABEA">
      <w:pPr>
        <w:tabs>
          <w:tab w:val="left" w:leader="dot" w:pos="5670"/>
          <w:tab w:val="left" w:leader="dot" w:pos="5880"/>
          <w:tab w:val="right" w:leader="dot" w:pos="9256"/>
        </w:tabs>
        <w:rPr>
          <w:b/>
          <w:bCs/>
        </w:rPr>
      </w:pPr>
      <w:r>
        <w:rPr>
          <w:rFonts w:hint="eastAsia"/>
        </w:rPr>
        <w:t xml:space="preserve">  6.1  </w:t>
      </w:r>
      <w:r>
        <w:t>General Requirements</w:t>
      </w:r>
      <w:r>
        <w:rPr>
          <w:b/>
          <w:bCs/>
        </w:rPr>
        <w:tab/>
      </w:r>
      <w:r>
        <w:rPr>
          <w:rFonts w:hint="eastAsia"/>
          <w:b/>
          <w:bCs/>
        </w:rPr>
        <w:t>37</w:t>
      </w:r>
    </w:p>
    <w:p w14:paraId="7D2A1409">
      <w:pPr>
        <w:tabs>
          <w:tab w:val="left" w:leader="dot" w:pos="5670"/>
          <w:tab w:val="left" w:leader="dot" w:pos="5880"/>
          <w:tab w:val="right" w:leader="dot" w:pos="9256"/>
        </w:tabs>
      </w:pPr>
      <w:r>
        <w:rPr>
          <w:rFonts w:hint="eastAsia"/>
        </w:rPr>
        <w:t xml:space="preserve">  6.2  </w:t>
      </w:r>
      <w:r>
        <w:t>Basic Parameters of Gauge</w:t>
      </w:r>
      <w:r>
        <w:tab/>
      </w:r>
      <w:r>
        <w:rPr>
          <w:rFonts w:hint="eastAsia"/>
        </w:rPr>
        <w:t>38</w:t>
      </w:r>
    </w:p>
    <w:p w14:paraId="524F89FD">
      <w:pPr>
        <w:tabs>
          <w:tab w:val="left" w:leader="dot" w:pos="5670"/>
          <w:tab w:val="left" w:leader="dot" w:pos="5880"/>
          <w:tab w:val="right" w:leader="dot" w:pos="9256"/>
        </w:tabs>
      </w:pPr>
      <w:r>
        <w:rPr>
          <w:rFonts w:hint="eastAsia"/>
        </w:rPr>
        <w:t xml:space="preserve">  6.3  </w:t>
      </w:r>
      <w:r>
        <w:t>Structure Gauge</w:t>
      </w:r>
      <w:r>
        <w:tab/>
      </w:r>
      <w:r>
        <w:rPr>
          <w:rFonts w:hint="eastAsia"/>
        </w:rPr>
        <w:t>38</w:t>
      </w:r>
    </w:p>
    <w:p w14:paraId="506D9E54">
      <w:pPr>
        <w:tabs>
          <w:tab w:val="left" w:leader="dot" w:pos="5670"/>
          <w:tab w:val="left" w:leader="dot" w:pos="5880"/>
          <w:tab w:val="right" w:leader="dot" w:pos="9256"/>
        </w:tabs>
      </w:pPr>
      <w:r>
        <w:rPr>
          <w:rFonts w:hint="eastAsia"/>
        </w:rPr>
        <w:t xml:space="preserve">  6.4  </w:t>
      </w:r>
      <w:r>
        <w:t xml:space="preserve">Layout Principles for Pipelines and Equipments in Track </w:t>
      </w:r>
    </w:p>
    <w:p w14:paraId="185FDA2E">
      <w:pPr>
        <w:tabs>
          <w:tab w:val="left" w:leader="dot" w:pos="5670"/>
          <w:tab w:val="left" w:leader="dot" w:pos="5880"/>
          <w:tab w:val="right" w:leader="dot" w:pos="9256"/>
        </w:tabs>
        <w:ind w:firstLine="630" w:firstLineChars="300"/>
      </w:pPr>
      <w:r>
        <w:t>Area</w:t>
      </w:r>
      <w:r>
        <w:tab/>
      </w:r>
      <w:r>
        <w:rPr>
          <w:rFonts w:hint="eastAsia"/>
        </w:rPr>
        <w:t>42</w:t>
      </w:r>
    </w:p>
    <w:p w14:paraId="3041CC23">
      <w:pPr>
        <w:tabs>
          <w:tab w:val="left" w:leader="dot" w:pos="5670"/>
          <w:tab w:val="left" w:leader="dot" w:pos="5880"/>
          <w:tab w:val="right" w:leader="dot" w:pos="9256"/>
        </w:tabs>
      </w:pPr>
      <w:r>
        <w:rPr>
          <w:rFonts w:hint="eastAsia"/>
        </w:rPr>
        <w:t xml:space="preserve">7  </w:t>
      </w:r>
      <w:r>
        <w:t>Line</w:t>
      </w:r>
      <w:r>
        <w:tab/>
      </w:r>
      <w:r>
        <w:rPr>
          <w:rFonts w:hint="eastAsia"/>
        </w:rPr>
        <w:t xml:space="preserve">44 </w:t>
      </w:r>
    </w:p>
    <w:p w14:paraId="674121BF">
      <w:pPr>
        <w:tabs>
          <w:tab w:val="left" w:leader="dot" w:pos="5670"/>
          <w:tab w:val="left" w:leader="dot" w:pos="5880"/>
          <w:tab w:val="right" w:leader="dot" w:pos="9256"/>
        </w:tabs>
      </w:pPr>
      <w:r>
        <w:rPr>
          <w:rFonts w:hint="eastAsia"/>
        </w:rPr>
        <w:t xml:space="preserve">  7.1  </w:t>
      </w:r>
      <w:r>
        <w:t>General Requirements</w:t>
      </w:r>
      <w:r>
        <w:tab/>
      </w:r>
      <w:r>
        <w:rPr>
          <w:rFonts w:hint="eastAsia"/>
        </w:rPr>
        <w:t>44</w:t>
      </w:r>
    </w:p>
    <w:p w14:paraId="48B87DB8">
      <w:pPr>
        <w:tabs>
          <w:tab w:val="left" w:leader="dot" w:pos="5670"/>
          <w:tab w:val="left" w:leader="dot" w:pos="5880"/>
          <w:tab w:val="right" w:leader="dot" w:pos="9256"/>
        </w:tabs>
      </w:pPr>
      <w:r>
        <w:rPr>
          <w:rFonts w:hint="eastAsia"/>
        </w:rPr>
        <w:t xml:space="preserve">  7.2  </w:t>
      </w:r>
      <w:r>
        <w:t>Plane of the Line</w:t>
      </w:r>
      <w:r>
        <w:tab/>
      </w:r>
      <w:r>
        <w:rPr>
          <w:rFonts w:hint="eastAsia"/>
        </w:rPr>
        <w:t>47</w:t>
      </w:r>
    </w:p>
    <w:p w14:paraId="68BBD3CF">
      <w:pPr>
        <w:tabs>
          <w:tab w:val="left" w:leader="dot" w:pos="5670"/>
          <w:tab w:val="left" w:leader="dot" w:pos="5880"/>
          <w:tab w:val="right" w:leader="dot" w:pos="9256"/>
        </w:tabs>
      </w:pPr>
      <w:r>
        <w:rPr>
          <w:rFonts w:hint="eastAsia"/>
        </w:rPr>
        <w:t xml:space="preserve">  7.3  </w:t>
      </w:r>
      <w:r>
        <w:t>Profile of the Line</w:t>
      </w:r>
      <w:r>
        <w:tab/>
      </w:r>
      <w:r>
        <w:rPr>
          <w:rFonts w:hint="eastAsia"/>
        </w:rPr>
        <w:t>54</w:t>
      </w:r>
    </w:p>
    <w:p w14:paraId="08B98F7C">
      <w:pPr>
        <w:tabs>
          <w:tab w:val="left" w:leader="dot" w:pos="5670"/>
          <w:tab w:val="left" w:leader="dot" w:pos="5880"/>
          <w:tab w:val="right" w:leader="dot" w:pos="9256"/>
        </w:tabs>
      </w:pPr>
      <w:r>
        <w:rPr>
          <w:rFonts w:hint="eastAsia"/>
        </w:rPr>
        <w:t xml:space="preserve">  7.4  </w:t>
      </w:r>
      <w:r>
        <w:t>Sidings</w:t>
      </w:r>
      <w:r>
        <w:tab/>
      </w:r>
      <w:r>
        <w:rPr>
          <w:rFonts w:hint="eastAsia"/>
        </w:rPr>
        <w:t>56</w:t>
      </w:r>
    </w:p>
    <w:p w14:paraId="51C22F02">
      <w:pPr>
        <w:tabs>
          <w:tab w:val="left" w:leader="dot" w:pos="5670"/>
          <w:tab w:val="left" w:leader="dot" w:pos="5880"/>
          <w:tab w:val="right" w:leader="dot" w:pos="9256"/>
        </w:tabs>
      </w:pPr>
      <w:r>
        <w:rPr>
          <w:rFonts w:hint="eastAsia"/>
        </w:rPr>
        <w:t xml:space="preserve">8  </w:t>
      </w:r>
      <w:r>
        <w:t>Track</w:t>
      </w:r>
      <w:r>
        <w:tab/>
      </w:r>
      <w:r>
        <w:rPr>
          <w:rFonts w:hint="eastAsia"/>
        </w:rPr>
        <w:t>5</w:t>
      </w:r>
      <w:r>
        <w:t>7</w:t>
      </w:r>
    </w:p>
    <w:p w14:paraId="21924AF3">
      <w:pPr>
        <w:tabs>
          <w:tab w:val="left" w:leader="dot" w:pos="5670"/>
          <w:tab w:val="left" w:leader="dot" w:pos="5880"/>
          <w:tab w:val="right" w:leader="dot" w:pos="9256"/>
        </w:tabs>
        <w:ind w:firstLine="210" w:firstLineChars="100"/>
      </w:pPr>
      <w:r>
        <w:rPr>
          <w:rFonts w:hint="eastAsia"/>
        </w:rPr>
        <w:t>8</w:t>
      </w:r>
      <w:r>
        <w:t>.1  General Requirements</w:t>
      </w:r>
      <w:r>
        <w:rPr>
          <w:rFonts w:hint="eastAsia"/>
        </w:rPr>
        <w:tab/>
      </w:r>
      <w:r>
        <w:rPr>
          <w:rFonts w:hint="eastAsia"/>
        </w:rPr>
        <w:t>5</w:t>
      </w:r>
      <w:r>
        <w:t>7</w:t>
      </w:r>
    </w:p>
    <w:p w14:paraId="04522359">
      <w:pPr>
        <w:tabs>
          <w:tab w:val="left" w:leader="dot" w:pos="5670"/>
          <w:tab w:val="left" w:leader="dot" w:pos="5880"/>
          <w:tab w:val="right" w:leader="dot" w:pos="9256"/>
        </w:tabs>
        <w:ind w:firstLine="210" w:firstLineChars="100"/>
      </w:pPr>
      <w:r>
        <w:rPr>
          <w:rFonts w:hint="eastAsia"/>
        </w:rPr>
        <w:t>8</w:t>
      </w:r>
      <w:r>
        <w:t>.2</w:t>
      </w:r>
      <w:r>
        <w:rPr>
          <w:rFonts w:hint="eastAsia"/>
        </w:rPr>
        <w:t xml:space="preserve">  </w:t>
      </w:r>
      <w:r>
        <w:t>Basic Technical Requirements</w:t>
      </w:r>
      <w:r>
        <w:rPr>
          <w:rFonts w:hint="eastAsia"/>
        </w:rPr>
        <w:tab/>
      </w:r>
      <w:r>
        <w:rPr>
          <w:rFonts w:hint="eastAsia"/>
        </w:rPr>
        <w:t>5</w:t>
      </w:r>
      <w:r>
        <w:t>7</w:t>
      </w:r>
    </w:p>
    <w:p w14:paraId="5E22C35B">
      <w:pPr>
        <w:tabs>
          <w:tab w:val="left" w:leader="dot" w:pos="5670"/>
          <w:tab w:val="left" w:leader="dot" w:pos="5880"/>
          <w:tab w:val="right" w:leader="dot" w:pos="9256"/>
        </w:tabs>
        <w:ind w:firstLine="210" w:firstLineChars="100"/>
      </w:pPr>
      <w:r>
        <w:rPr>
          <w:rFonts w:hint="eastAsia"/>
        </w:rPr>
        <w:t>8</w:t>
      </w:r>
      <w:r>
        <w:t>.3</w:t>
      </w:r>
      <w:r>
        <w:rPr>
          <w:rFonts w:hint="eastAsia"/>
        </w:rPr>
        <w:t xml:space="preserve">  </w:t>
      </w:r>
      <w:r>
        <w:t>Ancillary Components of Track</w:t>
      </w:r>
      <w:r>
        <w:tab/>
      </w:r>
      <w:r>
        <w:rPr>
          <w:rFonts w:hint="eastAsia"/>
        </w:rPr>
        <w:t>60</w:t>
      </w:r>
    </w:p>
    <w:p w14:paraId="76AD5279">
      <w:pPr>
        <w:tabs>
          <w:tab w:val="left" w:leader="dot" w:pos="5670"/>
          <w:tab w:val="left" w:leader="dot" w:pos="5880"/>
          <w:tab w:val="right" w:leader="dot" w:pos="9256"/>
        </w:tabs>
        <w:ind w:firstLine="210" w:firstLineChars="100"/>
      </w:pPr>
      <w:r>
        <w:rPr>
          <w:rFonts w:hint="eastAsia"/>
        </w:rPr>
        <w:t>8</w:t>
      </w:r>
      <w:r>
        <w:t>.4  Track-bed Structure</w:t>
      </w:r>
      <w:r>
        <w:tab/>
      </w:r>
      <w:r>
        <w:rPr>
          <w:rFonts w:hint="eastAsia"/>
        </w:rPr>
        <w:t>62</w:t>
      </w:r>
    </w:p>
    <w:p w14:paraId="7241D2AE">
      <w:pPr>
        <w:tabs>
          <w:tab w:val="left" w:leader="dot" w:pos="5670"/>
          <w:tab w:val="left" w:leader="dot" w:pos="5880"/>
          <w:tab w:val="right" w:leader="dot" w:pos="9256"/>
        </w:tabs>
        <w:ind w:firstLine="210" w:firstLineChars="100"/>
      </w:pPr>
      <w:r>
        <w:rPr>
          <w:rFonts w:hint="eastAsia"/>
        </w:rPr>
        <w:t>8</w:t>
      </w:r>
      <w:r>
        <w:t>.5  Continuously Welded Rail Track</w:t>
      </w:r>
      <w:r>
        <w:tab/>
      </w:r>
      <w:r>
        <w:rPr>
          <w:rFonts w:hint="eastAsia"/>
        </w:rPr>
        <w:t>64</w:t>
      </w:r>
    </w:p>
    <w:p w14:paraId="623C5E9C">
      <w:pPr>
        <w:tabs>
          <w:tab w:val="left" w:leader="dot" w:pos="5670"/>
          <w:tab w:val="left" w:leader="dot" w:pos="5880"/>
          <w:tab w:val="right" w:leader="dot" w:pos="9256"/>
        </w:tabs>
        <w:ind w:firstLine="210" w:firstLineChars="100"/>
      </w:pPr>
      <w:r>
        <w:rPr>
          <w:rFonts w:hint="eastAsia"/>
        </w:rPr>
        <w:t>8</w:t>
      </w:r>
      <w:r>
        <w:t>.6  Track Vibration Damping</w:t>
      </w:r>
      <w:r>
        <w:tab/>
      </w:r>
      <w:r>
        <w:rPr>
          <w:rFonts w:hint="eastAsia"/>
        </w:rPr>
        <w:t>65</w:t>
      </w:r>
    </w:p>
    <w:p w14:paraId="41067B30">
      <w:pPr>
        <w:tabs>
          <w:tab w:val="left" w:leader="dot" w:pos="5670"/>
          <w:tab w:val="left" w:leader="dot" w:pos="5880"/>
          <w:tab w:val="right" w:leader="dot" w:pos="9256"/>
        </w:tabs>
        <w:ind w:firstLine="210" w:firstLineChars="100"/>
      </w:pPr>
      <w:r>
        <w:rPr>
          <w:rFonts w:hint="eastAsia"/>
        </w:rPr>
        <w:t>8</w:t>
      </w:r>
      <w:r>
        <w:t>.7  Safety and Ancillary Equipments of Track</w:t>
      </w:r>
      <w:r>
        <w:tab/>
      </w:r>
      <w:r>
        <w:rPr>
          <w:rFonts w:hint="eastAsia"/>
        </w:rPr>
        <w:t>66</w:t>
      </w:r>
    </w:p>
    <w:p w14:paraId="30B0A539">
      <w:pPr>
        <w:tabs>
          <w:tab w:val="left" w:leader="dot" w:pos="5670"/>
          <w:tab w:val="left" w:leader="dot" w:pos="5880"/>
          <w:tab w:val="right" w:leader="dot" w:pos="9256"/>
        </w:tabs>
      </w:pPr>
      <w:r>
        <w:rPr>
          <w:rFonts w:hint="eastAsia"/>
        </w:rPr>
        <w:t xml:space="preserve">9  </w:t>
      </w:r>
      <w:r>
        <w:t>Subgrade</w:t>
      </w:r>
      <w:r>
        <w:tab/>
      </w:r>
      <w:r>
        <w:rPr>
          <w:rFonts w:hint="eastAsia"/>
        </w:rPr>
        <w:t>68</w:t>
      </w:r>
    </w:p>
    <w:p w14:paraId="03BF4BCF">
      <w:pPr>
        <w:tabs>
          <w:tab w:val="left" w:leader="dot" w:pos="5670"/>
          <w:tab w:val="left" w:leader="dot" w:pos="5880"/>
          <w:tab w:val="right" w:leader="dot" w:pos="9256"/>
        </w:tabs>
        <w:ind w:firstLine="210" w:firstLineChars="100"/>
      </w:pPr>
      <w:r>
        <w:rPr>
          <w:rFonts w:hint="eastAsia"/>
        </w:rPr>
        <w:t>9</w:t>
      </w:r>
      <w:r>
        <w:t>.1</w:t>
      </w:r>
      <w:r>
        <w:rPr>
          <w:rFonts w:hint="eastAsia"/>
        </w:rPr>
        <w:t xml:space="preserve">  </w:t>
      </w:r>
      <w:r>
        <w:t>General Requirements</w:t>
      </w:r>
      <w:r>
        <w:tab/>
      </w:r>
      <w:r>
        <w:rPr>
          <w:rFonts w:hint="eastAsia"/>
        </w:rPr>
        <w:t>68</w:t>
      </w:r>
    </w:p>
    <w:p w14:paraId="5CCBFE58">
      <w:pPr>
        <w:tabs>
          <w:tab w:val="left" w:leader="dot" w:pos="5670"/>
          <w:tab w:val="left" w:leader="dot" w:pos="5880"/>
          <w:tab w:val="right" w:leader="dot" w:pos="9256"/>
        </w:tabs>
        <w:ind w:firstLine="210" w:firstLineChars="100"/>
      </w:pPr>
      <w:r>
        <w:rPr>
          <w:rFonts w:hint="eastAsia"/>
        </w:rPr>
        <w:t>9</w:t>
      </w:r>
      <w:r>
        <w:t>.2  Cross Section of the Subgrade</w:t>
      </w:r>
      <w:r>
        <w:tab/>
      </w:r>
      <w:r>
        <w:rPr>
          <w:rFonts w:hint="eastAsia"/>
        </w:rPr>
        <w:t>68</w:t>
      </w:r>
    </w:p>
    <w:p w14:paraId="18E94E03">
      <w:pPr>
        <w:tabs>
          <w:tab w:val="left" w:leader="dot" w:pos="5670"/>
          <w:tab w:val="left" w:leader="dot" w:pos="5880"/>
          <w:tab w:val="right" w:leader="dot" w:pos="9256"/>
        </w:tabs>
        <w:ind w:firstLine="210" w:firstLineChars="100"/>
      </w:pPr>
      <w:r>
        <w:rPr>
          <w:rFonts w:hint="eastAsia"/>
        </w:rPr>
        <w:t>9</w:t>
      </w:r>
      <w:r>
        <w:t>.3  Subgrade Bed</w:t>
      </w:r>
      <w:r>
        <w:tab/>
      </w:r>
      <w:r>
        <w:rPr>
          <w:rFonts w:hint="eastAsia"/>
        </w:rPr>
        <w:t>69</w:t>
      </w:r>
    </w:p>
    <w:p w14:paraId="49628CFA">
      <w:pPr>
        <w:tabs>
          <w:tab w:val="left" w:leader="dot" w:pos="5670"/>
          <w:tab w:val="left" w:leader="dot" w:pos="5880"/>
          <w:tab w:val="right" w:leader="dot" w:pos="9256"/>
        </w:tabs>
        <w:ind w:firstLine="210" w:firstLineChars="100"/>
      </w:pPr>
      <w:r>
        <w:rPr>
          <w:rFonts w:hint="eastAsia"/>
        </w:rPr>
        <w:t>9</w:t>
      </w:r>
      <w:r>
        <w:t>.4</w:t>
      </w:r>
      <w:r>
        <w:rPr>
          <w:rFonts w:hint="eastAsia"/>
        </w:rPr>
        <w:t xml:space="preserve">  </w:t>
      </w:r>
      <w:r>
        <w:t>Embankment</w:t>
      </w:r>
      <w:r>
        <w:tab/>
      </w:r>
      <w:r>
        <w:rPr>
          <w:rFonts w:hint="eastAsia"/>
        </w:rPr>
        <w:t>70</w:t>
      </w:r>
    </w:p>
    <w:p w14:paraId="64C71C06">
      <w:pPr>
        <w:tabs>
          <w:tab w:val="left" w:leader="dot" w:pos="5670"/>
          <w:tab w:val="left" w:leader="dot" w:pos="5880"/>
          <w:tab w:val="right" w:leader="dot" w:pos="9256"/>
        </w:tabs>
        <w:ind w:firstLine="210" w:firstLineChars="100"/>
      </w:pPr>
      <w:r>
        <w:rPr>
          <w:rFonts w:hint="eastAsia"/>
        </w:rPr>
        <w:t>9</w:t>
      </w:r>
      <w:r>
        <w:t>.5  Cutting Excavation</w:t>
      </w:r>
      <w:r>
        <w:tab/>
      </w:r>
      <w:r>
        <w:rPr>
          <w:rFonts w:hint="eastAsia"/>
        </w:rPr>
        <w:t>71</w:t>
      </w:r>
    </w:p>
    <w:p w14:paraId="458AFDC7">
      <w:pPr>
        <w:tabs>
          <w:tab w:val="left" w:leader="dot" w:pos="5670"/>
          <w:tab w:val="left" w:leader="dot" w:pos="5880"/>
          <w:tab w:val="right" w:leader="dot" w:pos="9256"/>
        </w:tabs>
        <w:ind w:firstLine="210" w:firstLineChars="100"/>
      </w:pPr>
      <w:r>
        <w:rPr>
          <w:rFonts w:hint="eastAsia"/>
        </w:rPr>
        <w:t>9</w:t>
      </w:r>
      <w:r>
        <w:t>.6  Settlement after Construction</w:t>
      </w:r>
      <w:r>
        <w:tab/>
      </w:r>
      <w:r>
        <w:rPr>
          <w:rFonts w:hint="eastAsia"/>
        </w:rPr>
        <w:t>72</w:t>
      </w:r>
    </w:p>
    <w:p w14:paraId="00368ED8">
      <w:pPr>
        <w:tabs>
          <w:tab w:val="left" w:leader="dot" w:pos="5670"/>
          <w:tab w:val="left" w:leader="dot" w:pos="5880"/>
          <w:tab w:val="right" w:leader="dot" w:pos="9256"/>
        </w:tabs>
        <w:ind w:firstLine="210" w:firstLineChars="100"/>
      </w:pPr>
      <w:r>
        <w:rPr>
          <w:rFonts w:hint="eastAsia"/>
        </w:rPr>
        <w:t>9</w:t>
      </w:r>
      <w:r>
        <w:t>.7  Foundation Treatment</w:t>
      </w:r>
      <w:r>
        <w:tab/>
      </w:r>
      <w:r>
        <w:rPr>
          <w:rFonts w:hint="eastAsia"/>
        </w:rPr>
        <w:t>73</w:t>
      </w:r>
    </w:p>
    <w:p w14:paraId="481295E3">
      <w:pPr>
        <w:tabs>
          <w:tab w:val="left" w:leader="dot" w:pos="5670"/>
          <w:tab w:val="left" w:leader="dot" w:pos="5880"/>
          <w:tab w:val="right" w:leader="dot" w:pos="9256"/>
        </w:tabs>
        <w:ind w:firstLine="210" w:firstLineChars="100"/>
      </w:pPr>
      <w:r>
        <w:rPr>
          <w:rFonts w:hint="eastAsia"/>
        </w:rPr>
        <w:t>9</w:t>
      </w:r>
      <w:r>
        <w:t>.8  Transitional Zone</w:t>
      </w:r>
      <w:r>
        <w:tab/>
      </w:r>
      <w:r>
        <w:rPr>
          <w:rFonts w:hint="eastAsia"/>
        </w:rPr>
        <w:t>74</w:t>
      </w:r>
    </w:p>
    <w:p w14:paraId="0C0CFFC2">
      <w:pPr>
        <w:tabs>
          <w:tab w:val="left" w:leader="dot" w:pos="5670"/>
          <w:tab w:val="left" w:leader="dot" w:pos="5880"/>
          <w:tab w:val="right" w:leader="dot" w:pos="9256"/>
        </w:tabs>
        <w:ind w:firstLine="210" w:firstLineChars="100"/>
      </w:pPr>
      <w:r>
        <w:rPr>
          <w:rFonts w:hint="eastAsia"/>
        </w:rPr>
        <w:t>9</w:t>
      </w:r>
      <w:r>
        <w:t>.9  Retaining Structures of Subgrade</w:t>
      </w:r>
      <w:r>
        <w:tab/>
      </w:r>
      <w:r>
        <w:rPr>
          <w:rFonts w:hint="eastAsia"/>
        </w:rPr>
        <w:t>75</w:t>
      </w:r>
    </w:p>
    <w:p w14:paraId="69BC729E">
      <w:pPr>
        <w:tabs>
          <w:tab w:val="left" w:leader="dot" w:pos="5670"/>
          <w:tab w:val="left" w:leader="dot" w:pos="5880"/>
          <w:tab w:val="right" w:leader="dot" w:pos="9256"/>
        </w:tabs>
        <w:ind w:firstLine="210" w:firstLineChars="100"/>
      </w:pPr>
      <w:r>
        <w:rPr>
          <w:rFonts w:hint="eastAsia"/>
        </w:rPr>
        <w:t>9</w:t>
      </w:r>
      <w:r>
        <w:t>.10</w:t>
      </w:r>
      <w:r>
        <w:rPr>
          <w:rFonts w:hint="eastAsia"/>
        </w:rPr>
        <w:t xml:space="preserve">  </w:t>
      </w:r>
      <w:r>
        <w:t>Line Protection and Subgrade Protection</w:t>
      </w:r>
      <w:r>
        <w:tab/>
      </w:r>
      <w:r>
        <w:rPr>
          <w:rFonts w:hint="eastAsia"/>
        </w:rPr>
        <w:t>75</w:t>
      </w:r>
    </w:p>
    <w:p w14:paraId="7D85F9A0">
      <w:pPr>
        <w:tabs>
          <w:tab w:val="left" w:leader="dot" w:pos="5670"/>
          <w:tab w:val="left" w:leader="dot" w:pos="5880"/>
          <w:tab w:val="right" w:leader="dot" w:pos="9256"/>
        </w:tabs>
        <w:ind w:firstLine="210" w:firstLineChars="100"/>
      </w:pPr>
      <w:r>
        <w:rPr>
          <w:rFonts w:hint="eastAsia"/>
        </w:rPr>
        <w:t>9</w:t>
      </w:r>
      <w:r>
        <w:t>.11</w:t>
      </w:r>
      <w:r>
        <w:rPr>
          <w:rFonts w:hint="eastAsia"/>
        </w:rPr>
        <w:t xml:space="preserve">  </w:t>
      </w:r>
      <w:r>
        <w:t>Drainage System of Subgrade</w:t>
      </w:r>
      <w:r>
        <w:tab/>
      </w:r>
      <w:r>
        <w:rPr>
          <w:rFonts w:hint="eastAsia"/>
        </w:rPr>
        <w:t>75</w:t>
      </w:r>
    </w:p>
    <w:p w14:paraId="17C6745A">
      <w:pPr>
        <w:tabs>
          <w:tab w:val="left" w:leader="dot" w:pos="5670"/>
          <w:tab w:val="left" w:leader="dot" w:pos="5880"/>
          <w:tab w:val="right" w:leader="dot" w:pos="9256"/>
        </w:tabs>
        <w:ind w:firstLine="210" w:firstLineChars="100"/>
      </w:pPr>
      <w:r>
        <w:rPr>
          <w:rFonts w:hint="eastAsia"/>
        </w:rPr>
        <w:t>9</w:t>
      </w:r>
      <w:r>
        <w:t>.12</w:t>
      </w:r>
      <w:r>
        <w:rPr>
          <w:rFonts w:hint="eastAsia"/>
        </w:rPr>
        <w:t xml:space="preserve">  </w:t>
      </w:r>
      <w:r>
        <w:t>Deformation Monitoring of Subgrade</w:t>
      </w:r>
      <w:r>
        <w:tab/>
      </w:r>
      <w:r>
        <w:rPr>
          <w:rFonts w:hint="eastAsia"/>
        </w:rPr>
        <w:t>76</w:t>
      </w:r>
    </w:p>
    <w:p w14:paraId="336A52AC">
      <w:pPr>
        <w:tabs>
          <w:tab w:val="left" w:leader="dot" w:pos="5670"/>
          <w:tab w:val="left" w:leader="dot" w:pos="5880"/>
          <w:tab w:val="right" w:leader="dot" w:pos="9256"/>
        </w:tabs>
      </w:pPr>
      <w:r>
        <w:rPr>
          <w:rFonts w:hint="eastAsia"/>
        </w:rPr>
        <w:t>10</w:t>
      </w:r>
      <w:r>
        <w:t xml:space="preserve">  Station Building</w:t>
      </w:r>
      <w:r>
        <w:tab/>
      </w:r>
      <w:r>
        <w:rPr>
          <w:rFonts w:hint="eastAsia"/>
        </w:rPr>
        <w:t>77</w:t>
      </w:r>
    </w:p>
    <w:p w14:paraId="10F2703F">
      <w:pPr>
        <w:pStyle w:val="461"/>
        <w:tabs>
          <w:tab w:val="left" w:leader="dot" w:pos="5670"/>
          <w:tab w:val="left" w:leader="dot" w:pos="5880"/>
          <w:tab w:val="right" w:leader="dot" w:pos="9256"/>
        </w:tabs>
        <w:ind w:firstLine="208" w:firstLineChars="100"/>
        <w:rPr>
          <w:rFonts w:ascii="Times New Roman" w:hAnsi="Times New Roman" w:cs="Times New Roman"/>
          <w:spacing w:val="4"/>
          <w:szCs w:val="24"/>
        </w:rPr>
      </w:pPr>
      <w:r>
        <w:rPr>
          <w:rFonts w:hint="eastAsia" w:ascii="Times New Roman" w:hAnsi="Times New Roman" w:cs="Times New Roman"/>
          <w:spacing w:val="4"/>
          <w:szCs w:val="24"/>
        </w:rPr>
        <w:t>10</w:t>
      </w:r>
      <w:r>
        <w:rPr>
          <w:rFonts w:ascii="Times New Roman" w:hAnsi="Times New Roman" w:cs="Times New Roman"/>
          <w:spacing w:val="4"/>
          <w:szCs w:val="24"/>
        </w:rPr>
        <w:t>.1  General Requirements</w:t>
      </w:r>
      <w:r>
        <w:rPr>
          <w:rFonts w:ascii="Times New Roman" w:hAnsi="Times New Roman" w:cs="Times New Roman"/>
          <w:spacing w:val="4"/>
          <w:szCs w:val="24"/>
        </w:rPr>
        <w:tab/>
      </w:r>
      <w:r>
        <w:rPr>
          <w:rFonts w:hint="eastAsia" w:ascii="Times New Roman" w:hAnsi="Times New Roman" w:cs="Times New Roman"/>
          <w:spacing w:val="4"/>
          <w:szCs w:val="24"/>
        </w:rPr>
        <w:t>77</w:t>
      </w:r>
    </w:p>
    <w:p w14:paraId="3FC8D99C">
      <w:pPr>
        <w:tabs>
          <w:tab w:val="left" w:leader="dot" w:pos="5670"/>
          <w:tab w:val="left" w:leader="dot" w:pos="5880"/>
          <w:tab w:val="right" w:leader="dot" w:pos="9256"/>
        </w:tabs>
        <w:ind w:firstLine="210" w:firstLineChars="100"/>
      </w:pPr>
      <w:r>
        <w:rPr>
          <w:rFonts w:hint="eastAsia"/>
        </w:rPr>
        <w:t xml:space="preserve">10.2  </w:t>
      </w:r>
      <w:r>
        <w:t>Design Standard of Station</w:t>
      </w:r>
      <w:r>
        <w:tab/>
      </w:r>
      <w:r>
        <w:rPr>
          <w:rFonts w:hint="eastAsia"/>
        </w:rPr>
        <w:t>77</w:t>
      </w:r>
    </w:p>
    <w:p w14:paraId="1750FC68">
      <w:pPr>
        <w:tabs>
          <w:tab w:val="left" w:leader="dot" w:pos="5670"/>
          <w:tab w:val="left" w:leader="dot" w:pos="5880"/>
          <w:tab w:val="right" w:leader="dot" w:pos="9256"/>
        </w:tabs>
        <w:ind w:firstLine="210" w:firstLineChars="100"/>
      </w:pPr>
      <w:r>
        <w:rPr>
          <w:rFonts w:hint="eastAsia"/>
        </w:rPr>
        <w:t xml:space="preserve">10.3  </w:t>
      </w:r>
      <w:r>
        <w:t>General Layout of Station</w:t>
      </w:r>
      <w:r>
        <w:tab/>
      </w:r>
      <w:r>
        <w:rPr>
          <w:rFonts w:hint="eastAsia"/>
        </w:rPr>
        <w:t>79</w:t>
      </w:r>
    </w:p>
    <w:p w14:paraId="18EFE73E">
      <w:pPr>
        <w:tabs>
          <w:tab w:val="left" w:leader="dot" w:pos="5670"/>
          <w:tab w:val="left" w:leader="dot" w:pos="5880"/>
          <w:tab w:val="right" w:leader="dot" w:pos="9256"/>
        </w:tabs>
        <w:ind w:firstLine="210" w:firstLineChars="100"/>
      </w:pPr>
      <w:r>
        <w:rPr>
          <w:rFonts w:hint="eastAsia"/>
        </w:rPr>
        <w:t>10.4</w:t>
      </w:r>
      <w:r>
        <w:t xml:space="preserve">  Plane of Station</w:t>
      </w:r>
      <w:r>
        <w:tab/>
      </w:r>
      <w:r>
        <w:rPr>
          <w:rFonts w:hint="eastAsia"/>
        </w:rPr>
        <w:t>82</w:t>
      </w:r>
    </w:p>
    <w:p w14:paraId="4686F79C">
      <w:pPr>
        <w:tabs>
          <w:tab w:val="left" w:leader="dot" w:pos="5670"/>
          <w:tab w:val="left" w:leader="dot" w:pos="5880"/>
          <w:tab w:val="right" w:leader="dot" w:pos="9256"/>
        </w:tabs>
        <w:ind w:firstLine="210" w:firstLineChars="100"/>
      </w:pPr>
      <w:r>
        <w:rPr>
          <w:rFonts w:hint="eastAsia"/>
        </w:rPr>
        <w:t>10.5</w:t>
      </w:r>
      <w:r>
        <w:t xml:space="preserve">  Accesses of Station</w:t>
      </w:r>
      <w:r>
        <w:tab/>
      </w:r>
      <w:r>
        <w:rPr>
          <w:rFonts w:hint="eastAsia"/>
        </w:rPr>
        <w:t>89</w:t>
      </w:r>
    </w:p>
    <w:p w14:paraId="42D5FD74">
      <w:pPr>
        <w:tabs>
          <w:tab w:val="left" w:leader="dot" w:pos="5670"/>
          <w:tab w:val="left" w:leader="dot" w:pos="5880"/>
          <w:tab w:val="right" w:leader="dot" w:pos="9256"/>
        </w:tabs>
        <w:ind w:firstLine="210" w:firstLineChars="100"/>
      </w:pPr>
      <w:r>
        <w:rPr>
          <w:rFonts w:hint="eastAsia"/>
        </w:rPr>
        <w:t>10.6</w:t>
      </w:r>
      <w:r>
        <w:t xml:space="preserve">  Ventilation Shaft Building and Cooling Tower</w:t>
      </w:r>
      <w:r>
        <w:tab/>
      </w:r>
      <w:r>
        <w:rPr>
          <w:rFonts w:hint="eastAsia"/>
        </w:rPr>
        <w:t>92</w:t>
      </w:r>
    </w:p>
    <w:p w14:paraId="2669268E">
      <w:pPr>
        <w:tabs>
          <w:tab w:val="left" w:leader="dot" w:pos="5670"/>
          <w:tab w:val="left" w:leader="dot" w:pos="5880"/>
          <w:tab w:val="right" w:leader="dot" w:pos="9256"/>
        </w:tabs>
        <w:ind w:firstLine="210" w:firstLineChars="100"/>
      </w:pPr>
      <w:r>
        <w:rPr>
          <w:rFonts w:hint="eastAsia"/>
        </w:rPr>
        <w:t xml:space="preserve">10.7  </w:t>
      </w:r>
      <w:r>
        <w:t>Station Internal Transportation Facilities</w:t>
      </w:r>
      <w:r>
        <w:tab/>
      </w:r>
      <w:r>
        <w:rPr>
          <w:rFonts w:hint="eastAsia"/>
        </w:rPr>
        <w:t>94</w:t>
      </w:r>
    </w:p>
    <w:p w14:paraId="2AF8E024">
      <w:pPr>
        <w:tabs>
          <w:tab w:val="left" w:leader="dot" w:pos="5670"/>
          <w:tab w:val="left" w:leader="dot" w:pos="5880"/>
          <w:tab w:val="right" w:leader="dot" w:pos="9256"/>
        </w:tabs>
        <w:ind w:firstLine="210" w:firstLineChars="100"/>
      </w:pPr>
      <w:r>
        <w:rPr>
          <w:rFonts w:hint="eastAsia"/>
        </w:rPr>
        <w:t>10.8</w:t>
      </w:r>
      <w:r>
        <w:t xml:space="preserve">  Facilities of Station for the Disabled</w:t>
      </w:r>
      <w:r>
        <w:tab/>
      </w:r>
      <w:r>
        <w:rPr>
          <w:rFonts w:hint="eastAsia"/>
        </w:rPr>
        <w:t>95</w:t>
      </w:r>
    </w:p>
    <w:p w14:paraId="28BB94A7">
      <w:pPr>
        <w:tabs>
          <w:tab w:val="left" w:leader="dot" w:pos="5670"/>
          <w:tab w:val="left" w:leader="dot" w:pos="5880"/>
          <w:tab w:val="right" w:leader="dot" w:pos="9256"/>
        </w:tabs>
        <w:ind w:firstLine="210" w:firstLineChars="100"/>
      </w:pPr>
      <w:r>
        <w:rPr>
          <w:rFonts w:hint="eastAsia"/>
        </w:rPr>
        <w:t xml:space="preserve">10.9  </w:t>
      </w:r>
      <w:r>
        <w:t>Station Environmental Design</w:t>
      </w:r>
      <w:r>
        <w:tab/>
      </w:r>
      <w:r>
        <w:rPr>
          <w:rFonts w:hint="eastAsia"/>
        </w:rPr>
        <w:t>97</w:t>
      </w:r>
    </w:p>
    <w:p w14:paraId="3F42A0C3">
      <w:pPr>
        <w:tabs>
          <w:tab w:val="left" w:leader="dot" w:pos="5670"/>
          <w:tab w:val="left" w:leader="dot" w:pos="5880"/>
          <w:tab w:val="right" w:leader="dot" w:pos="9256"/>
        </w:tabs>
        <w:ind w:firstLine="210" w:firstLineChars="100"/>
      </w:pPr>
      <w:r>
        <w:rPr>
          <w:rFonts w:hint="eastAsia"/>
        </w:rPr>
        <w:t>10.10</w:t>
      </w:r>
      <w:r>
        <w:t xml:space="preserve">  Transfer Station</w:t>
      </w:r>
      <w:r>
        <w:tab/>
      </w:r>
      <w:r>
        <w:rPr>
          <w:rFonts w:hint="eastAsia"/>
        </w:rPr>
        <w:t>98</w:t>
      </w:r>
    </w:p>
    <w:p w14:paraId="7A1E275D">
      <w:pPr>
        <w:tabs>
          <w:tab w:val="left" w:leader="dot" w:pos="5670"/>
          <w:tab w:val="left" w:leader="dot" w:pos="5880"/>
        </w:tabs>
        <w:ind w:firstLine="210" w:firstLineChars="100"/>
        <w:contextualSpacing/>
      </w:pPr>
      <w:r>
        <w:rPr>
          <w:rFonts w:hint="eastAsia"/>
        </w:rPr>
        <w:t>10</w:t>
      </w:r>
      <w:r>
        <w:t>.11  Station Pipeline Collecting</w:t>
      </w:r>
      <w:r>
        <w:tab/>
      </w:r>
      <w:r>
        <w:rPr>
          <w:rFonts w:hint="eastAsia"/>
        </w:rPr>
        <w:t>101</w:t>
      </w:r>
    </w:p>
    <w:p w14:paraId="71D90269">
      <w:pPr>
        <w:tabs>
          <w:tab w:val="left" w:leader="dot" w:pos="5670"/>
          <w:tab w:val="left" w:leader="dot" w:pos="5880"/>
        </w:tabs>
        <w:ind w:firstLine="210" w:firstLineChars="100"/>
        <w:contextualSpacing/>
      </w:pPr>
      <w:r>
        <w:rPr>
          <w:rFonts w:hint="eastAsia"/>
        </w:rPr>
        <w:t xml:space="preserve">10.12  </w:t>
      </w:r>
      <w:r>
        <w:t>Convenience Services</w:t>
      </w:r>
      <w:r>
        <w:tab/>
      </w:r>
      <w:r>
        <w:rPr>
          <w:rFonts w:hint="eastAsia"/>
        </w:rPr>
        <w:t>102</w:t>
      </w:r>
    </w:p>
    <w:p w14:paraId="2D3E5814">
      <w:pPr>
        <w:tabs>
          <w:tab w:val="left" w:leader="dot" w:pos="5670"/>
          <w:tab w:val="left" w:leader="dot" w:pos="5880"/>
        </w:tabs>
        <w:contextualSpacing/>
      </w:pPr>
      <w:r>
        <w:t>1</w:t>
      </w:r>
      <w:r>
        <w:rPr>
          <w:rFonts w:hint="eastAsia"/>
        </w:rPr>
        <w:t>1</w:t>
      </w:r>
      <w:r>
        <w:t xml:space="preserve">  Elevated Structure</w:t>
      </w:r>
      <w:r>
        <w:tab/>
      </w:r>
      <w:r>
        <w:rPr>
          <w:rFonts w:hint="eastAsia"/>
        </w:rPr>
        <w:t>103</w:t>
      </w:r>
    </w:p>
    <w:p w14:paraId="4BC5BA53">
      <w:pPr>
        <w:pStyle w:val="461"/>
        <w:tabs>
          <w:tab w:val="left" w:leader="dot" w:pos="5670"/>
          <w:tab w:val="left" w:leader="dot" w:pos="5880"/>
        </w:tabs>
        <w:ind w:firstLine="208" w:firstLineChars="100"/>
        <w:contextualSpacing/>
        <w:rPr>
          <w:rFonts w:ascii="Times New Roman" w:hAnsi="Times New Roman" w:cs="Times New Roman"/>
          <w:spacing w:val="4"/>
          <w:szCs w:val="24"/>
        </w:rPr>
      </w:pPr>
      <w:r>
        <w:rPr>
          <w:rFonts w:ascii="Times New Roman" w:hAnsi="Times New Roman" w:cs="Times New Roman"/>
          <w:spacing w:val="4"/>
          <w:szCs w:val="24"/>
        </w:rPr>
        <w:t>1</w:t>
      </w:r>
      <w:r>
        <w:rPr>
          <w:rFonts w:hint="eastAsia" w:ascii="Times New Roman" w:hAnsi="Times New Roman" w:cs="Times New Roman"/>
          <w:spacing w:val="4"/>
          <w:szCs w:val="24"/>
        </w:rPr>
        <w:t>1</w:t>
      </w:r>
      <w:r>
        <w:rPr>
          <w:rFonts w:ascii="Times New Roman" w:hAnsi="Times New Roman" w:cs="Times New Roman"/>
          <w:spacing w:val="4"/>
          <w:szCs w:val="24"/>
        </w:rPr>
        <w:t>.1  Elevated Bridge Structure</w:t>
      </w:r>
      <w:r>
        <w:rPr>
          <w:rFonts w:ascii="Times New Roman" w:hAnsi="Times New Roman" w:cs="Times New Roman"/>
          <w:spacing w:val="4"/>
          <w:szCs w:val="24"/>
        </w:rPr>
        <w:tab/>
      </w:r>
      <w:r>
        <w:rPr>
          <w:rFonts w:hint="eastAsia" w:ascii="Times New Roman" w:hAnsi="Times New Roman" w:cs="Times New Roman"/>
          <w:spacing w:val="4"/>
          <w:szCs w:val="24"/>
        </w:rPr>
        <w:t>103</w:t>
      </w:r>
    </w:p>
    <w:p w14:paraId="7B89F1CB">
      <w:pPr>
        <w:tabs>
          <w:tab w:val="left" w:leader="dot" w:pos="5670"/>
          <w:tab w:val="left" w:leader="dot" w:pos="5880"/>
        </w:tabs>
        <w:ind w:firstLine="210" w:firstLineChars="100"/>
        <w:contextualSpacing/>
      </w:pPr>
      <w:r>
        <w:t>1</w:t>
      </w:r>
      <w:r>
        <w:rPr>
          <w:rFonts w:hint="eastAsia"/>
        </w:rPr>
        <w:t>1</w:t>
      </w:r>
      <w:r>
        <w:t>.2  Elevated Station Structure</w:t>
      </w:r>
      <w:r>
        <w:tab/>
      </w:r>
      <w:r>
        <w:rPr>
          <w:rFonts w:hint="eastAsia"/>
        </w:rPr>
        <w:t>117</w:t>
      </w:r>
    </w:p>
    <w:p w14:paraId="760DEB4F">
      <w:pPr>
        <w:tabs>
          <w:tab w:val="left" w:leader="dot" w:pos="5670"/>
          <w:tab w:val="left" w:leader="dot" w:pos="5880"/>
        </w:tabs>
        <w:ind w:firstLine="210" w:firstLineChars="100"/>
        <w:contextualSpacing/>
      </w:pPr>
      <w:r>
        <w:rPr>
          <w:rFonts w:hint="eastAsia"/>
        </w:rPr>
        <w:t xml:space="preserve">11.3  </w:t>
      </w:r>
      <w:r>
        <w:t>Design Requirements for Various Transfer Facilities</w:t>
      </w:r>
      <w:r>
        <w:tab/>
      </w:r>
      <w:r>
        <w:rPr>
          <w:rFonts w:hint="eastAsia"/>
        </w:rPr>
        <w:t>123</w:t>
      </w:r>
    </w:p>
    <w:p w14:paraId="0F092B91">
      <w:pPr>
        <w:tabs>
          <w:tab w:val="left" w:leader="dot" w:pos="5670"/>
          <w:tab w:val="left" w:leader="dot" w:pos="5880"/>
        </w:tabs>
        <w:contextualSpacing/>
      </w:pPr>
      <w:r>
        <w:t>1</w:t>
      </w:r>
      <w:r>
        <w:rPr>
          <w:rFonts w:hint="eastAsia"/>
        </w:rPr>
        <w:t>2</w:t>
      </w:r>
      <w:r>
        <w:t xml:space="preserve">  Underground Structure</w:t>
      </w:r>
      <w:r>
        <w:tab/>
      </w:r>
      <w:r>
        <w:rPr>
          <w:rFonts w:hint="eastAsia"/>
        </w:rPr>
        <w:t>125</w:t>
      </w:r>
    </w:p>
    <w:p w14:paraId="6DD90282">
      <w:pPr>
        <w:tabs>
          <w:tab w:val="left" w:leader="dot" w:pos="5670"/>
          <w:tab w:val="left" w:leader="dot" w:pos="5880"/>
        </w:tabs>
        <w:ind w:firstLine="210" w:firstLineChars="100"/>
        <w:contextualSpacing/>
      </w:pPr>
      <w:r>
        <w:t>1</w:t>
      </w:r>
      <w:r>
        <w:rPr>
          <w:rFonts w:hint="eastAsia"/>
        </w:rPr>
        <w:t>2</w:t>
      </w:r>
      <w:r>
        <w:t>.1</w:t>
      </w:r>
      <w:r>
        <w:rPr>
          <w:rFonts w:hint="eastAsia"/>
        </w:rPr>
        <w:t xml:space="preserve">  </w:t>
      </w:r>
      <w:r>
        <w:t>General Requirements</w:t>
      </w:r>
      <w:r>
        <w:tab/>
      </w:r>
      <w:r>
        <w:rPr>
          <w:rFonts w:hint="eastAsia"/>
        </w:rPr>
        <w:t>125</w:t>
      </w:r>
    </w:p>
    <w:p w14:paraId="39423534">
      <w:pPr>
        <w:tabs>
          <w:tab w:val="left" w:leader="dot" w:pos="5670"/>
          <w:tab w:val="left" w:leader="dot" w:pos="5880"/>
        </w:tabs>
        <w:ind w:firstLine="210" w:firstLineChars="100"/>
        <w:contextualSpacing/>
      </w:pPr>
      <w:r>
        <w:t>1</w:t>
      </w:r>
      <w:r>
        <w:rPr>
          <w:rFonts w:hint="eastAsia"/>
        </w:rPr>
        <w:t>2</w:t>
      </w:r>
      <w:r>
        <w:t>.2  Construction Methods and Structural Form</w:t>
      </w:r>
      <w:r>
        <w:tab/>
      </w:r>
      <w:r>
        <w:rPr>
          <w:rFonts w:hint="eastAsia"/>
        </w:rPr>
        <w:t>127</w:t>
      </w:r>
    </w:p>
    <w:p w14:paraId="3BFFEF05">
      <w:pPr>
        <w:tabs>
          <w:tab w:val="left" w:leader="dot" w:pos="5670"/>
          <w:tab w:val="left" w:leader="dot" w:pos="5880"/>
        </w:tabs>
        <w:ind w:firstLine="210" w:firstLineChars="100"/>
        <w:contextualSpacing/>
      </w:pPr>
      <w:r>
        <w:t>1</w:t>
      </w:r>
      <w:r>
        <w:rPr>
          <w:rFonts w:hint="eastAsia"/>
        </w:rPr>
        <w:t>2</w:t>
      </w:r>
      <w:r>
        <w:t>.3</w:t>
      </w:r>
      <w:r>
        <w:rPr>
          <w:rFonts w:hint="eastAsia"/>
        </w:rPr>
        <w:t xml:space="preserve">  </w:t>
      </w:r>
      <w:r>
        <w:t>Load</w:t>
      </w:r>
      <w:r>
        <w:tab/>
      </w:r>
      <w:r>
        <w:rPr>
          <w:rFonts w:hint="eastAsia"/>
        </w:rPr>
        <w:t>128</w:t>
      </w:r>
    </w:p>
    <w:p w14:paraId="64817891">
      <w:pPr>
        <w:tabs>
          <w:tab w:val="left" w:leader="dot" w:pos="5670"/>
          <w:tab w:val="left" w:leader="dot" w:pos="5880"/>
        </w:tabs>
        <w:ind w:left="735" w:leftChars="100" w:hanging="525" w:hangingChars="250"/>
        <w:contextualSpacing/>
      </w:pPr>
      <w:r>
        <w:t>1</w:t>
      </w:r>
      <w:r>
        <w:rPr>
          <w:rFonts w:hint="eastAsia"/>
        </w:rPr>
        <w:t>2</w:t>
      </w:r>
      <w:r>
        <w:t xml:space="preserve">.4  Structural Design of Open-cut Method and Covered </w:t>
      </w:r>
    </w:p>
    <w:p w14:paraId="55FB4624">
      <w:pPr>
        <w:tabs>
          <w:tab w:val="left" w:leader="dot" w:pos="5670"/>
          <w:tab w:val="left" w:leader="dot" w:pos="5880"/>
        </w:tabs>
        <w:ind w:left="630" w:leftChars="300" w:firstLine="210" w:firstLineChars="100"/>
        <w:contextualSpacing/>
      </w:pPr>
      <w:r>
        <w:t>Top-down Excavation</w:t>
      </w:r>
      <w:r>
        <w:rPr>
          <w:rFonts w:hint="eastAsia"/>
        </w:rPr>
        <w:tab/>
      </w:r>
      <w:r>
        <w:rPr>
          <w:rFonts w:hint="eastAsia"/>
        </w:rPr>
        <w:t>132</w:t>
      </w:r>
    </w:p>
    <w:p w14:paraId="23BEA966">
      <w:pPr>
        <w:tabs>
          <w:tab w:val="left" w:leader="dot" w:pos="5670"/>
          <w:tab w:val="left" w:leader="dot" w:pos="5880"/>
        </w:tabs>
        <w:ind w:firstLine="210" w:firstLineChars="100"/>
        <w:contextualSpacing/>
      </w:pPr>
      <w:r>
        <w:t>1</w:t>
      </w:r>
      <w:r>
        <w:rPr>
          <w:rFonts w:hint="eastAsia"/>
        </w:rPr>
        <w:t>2</w:t>
      </w:r>
      <w:r>
        <w:t>.5  Structural Design of Mining Method</w:t>
      </w:r>
      <w:r>
        <w:tab/>
      </w:r>
      <w:r>
        <w:rPr>
          <w:rFonts w:hint="eastAsia"/>
        </w:rPr>
        <w:t>142</w:t>
      </w:r>
    </w:p>
    <w:p w14:paraId="64756B1F">
      <w:pPr>
        <w:tabs>
          <w:tab w:val="left" w:leader="dot" w:pos="5670"/>
          <w:tab w:val="left" w:leader="dot" w:pos="5880"/>
        </w:tabs>
        <w:ind w:firstLine="210" w:firstLineChars="100"/>
        <w:contextualSpacing/>
      </w:pPr>
      <w:r>
        <w:t>1</w:t>
      </w:r>
      <w:r>
        <w:rPr>
          <w:rFonts w:hint="eastAsia"/>
        </w:rPr>
        <w:t>2</w:t>
      </w:r>
      <w:r>
        <w:t>.6  Structural Design of Shield Tunneling Method</w:t>
      </w:r>
      <w:r>
        <w:tab/>
      </w:r>
      <w:r>
        <w:rPr>
          <w:rFonts w:hint="eastAsia"/>
        </w:rPr>
        <w:t>148</w:t>
      </w:r>
    </w:p>
    <w:p w14:paraId="079B5F87">
      <w:pPr>
        <w:tabs>
          <w:tab w:val="left" w:leader="dot" w:pos="5670"/>
          <w:tab w:val="left" w:leader="dot" w:pos="5880"/>
        </w:tabs>
        <w:ind w:firstLine="210" w:firstLineChars="100"/>
        <w:contextualSpacing/>
      </w:pPr>
      <w:r>
        <w:rPr>
          <w:rFonts w:hint="eastAsia"/>
        </w:rPr>
        <w:t xml:space="preserve">12.7  </w:t>
      </w:r>
      <w:r>
        <w:t>Data Communication Subsystem</w:t>
      </w:r>
      <w:r>
        <w:tab/>
      </w:r>
      <w:r>
        <w:rPr>
          <w:rFonts w:hint="eastAsia"/>
        </w:rPr>
        <w:t>154</w:t>
      </w:r>
    </w:p>
    <w:p w14:paraId="6EAC7AA8">
      <w:pPr>
        <w:tabs>
          <w:tab w:val="left" w:leader="dot" w:pos="5670"/>
          <w:tab w:val="left" w:leader="dot" w:pos="5880"/>
        </w:tabs>
        <w:ind w:firstLine="210" w:firstLineChars="100"/>
        <w:contextualSpacing/>
      </w:pPr>
      <w:r>
        <w:t>1</w:t>
      </w:r>
      <w:r>
        <w:rPr>
          <w:rFonts w:hint="eastAsia"/>
        </w:rPr>
        <w:t>2</w:t>
      </w:r>
      <w:r>
        <w:t>.</w:t>
      </w:r>
      <w:r>
        <w:rPr>
          <w:rFonts w:hint="eastAsia"/>
        </w:rPr>
        <w:t>8</w:t>
      </w:r>
      <w:r>
        <w:t xml:space="preserve">  Seismic Design of Underground Structure</w:t>
      </w:r>
      <w:r>
        <w:tab/>
      </w:r>
      <w:r>
        <w:rPr>
          <w:rFonts w:hint="eastAsia"/>
        </w:rPr>
        <w:t>156</w:t>
      </w:r>
    </w:p>
    <w:p w14:paraId="69EA7D35">
      <w:pPr>
        <w:tabs>
          <w:tab w:val="left" w:leader="dot" w:pos="5670"/>
          <w:tab w:val="left" w:leader="dot" w:pos="5880"/>
        </w:tabs>
        <w:ind w:firstLine="210" w:firstLineChars="100"/>
        <w:contextualSpacing/>
      </w:pPr>
      <w:r>
        <w:t>1</w:t>
      </w:r>
      <w:r>
        <w:rPr>
          <w:rFonts w:hint="eastAsia"/>
        </w:rPr>
        <w:t>2</w:t>
      </w:r>
      <w:r>
        <w:t>.</w:t>
      </w:r>
      <w:r>
        <w:rPr>
          <w:rFonts w:hint="eastAsia"/>
        </w:rPr>
        <w:t>9</w:t>
      </w:r>
      <w:r>
        <w:t xml:space="preserve">  Durability Requirements of Underground Structure</w:t>
      </w:r>
      <w:r>
        <w:tab/>
      </w:r>
      <w:r>
        <w:rPr>
          <w:rFonts w:hint="eastAsia"/>
        </w:rPr>
        <w:t>162</w:t>
      </w:r>
    </w:p>
    <w:p w14:paraId="63D255F5">
      <w:pPr>
        <w:tabs>
          <w:tab w:val="left" w:leader="dot" w:pos="5670"/>
          <w:tab w:val="left" w:leader="dot" w:pos="5880"/>
        </w:tabs>
        <w:ind w:firstLine="210" w:firstLineChars="100"/>
        <w:contextualSpacing/>
      </w:pPr>
      <w:r>
        <w:t>1</w:t>
      </w:r>
      <w:r>
        <w:rPr>
          <w:rFonts w:hint="eastAsia"/>
        </w:rPr>
        <w:t>2</w:t>
      </w:r>
      <w:r>
        <w:t>.</w:t>
      </w:r>
      <w:r>
        <w:rPr>
          <w:rFonts w:hint="eastAsia"/>
        </w:rPr>
        <w:t>10</w:t>
      </w:r>
      <w:r>
        <w:t xml:space="preserve">  Construct Design</w:t>
      </w:r>
      <w:r>
        <w:tab/>
      </w:r>
      <w:r>
        <w:rPr>
          <w:rFonts w:hint="eastAsia"/>
        </w:rPr>
        <w:t>163</w:t>
      </w:r>
    </w:p>
    <w:p w14:paraId="173893F0">
      <w:pPr>
        <w:tabs>
          <w:tab w:val="left" w:leader="dot" w:pos="5670"/>
          <w:tab w:val="left" w:leader="dot" w:pos="5880"/>
        </w:tabs>
        <w:ind w:firstLine="210" w:firstLineChars="100"/>
        <w:contextualSpacing/>
      </w:pPr>
      <w:r>
        <w:t>1</w:t>
      </w:r>
      <w:r>
        <w:rPr>
          <w:rFonts w:hint="eastAsia"/>
        </w:rPr>
        <w:t>2</w:t>
      </w:r>
      <w:r>
        <w:t>.1</w:t>
      </w:r>
      <w:r>
        <w:rPr>
          <w:rFonts w:hint="eastAsia"/>
        </w:rPr>
        <w:t>1</w:t>
      </w:r>
      <w:r>
        <w:t xml:space="preserve">  Engineering Material</w:t>
      </w:r>
      <w:r>
        <w:tab/>
      </w:r>
      <w:r>
        <w:rPr>
          <w:rFonts w:hint="eastAsia"/>
        </w:rPr>
        <w:t>165</w:t>
      </w:r>
    </w:p>
    <w:p w14:paraId="7090224B">
      <w:pPr>
        <w:tabs>
          <w:tab w:val="left" w:leader="dot" w:pos="5670"/>
          <w:tab w:val="left" w:leader="dot" w:pos="5880"/>
        </w:tabs>
        <w:ind w:firstLine="210" w:firstLineChars="100"/>
        <w:contextualSpacing/>
      </w:pPr>
      <w:r>
        <w:t>1</w:t>
      </w:r>
      <w:r>
        <w:rPr>
          <w:rFonts w:hint="eastAsia"/>
        </w:rPr>
        <w:t>2</w:t>
      </w:r>
      <w:r>
        <w:t>.1</w:t>
      </w:r>
      <w:r>
        <w:rPr>
          <w:rFonts w:hint="eastAsia"/>
        </w:rPr>
        <w:t>2</w:t>
      </w:r>
      <w:r>
        <w:t xml:space="preserve">  Safety and Risk Design</w:t>
      </w:r>
      <w:r>
        <w:tab/>
      </w:r>
      <w:r>
        <w:rPr>
          <w:rFonts w:hint="eastAsia"/>
        </w:rPr>
        <w:t>166</w:t>
      </w:r>
    </w:p>
    <w:p w14:paraId="64809BB8">
      <w:pPr>
        <w:tabs>
          <w:tab w:val="left" w:leader="dot" w:pos="5670"/>
          <w:tab w:val="left" w:leader="dot" w:pos="5880"/>
        </w:tabs>
        <w:ind w:firstLine="210" w:firstLineChars="100"/>
        <w:contextualSpacing/>
      </w:pPr>
      <w:r>
        <w:t>1</w:t>
      </w:r>
      <w:r>
        <w:rPr>
          <w:rFonts w:hint="eastAsia"/>
        </w:rPr>
        <w:t>2</w:t>
      </w:r>
      <w:r>
        <w:t>.1</w:t>
      </w:r>
      <w:r>
        <w:rPr>
          <w:rFonts w:hint="eastAsia"/>
        </w:rPr>
        <w:t xml:space="preserve">3  </w:t>
      </w:r>
      <w:r>
        <w:t>Monitoring and Measurement</w:t>
      </w:r>
      <w:r>
        <w:tab/>
      </w:r>
      <w:r>
        <w:rPr>
          <w:rFonts w:hint="eastAsia"/>
        </w:rPr>
        <w:t>169</w:t>
      </w:r>
    </w:p>
    <w:p w14:paraId="34E2C114">
      <w:pPr>
        <w:tabs>
          <w:tab w:val="left" w:leader="dot" w:pos="5670"/>
          <w:tab w:val="left" w:leader="dot" w:pos="5880"/>
        </w:tabs>
        <w:contextualSpacing/>
      </w:pPr>
      <w:r>
        <w:t>1</w:t>
      </w:r>
      <w:r>
        <w:rPr>
          <w:rFonts w:hint="eastAsia"/>
        </w:rPr>
        <w:t>3</w:t>
      </w:r>
      <w:r>
        <w:t xml:space="preserve">  Engineering Waterproof</w:t>
      </w:r>
      <w:r>
        <w:tab/>
      </w:r>
      <w:r>
        <w:rPr>
          <w:rFonts w:hint="eastAsia"/>
        </w:rPr>
        <w:t>173</w:t>
      </w:r>
    </w:p>
    <w:p w14:paraId="7A15F0EE">
      <w:pPr>
        <w:tabs>
          <w:tab w:val="left" w:leader="dot" w:pos="5670"/>
          <w:tab w:val="left" w:leader="dot" w:pos="5880"/>
        </w:tabs>
        <w:ind w:firstLine="210" w:firstLineChars="100"/>
        <w:contextualSpacing/>
      </w:pPr>
      <w:r>
        <w:t>1</w:t>
      </w:r>
      <w:r>
        <w:rPr>
          <w:rFonts w:hint="eastAsia"/>
        </w:rPr>
        <w:t>3</w:t>
      </w:r>
      <w:r>
        <w:t>.1</w:t>
      </w:r>
      <w:r>
        <w:rPr>
          <w:rFonts w:hint="eastAsia"/>
        </w:rPr>
        <w:t xml:space="preserve">  </w:t>
      </w:r>
      <w:r>
        <w:t>General Requirements</w:t>
      </w:r>
      <w:r>
        <w:tab/>
      </w:r>
      <w:r>
        <w:rPr>
          <w:rFonts w:hint="eastAsia"/>
        </w:rPr>
        <w:t>173</w:t>
      </w:r>
    </w:p>
    <w:p w14:paraId="36C8E468">
      <w:pPr>
        <w:tabs>
          <w:tab w:val="left" w:leader="dot" w:pos="5670"/>
          <w:tab w:val="left" w:leader="dot" w:pos="5880"/>
        </w:tabs>
        <w:ind w:firstLine="210" w:firstLineChars="100"/>
        <w:contextualSpacing/>
      </w:pPr>
      <w:r>
        <w:t>1</w:t>
      </w:r>
      <w:r>
        <w:rPr>
          <w:rFonts w:hint="eastAsia"/>
        </w:rPr>
        <w:t>3</w:t>
      </w:r>
      <w:r>
        <w:t>.2  Concrete Structure Self-waterproofing</w:t>
      </w:r>
      <w:r>
        <w:tab/>
      </w:r>
      <w:r>
        <w:rPr>
          <w:rFonts w:hint="eastAsia"/>
        </w:rPr>
        <w:t>175</w:t>
      </w:r>
    </w:p>
    <w:p w14:paraId="53EF2CB1">
      <w:pPr>
        <w:tabs>
          <w:tab w:val="left" w:leader="dot" w:pos="5670"/>
          <w:tab w:val="left" w:leader="dot" w:pos="5880"/>
        </w:tabs>
        <w:ind w:firstLine="210" w:firstLineChars="100"/>
        <w:contextualSpacing/>
      </w:pPr>
      <w:r>
        <w:t>1</w:t>
      </w:r>
      <w:r>
        <w:rPr>
          <w:rFonts w:hint="eastAsia"/>
        </w:rPr>
        <w:t>3</w:t>
      </w:r>
      <w:r>
        <w:t>.3  Waterproofing Layer</w:t>
      </w:r>
      <w:r>
        <w:tab/>
      </w:r>
      <w:r>
        <w:rPr>
          <w:rFonts w:hint="eastAsia"/>
        </w:rPr>
        <w:t>177</w:t>
      </w:r>
    </w:p>
    <w:p w14:paraId="19926403">
      <w:pPr>
        <w:tabs>
          <w:tab w:val="left" w:leader="dot" w:pos="5670"/>
          <w:tab w:val="left" w:leader="dot" w:pos="5880"/>
        </w:tabs>
        <w:ind w:firstLine="210" w:firstLineChars="100"/>
        <w:contextualSpacing/>
      </w:pPr>
      <w:r>
        <w:t>1</w:t>
      </w:r>
      <w:r>
        <w:rPr>
          <w:rFonts w:hint="eastAsia"/>
        </w:rPr>
        <w:t>3</w:t>
      </w:r>
      <w:r>
        <w:t>.4  Waterproof of Elevated Structure</w:t>
      </w:r>
      <w:r>
        <w:tab/>
      </w:r>
      <w:r>
        <w:rPr>
          <w:rFonts w:hint="eastAsia"/>
        </w:rPr>
        <w:t>179</w:t>
      </w:r>
    </w:p>
    <w:p w14:paraId="2013752C">
      <w:pPr>
        <w:tabs>
          <w:tab w:val="left" w:leader="dot" w:pos="5670"/>
          <w:tab w:val="left" w:leader="dot" w:pos="5880"/>
        </w:tabs>
        <w:ind w:firstLine="210" w:firstLineChars="100"/>
        <w:contextualSpacing/>
      </w:pPr>
      <w:r>
        <w:t>1</w:t>
      </w:r>
      <w:r>
        <w:rPr>
          <w:rFonts w:hint="eastAsia"/>
        </w:rPr>
        <w:t>3</w:t>
      </w:r>
      <w:r>
        <w:t>.5  Waterproof of Open-cut</w:t>
      </w:r>
      <w:r>
        <w:rPr>
          <w:rFonts w:hint="eastAsia"/>
        </w:rPr>
        <w:t xml:space="preserve"> and</w:t>
      </w:r>
      <w:r>
        <w:t xml:space="preserve"> Cover Excavation Method</w:t>
      </w:r>
      <w:r>
        <w:tab/>
      </w:r>
      <w:r>
        <w:rPr>
          <w:rFonts w:hint="eastAsia"/>
        </w:rPr>
        <w:t>179</w:t>
      </w:r>
    </w:p>
    <w:p w14:paraId="2582E7A9">
      <w:pPr>
        <w:tabs>
          <w:tab w:val="left" w:leader="dot" w:pos="5670"/>
          <w:tab w:val="left" w:leader="dot" w:pos="5880"/>
        </w:tabs>
        <w:ind w:firstLine="210" w:firstLineChars="100"/>
        <w:contextualSpacing/>
      </w:pPr>
      <w:r>
        <w:t>1</w:t>
      </w:r>
      <w:r>
        <w:rPr>
          <w:rFonts w:hint="eastAsia"/>
        </w:rPr>
        <w:t>3</w:t>
      </w:r>
      <w:r>
        <w:t>.6  Waterproof of Mining Method</w:t>
      </w:r>
      <w:r>
        <w:tab/>
      </w:r>
      <w:r>
        <w:rPr>
          <w:rFonts w:hint="eastAsia"/>
        </w:rPr>
        <w:t>181</w:t>
      </w:r>
    </w:p>
    <w:p w14:paraId="29FE0D98">
      <w:pPr>
        <w:tabs>
          <w:tab w:val="left" w:leader="dot" w:pos="5670"/>
          <w:tab w:val="left" w:leader="dot" w:pos="5880"/>
        </w:tabs>
        <w:ind w:firstLine="210" w:firstLineChars="100"/>
        <w:contextualSpacing/>
      </w:pPr>
      <w:r>
        <w:t>1</w:t>
      </w:r>
      <w:r>
        <w:rPr>
          <w:rFonts w:hint="eastAsia"/>
        </w:rPr>
        <w:t>3</w:t>
      </w:r>
      <w:r>
        <w:t>.</w:t>
      </w:r>
      <w:r>
        <w:rPr>
          <w:rFonts w:hint="eastAsia"/>
        </w:rPr>
        <w:t>7</w:t>
      </w:r>
      <w:r>
        <w:t xml:space="preserve">  Structural Waterproof of Shield Tunneling Method</w:t>
      </w:r>
      <w:r>
        <w:tab/>
      </w:r>
      <w:r>
        <w:rPr>
          <w:rFonts w:hint="eastAsia"/>
        </w:rPr>
        <w:t>182</w:t>
      </w:r>
    </w:p>
    <w:p w14:paraId="125C59D6">
      <w:pPr>
        <w:tabs>
          <w:tab w:val="left" w:leader="dot" w:pos="5670"/>
          <w:tab w:val="left" w:leader="dot" w:pos="5880"/>
        </w:tabs>
        <w:ind w:firstLine="210" w:firstLineChars="100"/>
        <w:contextualSpacing/>
      </w:pPr>
      <w:r>
        <w:t>1</w:t>
      </w:r>
      <w:r>
        <w:rPr>
          <w:rFonts w:hint="eastAsia"/>
        </w:rPr>
        <w:t>3</w:t>
      </w:r>
      <w:r>
        <w:t>.</w:t>
      </w:r>
      <w:r>
        <w:rPr>
          <w:rFonts w:hint="eastAsia"/>
        </w:rPr>
        <w:t>8</w:t>
      </w:r>
      <w:r>
        <w:t xml:space="preserve">  Structural Waterproof for Detailed Area</w:t>
      </w:r>
      <w:r>
        <w:tab/>
      </w:r>
      <w:r>
        <w:rPr>
          <w:rFonts w:hint="eastAsia"/>
        </w:rPr>
        <w:t>185</w:t>
      </w:r>
    </w:p>
    <w:p w14:paraId="7BEF2381">
      <w:pPr>
        <w:pStyle w:val="461"/>
        <w:tabs>
          <w:tab w:val="left" w:leader="dot" w:pos="5670"/>
          <w:tab w:val="left" w:leader="dot" w:pos="5880"/>
        </w:tabs>
        <w:contextualSpacing/>
        <w:rPr>
          <w:rFonts w:ascii="Times New Roman" w:hAnsi="Times New Roman" w:cs="Times New Roman"/>
          <w:spacing w:val="4"/>
          <w:szCs w:val="24"/>
        </w:rPr>
      </w:pPr>
      <w:r>
        <w:rPr>
          <w:rFonts w:ascii="Times New Roman" w:hAnsi="Times New Roman" w:cs="Times New Roman"/>
          <w:spacing w:val="4"/>
          <w:szCs w:val="24"/>
        </w:rPr>
        <w:t>1</w:t>
      </w:r>
      <w:r>
        <w:rPr>
          <w:rFonts w:hint="eastAsia" w:ascii="Times New Roman" w:hAnsi="Times New Roman" w:cs="Times New Roman"/>
          <w:spacing w:val="4"/>
          <w:szCs w:val="24"/>
        </w:rPr>
        <w:t>4</w:t>
      </w:r>
      <w:r>
        <w:rPr>
          <w:rFonts w:ascii="Times New Roman" w:hAnsi="Times New Roman" w:cs="Times New Roman"/>
          <w:spacing w:val="4"/>
          <w:szCs w:val="24"/>
        </w:rPr>
        <w:t xml:space="preserve">  Ventilation，Air-conditioning and Heating</w:t>
      </w:r>
      <w:r>
        <w:rPr>
          <w:rFonts w:ascii="Times New Roman" w:hAnsi="Times New Roman" w:cs="Times New Roman"/>
          <w:spacing w:val="4"/>
          <w:szCs w:val="24"/>
        </w:rPr>
        <w:tab/>
      </w:r>
      <w:r>
        <w:rPr>
          <w:rFonts w:hint="eastAsia" w:ascii="Times New Roman" w:hAnsi="Times New Roman" w:cs="Times New Roman"/>
          <w:spacing w:val="4"/>
          <w:szCs w:val="24"/>
        </w:rPr>
        <w:t>188</w:t>
      </w:r>
    </w:p>
    <w:p w14:paraId="203217FB">
      <w:pPr>
        <w:tabs>
          <w:tab w:val="left" w:leader="dot" w:pos="5670"/>
          <w:tab w:val="left" w:leader="dot" w:pos="5880"/>
        </w:tabs>
        <w:ind w:firstLine="210" w:firstLineChars="100"/>
        <w:contextualSpacing/>
      </w:pPr>
      <w:r>
        <w:t>1</w:t>
      </w:r>
      <w:r>
        <w:rPr>
          <w:rFonts w:hint="eastAsia"/>
        </w:rPr>
        <w:t>4</w:t>
      </w:r>
      <w:r>
        <w:t>.1  General Requirements</w:t>
      </w:r>
      <w:r>
        <w:tab/>
      </w:r>
      <w:r>
        <w:rPr>
          <w:rFonts w:hint="eastAsia"/>
        </w:rPr>
        <w:t>188</w:t>
      </w:r>
    </w:p>
    <w:p w14:paraId="3CCEC56F">
      <w:pPr>
        <w:tabs>
          <w:tab w:val="left" w:leader="dot" w:pos="5670"/>
          <w:tab w:val="left" w:leader="dot" w:pos="5880"/>
        </w:tabs>
        <w:ind w:firstLine="210" w:firstLineChars="100"/>
        <w:contextualSpacing/>
      </w:pPr>
      <w:r>
        <w:t>1</w:t>
      </w:r>
      <w:r>
        <w:rPr>
          <w:rFonts w:hint="eastAsia"/>
        </w:rPr>
        <w:t>4</w:t>
      </w:r>
      <w:r>
        <w:t xml:space="preserve">.2  </w:t>
      </w:r>
      <w:r>
        <w:rPr>
          <w:rFonts w:hint="eastAsia"/>
        </w:rPr>
        <w:t>T</w:t>
      </w:r>
      <w:r>
        <w:t>he Underground Section</w:t>
      </w:r>
      <w:r>
        <w:tab/>
      </w:r>
      <w:r>
        <w:rPr>
          <w:rFonts w:hint="eastAsia"/>
        </w:rPr>
        <w:t>189</w:t>
      </w:r>
    </w:p>
    <w:p w14:paraId="63791794">
      <w:pPr>
        <w:tabs>
          <w:tab w:val="left" w:leader="dot" w:pos="5670"/>
          <w:tab w:val="left" w:leader="dot" w:pos="5880"/>
        </w:tabs>
        <w:ind w:firstLine="210" w:firstLineChars="100"/>
        <w:contextualSpacing/>
      </w:pPr>
      <w:r>
        <w:t>1</w:t>
      </w:r>
      <w:r>
        <w:rPr>
          <w:rFonts w:hint="eastAsia"/>
        </w:rPr>
        <w:t>4</w:t>
      </w:r>
      <w:r>
        <w:t>.3  Elevated and Ground Section</w:t>
      </w:r>
      <w:r>
        <w:rPr>
          <w:rFonts w:hint="eastAsia"/>
        </w:rPr>
        <w:tab/>
      </w:r>
      <w:r>
        <w:rPr>
          <w:rFonts w:hint="eastAsia"/>
        </w:rPr>
        <w:t>197</w:t>
      </w:r>
    </w:p>
    <w:p w14:paraId="378A63F4">
      <w:pPr>
        <w:tabs>
          <w:tab w:val="left" w:leader="dot" w:pos="5670"/>
          <w:tab w:val="left" w:leader="dot" w:pos="5880"/>
        </w:tabs>
        <w:ind w:left="840" w:leftChars="100" w:hanging="630" w:hangingChars="300"/>
        <w:contextualSpacing/>
      </w:pPr>
      <w:r>
        <w:t>1</w:t>
      </w:r>
      <w:r>
        <w:rPr>
          <w:rFonts w:hint="eastAsia"/>
        </w:rPr>
        <w:t>4</w:t>
      </w:r>
      <w:r>
        <w:t>.4  Comprehensive Depot and Operation</w:t>
      </w:r>
      <w:r>
        <w:rPr>
          <w:rFonts w:hint="eastAsia"/>
        </w:rPr>
        <w:t xml:space="preserve"> </w:t>
      </w:r>
      <w:r>
        <w:t>Control Center</w:t>
      </w:r>
      <w:r>
        <w:tab/>
      </w:r>
      <w:r>
        <w:rPr>
          <w:rFonts w:hint="eastAsia"/>
        </w:rPr>
        <w:t>199</w:t>
      </w:r>
    </w:p>
    <w:p w14:paraId="532963A7">
      <w:pPr>
        <w:tabs>
          <w:tab w:val="left" w:leader="dot" w:pos="5670"/>
          <w:tab w:val="left" w:leader="dot" w:pos="5880"/>
        </w:tabs>
        <w:ind w:firstLine="210" w:firstLineChars="100"/>
        <w:contextualSpacing/>
      </w:pPr>
      <w:r>
        <w:t>1</w:t>
      </w:r>
      <w:r>
        <w:rPr>
          <w:rFonts w:hint="eastAsia"/>
        </w:rPr>
        <w:t>4</w:t>
      </w:r>
      <w:r>
        <w:t>.5</w:t>
      </w:r>
      <w:r>
        <w:rPr>
          <w:rFonts w:hint="eastAsia"/>
        </w:rPr>
        <w:t xml:space="preserve">  </w:t>
      </w:r>
      <w:r>
        <w:t>Ventilation and Air-conditioning System Control</w:t>
      </w:r>
      <w:r>
        <w:tab/>
      </w:r>
      <w:r>
        <w:rPr>
          <w:rFonts w:hint="eastAsia"/>
        </w:rPr>
        <w:t>199</w:t>
      </w:r>
    </w:p>
    <w:p w14:paraId="75E0D99A">
      <w:pPr>
        <w:tabs>
          <w:tab w:val="left" w:leader="dot" w:pos="5670"/>
          <w:tab w:val="left" w:leader="dot" w:pos="5880"/>
        </w:tabs>
        <w:contextualSpacing/>
      </w:pPr>
      <w:r>
        <w:t>1</w:t>
      </w:r>
      <w:r>
        <w:rPr>
          <w:rFonts w:hint="eastAsia"/>
        </w:rPr>
        <w:t>5</w:t>
      </w:r>
      <w:r>
        <w:t xml:space="preserve">  Water Supply and Drainage</w:t>
      </w:r>
      <w:r>
        <w:tab/>
      </w:r>
      <w:r>
        <w:rPr>
          <w:rFonts w:hint="eastAsia"/>
        </w:rPr>
        <w:t>200</w:t>
      </w:r>
    </w:p>
    <w:p w14:paraId="4E08E447">
      <w:pPr>
        <w:tabs>
          <w:tab w:val="left" w:leader="dot" w:pos="5670"/>
          <w:tab w:val="left" w:leader="dot" w:pos="5880"/>
        </w:tabs>
        <w:ind w:firstLine="210" w:firstLineChars="100"/>
        <w:contextualSpacing/>
      </w:pPr>
      <w:r>
        <w:t>1</w:t>
      </w:r>
      <w:r>
        <w:rPr>
          <w:rFonts w:hint="eastAsia"/>
        </w:rPr>
        <w:t>5</w:t>
      </w:r>
      <w:r>
        <w:t>.1</w:t>
      </w:r>
      <w:r>
        <w:rPr>
          <w:rFonts w:hint="eastAsia"/>
        </w:rPr>
        <w:t xml:space="preserve">  </w:t>
      </w:r>
      <w:r>
        <w:t>General Requirements</w:t>
      </w:r>
      <w:r>
        <w:tab/>
      </w:r>
      <w:r>
        <w:rPr>
          <w:rFonts w:hint="eastAsia"/>
        </w:rPr>
        <w:t>200</w:t>
      </w:r>
    </w:p>
    <w:p w14:paraId="462A5108">
      <w:pPr>
        <w:tabs>
          <w:tab w:val="left" w:leader="dot" w:pos="5670"/>
          <w:tab w:val="left" w:leader="dot" w:pos="5880"/>
        </w:tabs>
        <w:ind w:firstLine="210" w:firstLineChars="100"/>
        <w:contextualSpacing/>
      </w:pPr>
      <w:r>
        <w:t>1</w:t>
      </w:r>
      <w:r>
        <w:rPr>
          <w:rFonts w:hint="eastAsia"/>
        </w:rPr>
        <w:t>5</w:t>
      </w:r>
      <w:r>
        <w:t>.2</w:t>
      </w:r>
      <w:r>
        <w:rPr>
          <w:rFonts w:hint="eastAsia"/>
        </w:rPr>
        <w:t xml:space="preserve">  </w:t>
      </w:r>
      <w:r>
        <w:t>Station and Tunnel Water Supply</w:t>
      </w:r>
      <w:r>
        <w:tab/>
      </w:r>
      <w:r>
        <w:rPr>
          <w:rFonts w:hint="eastAsia"/>
        </w:rPr>
        <w:t>201</w:t>
      </w:r>
    </w:p>
    <w:p w14:paraId="6073868E">
      <w:pPr>
        <w:tabs>
          <w:tab w:val="left" w:leader="dot" w:pos="5670"/>
          <w:tab w:val="left" w:leader="dot" w:pos="5880"/>
        </w:tabs>
        <w:ind w:firstLine="210" w:firstLineChars="100"/>
        <w:contextualSpacing/>
      </w:pPr>
      <w:r>
        <w:t>1</w:t>
      </w:r>
      <w:r>
        <w:rPr>
          <w:rFonts w:hint="eastAsia"/>
        </w:rPr>
        <w:t>5</w:t>
      </w:r>
      <w:r>
        <w:t>.3</w:t>
      </w:r>
      <w:r>
        <w:rPr>
          <w:rFonts w:hint="eastAsia"/>
        </w:rPr>
        <w:t xml:space="preserve">  </w:t>
      </w:r>
      <w:r>
        <w:t>Station and Tunnel Water Drainage</w:t>
      </w:r>
      <w:r>
        <w:tab/>
      </w:r>
      <w:r>
        <w:rPr>
          <w:rFonts w:hint="eastAsia"/>
        </w:rPr>
        <w:t>203</w:t>
      </w:r>
    </w:p>
    <w:p w14:paraId="4AFDEFF2">
      <w:pPr>
        <w:tabs>
          <w:tab w:val="left" w:leader="dot" w:pos="5670"/>
          <w:tab w:val="left" w:leader="dot" w:pos="5880"/>
        </w:tabs>
        <w:ind w:firstLine="210" w:firstLineChars="100"/>
        <w:contextualSpacing/>
      </w:pPr>
      <w:r>
        <w:t>1</w:t>
      </w:r>
      <w:r>
        <w:rPr>
          <w:rFonts w:hint="eastAsia"/>
        </w:rPr>
        <w:t>5</w:t>
      </w:r>
      <w:r>
        <w:t>.4</w:t>
      </w:r>
      <w:r>
        <w:rPr>
          <w:rFonts w:hint="eastAsia"/>
        </w:rPr>
        <w:t xml:space="preserve">  </w:t>
      </w:r>
      <w:r>
        <w:t>Water Supply and Drainage of Comprehensive Depot</w:t>
      </w:r>
      <w:r>
        <w:tab/>
      </w:r>
      <w:r>
        <w:rPr>
          <w:rFonts w:hint="eastAsia"/>
        </w:rPr>
        <w:t>207</w:t>
      </w:r>
    </w:p>
    <w:p w14:paraId="0AEAE225">
      <w:pPr>
        <w:tabs>
          <w:tab w:val="left" w:leader="dot" w:pos="5670"/>
          <w:tab w:val="left" w:leader="dot" w:pos="5880"/>
        </w:tabs>
        <w:ind w:left="840" w:leftChars="100" w:hanging="630" w:hangingChars="300"/>
        <w:contextualSpacing/>
      </w:pPr>
      <w:r>
        <w:t>1</w:t>
      </w:r>
      <w:r>
        <w:rPr>
          <w:rFonts w:hint="eastAsia"/>
        </w:rPr>
        <w:t>5</w:t>
      </w:r>
      <w:r>
        <w:t>.5  Monitoring and Control of Water Supply and Drainage Equipments</w:t>
      </w:r>
      <w:r>
        <w:tab/>
      </w:r>
      <w:r>
        <w:rPr>
          <w:rFonts w:hint="eastAsia"/>
        </w:rPr>
        <w:t>209</w:t>
      </w:r>
    </w:p>
    <w:p w14:paraId="6FF26700">
      <w:pPr>
        <w:pStyle w:val="461"/>
        <w:tabs>
          <w:tab w:val="left" w:leader="dot" w:pos="5670"/>
          <w:tab w:val="left" w:leader="dot" w:pos="5880"/>
        </w:tabs>
        <w:contextualSpacing/>
        <w:rPr>
          <w:rFonts w:ascii="Times New Roman" w:hAnsi="Times New Roman" w:cs="Times New Roman"/>
          <w:spacing w:val="4"/>
          <w:szCs w:val="24"/>
        </w:rPr>
      </w:pPr>
      <w:r>
        <w:rPr>
          <w:rFonts w:ascii="Times New Roman" w:hAnsi="Times New Roman" w:cs="Times New Roman"/>
          <w:spacing w:val="4"/>
          <w:szCs w:val="24"/>
        </w:rPr>
        <w:t>1</w:t>
      </w:r>
      <w:r>
        <w:rPr>
          <w:rFonts w:hint="eastAsia" w:ascii="Times New Roman" w:hAnsi="Times New Roman" w:cs="Times New Roman"/>
          <w:spacing w:val="4"/>
          <w:szCs w:val="24"/>
        </w:rPr>
        <w:t>6</w:t>
      </w:r>
      <w:r>
        <w:rPr>
          <w:rFonts w:ascii="Times New Roman" w:hAnsi="Times New Roman" w:cs="Times New Roman"/>
          <w:spacing w:val="4"/>
          <w:szCs w:val="24"/>
        </w:rPr>
        <w:t xml:space="preserve">  Power Supply</w:t>
      </w:r>
      <w:r>
        <w:rPr>
          <w:rFonts w:ascii="Times New Roman" w:hAnsi="Times New Roman" w:cs="Times New Roman"/>
          <w:spacing w:val="4"/>
          <w:szCs w:val="24"/>
        </w:rPr>
        <w:tab/>
      </w:r>
      <w:r>
        <w:rPr>
          <w:rFonts w:hint="eastAsia" w:ascii="Times New Roman" w:hAnsi="Times New Roman" w:cs="Times New Roman"/>
          <w:spacing w:val="4"/>
          <w:szCs w:val="24"/>
        </w:rPr>
        <w:t>211</w:t>
      </w:r>
    </w:p>
    <w:p w14:paraId="416668BB">
      <w:pPr>
        <w:tabs>
          <w:tab w:val="left" w:leader="dot" w:pos="5670"/>
          <w:tab w:val="left" w:leader="dot" w:pos="5880"/>
        </w:tabs>
        <w:ind w:firstLine="210" w:firstLineChars="100"/>
        <w:contextualSpacing/>
      </w:pPr>
      <w:r>
        <w:t>1</w:t>
      </w:r>
      <w:r>
        <w:rPr>
          <w:rFonts w:hint="eastAsia"/>
        </w:rPr>
        <w:t>6</w:t>
      </w:r>
      <w:r>
        <w:t>.1</w:t>
      </w:r>
      <w:r>
        <w:rPr>
          <w:rFonts w:hint="eastAsia"/>
        </w:rPr>
        <w:t xml:space="preserve">  </w:t>
      </w:r>
      <w:r>
        <w:t>General Requirements</w:t>
      </w:r>
      <w:r>
        <w:tab/>
      </w:r>
      <w:r>
        <w:rPr>
          <w:rFonts w:hint="eastAsia"/>
        </w:rPr>
        <w:t>211</w:t>
      </w:r>
    </w:p>
    <w:p w14:paraId="10CC9FFC">
      <w:pPr>
        <w:tabs>
          <w:tab w:val="left" w:leader="dot" w:pos="5670"/>
          <w:tab w:val="left" w:leader="dot" w:pos="5880"/>
        </w:tabs>
        <w:ind w:firstLine="210" w:firstLineChars="100"/>
        <w:contextualSpacing/>
      </w:pPr>
      <w:r>
        <w:rPr>
          <w:rFonts w:hint="eastAsia"/>
        </w:rPr>
        <w:t xml:space="preserve">16.2  </w:t>
      </w:r>
      <w:r>
        <w:t>Traction Power Supply System</w:t>
      </w:r>
      <w:r>
        <w:tab/>
      </w:r>
      <w:r>
        <w:rPr>
          <w:rFonts w:hint="eastAsia"/>
        </w:rPr>
        <w:t>212</w:t>
      </w:r>
    </w:p>
    <w:p w14:paraId="1522360E">
      <w:pPr>
        <w:tabs>
          <w:tab w:val="left" w:leader="dot" w:pos="5670"/>
          <w:tab w:val="left" w:leader="dot" w:pos="5880"/>
        </w:tabs>
        <w:ind w:firstLine="210" w:firstLineChars="100"/>
        <w:contextualSpacing/>
      </w:pPr>
      <w:r>
        <w:t>1</w:t>
      </w:r>
      <w:r>
        <w:rPr>
          <w:rFonts w:hint="eastAsia"/>
        </w:rPr>
        <w:t>6</w:t>
      </w:r>
      <w:r>
        <w:t>.</w:t>
      </w:r>
      <w:r>
        <w:rPr>
          <w:rFonts w:hint="eastAsia"/>
        </w:rPr>
        <w:t>3</w:t>
      </w:r>
      <w:r>
        <w:t xml:space="preserve">  External Power and Medium-voltage Network</w:t>
      </w:r>
      <w:r>
        <w:tab/>
      </w:r>
      <w:r>
        <w:rPr>
          <w:rFonts w:hint="eastAsia"/>
        </w:rPr>
        <w:t>215</w:t>
      </w:r>
    </w:p>
    <w:p w14:paraId="5C8070B4">
      <w:pPr>
        <w:tabs>
          <w:tab w:val="left" w:leader="dot" w:pos="5670"/>
          <w:tab w:val="left" w:leader="dot" w:pos="5880"/>
        </w:tabs>
        <w:ind w:firstLine="210" w:firstLineChars="100"/>
        <w:contextualSpacing/>
      </w:pPr>
      <w:r>
        <w:t>1</w:t>
      </w:r>
      <w:r>
        <w:rPr>
          <w:rFonts w:hint="eastAsia"/>
        </w:rPr>
        <w:t>6</w:t>
      </w:r>
      <w:r>
        <w:t>.</w:t>
      </w:r>
      <w:r>
        <w:rPr>
          <w:rFonts w:hint="eastAsia"/>
        </w:rPr>
        <w:t xml:space="preserve">4  </w:t>
      </w:r>
      <w:r>
        <w:t>Substation</w:t>
      </w:r>
      <w:r>
        <w:tab/>
      </w:r>
      <w:r>
        <w:rPr>
          <w:rFonts w:hint="eastAsia"/>
        </w:rPr>
        <w:t>216</w:t>
      </w:r>
    </w:p>
    <w:p w14:paraId="46709D61">
      <w:pPr>
        <w:tabs>
          <w:tab w:val="left" w:leader="dot" w:pos="5670"/>
          <w:tab w:val="left" w:leader="dot" w:pos="5880"/>
        </w:tabs>
        <w:ind w:firstLine="210" w:firstLineChars="100"/>
        <w:contextualSpacing/>
      </w:pPr>
      <w:r>
        <w:t>1</w:t>
      </w:r>
      <w:r>
        <w:rPr>
          <w:rFonts w:hint="eastAsia"/>
        </w:rPr>
        <w:t>6</w:t>
      </w:r>
      <w:r>
        <w:t>.</w:t>
      </w:r>
      <w:r>
        <w:rPr>
          <w:rFonts w:hint="eastAsia"/>
        </w:rPr>
        <w:t>5</w:t>
      </w:r>
      <w:r>
        <w:t xml:space="preserve">  Traction Power Network</w:t>
      </w:r>
      <w:r>
        <w:tab/>
      </w:r>
      <w:r>
        <w:rPr>
          <w:rFonts w:hint="eastAsia"/>
        </w:rPr>
        <w:t>219</w:t>
      </w:r>
    </w:p>
    <w:p w14:paraId="695272F8">
      <w:pPr>
        <w:tabs>
          <w:tab w:val="left" w:leader="dot" w:pos="5670"/>
          <w:tab w:val="left" w:leader="dot" w:pos="5880"/>
        </w:tabs>
        <w:ind w:firstLine="210" w:firstLineChars="100"/>
        <w:contextualSpacing/>
      </w:pPr>
      <w:r>
        <w:t>1</w:t>
      </w:r>
      <w:r>
        <w:rPr>
          <w:rFonts w:hint="eastAsia"/>
        </w:rPr>
        <w:t>6</w:t>
      </w:r>
      <w:r>
        <w:t>.</w:t>
      </w:r>
      <w:r>
        <w:rPr>
          <w:rFonts w:hint="eastAsia"/>
        </w:rPr>
        <w:t>6</w:t>
      </w:r>
      <w:r>
        <w:t xml:space="preserve">  Relay Protection，Measurement and Automatic Devices</w:t>
      </w:r>
      <w:r>
        <w:tab/>
      </w:r>
      <w:r>
        <w:rPr>
          <w:rFonts w:hint="eastAsia"/>
        </w:rPr>
        <w:t>225</w:t>
      </w:r>
    </w:p>
    <w:p w14:paraId="1B11810B">
      <w:pPr>
        <w:tabs>
          <w:tab w:val="left" w:leader="dot" w:pos="5670"/>
          <w:tab w:val="left" w:leader="dot" w:pos="5880"/>
        </w:tabs>
        <w:ind w:left="840" w:leftChars="100" w:hanging="630" w:hangingChars="300"/>
        <w:contextualSpacing/>
      </w:pPr>
      <w:r>
        <w:rPr>
          <w:rFonts w:hint="eastAsia"/>
        </w:rPr>
        <w:t xml:space="preserve">16.7  </w:t>
      </w:r>
      <w:r>
        <w:t>Power Monitoring System and Intelligent Operation and Maintenance System for Power Supply</w:t>
      </w:r>
      <w:r>
        <w:tab/>
      </w:r>
      <w:r>
        <w:rPr>
          <w:rFonts w:hint="eastAsia"/>
        </w:rPr>
        <w:t>229</w:t>
      </w:r>
    </w:p>
    <w:p w14:paraId="09903A86">
      <w:pPr>
        <w:tabs>
          <w:tab w:val="left" w:leader="dot" w:pos="5670"/>
          <w:tab w:val="left" w:leader="dot" w:pos="5880"/>
        </w:tabs>
        <w:ind w:firstLine="210" w:firstLineChars="100"/>
        <w:contextualSpacing/>
      </w:pPr>
      <w:r>
        <w:t>1</w:t>
      </w:r>
      <w:r>
        <w:rPr>
          <w:rFonts w:hint="eastAsia"/>
        </w:rPr>
        <w:t>6</w:t>
      </w:r>
      <w:r>
        <w:t>.</w:t>
      </w:r>
      <w:r>
        <w:rPr>
          <w:rFonts w:hint="eastAsia"/>
        </w:rPr>
        <w:t>8</w:t>
      </w:r>
      <w:r>
        <w:t xml:space="preserve">  Power and Lighting Distribution</w:t>
      </w:r>
      <w:r>
        <w:tab/>
      </w:r>
      <w:r>
        <w:rPr>
          <w:rFonts w:hint="eastAsia"/>
        </w:rPr>
        <w:t>232</w:t>
      </w:r>
    </w:p>
    <w:p w14:paraId="7D21CAA4">
      <w:pPr>
        <w:tabs>
          <w:tab w:val="left" w:leader="dot" w:pos="5670"/>
          <w:tab w:val="left" w:leader="dot" w:pos="5880"/>
        </w:tabs>
        <w:ind w:firstLine="210" w:firstLineChars="100"/>
        <w:contextualSpacing/>
      </w:pPr>
      <w:r>
        <w:t>1</w:t>
      </w:r>
      <w:r>
        <w:rPr>
          <w:rFonts w:hint="eastAsia"/>
        </w:rPr>
        <w:t>6</w:t>
      </w:r>
      <w:r>
        <w:t>.</w:t>
      </w:r>
      <w:r>
        <w:rPr>
          <w:rFonts w:hint="eastAsia"/>
        </w:rPr>
        <w:t>9</w:t>
      </w:r>
      <w:r>
        <w:t xml:space="preserve">  Power Supply and Distribution Line Laying</w:t>
      </w:r>
      <w:r>
        <w:tab/>
      </w:r>
      <w:r>
        <w:rPr>
          <w:rFonts w:hint="eastAsia"/>
        </w:rPr>
        <w:t>235</w:t>
      </w:r>
    </w:p>
    <w:p w14:paraId="1467FCFA">
      <w:pPr>
        <w:tabs>
          <w:tab w:val="left" w:leader="dot" w:pos="5670"/>
          <w:tab w:val="left" w:leader="dot" w:pos="5880"/>
        </w:tabs>
        <w:ind w:left="945" w:leftChars="100" w:hanging="735" w:hangingChars="350"/>
        <w:contextualSpacing/>
      </w:pPr>
      <w:r>
        <w:rPr>
          <w:rFonts w:hint="eastAsia"/>
        </w:rPr>
        <w:t xml:space="preserve">16.10 </w:t>
      </w:r>
      <w:r>
        <w:t>Stray Current Corrosion Protection, Grounding, and Electromagnetic Interference Protection</w:t>
      </w:r>
      <w:r>
        <w:tab/>
      </w:r>
      <w:r>
        <w:rPr>
          <w:rFonts w:hint="eastAsia"/>
        </w:rPr>
        <w:t>237</w:t>
      </w:r>
    </w:p>
    <w:p w14:paraId="7460BEFC">
      <w:pPr>
        <w:tabs>
          <w:tab w:val="left" w:leader="dot" w:pos="5670"/>
          <w:tab w:val="left" w:leader="dot" w:pos="5880"/>
        </w:tabs>
        <w:contextualSpacing/>
      </w:pPr>
      <w:r>
        <w:t>1</w:t>
      </w:r>
      <w:r>
        <w:rPr>
          <w:rFonts w:hint="eastAsia"/>
        </w:rPr>
        <w:t xml:space="preserve">7  </w:t>
      </w:r>
      <w:r>
        <w:t>Communication</w:t>
      </w:r>
      <w:r>
        <w:tab/>
      </w:r>
      <w:r>
        <w:rPr>
          <w:rFonts w:hint="eastAsia"/>
        </w:rPr>
        <w:t>240</w:t>
      </w:r>
    </w:p>
    <w:p w14:paraId="3E8BC448">
      <w:pPr>
        <w:tabs>
          <w:tab w:val="left" w:leader="dot" w:pos="5670"/>
          <w:tab w:val="left" w:leader="dot" w:pos="5880"/>
        </w:tabs>
        <w:ind w:firstLine="210" w:firstLineChars="100"/>
        <w:contextualSpacing/>
      </w:pPr>
      <w:r>
        <w:t>1</w:t>
      </w:r>
      <w:r>
        <w:rPr>
          <w:rFonts w:hint="eastAsia"/>
        </w:rPr>
        <w:t>7</w:t>
      </w:r>
      <w:r>
        <w:t>.1  General Requirements</w:t>
      </w:r>
      <w:r>
        <w:tab/>
      </w:r>
      <w:r>
        <w:rPr>
          <w:rFonts w:hint="eastAsia"/>
        </w:rPr>
        <w:t>240</w:t>
      </w:r>
    </w:p>
    <w:p w14:paraId="12F5C604">
      <w:pPr>
        <w:tabs>
          <w:tab w:val="left" w:leader="dot" w:pos="5670"/>
          <w:tab w:val="left" w:leader="dot" w:pos="5880"/>
        </w:tabs>
        <w:ind w:firstLine="210" w:firstLineChars="100"/>
        <w:contextualSpacing/>
      </w:pPr>
      <w:r>
        <w:rPr>
          <w:rFonts w:hint="eastAsia"/>
        </w:rPr>
        <w:t xml:space="preserve">17.2  </w:t>
      </w:r>
      <w:r>
        <w:t>Dedicated Communication System</w:t>
      </w:r>
      <w:r>
        <w:rPr>
          <w:rFonts w:hint="eastAsia"/>
        </w:rPr>
        <w:tab/>
      </w:r>
      <w:r>
        <w:rPr>
          <w:rFonts w:hint="eastAsia"/>
        </w:rPr>
        <w:t>242</w:t>
      </w:r>
    </w:p>
    <w:p w14:paraId="79BA4258">
      <w:pPr>
        <w:tabs>
          <w:tab w:val="left" w:leader="dot" w:pos="5670"/>
          <w:tab w:val="left" w:leader="dot" w:pos="5880"/>
        </w:tabs>
        <w:ind w:firstLine="210" w:firstLineChars="100"/>
        <w:contextualSpacing/>
      </w:pPr>
      <w:r>
        <w:rPr>
          <w:rFonts w:hint="eastAsia"/>
        </w:rPr>
        <w:t xml:space="preserve">17.3  </w:t>
      </w:r>
      <w:r>
        <w:t>Police Communication System</w:t>
      </w:r>
      <w:r>
        <w:tab/>
      </w:r>
      <w:r>
        <w:rPr>
          <w:rFonts w:hint="eastAsia"/>
        </w:rPr>
        <w:t>255</w:t>
      </w:r>
    </w:p>
    <w:p w14:paraId="79902154">
      <w:pPr>
        <w:tabs>
          <w:tab w:val="left" w:leader="dot" w:pos="5670"/>
          <w:tab w:val="left" w:leader="dot" w:pos="5880"/>
        </w:tabs>
        <w:ind w:firstLine="210" w:firstLineChars="100"/>
        <w:contextualSpacing/>
      </w:pPr>
      <w:r>
        <w:rPr>
          <w:rFonts w:hint="eastAsia"/>
        </w:rPr>
        <w:t xml:space="preserve">17.4  </w:t>
      </w:r>
      <w:r>
        <w:t>Government Communication System</w:t>
      </w:r>
      <w:r>
        <w:tab/>
      </w:r>
      <w:r>
        <w:rPr>
          <w:rFonts w:hint="eastAsia"/>
        </w:rPr>
        <w:t>258</w:t>
      </w:r>
    </w:p>
    <w:p w14:paraId="295B7AFE">
      <w:pPr>
        <w:tabs>
          <w:tab w:val="left" w:leader="dot" w:pos="5670"/>
          <w:tab w:val="left" w:leader="dot" w:pos="5880"/>
        </w:tabs>
        <w:ind w:firstLine="210" w:firstLineChars="100"/>
        <w:contextualSpacing/>
      </w:pPr>
      <w:r>
        <w:rPr>
          <w:rFonts w:hint="eastAsia"/>
        </w:rPr>
        <w:t xml:space="preserve">17.5  </w:t>
      </w:r>
      <w:r>
        <w:t>Public Mobile Communication System</w:t>
      </w:r>
      <w:r>
        <w:rPr>
          <w:rFonts w:hint="eastAsia"/>
        </w:rPr>
        <w:tab/>
      </w:r>
      <w:r>
        <w:rPr>
          <w:rFonts w:hint="eastAsia"/>
        </w:rPr>
        <w:t>258</w:t>
      </w:r>
    </w:p>
    <w:p w14:paraId="358A3645">
      <w:pPr>
        <w:tabs>
          <w:tab w:val="left" w:leader="dot" w:pos="5670"/>
          <w:tab w:val="left" w:leader="dot" w:pos="5880"/>
        </w:tabs>
        <w:ind w:left="840" w:leftChars="100" w:hanging="630" w:hangingChars="300"/>
        <w:contextualSpacing/>
        <w:jc w:val="left"/>
      </w:pPr>
      <w:r>
        <w:rPr>
          <w:rFonts w:hint="eastAsia"/>
        </w:rPr>
        <w:t xml:space="preserve">17.6  </w:t>
      </w:r>
      <w:r>
        <w:t>Lightning Protection Requirements for Communication System</w:t>
      </w:r>
      <w:r>
        <w:tab/>
      </w:r>
      <w:r>
        <w:rPr>
          <w:rFonts w:hint="eastAsia"/>
        </w:rPr>
        <w:t>259</w:t>
      </w:r>
    </w:p>
    <w:p w14:paraId="1250C04C">
      <w:pPr>
        <w:tabs>
          <w:tab w:val="left" w:leader="dot" w:pos="5670"/>
          <w:tab w:val="left" w:leader="dot" w:pos="5880"/>
        </w:tabs>
        <w:ind w:firstLine="210" w:firstLineChars="100"/>
        <w:contextualSpacing/>
      </w:pPr>
      <w:r>
        <w:rPr>
          <w:rFonts w:hint="eastAsia"/>
        </w:rPr>
        <w:t xml:space="preserve">17.7  </w:t>
      </w:r>
      <w:r>
        <w:t>Requirements of Communication Room</w:t>
      </w:r>
      <w:r>
        <w:tab/>
      </w:r>
      <w:r>
        <w:rPr>
          <w:rFonts w:hint="eastAsia"/>
        </w:rPr>
        <w:t>260</w:t>
      </w:r>
    </w:p>
    <w:p w14:paraId="3EEDE52C">
      <w:pPr>
        <w:tabs>
          <w:tab w:val="left" w:leader="dot" w:pos="5670"/>
          <w:tab w:val="left" w:leader="dot" w:pos="5880"/>
        </w:tabs>
        <w:contextualSpacing/>
      </w:pPr>
      <w:r>
        <w:t>1</w:t>
      </w:r>
      <w:r>
        <w:rPr>
          <w:rFonts w:hint="eastAsia"/>
        </w:rPr>
        <w:t xml:space="preserve">8  </w:t>
      </w:r>
      <w:r>
        <w:t>Signal</w:t>
      </w:r>
      <w:r>
        <w:tab/>
      </w:r>
      <w:r>
        <w:rPr>
          <w:rFonts w:hint="eastAsia"/>
        </w:rPr>
        <w:t>262</w:t>
      </w:r>
    </w:p>
    <w:p w14:paraId="477DA05A">
      <w:pPr>
        <w:tabs>
          <w:tab w:val="left" w:leader="dot" w:pos="5670"/>
          <w:tab w:val="left" w:leader="dot" w:pos="5880"/>
        </w:tabs>
        <w:ind w:firstLine="210" w:firstLineChars="100"/>
        <w:contextualSpacing/>
      </w:pPr>
      <w:r>
        <w:t>1</w:t>
      </w:r>
      <w:r>
        <w:rPr>
          <w:rFonts w:hint="eastAsia"/>
        </w:rPr>
        <w:t>8</w:t>
      </w:r>
      <w:r>
        <w:t>.1</w:t>
      </w:r>
      <w:r>
        <w:rPr>
          <w:rFonts w:hint="eastAsia"/>
        </w:rPr>
        <w:t xml:space="preserve">  </w:t>
      </w:r>
      <w:r>
        <w:t>General Requirements</w:t>
      </w:r>
      <w:r>
        <w:tab/>
      </w:r>
      <w:r>
        <w:rPr>
          <w:rFonts w:hint="eastAsia"/>
        </w:rPr>
        <w:t>262</w:t>
      </w:r>
    </w:p>
    <w:p w14:paraId="397D6E98">
      <w:pPr>
        <w:tabs>
          <w:tab w:val="left" w:leader="dot" w:pos="5670"/>
          <w:tab w:val="left" w:leader="dot" w:pos="5880"/>
        </w:tabs>
        <w:ind w:firstLine="210" w:firstLineChars="100"/>
        <w:contextualSpacing/>
      </w:pPr>
      <w:r>
        <w:t>1</w:t>
      </w:r>
      <w:r>
        <w:rPr>
          <w:rFonts w:hint="eastAsia"/>
        </w:rPr>
        <w:t>8</w:t>
      </w:r>
      <w:r>
        <w:t>.2  Automatic Train Supervision System</w:t>
      </w:r>
      <w:r>
        <w:tab/>
      </w:r>
      <w:r>
        <w:rPr>
          <w:rFonts w:hint="eastAsia"/>
        </w:rPr>
        <w:t>265</w:t>
      </w:r>
    </w:p>
    <w:p w14:paraId="1C088527">
      <w:pPr>
        <w:tabs>
          <w:tab w:val="left" w:leader="dot" w:pos="5670"/>
          <w:tab w:val="left" w:leader="dot" w:pos="5880"/>
        </w:tabs>
        <w:ind w:firstLine="210" w:firstLineChars="100"/>
        <w:contextualSpacing/>
      </w:pPr>
      <w:r>
        <w:t>1</w:t>
      </w:r>
      <w:r>
        <w:rPr>
          <w:rFonts w:hint="eastAsia"/>
        </w:rPr>
        <w:t>8</w:t>
      </w:r>
      <w:r>
        <w:t>.3  Automatic Train Protection System</w:t>
      </w:r>
      <w:r>
        <w:tab/>
      </w:r>
      <w:r>
        <w:rPr>
          <w:rFonts w:hint="eastAsia"/>
        </w:rPr>
        <w:t>269</w:t>
      </w:r>
    </w:p>
    <w:p w14:paraId="0DE8EB09">
      <w:pPr>
        <w:tabs>
          <w:tab w:val="left" w:leader="dot" w:pos="5670"/>
          <w:tab w:val="left" w:leader="dot" w:pos="5880"/>
        </w:tabs>
        <w:ind w:firstLine="210" w:firstLineChars="100"/>
        <w:contextualSpacing/>
      </w:pPr>
      <w:r>
        <w:t>1</w:t>
      </w:r>
      <w:r>
        <w:rPr>
          <w:rFonts w:hint="eastAsia"/>
        </w:rPr>
        <w:t>8</w:t>
      </w:r>
      <w:r>
        <w:t>.4  Automatic Train Operation System</w:t>
      </w:r>
      <w:r>
        <w:tab/>
      </w:r>
      <w:r>
        <w:rPr>
          <w:rFonts w:hint="eastAsia"/>
        </w:rPr>
        <w:t>273</w:t>
      </w:r>
    </w:p>
    <w:p w14:paraId="3B8D5EC9">
      <w:pPr>
        <w:tabs>
          <w:tab w:val="left" w:leader="dot" w:pos="5670"/>
          <w:tab w:val="left" w:leader="dot" w:pos="5880"/>
        </w:tabs>
        <w:ind w:firstLine="210" w:firstLineChars="100"/>
        <w:contextualSpacing/>
      </w:pPr>
      <w:r>
        <w:t>1</w:t>
      </w:r>
      <w:r>
        <w:rPr>
          <w:rFonts w:hint="eastAsia"/>
        </w:rPr>
        <w:t>8</w:t>
      </w:r>
      <w:r>
        <w:t>.5  Computer Interlocking System</w:t>
      </w:r>
      <w:r>
        <w:tab/>
      </w:r>
      <w:r>
        <w:rPr>
          <w:rFonts w:hint="eastAsia"/>
        </w:rPr>
        <w:t>275</w:t>
      </w:r>
    </w:p>
    <w:p w14:paraId="397A066F">
      <w:pPr>
        <w:tabs>
          <w:tab w:val="left" w:leader="dot" w:pos="5670"/>
          <w:tab w:val="left" w:leader="dot" w:pos="5880"/>
        </w:tabs>
        <w:ind w:firstLine="210" w:firstLineChars="100"/>
        <w:contextualSpacing/>
      </w:pPr>
      <w:r>
        <w:rPr>
          <w:rFonts w:hint="eastAsia"/>
        </w:rPr>
        <w:t xml:space="preserve">18.6  </w:t>
      </w:r>
      <w:r>
        <w:t>Engineering Materials</w:t>
      </w:r>
      <w:r>
        <w:tab/>
      </w:r>
      <w:r>
        <w:rPr>
          <w:rFonts w:hint="eastAsia"/>
        </w:rPr>
        <w:t>279</w:t>
      </w:r>
    </w:p>
    <w:p w14:paraId="195599C2">
      <w:pPr>
        <w:tabs>
          <w:tab w:val="left" w:leader="dot" w:pos="5670"/>
          <w:tab w:val="left" w:leader="dot" w:pos="5880"/>
        </w:tabs>
        <w:ind w:firstLine="210" w:firstLineChars="100"/>
        <w:contextualSpacing/>
      </w:pPr>
      <w:r>
        <w:rPr>
          <w:rFonts w:hint="eastAsia"/>
        </w:rPr>
        <w:t xml:space="preserve">18.7  </w:t>
      </w:r>
      <w:r>
        <w:t>Maintenance Monitoring Subsystem</w:t>
      </w:r>
      <w:r>
        <w:tab/>
      </w:r>
      <w:r>
        <w:rPr>
          <w:rFonts w:hint="eastAsia"/>
        </w:rPr>
        <w:t>281</w:t>
      </w:r>
    </w:p>
    <w:p w14:paraId="03F85B42">
      <w:pPr>
        <w:tabs>
          <w:tab w:val="left" w:leader="dot" w:pos="5670"/>
          <w:tab w:val="left" w:leader="dot" w:pos="5880"/>
        </w:tabs>
        <w:contextualSpacing/>
      </w:pPr>
      <w:r>
        <w:rPr>
          <w:rFonts w:hint="eastAsia"/>
        </w:rPr>
        <w:t xml:space="preserve">  18.8  </w:t>
      </w:r>
      <w:r>
        <w:t>Signal System of Comprehensive Depot</w:t>
      </w:r>
      <w:r>
        <w:tab/>
      </w:r>
      <w:r>
        <w:rPr>
          <w:rFonts w:hint="eastAsia"/>
        </w:rPr>
        <w:t>283</w:t>
      </w:r>
    </w:p>
    <w:p w14:paraId="69D193CB">
      <w:pPr>
        <w:tabs>
          <w:tab w:val="left" w:leader="dot" w:pos="5670"/>
          <w:tab w:val="left" w:leader="dot" w:pos="5880"/>
        </w:tabs>
        <w:ind w:firstLine="210" w:firstLineChars="100"/>
        <w:contextualSpacing/>
      </w:pPr>
      <w:r>
        <w:t>1</w:t>
      </w:r>
      <w:r>
        <w:rPr>
          <w:rFonts w:hint="eastAsia"/>
        </w:rPr>
        <w:t>8</w:t>
      </w:r>
      <w:r>
        <w:t>.</w:t>
      </w:r>
      <w:r>
        <w:rPr>
          <w:rFonts w:hint="eastAsia"/>
        </w:rPr>
        <w:t xml:space="preserve">9  </w:t>
      </w:r>
      <w:r>
        <w:t>Others</w:t>
      </w:r>
      <w:r>
        <w:tab/>
      </w:r>
      <w:r>
        <w:rPr>
          <w:rFonts w:hint="eastAsia"/>
        </w:rPr>
        <w:t>287</w:t>
      </w:r>
    </w:p>
    <w:p w14:paraId="281FC204">
      <w:pPr>
        <w:tabs>
          <w:tab w:val="left" w:leader="dot" w:pos="5670"/>
          <w:tab w:val="left" w:leader="dot" w:pos="5880"/>
        </w:tabs>
        <w:contextualSpacing/>
      </w:pPr>
      <w:r>
        <w:t>1</w:t>
      </w:r>
      <w:r>
        <w:rPr>
          <w:rFonts w:hint="eastAsia"/>
        </w:rPr>
        <w:t>9</w:t>
      </w:r>
      <w:r>
        <w:t xml:space="preserve">  Station Equipments for Operation</w:t>
      </w:r>
      <w:r>
        <w:rPr>
          <w:rFonts w:hint="eastAsia"/>
        </w:rPr>
        <w:tab/>
      </w:r>
      <w:r>
        <w:rPr>
          <w:rFonts w:hint="eastAsia"/>
        </w:rPr>
        <w:t>297</w:t>
      </w:r>
    </w:p>
    <w:p w14:paraId="6562E32D">
      <w:pPr>
        <w:tabs>
          <w:tab w:val="left" w:leader="dot" w:pos="5670"/>
          <w:tab w:val="left" w:leader="dot" w:pos="5880"/>
        </w:tabs>
        <w:ind w:firstLine="210" w:firstLineChars="100"/>
        <w:contextualSpacing/>
      </w:pPr>
      <w:r>
        <w:t>19.1</w:t>
      </w:r>
      <w:r>
        <w:rPr>
          <w:rFonts w:hint="eastAsia"/>
        </w:rPr>
        <w:t xml:space="preserve">  </w:t>
      </w:r>
      <w:r>
        <w:t>Platform Screen Door</w:t>
      </w:r>
      <w:r>
        <w:rPr>
          <w:rFonts w:hint="eastAsia"/>
        </w:rPr>
        <w:tab/>
      </w:r>
      <w:r>
        <w:rPr>
          <w:rFonts w:hint="eastAsia"/>
        </w:rPr>
        <w:t>297</w:t>
      </w:r>
    </w:p>
    <w:p w14:paraId="1DB21961">
      <w:pPr>
        <w:tabs>
          <w:tab w:val="left" w:leader="dot" w:pos="5670"/>
          <w:tab w:val="left" w:leader="dot" w:pos="5880"/>
        </w:tabs>
        <w:ind w:firstLine="210" w:firstLineChars="100"/>
        <w:contextualSpacing/>
      </w:pPr>
      <w:r>
        <w:t>19.2</w:t>
      </w:r>
      <w:r>
        <w:rPr>
          <w:rFonts w:hint="eastAsia"/>
        </w:rPr>
        <w:t xml:space="preserve">  </w:t>
      </w:r>
      <w:r>
        <w:t>Escalator</w:t>
      </w:r>
      <w:r>
        <w:tab/>
      </w:r>
      <w:r>
        <w:rPr>
          <w:rFonts w:hint="eastAsia"/>
        </w:rPr>
        <w:t>304</w:t>
      </w:r>
    </w:p>
    <w:p w14:paraId="54846485">
      <w:pPr>
        <w:tabs>
          <w:tab w:val="left" w:leader="dot" w:pos="5670"/>
          <w:tab w:val="left" w:leader="dot" w:pos="5880"/>
        </w:tabs>
        <w:ind w:firstLine="210" w:firstLineChars="100"/>
        <w:contextualSpacing/>
      </w:pPr>
      <w:r>
        <w:t>19.3</w:t>
      </w:r>
      <w:r>
        <w:rPr>
          <w:rFonts w:hint="eastAsia"/>
        </w:rPr>
        <w:t xml:space="preserve">  </w:t>
      </w:r>
      <w:r>
        <w:t>Elevator</w:t>
      </w:r>
      <w:r>
        <w:tab/>
      </w:r>
      <w:r>
        <w:rPr>
          <w:rFonts w:hint="eastAsia"/>
        </w:rPr>
        <w:t>307</w:t>
      </w:r>
    </w:p>
    <w:p w14:paraId="76112AB0">
      <w:pPr>
        <w:tabs>
          <w:tab w:val="left" w:leader="dot" w:pos="5670"/>
          <w:tab w:val="left" w:leader="dot" w:pos="5880"/>
        </w:tabs>
        <w:contextualSpacing/>
        <w:jc w:val="left"/>
      </w:pPr>
      <w:r>
        <w:t>20</w:t>
      </w:r>
      <w:r>
        <w:rPr>
          <w:rFonts w:hint="eastAsia"/>
        </w:rPr>
        <w:t xml:space="preserve">   </w:t>
      </w:r>
      <w:r>
        <w:t>Integrated</w:t>
      </w:r>
      <w:r>
        <w:rPr>
          <w:rFonts w:hint="eastAsia"/>
        </w:rPr>
        <w:t xml:space="preserve"> </w:t>
      </w:r>
      <w:r>
        <w:t>Supervisory</w:t>
      </w:r>
      <w:r>
        <w:rPr>
          <w:rFonts w:hint="eastAsia"/>
        </w:rPr>
        <w:t xml:space="preserve"> </w:t>
      </w:r>
      <w:r>
        <w:t>and Control System…………………</w:t>
      </w:r>
      <w:r>
        <w:rPr>
          <w:rFonts w:hint="eastAsia"/>
        </w:rPr>
        <w:t xml:space="preserve"> </w:t>
      </w:r>
      <w:r>
        <w:t>30</w:t>
      </w:r>
      <w:r>
        <w:rPr>
          <w:rFonts w:hint="eastAsia"/>
        </w:rPr>
        <w:t>9</w:t>
      </w:r>
    </w:p>
    <w:p w14:paraId="0B9FA31E">
      <w:pPr>
        <w:tabs>
          <w:tab w:val="left" w:leader="dot" w:pos="5670"/>
          <w:tab w:val="left" w:leader="dot" w:pos="5880"/>
        </w:tabs>
        <w:ind w:firstLine="210" w:firstLineChars="100"/>
        <w:contextualSpacing/>
      </w:pPr>
      <w:r>
        <w:t>20.1</w:t>
      </w:r>
      <w:r>
        <w:rPr>
          <w:rFonts w:hint="eastAsia"/>
        </w:rPr>
        <w:t xml:space="preserve">  </w:t>
      </w:r>
      <w:r>
        <w:t>General Requirements……………………………………30</w:t>
      </w:r>
      <w:r>
        <w:rPr>
          <w:rFonts w:hint="eastAsia"/>
        </w:rPr>
        <w:t>9</w:t>
      </w:r>
    </w:p>
    <w:p w14:paraId="06416F13">
      <w:pPr>
        <w:tabs>
          <w:tab w:val="left" w:leader="dot" w:pos="5670"/>
          <w:tab w:val="left" w:leader="dot" w:pos="5880"/>
        </w:tabs>
        <w:ind w:firstLine="210" w:firstLineChars="100"/>
        <w:contextualSpacing/>
      </w:pPr>
      <w:r>
        <w:t>20.2</w:t>
      </w:r>
      <w:r>
        <w:rPr>
          <w:rFonts w:hint="eastAsia"/>
        </w:rPr>
        <w:t xml:space="preserve">  </w:t>
      </w:r>
      <w:r>
        <w:t>System Composition</w:t>
      </w:r>
      <w:r>
        <w:tab/>
      </w:r>
      <w:r>
        <w:t>30</w:t>
      </w:r>
      <w:r>
        <w:rPr>
          <w:rFonts w:hint="eastAsia"/>
        </w:rPr>
        <w:t>9</w:t>
      </w:r>
    </w:p>
    <w:p w14:paraId="174ECFB9">
      <w:pPr>
        <w:tabs>
          <w:tab w:val="left" w:leader="dot" w:pos="5670"/>
          <w:tab w:val="left" w:leader="dot" w:pos="5880"/>
        </w:tabs>
        <w:ind w:firstLine="210" w:firstLineChars="100"/>
        <w:contextualSpacing/>
      </w:pPr>
      <w:r>
        <w:t>20.3</w:t>
      </w:r>
      <w:r>
        <w:rPr>
          <w:rFonts w:hint="eastAsia"/>
        </w:rPr>
        <w:t xml:space="preserve">  </w:t>
      </w:r>
      <w:r>
        <w:t>System Function</w:t>
      </w:r>
      <w:r>
        <w:tab/>
      </w:r>
      <w:r>
        <w:t>3</w:t>
      </w:r>
      <w:r>
        <w:rPr>
          <w:rFonts w:hint="eastAsia"/>
        </w:rPr>
        <w:t>10</w:t>
      </w:r>
    </w:p>
    <w:p w14:paraId="458398F0">
      <w:pPr>
        <w:tabs>
          <w:tab w:val="left" w:leader="dot" w:pos="5670"/>
          <w:tab w:val="left" w:leader="dot" w:pos="5880"/>
        </w:tabs>
        <w:ind w:firstLine="210" w:firstLineChars="100"/>
        <w:contextualSpacing/>
      </w:pPr>
      <w:r>
        <w:t>20.4</w:t>
      </w:r>
      <w:r>
        <w:rPr>
          <w:rFonts w:hint="eastAsia"/>
        </w:rPr>
        <w:t xml:space="preserve">  </w:t>
      </w:r>
      <w:r>
        <w:t>System Software</w:t>
      </w:r>
      <w:r>
        <w:tab/>
      </w:r>
      <w:r>
        <w:t>31</w:t>
      </w:r>
      <w:r>
        <w:rPr>
          <w:rFonts w:hint="eastAsia"/>
        </w:rPr>
        <w:t>4</w:t>
      </w:r>
    </w:p>
    <w:p w14:paraId="648F19E2">
      <w:pPr>
        <w:tabs>
          <w:tab w:val="left" w:leader="dot" w:pos="5670"/>
          <w:tab w:val="left" w:leader="dot" w:pos="5880"/>
        </w:tabs>
        <w:ind w:firstLine="210" w:firstLineChars="100"/>
        <w:contextualSpacing/>
      </w:pPr>
      <w:r>
        <w:t>20.5</w:t>
      </w:r>
      <w:r>
        <w:rPr>
          <w:rFonts w:hint="eastAsia"/>
        </w:rPr>
        <w:t xml:space="preserve">  </w:t>
      </w:r>
      <w:r>
        <w:t>Power</w:t>
      </w:r>
      <w:r>
        <w:rPr>
          <w:rFonts w:hint="eastAsia"/>
        </w:rPr>
        <w:t xml:space="preserve"> </w:t>
      </w:r>
      <w:r>
        <w:t>Supply</w:t>
      </w:r>
      <w:r>
        <w:rPr>
          <w:rFonts w:hint="eastAsia"/>
        </w:rPr>
        <w:t xml:space="preserve"> </w:t>
      </w:r>
      <w:r>
        <w:t>Groundingand Lightning Protection</w:t>
      </w:r>
      <w:r>
        <w:tab/>
      </w:r>
      <w:r>
        <w:t>31</w:t>
      </w:r>
      <w:r>
        <w:rPr>
          <w:rFonts w:hint="eastAsia"/>
        </w:rPr>
        <w:t>4</w:t>
      </w:r>
    </w:p>
    <w:p w14:paraId="60E0E61D">
      <w:pPr>
        <w:tabs>
          <w:tab w:val="left" w:leader="dot" w:pos="5670"/>
          <w:tab w:val="left" w:leader="dot" w:pos="5880"/>
        </w:tabs>
        <w:ind w:firstLine="210" w:firstLineChars="100"/>
        <w:contextualSpacing/>
      </w:pPr>
      <w:r>
        <w:t>20.6</w:t>
      </w:r>
      <w:r>
        <w:rPr>
          <w:rFonts w:hint="eastAsia"/>
        </w:rPr>
        <w:t xml:space="preserve">  </w:t>
      </w:r>
      <w:r>
        <w:t>Cabling</w:t>
      </w:r>
      <w:r>
        <w:tab/>
      </w:r>
      <w:r>
        <w:t>31</w:t>
      </w:r>
      <w:r>
        <w:rPr>
          <w:rFonts w:hint="eastAsia"/>
        </w:rPr>
        <w:t>4</w:t>
      </w:r>
    </w:p>
    <w:p w14:paraId="2EE8DFC5">
      <w:pPr>
        <w:tabs>
          <w:tab w:val="left" w:leader="dot" w:pos="5670"/>
          <w:tab w:val="left" w:leader="dot" w:pos="5880"/>
        </w:tabs>
        <w:ind w:firstLine="210" w:firstLineChars="100"/>
        <w:contextualSpacing/>
      </w:pPr>
      <w:r>
        <w:t>20.7</w:t>
      </w:r>
      <w:r>
        <w:rPr>
          <w:rFonts w:hint="eastAsia"/>
        </w:rPr>
        <w:t xml:space="preserve">  </w:t>
      </w:r>
      <w:r>
        <w:t>System</w:t>
      </w:r>
      <w:r>
        <w:rPr>
          <w:rFonts w:hint="eastAsia"/>
        </w:rPr>
        <w:t xml:space="preserve">  </w:t>
      </w:r>
      <w:r>
        <w:t>Device Arrangement</w:t>
      </w:r>
      <w:r>
        <w:tab/>
      </w:r>
      <w:r>
        <w:t>31</w:t>
      </w:r>
      <w:r>
        <w:rPr>
          <w:rFonts w:hint="eastAsia"/>
        </w:rPr>
        <w:t>5</w:t>
      </w:r>
    </w:p>
    <w:p w14:paraId="36DD5E5C">
      <w:pPr>
        <w:tabs>
          <w:tab w:val="left" w:leader="dot" w:pos="5670"/>
          <w:tab w:val="left" w:leader="dot" w:pos="5880"/>
        </w:tabs>
        <w:ind w:firstLine="210" w:firstLineChars="100"/>
        <w:contextualSpacing/>
      </w:pPr>
      <w:r>
        <w:t>20.8</w:t>
      </w:r>
      <w:r>
        <w:rPr>
          <w:rFonts w:hint="eastAsia"/>
        </w:rPr>
        <w:t xml:space="preserve">  </w:t>
      </w:r>
      <w:r>
        <w:t>System Performance</w:t>
      </w:r>
      <w:r>
        <w:tab/>
      </w:r>
      <w:r>
        <w:t>31</w:t>
      </w:r>
      <w:r>
        <w:rPr>
          <w:rFonts w:hint="eastAsia"/>
        </w:rPr>
        <w:t>5</w:t>
      </w:r>
    </w:p>
    <w:p w14:paraId="6579C86F">
      <w:pPr>
        <w:tabs>
          <w:tab w:val="left" w:leader="dot" w:pos="5670"/>
          <w:tab w:val="left" w:leader="dot" w:pos="5880"/>
        </w:tabs>
        <w:contextualSpacing/>
      </w:pPr>
      <w:r>
        <w:t>21</w:t>
      </w:r>
      <w:r>
        <w:rPr>
          <w:rFonts w:hint="eastAsia"/>
        </w:rPr>
        <w:t xml:space="preserve">  </w:t>
      </w:r>
      <w:r>
        <w:t>Building Automatic System</w:t>
      </w:r>
      <w:r>
        <w:tab/>
      </w:r>
      <w:r>
        <w:t>31</w:t>
      </w:r>
      <w:r>
        <w:rPr>
          <w:rFonts w:hint="eastAsia"/>
        </w:rPr>
        <w:t>6</w:t>
      </w:r>
    </w:p>
    <w:p w14:paraId="0C0B4270">
      <w:pPr>
        <w:tabs>
          <w:tab w:val="left" w:leader="dot" w:pos="5670"/>
          <w:tab w:val="left" w:leader="dot" w:pos="5880"/>
        </w:tabs>
        <w:ind w:firstLine="210" w:firstLineChars="100"/>
        <w:contextualSpacing/>
      </w:pPr>
      <w:r>
        <w:t>21.1</w:t>
      </w:r>
      <w:r>
        <w:rPr>
          <w:rFonts w:hint="eastAsia"/>
        </w:rPr>
        <w:t xml:space="preserve">  </w:t>
      </w:r>
      <w:r>
        <w:t>General Requirements</w:t>
      </w:r>
      <w:r>
        <w:tab/>
      </w:r>
      <w:r>
        <w:t>31</w:t>
      </w:r>
      <w:r>
        <w:rPr>
          <w:rFonts w:hint="eastAsia"/>
        </w:rPr>
        <w:t>6</w:t>
      </w:r>
    </w:p>
    <w:p w14:paraId="27007CAF">
      <w:pPr>
        <w:tabs>
          <w:tab w:val="left" w:leader="dot" w:pos="5670"/>
          <w:tab w:val="left" w:leader="dot" w:pos="5880"/>
        </w:tabs>
        <w:ind w:firstLine="210" w:firstLineChars="100"/>
        <w:contextualSpacing/>
      </w:pPr>
      <w:r>
        <w:t>21.2</w:t>
      </w:r>
      <w:r>
        <w:rPr>
          <w:rFonts w:hint="eastAsia"/>
        </w:rPr>
        <w:t xml:space="preserve">  </w:t>
      </w:r>
      <w:r>
        <w:t>System Composition</w:t>
      </w:r>
      <w:r>
        <w:tab/>
      </w:r>
      <w:r>
        <w:t>31</w:t>
      </w:r>
      <w:r>
        <w:rPr>
          <w:rFonts w:hint="eastAsia"/>
        </w:rPr>
        <w:t>7</w:t>
      </w:r>
    </w:p>
    <w:p w14:paraId="58BC0FAD">
      <w:pPr>
        <w:tabs>
          <w:tab w:val="left" w:leader="dot" w:pos="5670"/>
          <w:tab w:val="left" w:leader="dot" w:pos="5880"/>
        </w:tabs>
        <w:ind w:firstLine="210" w:firstLineChars="100"/>
        <w:contextualSpacing/>
      </w:pPr>
      <w:r>
        <w:t>21.3</w:t>
      </w:r>
      <w:r>
        <w:rPr>
          <w:rFonts w:hint="eastAsia"/>
        </w:rPr>
        <w:t xml:space="preserve">  </w:t>
      </w:r>
      <w:r>
        <w:t>System Function</w:t>
      </w:r>
      <w:r>
        <w:tab/>
      </w:r>
      <w:r>
        <w:t>31</w:t>
      </w:r>
      <w:r>
        <w:rPr>
          <w:rFonts w:hint="eastAsia"/>
        </w:rPr>
        <w:t>7</w:t>
      </w:r>
    </w:p>
    <w:p w14:paraId="41B25257">
      <w:pPr>
        <w:tabs>
          <w:tab w:val="left" w:leader="dot" w:pos="5670"/>
          <w:tab w:val="left" w:leader="dot" w:pos="5880"/>
        </w:tabs>
        <w:ind w:firstLine="210" w:firstLineChars="100"/>
        <w:contextualSpacing/>
      </w:pPr>
      <w:r>
        <w:t>21.4</w:t>
      </w:r>
      <w:r>
        <w:rPr>
          <w:rFonts w:hint="eastAsia"/>
        </w:rPr>
        <w:t xml:space="preserve">  </w:t>
      </w:r>
      <w:r>
        <w:t>System Software</w:t>
      </w:r>
      <w:r>
        <w:tab/>
      </w:r>
      <w:r>
        <w:t>31</w:t>
      </w:r>
      <w:r>
        <w:rPr>
          <w:rFonts w:hint="eastAsia"/>
        </w:rPr>
        <w:t>9</w:t>
      </w:r>
    </w:p>
    <w:p w14:paraId="710D9C0F">
      <w:pPr>
        <w:tabs>
          <w:tab w:val="left" w:leader="dot" w:pos="5670"/>
          <w:tab w:val="left" w:leader="dot" w:pos="5880"/>
        </w:tabs>
        <w:ind w:firstLine="210" w:firstLineChars="100"/>
        <w:contextualSpacing/>
      </w:pPr>
      <w:r>
        <w:t>21.5</w:t>
      </w:r>
      <w:r>
        <w:rPr>
          <w:rFonts w:hint="eastAsia"/>
        </w:rPr>
        <w:t xml:space="preserve">  </w:t>
      </w:r>
      <w:r>
        <w:t>Power</w:t>
      </w:r>
      <w:r>
        <w:rPr>
          <w:rFonts w:hint="eastAsia"/>
        </w:rPr>
        <w:t xml:space="preserve"> </w:t>
      </w:r>
      <w:r>
        <w:t>Supply</w:t>
      </w:r>
      <w:r>
        <w:rPr>
          <w:rFonts w:hint="eastAsia"/>
        </w:rPr>
        <w:t xml:space="preserve"> </w:t>
      </w:r>
      <w:r>
        <w:t>Groundingand Lightning Protection</w:t>
      </w:r>
      <w:r>
        <w:tab/>
      </w:r>
      <w:r>
        <w:t>31</w:t>
      </w:r>
      <w:r>
        <w:rPr>
          <w:rFonts w:hint="eastAsia"/>
        </w:rPr>
        <w:t>9</w:t>
      </w:r>
    </w:p>
    <w:p w14:paraId="3228DE17">
      <w:pPr>
        <w:tabs>
          <w:tab w:val="left" w:leader="dot" w:pos="5670"/>
          <w:tab w:val="left" w:leader="dot" w:pos="5880"/>
        </w:tabs>
        <w:ind w:firstLine="210" w:firstLineChars="100"/>
        <w:contextualSpacing/>
      </w:pPr>
      <w:r>
        <w:t>21.6</w:t>
      </w:r>
      <w:r>
        <w:rPr>
          <w:rFonts w:hint="eastAsia"/>
        </w:rPr>
        <w:t xml:space="preserve">  </w:t>
      </w:r>
      <w:r>
        <w:t>Cabling</w:t>
      </w:r>
      <w:r>
        <w:tab/>
      </w:r>
      <w:r>
        <w:t>3</w:t>
      </w:r>
      <w:r>
        <w:rPr>
          <w:rFonts w:hint="eastAsia"/>
        </w:rPr>
        <w:t>20</w:t>
      </w:r>
    </w:p>
    <w:p w14:paraId="64DCEEE5">
      <w:pPr>
        <w:tabs>
          <w:tab w:val="left" w:leader="dot" w:pos="5670"/>
          <w:tab w:val="left" w:leader="dot" w:pos="5880"/>
        </w:tabs>
        <w:ind w:firstLine="210" w:firstLineChars="100"/>
        <w:contextualSpacing/>
      </w:pPr>
      <w:r>
        <w:t>21.7</w:t>
      </w:r>
      <w:r>
        <w:rPr>
          <w:rFonts w:hint="eastAsia"/>
        </w:rPr>
        <w:t xml:space="preserve">  </w:t>
      </w:r>
      <w:r>
        <w:t>System Device Arrangement</w:t>
      </w:r>
      <w:r>
        <w:tab/>
      </w:r>
      <w:r>
        <w:t>3</w:t>
      </w:r>
      <w:r>
        <w:rPr>
          <w:rFonts w:hint="eastAsia"/>
        </w:rPr>
        <w:t>20</w:t>
      </w:r>
    </w:p>
    <w:p w14:paraId="0AC5BF88">
      <w:pPr>
        <w:tabs>
          <w:tab w:val="left" w:leader="dot" w:pos="5670"/>
          <w:tab w:val="left" w:leader="dot" w:pos="5880"/>
        </w:tabs>
        <w:contextualSpacing/>
      </w:pPr>
      <w:r>
        <w:t>22</w:t>
      </w:r>
      <w:r>
        <w:rPr>
          <w:rFonts w:hint="eastAsia"/>
        </w:rPr>
        <w:t xml:space="preserve">  </w:t>
      </w:r>
      <w:r>
        <w:t>Automatic Fire Alarm System</w:t>
      </w:r>
      <w:r>
        <w:tab/>
      </w:r>
      <w:r>
        <w:t>32</w:t>
      </w:r>
      <w:r>
        <w:rPr>
          <w:rFonts w:hint="eastAsia"/>
        </w:rPr>
        <w:t>2</w:t>
      </w:r>
    </w:p>
    <w:p w14:paraId="5F516CF1">
      <w:pPr>
        <w:tabs>
          <w:tab w:val="left" w:leader="dot" w:pos="5670"/>
          <w:tab w:val="left" w:leader="dot" w:pos="5880"/>
        </w:tabs>
        <w:ind w:firstLine="210" w:firstLineChars="100"/>
        <w:contextualSpacing/>
      </w:pPr>
      <w:r>
        <w:t>22.1</w:t>
      </w:r>
      <w:r>
        <w:rPr>
          <w:rFonts w:hint="eastAsia"/>
        </w:rPr>
        <w:t xml:space="preserve">  </w:t>
      </w:r>
      <w:r>
        <w:t>General Requirements</w:t>
      </w:r>
      <w:r>
        <w:tab/>
      </w:r>
      <w:r>
        <w:t>32</w:t>
      </w:r>
      <w:r>
        <w:rPr>
          <w:rFonts w:hint="eastAsia"/>
        </w:rPr>
        <w:t>2</w:t>
      </w:r>
    </w:p>
    <w:p w14:paraId="51CD3DA7">
      <w:pPr>
        <w:tabs>
          <w:tab w:val="left" w:leader="dot" w:pos="5670"/>
          <w:tab w:val="left" w:leader="dot" w:pos="5880"/>
        </w:tabs>
        <w:ind w:firstLine="210" w:firstLineChars="100"/>
        <w:contextualSpacing/>
      </w:pPr>
      <w:r>
        <w:t>22.2</w:t>
      </w:r>
      <w:r>
        <w:rPr>
          <w:rFonts w:hint="eastAsia"/>
        </w:rPr>
        <w:t xml:space="preserve">  </w:t>
      </w:r>
      <w:r>
        <w:t>System Composition</w:t>
      </w:r>
      <w:r>
        <w:tab/>
      </w:r>
      <w:r>
        <w:t>32</w:t>
      </w:r>
      <w:r>
        <w:rPr>
          <w:rFonts w:hint="eastAsia"/>
        </w:rPr>
        <w:t>2</w:t>
      </w:r>
    </w:p>
    <w:p w14:paraId="49C32348">
      <w:pPr>
        <w:tabs>
          <w:tab w:val="left" w:leader="dot" w:pos="5670"/>
          <w:tab w:val="left" w:leader="dot" w:pos="5880"/>
        </w:tabs>
        <w:ind w:firstLine="210" w:firstLineChars="100"/>
        <w:contextualSpacing/>
      </w:pPr>
      <w:r>
        <w:t>22.3</w:t>
      </w:r>
      <w:r>
        <w:rPr>
          <w:rFonts w:hint="eastAsia"/>
        </w:rPr>
        <w:t xml:space="preserve">  </w:t>
      </w:r>
      <w:r>
        <w:t>System Function</w:t>
      </w:r>
      <w:r>
        <w:tab/>
      </w:r>
      <w:r>
        <w:t>32</w:t>
      </w:r>
      <w:r>
        <w:rPr>
          <w:rFonts w:hint="eastAsia"/>
        </w:rPr>
        <w:t>3</w:t>
      </w:r>
    </w:p>
    <w:p w14:paraId="5E2D6569">
      <w:pPr>
        <w:tabs>
          <w:tab w:val="left" w:leader="dot" w:pos="5670"/>
          <w:tab w:val="left" w:leader="dot" w:pos="5880"/>
        </w:tabs>
        <w:ind w:firstLine="210" w:firstLineChars="100"/>
        <w:contextualSpacing/>
      </w:pPr>
      <w:r>
        <w:t>22.4</w:t>
      </w:r>
      <w:r>
        <w:rPr>
          <w:rFonts w:hint="eastAsia"/>
        </w:rPr>
        <w:t xml:space="preserve">  </w:t>
      </w:r>
      <w:r>
        <w:t>Firefighting Interlock Control</w:t>
      </w:r>
      <w:r>
        <w:tab/>
      </w:r>
      <w:r>
        <w:t>32</w:t>
      </w:r>
      <w:r>
        <w:rPr>
          <w:rFonts w:hint="eastAsia"/>
        </w:rPr>
        <w:t>3</w:t>
      </w:r>
    </w:p>
    <w:p w14:paraId="0E984856">
      <w:pPr>
        <w:tabs>
          <w:tab w:val="left" w:leader="dot" w:pos="5670"/>
          <w:tab w:val="left" w:leader="dot" w:pos="5880"/>
        </w:tabs>
        <w:ind w:firstLine="210" w:firstLineChars="100"/>
        <w:contextualSpacing/>
      </w:pPr>
      <w:r>
        <w:t>22.5</w:t>
      </w:r>
      <w:r>
        <w:rPr>
          <w:rFonts w:hint="eastAsia"/>
        </w:rPr>
        <w:t xml:space="preserve">  </w:t>
      </w:r>
      <w:r>
        <w:t>Installation of Fire Detectors and Alarm Devices</w:t>
      </w:r>
      <w:r>
        <w:tab/>
      </w:r>
      <w:r>
        <w:t>32</w:t>
      </w:r>
      <w:r>
        <w:rPr>
          <w:rFonts w:hint="eastAsia"/>
        </w:rPr>
        <w:t>6</w:t>
      </w:r>
    </w:p>
    <w:p w14:paraId="031BC0E5">
      <w:pPr>
        <w:tabs>
          <w:tab w:val="left" w:leader="dot" w:pos="5670"/>
          <w:tab w:val="left" w:leader="dot" w:pos="5880"/>
        </w:tabs>
        <w:ind w:firstLine="210" w:firstLineChars="100"/>
        <w:contextualSpacing/>
      </w:pPr>
      <w:r>
        <w:t>22.6</w:t>
      </w:r>
      <w:r>
        <w:rPr>
          <w:rFonts w:hint="eastAsia"/>
        </w:rPr>
        <w:t xml:space="preserve">  </w:t>
      </w:r>
      <w:r>
        <w:t>Fire Control Room</w:t>
      </w:r>
      <w:r>
        <w:tab/>
      </w:r>
      <w:r>
        <w:t>32</w:t>
      </w:r>
      <w:r>
        <w:rPr>
          <w:rFonts w:hint="eastAsia"/>
        </w:rPr>
        <w:t>7</w:t>
      </w:r>
    </w:p>
    <w:p w14:paraId="5AC3C6C4">
      <w:pPr>
        <w:tabs>
          <w:tab w:val="left" w:leader="dot" w:pos="5670"/>
          <w:tab w:val="left" w:leader="dot" w:pos="5880"/>
        </w:tabs>
        <w:ind w:firstLine="210" w:firstLineChars="100"/>
        <w:contextualSpacing/>
      </w:pPr>
      <w:r>
        <w:t>22.7</w:t>
      </w:r>
      <w:r>
        <w:rPr>
          <w:rFonts w:hint="eastAsia"/>
        </w:rPr>
        <w:t xml:space="preserve">  </w:t>
      </w:r>
      <w:r>
        <w:t>Power Supply，Grounding and Lightning Protection</w:t>
      </w:r>
      <w:r>
        <w:tab/>
      </w:r>
      <w:r>
        <w:t>32</w:t>
      </w:r>
      <w:r>
        <w:rPr>
          <w:rFonts w:hint="eastAsia"/>
        </w:rPr>
        <w:t>7</w:t>
      </w:r>
    </w:p>
    <w:p w14:paraId="23AD222D">
      <w:pPr>
        <w:tabs>
          <w:tab w:val="left" w:leader="dot" w:pos="5670"/>
          <w:tab w:val="left" w:leader="dot" w:pos="5880"/>
        </w:tabs>
        <w:ind w:firstLine="210" w:firstLineChars="100"/>
        <w:contextualSpacing/>
      </w:pPr>
      <w:r>
        <w:t>22.8</w:t>
      </w:r>
      <w:r>
        <w:rPr>
          <w:rFonts w:hint="eastAsia"/>
        </w:rPr>
        <w:t xml:space="preserve">  </w:t>
      </w:r>
      <w:r>
        <w:t>Cabling</w:t>
      </w:r>
      <w:r>
        <w:tab/>
      </w:r>
      <w:r>
        <w:t>32</w:t>
      </w:r>
      <w:r>
        <w:rPr>
          <w:rFonts w:hint="eastAsia"/>
        </w:rPr>
        <w:t>8</w:t>
      </w:r>
    </w:p>
    <w:p w14:paraId="4404E214">
      <w:pPr>
        <w:tabs>
          <w:tab w:val="left" w:leader="dot" w:pos="5670"/>
          <w:tab w:val="left" w:leader="dot" w:pos="5880"/>
        </w:tabs>
        <w:contextualSpacing/>
      </w:pPr>
      <w:r>
        <w:t>23</w:t>
      </w:r>
      <w:r>
        <w:rPr>
          <w:rFonts w:hint="eastAsia"/>
        </w:rPr>
        <w:t xml:space="preserve">  </w:t>
      </w:r>
      <w:r>
        <w:t>Passenger Information</w:t>
      </w:r>
      <w:r>
        <w:tab/>
      </w:r>
      <w:r>
        <w:t>3</w:t>
      </w:r>
      <w:r>
        <w:rPr>
          <w:rFonts w:hint="eastAsia"/>
        </w:rPr>
        <w:t>30</w:t>
      </w:r>
    </w:p>
    <w:p w14:paraId="0A61E8EB">
      <w:pPr>
        <w:tabs>
          <w:tab w:val="left" w:leader="dot" w:pos="5670"/>
          <w:tab w:val="left" w:leader="dot" w:pos="5880"/>
        </w:tabs>
        <w:ind w:firstLine="210" w:firstLineChars="100"/>
        <w:contextualSpacing/>
      </w:pPr>
      <w:r>
        <w:t>23.1</w:t>
      </w:r>
      <w:r>
        <w:rPr>
          <w:rFonts w:hint="eastAsia"/>
        </w:rPr>
        <w:t xml:space="preserve">  </w:t>
      </w:r>
      <w:r>
        <w:t>General Requirements</w:t>
      </w:r>
      <w:r>
        <w:tab/>
      </w:r>
      <w:r>
        <w:t>3</w:t>
      </w:r>
      <w:r>
        <w:rPr>
          <w:rFonts w:hint="eastAsia"/>
        </w:rPr>
        <w:t>30</w:t>
      </w:r>
    </w:p>
    <w:p w14:paraId="69313611">
      <w:pPr>
        <w:tabs>
          <w:tab w:val="left" w:leader="dot" w:pos="5670"/>
          <w:tab w:val="left" w:leader="dot" w:pos="5880"/>
        </w:tabs>
        <w:ind w:firstLine="210" w:firstLineChars="100"/>
        <w:contextualSpacing/>
      </w:pPr>
      <w:r>
        <w:t>23.2</w:t>
      </w:r>
      <w:r>
        <w:rPr>
          <w:rFonts w:hint="eastAsia"/>
        </w:rPr>
        <w:t xml:space="preserve">  </w:t>
      </w:r>
      <w:r>
        <w:t>System Composition</w:t>
      </w:r>
      <w:r>
        <w:tab/>
      </w:r>
      <w:r>
        <w:t>3</w:t>
      </w:r>
      <w:r>
        <w:rPr>
          <w:rFonts w:hint="eastAsia"/>
        </w:rPr>
        <w:t>30</w:t>
      </w:r>
    </w:p>
    <w:p w14:paraId="1FF41AF2">
      <w:pPr>
        <w:tabs>
          <w:tab w:val="left" w:leader="dot" w:pos="5670"/>
          <w:tab w:val="left" w:leader="dot" w:pos="5880"/>
        </w:tabs>
        <w:ind w:firstLine="210" w:firstLineChars="100"/>
        <w:contextualSpacing/>
      </w:pPr>
      <w:r>
        <w:t>23.3</w:t>
      </w:r>
      <w:r>
        <w:rPr>
          <w:rFonts w:hint="eastAsia"/>
        </w:rPr>
        <w:t xml:space="preserve">  </w:t>
      </w:r>
      <w:r>
        <w:t>System Function</w:t>
      </w:r>
      <w:r>
        <w:tab/>
      </w:r>
      <w:r>
        <w:t>33</w:t>
      </w:r>
      <w:r>
        <w:rPr>
          <w:rFonts w:hint="eastAsia"/>
        </w:rPr>
        <w:t>2</w:t>
      </w:r>
    </w:p>
    <w:p w14:paraId="72BA778C">
      <w:pPr>
        <w:tabs>
          <w:tab w:val="left" w:leader="dot" w:pos="5670"/>
          <w:tab w:val="left" w:leader="dot" w:pos="5880"/>
        </w:tabs>
        <w:contextualSpacing/>
      </w:pPr>
      <w:r>
        <w:t>24</w:t>
      </w:r>
      <w:r>
        <w:rPr>
          <w:rFonts w:hint="eastAsia"/>
        </w:rPr>
        <w:t xml:space="preserve">  </w:t>
      </w:r>
      <w:r>
        <w:t>Automation Fare Collection</w:t>
      </w:r>
      <w:r>
        <w:tab/>
      </w:r>
      <w:r>
        <w:t>33</w:t>
      </w:r>
      <w:r>
        <w:rPr>
          <w:rFonts w:hint="eastAsia"/>
        </w:rPr>
        <w:t>3</w:t>
      </w:r>
    </w:p>
    <w:p w14:paraId="76893A8E">
      <w:pPr>
        <w:tabs>
          <w:tab w:val="left" w:leader="dot" w:pos="5670"/>
          <w:tab w:val="left" w:leader="dot" w:pos="5880"/>
        </w:tabs>
        <w:ind w:firstLine="210" w:firstLineChars="100"/>
        <w:contextualSpacing/>
      </w:pPr>
      <w:r>
        <w:t>24.1</w:t>
      </w:r>
      <w:r>
        <w:rPr>
          <w:rFonts w:hint="eastAsia"/>
        </w:rPr>
        <w:t xml:space="preserve">  </w:t>
      </w:r>
      <w:r>
        <w:t>General Requirements</w:t>
      </w:r>
      <w:r>
        <w:tab/>
      </w:r>
      <w:r>
        <w:t>33</w:t>
      </w:r>
      <w:r>
        <w:rPr>
          <w:rFonts w:hint="eastAsia"/>
        </w:rPr>
        <w:t>3</w:t>
      </w:r>
    </w:p>
    <w:p w14:paraId="09984DCE">
      <w:pPr>
        <w:tabs>
          <w:tab w:val="left" w:leader="dot" w:pos="5670"/>
          <w:tab w:val="left" w:leader="dot" w:pos="5880"/>
        </w:tabs>
        <w:ind w:firstLine="210" w:firstLineChars="100"/>
        <w:contextualSpacing/>
      </w:pPr>
      <w:r>
        <w:t>24.2</w:t>
      </w:r>
      <w:r>
        <w:rPr>
          <w:rFonts w:hint="eastAsia"/>
        </w:rPr>
        <w:t xml:space="preserve">  </w:t>
      </w:r>
      <w:r>
        <w:t>Ticketing Management</w:t>
      </w:r>
      <w:r>
        <w:tab/>
      </w:r>
      <w:r>
        <w:t>333</w:t>
      </w:r>
    </w:p>
    <w:p w14:paraId="32ED80D3">
      <w:pPr>
        <w:tabs>
          <w:tab w:val="left" w:leader="dot" w:pos="5670"/>
          <w:tab w:val="left" w:leader="dot" w:pos="5880"/>
        </w:tabs>
        <w:ind w:firstLine="210" w:firstLineChars="100"/>
        <w:contextualSpacing/>
      </w:pPr>
      <w:r>
        <w:t>24.3</w:t>
      </w:r>
      <w:r>
        <w:rPr>
          <w:rFonts w:hint="eastAsia"/>
        </w:rPr>
        <w:t xml:space="preserve">  </w:t>
      </w:r>
      <w:r>
        <w:t>System Composition</w:t>
      </w:r>
      <w:r>
        <w:tab/>
      </w:r>
      <w:r>
        <w:t>334</w:t>
      </w:r>
    </w:p>
    <w:p w14:paraId="5C73DFD7">
      <w:pPr>
        <w:tabs>
          <w:tab w:val="left" w:leader="dot" w:pos="5670"/>
          <w:tab w:val="left" w:leader="dot" w:pos="5880"/>
        </w:tabs>
        <w:ind w:firstLine="210" w:firstLineChars="100"/>
        <w:contextualSpacing/>
      </w:pPr>
      <w:r>
        <w:t>24.4</w:t>
      </w:r>
      <w:r>
        <w:rPr>
          <w:rFonts w:hint="eastAsia"/>
        </w:rPr>
        <w:t xml:space="preserve">  </w:t>
      </w:r>
      <w:r>
        <w:t>Main</w:t>
      </w:r>
      <w:r>
        <w:rPr>
          <w:rFonts w:hint="eastAsia"/>
        </w:rPr>
        <w:t xml:space="preserve"> </w:t>
      </w:r>
      <w:r>
        <w:t>Function</w:t>
      </w:r>
      <w:r>
        <w:rPr>
          <w:rFonts w:hint="eastAsia"/>
        </w:rPr>
        <w:t xml:space="preserve"> </w:t>
      </w:r>
      <w:r>
        <w:t>sof</w:t>
      </w:r>
      <w:r>
        <w:rPr>
          <w:rFonts w:hint="eastAsia"/>
        </w:rPr>
        <w:t xml:space="preserve"> </w:t>
      </w:r>
      <w:r>
        <w:t>the</w:t>
      </w:r>
      <w:r>
        <w:rPr>
          <w:rFonts w:hint="eastAsia"/>
        </w:rPr>
        <w:t xml:space="preserve"> </w:t>
      </w:r>
      <w:r>
        <w:t>System</w:t>
      </w:r>
      <w:r>
        <w:rPr>
          <w:rFonts w:hint="eastAsia"/>
        </w:rPr>
        <w:t xml:space="preserve"> </w:t>
      </w:r>
      <w:r>
        <w:t>and Equipment</w:t>
      </w:r>
      <w:r>
        <w:tab/>
      </w:r>
      <w:r>
        <w:t>334</w:t>
      </w:r>
    </w:p>
    <w:p w14:paraId="645F15FE">
      <w:pPr>
        <w:tabs>
          <w:tab w:val="left" w:leader="dot" w:pos="5670"/>
          <w:tab w:val="left" w:leader="dot" w:pos="5880"/>
        </w:tabs>
        <w:ind w:firstLine="210" w:firstLineChars="100"/>
        <w:contextualSpacing/>
      </w:pPr>
      <w:r>
        <w:t>24.5</w:t>
      </w:r>
      <w:r>
        <w:rPr>
          <w:rFonts w:hint="eastAsia"/>
        </w:rPr>
        <w:t xml:space="preserve">  </w:t>
      </w:r>
      <w:r>
        <w:t>Power Supply and Grounding</w:t>
      </w:r>
      <w:r>
        <w:tab/>
      </w:r>
      <w:r>
        <w:t>338</w:t>
      </w:r>
    </w:p>
    <w:p w14:paraId="2EDB97C7">
      <w:pPr>
        <w:tabs>
          <w:tab w:val="left" w:leader="dot" w:pos="5670"/>
          <w:tab w:val="left" w:leader="dot" w:pos="5880"/>
        </w:tabs>
        <w:ind w:firstLine="210" w:firstLineChars="100"/>
        <w:contextualSpacing/>
      </w:pPr>
      <w:r>
        <w:t>24.6</w:t>
      </w:r>
      <w:r>
        <w:rPr>
          <w:rFonts w:hint="eastAsia"/>
        </w:rPr>
        <w:t xml:space="preserve">  </w:t>
      </w:r>
      <w:r>
        <w:t>Cables and Wires</w:t>
      </w:r>
      <w:r>
        <w:tab/>
      </w:r>
      <w:r>
        <w:t>338</w:t>
      </w:r>
    </w:p>
    <w:p w14:paraId="395A735A">
      <w:pPr>
        <w:tabs>
          <w:tab w:val="left" w:leader="dot" w:pos="5670"/>
          <w:tab w:val="left" w:leader="dot" w:pos="5880"/>
        </w:tabs>
        <w:ind w:firstLine="210" w:firstLineChars="100"/>
        <w:contextualSpacing/>
      </w:pPr>
      <w:r>
        <w:t>24.7</w:t>
      </w:r>
      <w:r>
        <w:rPr>
          <w:rFonts w:hint="eastAsia"/>
        </w:rPr>
        <w:t xml:space="preserve">  </w:t>
      </w:r>
      <w:r>
        <w:t>Software</w:t>
      </w:r>
      <w:r>
        <w:tab/>
      </w:r>
      <w:r>
        <w:t>339</w:t>
      </w:r>
    </w:p>
    <w:p w14:paraId="5E08172A">
      <w:pPr>
        <w:tabs>
          <w:tab w:val="left" w:leader="dot" w:pos="5670"/>
          <w:tab w:val="left" w:leader="dot" w:pos="5880"/>
        </w:tabs>
        <w:ind w:firstLine="210" w:firstLineChars="100"/>
        <w:contextualSpacing/>
      </w:pPr>
      <w:r>
        <w:t>24.8</w:t>
      </w:r>
      <w:r>
        <w:rPr>
          <w:rFonts w:hint="eastAsia"/>
        </w:rPr>
        <w:t xml:space="preserve">  </w:t>
      </w:r>
      <w:r>
        <w:t>Clock</w:t>
      </w:r>
      <w:r>
        <w:tab/>
      </w:r>
      <w:r>
        <w:t>339</w:t>
      </w:r>
    </w:p>
    <w:p w14:paraId="776D8D6E">
      <w:pPr>
        <w:tabs>
          <w:tab w:val="left" w:leader="dot" w:pos="5670"/>
          <w:tab w:val="left" w:leader="dot" w:pos="5880"/>
        </w:tabs>
        <w:ind w:firstLine="210" w:firstLineChars="100"/>
        <w:contextualSpacing/>
      </w:pPr>
      <w:r>
        <w:t>24.</w:t>
      </w:r>
      <w:r>
        <w:rPr>
          <w:rFonts w:hint="eastAsia"/>
        </w:rPr>
        <w:t xml:space="preserve">9  </w:t>
      </w:r>
      <w:r>
        <w:t>Station</w:t>
      </w:r>
      <w:r>
        <w:rPr>
          <w:rFonts w:hint="eastAsia"/>
        </w:rPr>
        <w:t xml:space="preserve"> </w:t>
      </w:r>
      <w:r>
        <w:t>Ticketing</w:t>
      </w:r>
      <w:r>
        <w:rPr>
          <w:rFonts w:hint="eastAsia"/>
        </w:rPr>
        <w:t xml:space="preserve"> </w:t>
      </w:r>
      <w:r>
        <w:t>and</w:t>
      </w:r>
      <w:r>
        <w:rPr>
          <w:rFonts w:hint="eastAsia"/>
        </w:rPr>
        <w:t xml:space="preserve"> </w:t>
      </w:r>
      <w:r>
        <w:t>Fare</w:t>
      </w:r>
      <w:r>
        <w:rPr>
          <w:rFonts w:hint="eastAsia"/>
        </w:rPr>
        <w:t xml:space="preserve"> </w:t>
      </w:r>
      <w:r>
        <w:t>Collection</w:t>
      </w:r>
      <w:r>
        <w:rPr>
          <w:rFonts w:hint="eastAsia"/>
        </w:rPr>
        <w:t xml:space="preserve"> </w:t>
      </w:r>
      <w:r>
        <w:t>Terminal Equipment</w:t>
      </w:r>
      <w:r>
        <w:tab/>
      </w:r>
      <w:r>
        <w:t>339</w:t>
      </w:r>
    </w:p>
    <w:p w14:paraId="40D7B9BC">
      <w:pPr>
        <w:tabs>
          <w:tab w:val="left" w:leader="dot" w:pos="5670"/>
          <w:tab w:val="left" w:leader="dot" w:pos="5880"/>
        </w:tabs>
        <w:ind w:firstLine="210" w:firstLineChars="100"/>
        <w:contextualSpacing/>
      </w:pPr>
      <w:r>
        <w:t>24.10</w:t>
      </w:r>
      <w:r>
        <w:rPr>
          <w:rFonts w:hint="eastAsia"/>
        </w:rPr>
        <w:t xml:space="preserve">  </w:t>
      </w:r>
      <w:r>
        <w:t>Track Equipment Room</w:t>
      </w:r>
      <w:r>
        <w:tab/>
      </w:r>
      <w:r>
        <w:t>340</w:t>
      </w:r>
    </w:p>
    <w:p w14:paraId="2EFD360B">
      <w:pPr>
        <w:tabs>
          <w:tab w:val="left" w:leader="dot" w:pos="5670"/>
          <w:tab w:val="left" w:leader="dot" w:pos="5880"/>
        </w:tabs>
        <w:contextualSpacing/>
      </w:pPr>
      <w:r>
        <w:t>25</w:t>
      </w:r>
      <w:r>
        <w:rPr>
          <w:rFonts w:hint="eastAsia"/>
        </w:rPr>
        <w:t xml:space="preserve">  </w:t>
      </w:r>
      <w:r>
        <w:t>Security</w:t>
      </w:r>
      <w:r>
        <w:rPr>
          <w:rFonts w:hint="eastAsia"/>
        </w:rPr>
        <w:t xml:space="preserve"> </w:t>
      </w:r>
      <w:r>
        <w:t>and Prevention</w:t>
      </w:r>
      <w:r>
        <w:tab/>
      </w:r>
      <w:r>
        <w:t>342</w:t>
      </w:r>
    </w:p>
    <w:p w14:paraId="430F082E">
      <w:pPr>
        <w:tabs>
          <w:tab w:val="left" w:leader="dot" w:pos="5670"/>
          <w:tab w:val="left" w:leader="dot" w:pos="5880"/>
        </w:tabs>
        <w:ind w:firstLine="210" w:firstLineChars="100"/>
        <w:contextualSpacing/>
      </w:pPr>
      <w:r>
        <w:t>25.1</w:t>
      </w:r>
      <w:r>
        <w:rPr>
          <w:rFonts w:hint="eastAsia"/>
        </w:rPr>
        <w:t xml:space="preserve">  </w:t>
      </w:r>
      <w:r>
        <w:t>General Requirements</w:t>
      </w:r>
      <w:r>
        <w:tab/>
      </w:r>
      <w:r>
        <w:t>342</w:t>
      </w:r>
    </w:p>
    <w:p w14:paraId="32B9B1CA">
      <w:pPr>
        <w:tabs>
          <w:tab w:val="left" w:leader="dot" w:pos="5670"/>
          <w:tab w:val="left" w:leader="dot" w:pos="5880"/>
        </w:tabs>
        <w:ind w:firstLine="210" w:firstLineChars="100"/>
        <w:contextualSpacing/>
      </w:pPr>
      <w:r>
        <w:t>25.2</w:t>
      </w:r>
      <w:r>
        <w:rPr>
          <w:rFonts w:hint="eastAsia"/>
        </w:rPr>
        <w:t xml:space="preserve">  </w:t>
      </w:r>
      <w:r>
        <w:t>Access Control System</w:t>
      </w:r>
      <w:r>
        <w:tab/>
      </w:r>
      <w:r>
        <w:t>342</w:t>
      </w:r>
    </w:p>
    <w:p w14:paraId="18E66D80">
      <w:pPr>
        <w:tabs>
          <w:tab w:val="left" w:leader="dot" w:pos="5670"/>
          <w:tab w:val="left" w:leader="dot" w:pos="5880"/>
        </w:tabs>
        <w:ind w:firstLine="210" w:firstLineChars="100"/>
        <w:contextualSpacing/>
      </w:pPr>
      <w:r>
        <w:t>25.3</w:t>
      </w:r>
      <w:r>
        <w:rPr>
          <w:rFonts w:hint="eastAsia"/>
        </w:rPr>
        <w:t xml:space="preserve">  </w:t>
      </w:r>
      <w:r>
        <w:t>Perimeter Security</w:t>
      </w:r>
      <w:r>
        <w:tab/>
      </w:r>
      <w:r>
        <w:t>346</w:t>
      </w:r>
    </w:p>
    <w:p w14:paraId="5B03762E">
      <w:pPr>
        <w:tabs>
          <w:tab w:val="left" w:leader="dot" w:pos="5670"/>
          <w:tab w:val="left" w:leader="dot" w:pos="5880"/>
        </w:tabs>
        <w:ind w:firstLine="210" w:firstLineChars="100"/>
        <w:contextualSpacing/>
      </w:pPr>
      <w:r>
        <w:t>25.4</w:t>
      </w:r>
      <w:r>
        <w:rPr>
          <w:rFonts w:hint="eastAsia"/>
        </w:rPr>
        <w:t xml:space="preserve">  </w:t>
      </w:r>
      <w:r>
        <w:t>Security Inspection and Detection Systems</w:t>
      </w:r>
      <w:r>
        <w:tab/>
      </w:r>
      <w:r>
        <w:t>348</w:t>
      </w:r>
    </w:p>
    <w:p w14:paraId="2ED9A2C5">
      <w:pPr>
        <w:tabs>
          <w:tab w:val="left" w:leader="dot" w:pos="5670"/>
          <w:tab w:val="left" w:leader="dot" w:pos="5880"/>
        </w:tabs>
        <w:contextualSpacing/>
      </w:pPr>
      <w:r>
        <w:t>26</w:t>
      </w:r>
      <w:r>
        <w:rPr>
          <w:rFonts w:hint="eastAsia"/>
        </w:rPr>
        <w:t xml:space="preserve">  </w:t>
      </w:r>
      <w:r>
        <w:t>Cloud Platform</w:t>
      </w:r>
      <w:r>
        <w:tab/>
      </w:r>
      <w:r>
        <w:t>35</w:t>
      </w:r>
      <w:r>
        <w:rPr>
          <w:rFonts w:hint="eastAsia"/>
        </w:rPr>
        <w:t>1</w:t>
      </w:r>
    </w:p>
    <w:p w14:paraId="6E463428">
      <w:pPr>
        <w:tabs>
          <w:tab w:val="left" w:leader="dot" w:pos="5670"/>
          <w:tab w:val="left" w:leader="dot" w:pos="5880"/>
        </w:tabs>
        <w:ind w:firstLine="210" w:firstLineChars="100"/>
        <w:contextualSpacing/>
      </w:pPr>
      <w:r>
        <w:t>26.1</w:t>
      </w:r>
      <w:r>
        <w:rPr>
          <w:rFonts w:hint="eastAsia"/>
        </w:rPr>
        <w:t xml:space="preserve">  </w:t>
      </w:r>
      <w:r>
        <w:t>General Requirements</w:t>
      </w:r>
      <w:r>
        <w:tab/>
      </w:r>
      <w:r>
        <w:t>35</w:t>
      </w:r>
      <w:r>
        <w:rPr>
          <w:rFonts w:hint="eastAsia"/>
        </w:rPr>
        <w:t>1</w:t>
      </w:r>
    </w:p>
    <w:p w14:paraId="164BE582">
      <w:pPr>
        <w:tabs>
          <w:tab w:val="left" w:leader="dot" w:pos="5670"/>
          <w:tab w:val="left" w:leader="dot" w:pos="5880"/>
        </w:tabs>
        <w:ind w:firstLine="210" w:firstLineChars="100"/>
        <w:contextualSpacing/>
      </w:pPr>
      <w:r>
        <w:t>26.2</w:t>
      </w:r>
      <w:r>
        <w:rPr>
          <w:rFonts w:hint="eastAsia"/>
        </w:rPr>
        <w:t xml:space="preserve">  </w:t>
      </w:r>
      <w:r>
        <w:t>System</w:t>
      </w:r>
      <w:r>
        <w:rPr>
          <w:rFonts w:hint="eastAsia"/>
        </w:rPr>
        <w:t xml:space="preserve"> </w:t>
      </w:r>
      <w:r>
        <w:t>Architecture and Functions</w:t>
      </w:r>
      <w:r>
        <w:tab/>
      </w:r>
      <w:r>
        <w:t>35</w:t>
      </w:r>
      <w:r>
        <w:rPr>
          <w:rFonts w:hint="eastAsia"/>
        </w:rPr>
        <w:t>1</w:t>
      </w:r>
    </w:p>
    <w:p w14:paraId="78B0732E">
      <w:pPr>
        <w:tabs>
          <w:tab w:val="left" w:leader="dot" w:pos="5670"/>
          <w:tab w:val="left" w:leader="dot" w:pos="5880"/>
        </w:tabs>
        <w:ind w:firstLine="210" w:firstLineChars="100"/>
        <w:contextualSpacing/>
      </w:pPr>
      <w:r>
        <w:t>26.3</w:t>
      </w:r>
      <w:r>
        <w:rPr>
          <w:rFonts w:hint="eastAsia"/>
        </w:rPr>
        <w:t xml:space="preserve">  </w:t>
      </w:r>
      <w:r>
        <w:t>Equipment</w:t>
      </w:r>
      <w:r>
        <w:rPr>
          <w:rFonts w:hint="eastAsia"/>
        </w:rPr>
        <w:t xml:space="preserve"> </w:t>
      </w:r>
      <w:r>
        <w:t>Room</w:t>
      </w:r>
      <w:r>
        <w:rPr>
          <w:rFonts w:hint="eastAsia"/>
        </w:rPr>
        <w:t xml:space="preserve"> </w:t>
      </w:r>
      <w:r>
        <w:t>and</w:t>
      </w:r>
      <w:r>
        <w:rPr>
          <w:rFonts w:hint="eastAsia"/>
        </w:rPr>
        <w:t xml:space="preserve"> </w:t>
      </w:r>
      <w:r>
        <w:t>Environmental Requirements</w:t>
      </w:r>
      <w:r>
        <w:tab/>
      </w:r>
      <w:r>
        <w:t>35</w:t>
      </w:r>
      <w:r>
        <w:rPr>
          <w:rFonts w:hint="eastAsia"/>
        </w:rPr>
        <w:t>2</w:t>
      </w:r>
    </w:p>
    <w:p w14:paraId="243FAC71">
      <w:pPr>
        <w:tabs>
          <w:tab w:val="left" w:leader="dot" w:pos="5670"/>
          <w:tab w:val="left" w:leader="dot" w:pos="5880"/>
        </w:tabs>
        <w:contextualSpacing/>
      </w:pPr>
      <w:r>
        <w:t>27</w:t>
      </w:r>
      <w:r>
        <w:rPr>
          <w:rFonts w:hint="eastAsia"/>
        </w:rPr>
        <w:t xml:space="preserve">  </w:t>
      </w:r>
      <w:r>
        <w:t>Comprehensive Depot</w:t>
      </w:r>
      <w:r>
        <w:tab/>
      </w:r>
      <w:r>
        <w:t>35</w:t>
      </w:r>
      <w:r>
        <w:rPr>
          <w:rFonts w:hint="eastAsia"/>
        </w:rPr>
        <w:t>3</w:t>
      </w:r>
    </w:p>
    <w:p w14:paraId="39C720ED">
      <w:pPr>
        <w:tabs>
          <w:tab w:val="left" w:leader="dot" w:pos="5670"/>
          <w:tab w:val="left" w:leader="dot" w:pos="5880"/>
        </w:tabs>
        <w:ind w:firstLine="210" w:firstLineChars="100"/>
        <w:contextualSpacing/>
      </w:pPr>
      <w:r>
        <w:t>27.1</w:t>
      </w:r>
      <w:r>
        <w:rPr>
          <w:rFonts w:hint="eastAsia"/>
        </w:rPr>
        <w:t xml:space="preserve">  </w:t>
      </w:r>
      <w:r>
        <w:t>General Requirements</w:t>
      </w:r>
      <w:r>
        <w:tab/>
      </w:r>
      <w:r>
        <w:t>35</w:t>
      </w:r>
      <w:r>
        <w:rPr>
          <w:rFonts w:hint="eastAsia"/>
        </w:rPr>
        <w:t>3</w:t>
      </w:r>
    </w:p>
    <w:p w14:paraId="2746EE94">
      <w:pPr>
        <w:tabs>
          <w:tab w:val="left" w:leader="dot" w:pos="5670"/>
          <w:tab w:val="left" w:leader="dot" w:pos="5880"/>
        </w:tabs>
        <w:ind w:firstLine="210" w:firstLineChars="100"/>
        <w:contextualSpacing/>
      </w:pPr>
      <w:r>
        <w:t>27.2</w:t>
      </w:r>
      <w:r>
        <w:rPr>
          <w:rFonts w:hint="eastAsia"/>
        </w:rPr>
        <w:t xml:space="preserve">  </w:t>
      </w:r>
      <w:r>
        <w:t>Function of Comprehensive Depot</w:t>
      </w:r>
      <w:r>
        <w:tab/>
      </w:r>
      <w:r>
        <w:t>35</w:t>
      </w:r>
      <w:r>
        <w:rPr>
          <w:rFonts w:hint="eastAsia"/>
        </w:rPr>
        <w:t>4</w:t>
      </w:r>
    </w:p>
    <w:p w14:paraId="673B6C5E">
      <w:pPr>
        <w:tabs>
          <w:tab w:val="left" w:leader="dot" w:pos="5670"/>
          <w:tab w:val="left" w:leader="dot" w:pos="5880"/>
        </w:tabs>
        <w:ind w:firstLine="210" w:firstLineChars="100"/>
        <w:contextualSpacing/>
      </w:pPr>
      <w:r>
        <w:t>27.3</w:t>
      </w:r>
      <w:r>
        <w:rPr>
          <w:rFonts w:hint="eastAsia"/>
        </w:rPr>
        <w:t xml:space="preserve">  </w:t>
      </w:r>
      <w:r>
        <w:t>Scheduled Inspection Standard for Vehicle and Facility</w:t>
      </w:r>
    </w:p>
    <w:p w14:paraId="6DB952B9">
      <w:pPr>
        <w:tabs>
          <w:tab w:val="left" w:leader="dot" w:pos="5670"/>
          <w:tab w:val="left" w:leader="dot" w:pos="5880"/>
        </w:tabs>
        <w:ind w:firstLine="840" w:firstLineChars="400"/>
        <w:contextualSpacing/>
      </w:pPr>
      <w:r>
        <w:t>Scale</w:t>
      </w:r>
      <w:r>
        <w:tab/>
      </w:r>
      <w:r>
        <w:t>35</w:t>
      </w:r>
      <w:r>
        <w:rPr>
          <w:rFonts w:hint="eastAsia"/>
        </w:rPr>
        <w:t>5</w:t>
      </w:r>
    </w:p>
    <w:p w14:paraId="79A777B8">
      <w:pPr>
        <w:tabs>
          <w:tab w:val="left" w:leader="dot" w:pos="5670"/>
          <w:tab w:val="left" w:leader="dot" w:pos="5880"/>
        </w:tabs>
        <w:ind w:firstLine="210" w:firstLineChars="100"/>
        <w:contextualSpacing/>
      </w:pPr>
      <w:r>
        <w:t>27.4</w:t>
      </w:r>
      <w:r>
        <w:rPr>
          <w:rFonts w:hint="eastAsia"/>
        </w:rPr>
        <w:t xml:space="preserve">  </w:t>
      </w:r>
      <w:r>
        <w:t>Location and General Layout of Comprehensive Depot</w:t>
      </w:r>
      <w:r>
        <w:tab/>
      </w:r>
      <w:r>
        <w:t>35</w:t>
      </w:r>
      <w:r>
        <w:rPr>
          <w:rFonts w:hint="eastAsia"/>
        </w:rPr>
        <w:t>6</w:t>
      </w:r>
    </w:p>
    <w:p w14:paraId="28A8B911">
      <w:pPr>
        <w:tabs>
          <w:tab w:val="left" w:leader="dot" w:pos="5670"/>
          <w:tab w:val="left" w:leader="dot" w:pos="5880"/>
        </w:tabs>
        <w:ind w:firstLine="210" w:firstLineChars="100"/>
        <w:contextualSpacing/>
      </w:pPr>
      <w:r>
        <w:t>27.5</w:t>
      </w:r>
      <w:r>
        <w:rPr>
          <w:rFonts w:hint="eastAsia"/>
        </w:rPr>
        <w:t xml:space="preserve">  </w:t>
      </w:r>
      <w:r>
        <w:t>Facilities</w:t>
      </w:r>
      <w:r>
        <w:rPr>
          <w:rFonts w:hint="eastAsia"/>
        </w:rPr>
        <w:t xml:space="preserve"> </w:t>
      </w:r>
      <w:r>
        <w:t>for</w:t>
      </w:r>
      <w:r>
        <w:rPr>
          <w:rFonts w:hint="eastAsia"/>
        </w:rPr>
        <w:t xml:space="preserve"> </w:t>
      </w:r>
      <w:r>
        <w:t>Running</w:t>
      </w:r>
      <w:r>
        <w:rPr>
          <w:rFonts w:hint="eastAsia"/>
        </w:rPr>
        <w:t xml:space="preserve"> </w:t>
      </w:r>
      <w:r>
        <w:t>and Service of Train</w:t>
      </w:r>
      <w:r>
        <w:tab/>
      </w:r>
      <w:r>
        <w:t>35</w:t>
      </w:r>
      <w:r>
        <w:rPr>
          <w:rFonts w:hint="eastAsia"/>
        </w:rPr>
        <w:t>9</w:t>
      </w:r>
    </w:p>
    <w:p w14:paraId="6BD09851">
      <w:pPr>
        <w:tabs>
          <w:tab w:val="left" w:leader="dot" w:pos="5670"/>
          <w:tab w:val="left" w:leader="dot" w:pos="5880"/>
        </w:tabs>
        <w:ind w:firstLine="210" w:firstLineChars="100"/>
        <w:contextualSpacing/>
      </w:pPr>
      <w:r>
        <w:t>27.6</w:t>
      </w:r>
      <w:r>
        <w:rPr>
          <w:rFonts w:hint="eastAsia"/>
        </w:rPr>
        <w:t xml:space="preserve">  </w:t>
      </w:r>
      <w:r>
        <w:t>Inspection</w:t>
      </w:r>
      <w:r>
        <w:rPr>
          <w:rFonts w:hint="eastAsia"/>
        </w:rPr>
        <w:t xml:space="preserve"> </w:t>
      </w:r>
      <w:r>
        <w:t>and</w:t>
      </w:r>
      <w:r>
        <w:rPr>
          <w:rFonts w:hint="eastAsia"/>
        </w:rPr>
        <w:t xml:space="preserve"> </w:t>
      </w:r>
      <w:r>
        <w:t>Maintenance Facilities of Train</w:t>
      </w:r>
      <w:r>
        <w:tab/>
      </w:r>
      <w:r>
        <w:t>36</w:t>
      </w:r>
      <w:r>
        <w:rPr>
          <w:rFonts w:hint="eastAsia"/>
        </w:rPr>
        <w:t>4</w:t>
      </w:r>
    </w:p>
    <w:p w14:paraId="3C703EC8">
      <w:pPr>
        <w:tabs>
          <w:tab w:val="left" w:leader="dot" w:pos="5670"/>
          <w:tab w:val="left" w:leader="dot" w:pos="5880"/>
        </w:tabs>
        <w:ind w:firstLine="210" w:firstLineChars="100"/>
        <w:contextualSpacing/>
      </w:pPr>
      <w:r>
        <w:t>27.7</w:t>
      </w:r>
      <w:r>
        <w:rPr>
          <w:rFonts w:hint="eastAsia"/>
        </w:rPr>
        <w:t xml:space="preserve">  </w:t>
      </w:r>
      <w:r>
        <w:t>Line</w:t>
      </w:r>
      <w:r>
        <w:rPr>
          <w:rFonts w:hint="eastAsia"/>
        </w:rPr>
        <w:t xml:space="preserve"> </w:t>
      </w:r>
      <w:r>
        <w:t>of Comprehensive Depot</w:t>
      </w:r>
      <w:r>
        <w:tab/>
      </w:r>
      <w:r>
        <w:t>36</w:t>
      </w:r>
      <w:r>
        <w:rPr>
          <w:rFonts w:hint="eastAsia"/>
        </w:rPr>
        <w:t>9</w:t>
      </w:r>
    </w:p>
    <w:p w14:paraId="3925531A">
      <w:pPr>
        <w:tabs>
          <w:tab w:val="left" w:leader="dot" w:pos="5670"/>
          <w:tab w:val="left" w:leader="dot" w:pos="5880"/>
        </w:tabs>
        <w:ind w:firstLine="210" w:firstLineChars="100"/>
        <w:contextualSpacing/>
      </w:pPr>
      <w:r>
        <w:t>27.8</w:t>
      </w:r>
      <w:r>
        <w:rPr>
          <w:rFonts w:hint="eastAsia"/>
        </w:rPr>
        <w:t xml:space="preserve">  </w:t>
      </w:r>
      <w:r>
        <w:t>Equipment</w:t>
      </w:r>
      <w:r>
        <w:rPr>
          <w:rFonts w:hint="eastAsia"/>
        </w:rPr>
        <w:t xml:space="preserve"> </w:t>
      </w:r>
      <w:r>
        <w:t>Maintenance</w:t>
      </w:r>
      <w:r>
        <w:rPr>
          <w:rFonts w:hint="eastAsia"/>
        </w:rPr>
        <w:t xml:space="preserve"> </w:t>
      </w:r>
      <w:r>
        <w:t>and Power Facilities</w:t>
      </w:r>
      <w:r>
        <w:tab/>
      </w:r>
      <w:r>
        <w:t>3</w:t>
      </w:r>
      <w:r>
        <w:rPr>
          <w:rFonts w:hint="eastAsia"/>
        </w:rPr>
        <w:t>70</w:t>
      </w:r>
    </w:p>
    <w:p w14:paraId="67F1DB1E">
      <w:pPr>
        <w:tabs>
          <w:tab w:val="left" w:leader="dot" w:pos="5670"/>
          <w:tab w:val="left" w:leader="dot" w:pos="5880"/>
        </w:tabs>
        <w:ind w:firstLine="210" w:firstLineChars="100"/>
        <w:contextualSpacing/>
      </w:pPr>
      <w:r>
        <w:t>27.9</w:t>
      </w:r>
      <w:r>
        <w:rPr>
          <w:rFonts w:hint="eastAsia"/>
        </w:rPr>
        <w:t xml:space="preserve">  </w:t>
      </w:r>
      <w:r>
        <w:t>Comprehensive Maintenance Base</w:t>
      </w:r>
      <w:r>
        <w:tab/>
      </w:r>
      <w:r>
        <w:t>3</w:t>
      </w:r>
      <w:r>
        <w:rPr>
          <w:rFonts w:hint="eastAsia"/>
        </w:rPr>
        <w:t>70</w:t>
      </w:r>
    </w:p>
    <w:p w14:paraId="44700376">
      <w:pPr>
        <w:tabs>
          <w:tab w:val="left" w:leader="dot" w:pos="5670"/>
          <w:tab w:val="left" w:leader="dot" w:pos="5880"/>
        </w:tabs>
        <w:ind w:firstLine="210" w:firstLineChars="100"/>
        <w:contextualSpacing/>
      </w:pPr>
      <w:r>
        <w:t>27.10</w:t>
      </w:r>
      <w:r>
        <w:rPr>
          <w:rFonts w:hint="eastAsia"/>
        </w:rPr>
        <w:t xml:space="preserve">  </w:t>
      </w:r>
      <w:r>
        <w:t>Main Storehouse</w:t>
      </w:r>
      <w:r>
        <w:tab/>
      </w:r>
      <w:r>
        <w:t>37</w:t>
      </w:r>
      <w:r>
        <w:rPr>
          <w:rFonts w:hint="eastAsia"/>
        </w:rPr>
        <w:t>1</w:t>
      </w:r>
    </w:p>
    <w:p w14:paraId="18419F7C">
      <w:pPr>
        <w:tabs>
          <w:tab w:val="left" w:leader="dot" w:pos="5670"/>
          <w:tab w:val="left" w:leader="dot" w:pos="5880"/>
        </w:tabs>
        <w:ind w:firstLine="210" w:firstLineChars="100"/>
        <w:contextualSpacing/>
      </w:pPr>
      <w:r>
        <w:t>27.11</w:t>
      </w:r>
      <w:r>
        <w:rPr>
          <w:rFonts w:hint="eastAsia"/>
        </w:rPr>
        <w:t xml:space="preserve">  </w:t>
      </w:r>
      <w:r>
        <w:t>Training Center</w:t>
      </w:r>
      <w:r>
        <w:tab/>
      </w:r>
      <w:r>
        <w:t>37</w:t>
      </w:r>
      <w:r>
        <w:rPr>
          <w:rFonts w:hint="eastAsia"/>
        </w:rPr>
        <w:t>2</w:t>
      </w:r>
    </w:p>
    <w:p w14:paraId="289014D1">
      <w:pPr>
        <w:tabs>
          <w:tab w:val="left" w:leader="dot" w:pos="5670"/>
          <w:tab w:val="left" w:leader="dot" w:pos="5880"/>
        </w:tabs>
        <w:ind w:firstLine="210" w:firstLineChars="100"/>
        <w:contextualSpacing/>
      </w:pPr>
      <w:r>
        <w:t>27.12</w:t>
      </w:r>
      <w:r>
        <w:rPr>
          <w:rFonts w:hint="eastAsia"/>
        </w:rPr>
        <w:t xml:space="preserve">  </w:t>
      </w:r>
      <w:r>
        <w:t>Building</w:t>
      </w:r>
      <w:r>
        <w:tab/>
      </w:r>
      <w:r>
        <w:t>37</w:t>
      </w:r>
      <w:r>
        <w:rPr>
          <w:rFonts w:hint="eastAsia"/>
        </w:rPr>
        <w:t>2</w:t>
      </w:r>
    </w:p>
    <w:p w14:paraId="3A7B5551">
      <w:pPr>
        <w:tabs>
          <w:tab w:val="left" w:leader="dot" w:pos="5670"/>
          <w:tab w:val="left" w:leader="dot" w:pos="5880"/>
        </w:tabs>
        <w:ind w:firstLine="210" w:firstLineChars="100"/>
        <w:contextualSpacing/>
      </w:pPr>
      <w:r>
        <w:t>27.13</w:t>
      </w:r>
      <w:r>
        <w:rPr>
          <w:rFonts w:hint="eastAsia"/>
        </w:rPr>
        <w:t xml:space="preserve">  </w:t>
      </w:r>
      <w:r>
        <w:t>Resources Sharing</w:t>
      </w:r>
      <w:r>
        <w:tab/>
      </w:r>
      <w:r>
        <w:t>37</w:t>
      </w:r>
      <w:r>
        <w:rPr>
          <w:rFonts w:hint="eastAsia"/>
        </w:rPr>
        <w:t>4</w:t>
      </w:r>
    </w:p>
    <w:p w14:paraId="2884D187">
      <w:pPr>
        <w:tabs>
          <w:tab w:val="left" w:leader="dot" w:pos="5670"/>
          <w:tab w:val="left" w:leader="dot" w:pos="5880"/>
        </w:tabs>
        <w:ind w:firstLine="210" w:firstLineChars="100"/>
        <w:contextualSpacing/>
      </w:pPr>
      <w:r>
        <w:t>27.14</w:t>
      </w:r>
      <w:r>
        <w:rPr>
          <w:rFonts w:hint="eastAsia"/>
        </w:rPr>
        <w:t xml:space="preserve">  </w:t>
      </w:r>
      <w:r>
        <w:t>Ancillary Facility Scale</w:t>
      </w:r>
      <w:r>
        <w:tab/>
      </w:r>
      <w:r>
        <w:t>37</w:t>
      </w:r>
      <w:r>
        <w:rPr>
          <w:rFonts w:hint="eastAsia"/>
        </w:rPr>
        <w:t>6</w:t>
      </w:r>
    </w:p>
    <w:p w14:paraId="0A66FE5D">
      <w:pPr>
        <w:tabs>
          <w:tab w:val="left" w:leader="dot" w:pos="5670"/>
          <w:tab w:val="left" w:leader="dot" w:pos="5880"/>
        </w:tabs>
        <w:contextualSpacing/>
      </w:pPr>
      <w:r>
        <w:t>28</w:t>
      </w:r>
      <w:r>
        <w:rPr>
          <w:rFonts w:hint="eastAsia"/>
        </w:rPr>
        <w:t xml:space="preserve">  </w:t>
      </w:r>
      <w:r>
        <w:t>Control Center</w:t>
      </w:r>
      <w:r>
        <w:tab/>
      </w:r>
      <w:r>
        <w:t>37</w:t>
      </w:r>
      <w:r>
        <w:rPr>
          <w:rFonts w:hint="eastAsia"/>
        </w:rPr>
        <w:t>7</w:t>
      </w:r>
    </w:p>
    <w:p w14:paraId="2C38F2DA">
      <w:pPr>
        <w:tabs>
          <w:tab w:val="left" w:leader="dot" w:pos="5670"/>
          <w:tab w:val="left" w:leader="dot" w:pos="5880"/>
        </w:tabs>
        <w:ind w:firstLine="210" w:firstLineChars="100"/>
        <w:contextualSpacing/>
      </w:pPr>
      <w:r>
        <w:t>28.1</w:t>
      </w:r>
      <w:r>
        <w:rPr>
          <w:rFonts w:hint="eastAsia"/>
        </w:rPr>
        <w:t xml:space="preserve">  </w:t>
      </w:r>
      <w:r>
        <w:t>General Requirements</w:t>
      </w:r>
      <w:r>
        <w:tab/>
      </w:r>
      <w:r>
        <w:t>37</w:t>
      </w:r>
      <w:r>
        <w:rPr>
          <w:rFonts w:hint="eastAsia"/>
        </w:rPr>
        <w:t>7</w:t>
      </w:r>
    </w:p>
    <w:p w14:paraId="1FC97076">
      <w:pPr>
        <w:tabs>
          <w:tab w:val="left" w:leader="dot" w:pos="5670"/>
          <w:tab w:val="left" w:leader="dot" w:pos="5880"/>
        </w:tabs>
        <w:ind w:firstLine="210" w:firstLineChars="100"/>
        <w:contextualSpacing/>
      </w:pPr>
      <w:r>
        <w:t>28.2</w:t>
      </w:r>
      <w:r>
        <w:rPr>
          <w:rFonts w:hint="eastAsia"/>
        </w:rPr>
        <w:t xml:space="preserve">  </w:t>
      </w:r>
      <w:r>
        <w:t>Arrangement of</w:t>
      </w:r>
      <w:r>
        <w:rPr>
          <w:rFonts w:hint="eastAsia"/>
        </w:rPr>
        <w:t xml:space="preserve"> </w:t>
      </w:r>
      <w:r>
        <w:t>Control Center</w:t>
      </w:r>
      <w:r>
        <w:tab/>
      </w:r>
      <w:r>
        <w:t>37</w:t>
      </w:r>
      <w:r>
        <w:rPr>
          <w:rFonts w:hint="eastAsia"/>
        </w:rPr>
        <w:t>8</w:t>
      </w:r>
    </w:p>
    <w:p w14:paraId="0DEC1B7D">
      <w:pPr>
        <w:tabs>
          <w:tab w:val="left" w:leader="dot" w:pos="5670"/>
          <w:tab w:val="left" w:leader="dot" w:pos="5880"/>
        </w:tabs>
        <w:ind w:firstLine="210" w:firstLineChars="100"/>
        <w:contextualSpacing/>
      </w:pPr>
      <w:r>
        <w:t>28.3</w:t>
      </w:r>
      <w:r>
        <w:rPr>
          <w:rFonts w:hint="eastAsia"/>
        </w:rPr>
        <w:t xml:space="preserve">  </w:t>
      </w:r>
      <w:r>
        <w:t>Management</w:t>
      </w:r>
      <w:r>
        <w:rPr>
          <w:rFonts w:hint="eastAsia"/>
        </w:rPr>
        <w:t xml:space="preserve"> </w:t>
      </w:r>
      <w:r>
        <w:t>of Control Center</w:t>
      </w:r>
      <w:r>
        <w:tab/>
      </w:r>
      <w:r>
        <w:t>37</w:t>
      </w:r>
      <w:r>
        <w:rPr>
          <w:rFonts w:hint="eastAsia"/>
        </w:rPr>
        <w:t>8</w:t>
      </w:r>
    </w:p>
    <w:p w14:paraId="35E73BDD">
      <w:pPr>
        <w:tabs>
          <w:tab w:val="left" w:leader="dot" w:pos="5670"/>
          <w:tab w:val="left" w:leader="dot" w:pos="5880"/>
        </w:tabs>
        <w:ind w:firstLine="210" w:firstLineChars="100"/>
        <w:contextualSpacing/>
      </w:pPr>
      <w:r>
        <w:t>28.4</w:t>
      </w:r>
      <w:r>
        <w:rPr>
          <w:rFonts w:hint="eastAsia"/>
        </w:rPr>
        <w:t xml:space="preserve">  </w:t>
      </w:r>
      <w:r>
        <w:t>Zoning and its Requirements of Control Center</w:t>
      </w:r>
      <w:r>
        <w:tab/>
      </w:r>
      <w:r>
        <w:t>37</w:t>
      </w:r>
      <w:r>
        <w:rPr>
          <w:rFonts w:hint="eastAsia"/>
        </w:rPr>
        <w:t>9</w:t>
      </w:r>
    </w:p>
    <w:p w14:paraId="02F062A2">
      <w:pPr>
        <w:tabs>
          <w:tab w:val="left" w:leader="dot" w:pos="5670"/>
          <w:tab w:val="left" w:leader="dot" w:pos="5880"/>
        </w:tabs>
        <w:ind w:firstLine="210" w:firstLineChars="100"/>
        <w:contextualSpacing/>
      </w:pPr>
      <w:r>
        <w:t>28.5</w:t>
      </w:r>
      <w:r>
        <w:rPr>
          <w:rFonts w:hint="eastAsia"/>
        </w:rPr>
        <w:t xml:space="preserve">  </w:t>
      </w:r>
      <w:r>
        <w:t>Building and Structure</w:t>
      </w:r>
      <w:r>
        <w:tab/>
      </w:r>
      <w:r>
        <w:t>38</w:t>
      </w:r>
      <w:r>
        <w:rPr>
          <w:rFonts w:hint="eastAsia"/>
        </w:rPr>
        <w:t>1</w:t>
      </w:r>
    </w:p>
    <w:p w14:paraId="5B04900E">
      <w:pPr>
        <w:tabs>
          <w:tab w:val="left" w:leader="dot" w:pos="5670"/>
          <w:tab w:val="left" w:leader="dot" w:pos="5880"/>
        </w:tabs>
        <w:ind w:firstLine="210" w:firstLineChars="100"/>
        <w:contextualSpacing/>
      </w:pPr>
      <w:r>
        <w:t>28.6</w:t>
      </w:r>
      <w:r>
        <w:rPr>
          <w:rFonts w:hint="eastAsia"/>
        </w:rPr>
        <w:t xml:space="preserve">  </w:t>
      </w:r>
      <w:r>
        <w:t>Ancillary Facilites</w:t>
      </w:r>
      <w:r>
        <w:tab/>
      </w:r>
      <w:r>
        <w:t>38</w:t>
      </w:r>
      <w:r>
        <w:rPr>
          <w:rFonts w:hint="eastAsia"/>
        </w:rPr>
        <w:t>2</w:t>
      </w:r>
    </w:p>
    <w:p w14:paraId="5917538F">
      <w:pPr>
        <w:tabs>
          <w:tab w:val="left" w:leader="dot" w:pos="5670"/>
          <w:tab w:val="left" w:leader="dot" w:pos="5880"/>
        </w:tabs>
        <w:contextualSpacing/>
      </w:pPr>
      <w:r>
        <w:t>29</w:t>
      </w:r>
      <w:r>
        <w:rPr>
          <w:rFonts w:hint="eastAsia"/>
        </w:rPr>
        <w:t xml:space="preserve">  </w:t>
      </w:r>
      <w:r>
        <w:t>Transport Connection</w:t>
      </w:r>
      <w:r>
        <w:tab/>
      </w:r>
      <w:r>
        <w:t>38</w:t>
      </w:r>
      <w:r>
        <w:rPr>
          <w:rFonts w:hint="eastAsia"/>
        </w:rPr>
        <w:t>4</w:t>
      </w:r>
    </w:p>
    <w:p w14:paraId="6EED8A0F">
      <w:pPr>
        <w:tabs>
          <w:tab w:val="left" w:leader="dot" w:pos="5670"/>
          <w:tab w:val="left" w:leader="dot" w:pos="5880"/>
        </w:tabs>
        <w:ind w:firstLine="210" w:firstLineChars="100"/>
        <w:contextualSpacing/>
      </w:pPr>
      <w:r>
        <w:t>29.1</w:t>
      </w:r>
      <w:r>
        <w:rPr>
          <w:rFonts w:hint="eastAsia"/>
        </w:rPr>
        <w:t xml:space="preserve">  </w:t>
      </w:r>
      <w:r>
        <w:t>General Requirements</w:t>
      </w:r>
      <w:r>
        <w:tab/>
      </w:r>
      <w:r>
        <w:t>38</w:t>
      </w:r>
      <w:r>
        <w:rPr>
          <w:rFonts w:hint="eastAsia"/>
        </w:rPr>
        <w:t>4</w:t>
      </w:r>
    </w:p>
    <w:p w14:paraId="29D65DFB">
      <w:pPr>
        <w:tabs>
          <w:tab w:val="left" w:leader="dot" w:pos="5670"/>
          <w:tab w:val="left" w:leader="dot" w:pos="5880"/>
        </w:tabs>
        <w:ind w:firstLine="210" w:firstLineChars="100"/>
        <w:contextualSpacing/>
      </w:pPr>
      <w:r>
        <w:t>29.</w:t>
      </w:r>
      <w:r>
        <w:rPr>
          <w:rFonts w:hint="eastAsia"/>
        </w:rPr>
        <w:t xml:space="preserve">2  </w:t>
      </w:r>
      <w:r>
        <w:t>Design</w:t>
      </w:r>
      <w:r>
        <w:rPr>
          <w:rFonts w:hint="eastAsia"/>
        </w:rPr>
        <w:t xml:space="preserve"> </w:t>
      </w:r>
      <w:r>
        <w:t>Requirements</w:t>
      </w:r>
      <w:r>
        <w:rPr>
          <w:rFonts w:hint="eastAsia"/>
        </w:rPr>
        <w:t xml:space="preserve"> </w:t>
      </w:r>
      <w:r>
        <w:t>for</w:t>
      </w:r>
      <w:r>
        <w:rPr>
          <w:rFonts w:hint="eastAsia"/>
        </w:rPr>
        <w:t xml:space="preserve"> </w:t>
      </w:r>
      <w:r>
        <w:t>Various Transfer Facilities</w:t>
      </w:r>
      <w:r>
        <w:tab/>
      </w:r>
      <w:r>
        <w:t>38</w:t>
      </w:r>
      <w:r>
        <w:rPr>
          <w:rFonts w:hint="eastAsia"/>
        </w:rPr>
        <w:t>5</w:t>
      </w:r>
    </w:p>
    <w:p w14:paraId="1FE03BD4">
      <w:pPr>
        <w:tabs>
          <w:tab w:val="left" w:leader="dot" w:pos="5670"/>
          <w:tab w:val="left" w:leader="dot" w:pos="5880"/>
        </w:tabs>
        <w:contextualSpacing/>
      </w:pPr>
      <w:r>
        <w:rPr>
          <w:rFonts w:hint="eastAsia"/>
        </w:rPr>
        <w:t xml:space="preserve">30  </w:t>
      </w:r>
      <w:r>
        <w:t>Disaster Prevention</w:t>
      </w:r>
      <w:r>
        <w:rPr>
          <w:rFonts w:hint="eastAsia"/>
        </w:rPr>
        <w:tab/>
      </w:r>
      <w:r>
        <w:rPr>
          <w:rFonts w:hint="eastAsia"/>
        </w:rPr>
        <w:t>387</w:t>
      </w:r>
    </w:p>
    <w:p w14:paraId="7863FF17">
      <w:pPr>
        <w:tabs>
          <w:tab w:val="left" w:leader="dot" w:pos="5670"/>
          <w:tab w:val="left" w:leader="dot" w:pos="5880"/>
        </w:tabs>
        <w:ind w:firstLine="210" w:firstLineChars="100"/>
        <w:contextualSpacing/>
      </w:pPr>
      <w:r>
        <w:rPr>
          <w:rFonts w:hint="eastAsia"/>
        </w:rPr>
        <w:t xml:space="preserve">30.1  </w:t>
      </w:r>
      <w:r>
        <w:t>General Requirements</w:t>
      </w:r>
      <w:r>
        <w:rPr>
          <w:rFonts w:hint="eastAsia"/>
        </w:rPr>
        <w:tab/>
      </w:r>
      <w:r>
        <w:rPr>
          <w:rFonts w:hint="eastAsia"/>
        </w:rPr>
        <w:t>387</w:t>
      </w:r>
    </w:p>
    <w:p w14:paraId="2F3E15B6">
      <w:pPr>
        <w:tabs>
          <w:tab w:val="left" w:leader="dot" w:pos="5670"/>
          <w:tab w:val="left" w:leader="dot" w:pos="5880"/>
        </w:tabs>
        <w:ind w:firstLine="210" w:firstLineChars="100"/>
        <w:contextualSpacing/>
      </w:pPr>
      <w:r>
        <w:rPr>
          <w:rFonts w:hint="eastAsia"/>
        </w:rPr>
        <w:t xml:space="preserve">30.2  </w:t>
      </w:r>
      <w:r>
        <w:t>Fire Prevention of Building</w:t>
      </w:r>
      <w:r>
        <w:rPr>
          <w:rFonts w:hint="eastAsia"/>
        </w:rPr>
        <w:tab/>
      </w:r>
      <w:r>
        <w:rPr>
          <w:rFonts w:hint="eastAsia"/>
        </w:rPr>
        <w:t>388</w:t>
      </w:r>
    </w:p>
    <w:p w14:paraId="7BD3A06F">
      <w:pPr>
        <w:tabs>
          <w:tab w:val="left" w:leader="dot" w:pos="5670"/>
          <w:tab w:val="left" w:leader="dot" w:pos="5880"/>
        </w:tabs>
        <w:ind w:firstLine="210" w:firstLineChars="100"/>
        <w:contextualSpacing/>
      </w:pPr>
      <w:r>
        <w:rPr>
          <w:rFonts w:hint="eastAsia"/>
        </w:rPr>
        <w:t xml:space="preserve">30.3  </w:t>
      </w:r>
      <w:r>
        <w:t xml:space="preserve">Water Supply for Fire Protection and Fire </w:t>
      </w:r>
    </w:p>
    <w:p w14:paraId="00BEC0CF">
      <w:pPr>
        <w:tabs>
          <w:tab w:val="left" w:leader="dot" w:pos="5670"/>
          <w:tab w:val="left" w:leader="dot" w:pos="5880"/>
        </w:tabs>
        <w:ind w:firstLine="840" w:firstLineChars="400"/>
        <w:contextualSpacing/>
      </w:pPr>
      <w:r>
        <w:t>Extinguishing Facilities</w:t>
      </w:r>
      <w:r>
        <w:rPr>
          <w:rFonts w:hint="eastAsia"/>
        </w:rPr>
        <w:tab/>
      </w:r>
      <w:r>
        <w:rPr>
          <w:rFonts w:hint="eastAsia"/>
        </w:rPr>
        <w:t>416</w:t>
      </w:r>
    </w:p>
    <w:p w14:paraId="30F769B1">
      <w:pPr>
        <w:tabs>
          <w:tab w:val="left" w:leader="dot" w:pos="5670"/>
          <w:tab w:val="left" w:leader="dot" w:pos="5880"/>
        </w:tabs>
        <w:ind w:firstLine="210" w:firstLineChars="100"/>
        <w:contextualSpacing/>
      </w:pPr>
      <w:r>
        <w:rPr>
          <w:rFonts w:hint="eastAsia"/>
        </w:rPr>
        <w:t xml:space="preserve">30.4  </w:t>
      </w:r>
      <w:r>
        <w:t xml:space="preserve">Smoke Prevention，Smoke Evacuation and </w:t>
      </w:r>
    </w:p>
    <w:p w14:paraId="1E9E7063">
      <w:pPr>
        <w:tabs>
          <w:tab w:val="left" w:leader="dot" w:pos="5670"/>
          <w:tab w:val="left" w:leader="dot" w:pos="5880"/>
        </w:tabs>
        <w:ind w:firstLine="840" w:firstLineChars="400"/>
        <w:contextualSpacing/>
      </w:pPr>
      <w:r>
        <w:t>Emergency Ventilation</w:t>
      </w:r>
      <w:r>
        <w:rPr>
          <w:rFonts w:hint="eastAsia"/>
        </w:rPr>
        <w:tab/>
      </w:r>
      <w:r>
        <w:rPr>
          <w:rFonts w:hint="eastAsia"/>
        </w:rPr>
        <w:t>422</w:t>
      </w:r>
    </w:p>
    <w:p w14:paraId="3F4A5713">
      <w:pPr>
        <w:tabs>
          <w:tab w:val="left" w:leader="dot" w:pos="5670"/>
          <w:tab w:val="left" w:leader="dot" w:pos="5880"/>
        </w:tabs>
        <w:ind w:firstLine="210" w:firstLineChars="100"/>
        <w:contextualSpacing/>
      </w:pPr>
      <w:r>
        <w:rPr>
          <w:rFonts w:hint="eastAsia"/>
        </w:rPr>
        <w:t xml:space="preserve">30.5  </w:t>
      </w:r>
      <w:r>
        <w:t>Electric</w:t>
      </w:r>
      <w:r>
        <w:rPr>
          <w:rFonts w:hint="eastAsia"/>
        </w:rPr>
        <w:tab/>
      </w:r>
      <w:r>
        <w:rPr>
          <w:rFonts w:hint="eastAsia"/>
        </w:rPr>
        <w:t>425</w:t>
      </w:r>
    </w:p>
    <w:p w14:paraId="21FB5294">
      <w:pPr>
        <w:tabs>
          <w:tab w:val="left" w:leader="dot" w:pos="5670"/>
          <w:tab w:val="left" w:leader="dot" w:pos="5880"/>
        </w:tabs>
        <w:ind w:firstLine="210" w:firstLineChars="100"/>
        <w:contextualSpacing/>
      </w:pPr>
      <w:r>
        <w:rPr>
          <w:rFonts w:hint="eastAsia"/>
        </w:rPr>
        <w:t xml:space="preserve">30.6  </w:t>
      </w:r>
      <w:r>
        <w:t>Communication for Fire Prevention</w:t>
      </w:r>
      <w:r>
        <w:rPr>
          <w:rFonts w:hint="eastAsia"/>
        </w:rPr>
        <w:tab/>
      </w:r>
      <w:r>
        <w:rPr>
          <w:rFonts w:hint="eastAsia"/>
        </w:rPr>
        <w:t>429</w:t>
      </w:r>
    </w:p>
    <w:p w14:paraId="419BAB51">
      <w:pPr>
        <w:tabs>
          <w:tab w:val="left" w:leader="dot" w:pos="5670"/>
          <w:tab w:val="left" w:leader="dot" w:pos="5880"/>
        </w:tabs>
        <w:ind w:firstLine="210" w:firstLineChars="100"/>
        <w:contextualSpacing/>
      </w:pPr>
      <w:r>
        <w:rPr>
          <w:rFonts w:hint="eastAsia"/>
        </w:rPr>
        <w:t xml:space="preserve">30.7  </w:t>
      </w:r>
      <w:r>
        <w:t>Inter-Station Emergency Evacuation</w:t>
      </w:r>
      <w:r>
        <w:rPr>
          <w:rFonts w:hint="eastAsia"/>
        </w:rPr>
        <w:tab/>
      </w:r>
      <w:r>
        <w:rPr>
          <w:rFonts w:hint="eastAsia"/>
        </w:rPr>
        <w:t>430</w:t>
      </w:r>
    </w:p>
    <w:p w14:paraId="0C081B12">
      <w:pPr>
        <w:tabs>
          <w:tab w:val="left" w:leader="dot" w:pos="5670"/>
          <w:tab w:val="left" w:leader="dot" w:pos="5880"/>
        </w:tabs>
        <w:ind w:firstLine="210" w:firstLineChars="100"/>
        <w:contextualSpacing/>
      </w:pPr>
      <w:r>
        <w:rPr>
          <w:rFonts w:hint="eastAsia"/>
        </w:rPr>
        <w:t xml:space="preserve">30.8  </w:t>
      </w:r>
      <w:r>
        <w:t>Flood Prevention</w:t>
      </w:r>
      <w:r>
        <w:rPr>
          <w:rFonts w:hint="eastAsia"/>
        </w:rPr>
        <w:tab/>
      </w:r>
      <w:r>
        <w:rPr>
          <w:rFonts w:hint="eastAsia"/>
        </w:rPr>
        <w:t>432</w:t>
      </w:r>
    </w:p>
    <w:p w14:paraId="2E033072">
      <w:pPr>
        <w:tabs>
          <w:tab w:val="left" w:leader="dot" w:pos="5670"/>
          <w:tab w:val="left" w:leader="dot" w:pos="5880"/>
        </w:tabs>
        <w:ind w:firstLine="210" w:firstLineChars="100"/>
        <w:contextualSpacing/>
      </w:pPr>
      <w:r>
        <w:rPr>
          <w:rFonts w:hint="eastAsia"/>
        </w:rPr>
        <w:t xml:space="preserve">30.9  </w:t>
      </w:r>
      <w:r>
        <w:t>Prevention and Warning for Other Disasters</w:t>
      </w:r>
      <w:r>
        <w:rPr>
          <w:rFonts w:hint="eastAsia"/>
        </w:rPr>
        <w:tab/>
      </w:r>
      <w:r>
        <w:rPr>
          <w:rFonts w:hint="eastAsia"/>
        </w:rPr>
        <w:t>436</w:t>
      </w:r>
    </w:p>
    <w:p w14:paraId="4B665403">
      <w:pPr>
        <w:tabs>
          <w:tab w:val="left" w:leader="dot" w:pos="5670"/>
          <w:tab w:val="left" w:leader="dot" w:pos="5880"/>
        </w:tabs>
        <w:contextualSpacing/>
      </w:pPr>
      <w:r>
        <w:t>31</w:t>
      </w:r>
      <w:r>
        <w:rPr>
          <w:rFonts w:hint="eastAsia"/>
        </w:rPr>
        <w:t xml:space="preserve">  </w:t>
      </w:r>
      <w:r>
        <w:t>Building Energy Saving</w:t>
      </w:r>
      <w:r>
        <w:tab/>
      </w:r>
      <w:r>
        <w:t>43</w:t>
      </w:r>
      <w:r>
        <w:rPr>
          <w:rFonts w:hint="eastAsia"/>
        </w:rPr>
        <w:t>7</w:t>
      </w:r>
    </w:p>
    <w:p w14:paraId="2FB1E5AF">
      <w:pPr>
        <w:tabs>
          <w:tab w:val="left" w:leader="dot" w:pos="5670"/>
          <w:tab w:val="left" w:leader="dot" w:pos="5880"/>
        </w:tabs>
        <w:ind w:firstLine="210" w:firstLineChars="100"/>
        <w:contextualSpacing/>
      </w:pPr>
      <w:r>
        <w:t>31.1</w:t>
      </w:r>
      <w:r>
        <w:rPr>
          <w:rFonts w:hint="eastAsia"/>
        </w:rPr>
        <w:t xml:space="preserve">  </w:t>
      </w:r>
      <w:r>
        <w:t>General Requirements</w:t>
      </w:r>
      <w:r>
        <w:tab/>
      </w:r>
      <w:r>
        <w:t>43</w:t>
      </w:r>
      <w:r>
        <w:rPr>
          <w:rFonts w:hint="eastAsia"/>
        </w:rPr>
        <w:t>7</w:t>
      </w:r>
    </w:p>
    <w:p w14:paraId="56C5484F">
      <w:pPr>
        <w:tabs>
          <w:tab w:val="left" w:leader="dot" w:pos="5670"/>
          <w:tab w:val="left" w:leader="dot" w:pos="5880"/>
        </w:tabs>
        <w:ind w:firstLine="210" w:firstLineChars="100"/>
        <w:contextualSpacing/>
      </w:pPr>
      <w:r>
        <w:t>31.2</w:t>
      </w:r>
      <w:r>
        <w:rPr>
          <w:rFonts w:hint="eastAsia"/>
        </w:rPr>
        <w:t xml:space="preserve">  </w:t>
      </w:r>
      <w:r>
        <w:t>Environment Protection</w:t>
      </w:r>
      <w:r>
        <w:tab/>
      </w:r>
      <w:r>
        <w:t>43</w:t>
      </w:r>
      <w:r>
        <w:rPr>
          <w:rFonts w:hint="eastAsia"/>
        </w:rPr>
        <w:t>7</w:t>
      </w:r>
    </w:p>
    <w:p w14:paraId="6973E174">
      <w:pPr>
        <w:tabs>
          <w:tab w:val="left" w:leader="dot" w:pos="5670"/>
          <w:tab w:val="left" w:leader="dot" w:pos="5880"/>
        </w:tabs>
        <w:ind w:firstLine="210" w:firstLineChars="100"/>
        <w:contextualSpacing/>
      </w:pPr>
      <w:r>
        <w:t>31.3</w:t>
      </w:r>
      <w:r>
        <w:rPr>
          <w:rFonts w:hint="eastAsia"/>
        </w:rPr>
        <w:t xml:space="preserve">  </w:t>
      </w:r>
      <w:r>
        <w:t>Energy Conservation</w:t>
      </w:r>
      <w:r>
        <w:tab/>
      </w:r>
      <w:r>
        <w:t>43</w:t>
      </w:r>
      <w:r>
        <w:rPr>
          <w:rFonts w:hint="eastAsia"/>
        </w:rPr>
        <w:t>9</w:t>
      </w:r>
    </w:p>
    <w:p w14:paraId="1D9D086B">
      <w:pPr>
        <w:tabs>
          <w:tab w:val="left" w:leader="dot" w:pos="5670"/>
          <w:tab w:val="left" w:leader="dot" w:pos="5880"/>
        </w:tabs>
        <w:contextualSpacing/>
      </w:pPr>
      <w:r>
        <w:t>Explanation of Provisions</w:t>
      </w:r>
      <w:r>
        <w:tab/>
      </w:r>
      <w:r>
        <w:t>4</w:t>
      </w:r>
      <w:r>
        <w:rPr>
          <w:rFonts w:hint="eastAsia"/>
        </w:rPr>
        <w:t>41</w:t>
      </w:r>
    </w:p>
    <w:p w14:paraId="2C58AC37">
      <w:pPr>
        <w:tabs>
          <w:tab w:val="left" w:leader="dot" w:pos="5670"/>
          <w:tab w:val="left" w:leader="dot" w:pos="5880"/>
        </w:tabs>
        <w:contextualSpacing/>
      </w:pPr>
    </w:p>
    <w:p w14:paraId="60D38E6C"/>
    <w:p w14:paraId="2F0BBA46">
      <w:pPr>
        <w:sectPr>
          <w:footerReference r:id="rId14" w:type="default"/>
          <w:footerReference r:id="rId15" w:type="even"/>
          <w:pgSz w:w="7938" w:h="11510"/>
          <w:pgMar w:top="1247" w:right="907" w:bottom="1247" w:left="907" w:header="851" w:footer="850" w:gutter="0"/>
          <w:pgNumType w:fmt="upperRoman" w:start="1"/>
          <w:cols w:space="720" w:num="1"/>
          <w:docGrid w:linePitch="286" w:charSpace="0"/>
        </w:sectPr>
      </w:pPr>
    </w:p>
    <w:p w14:paraId="6FF5DEA0">
      <w:pPr>
        <w:pStyle w:val="3"/>
      </w:pPr>
      <w:bookmarkStart w:id="4" w:name="_bookmark16"/>
      <w:bookmarkEnd w:id="4"/>
      <w:bookmarkStart w:id="5" w:name="_Toc168061169"/>
      <w:bookmarkStart w:id="6" w:name="_Toc183882039"/>
      <w:bookmarkStart w:id="7" w:name="_Toc183683475"/>
      <w:bookmarkStart w:id="8" w:name="_Toc168061616"/>
      <w:bookmarkStart w:id="9" w:name="_Toc183735403"/>
      <w:bookmarkStart w:id="10" w:name="_Toc183888091"/>
      <w:bookmarkStart w:id="11" w:name="_Toc183765048"/>
      <w:bookmarkStart w:id="12" w:name="_Toc183888453"/>
      <w:bookmarkStart w:id="13" w:name="_Toc183472183"/>
      <w:bookmarkStart w:id="14" w:name="_Toc183790478"/>
      <w:bookmarkStart w:id="15" w:name="_Toc183699859"/>
      <w:bookmarkStart w:id="16" w:name="_Toc168059360"/>
      <w:bookmarkStart w:id="17" w:name="_Toc183882401"/>
      <w:bookmarkStart w:id="18" w:name="_Toc168061171"/>
      <w:bookmarkStart w:id="19" w:name="_Toc168059362"/>
      <w:bookmarkStart w:id="20" w:name="_Toc168061618"/>
      <w:bookmarkStart w:id="21" w:name="_Toc168061789"/>
      <w:bookmarkStart w:id="22" w:name="_Toc168061637"/>
      <w:bookmarkStart w:id="23" w:name="_Toc168061190"/>
      <w:bookmarkStart w:id="24" w:name="_Toc168059381"/>
      <w:r>
        <w:t>总</w:t>
      </w:r>
      <w:r>
        <w:rPr>
          <w:rFonts w:hint="eastAsia"/>
        </w:rPr>
        <w:t xml:space="preserve">    </w:t>
      </w:r>
      <w:r>
        <w:t>则</w:t>
      </w:r>
      <w:bookmarkEnd w:id="5"/>
      <w:bookmarkEnd w:id="6"/>
      <w:bookmarkEnd w:id="7"/>
      <w:bookmarkEnd w:id="8"/>
      <w:bookmarkEnd w:id="9"/>
      <w:bookmarkEnd w:id="10"/>
      <w:bookmarkEnd w:id="11"/>
      <w:bookmarkEnd w:id="12"/>
      <w:bookmarkEnd w:id="13"/>
      <w:bookmarkEnd w:id="14"/>
      <w:bookmarkEnd w:id="15"/>
      <w:bookmarkEnd w:id="16"/>
      <w:bookmarkEnd w:id="17"/>
    </w:p>
    <w:p w14:paraId="466AA01A">
      <w:pPr>
        <w:sectPr>
          <w:headerReference r:id="rId16" w:type="default"/>
          <w:footerReference r:id="rId17" w:type="default"/>
          <w:pgSz w:w="7938" w:h="11510"/>
          <w:pgMar w:top="1247" w:right="907" w:bottom="1247" w:left="907" w:header="737" w:footer="737" w:gutter="0"/>
          <w:pgNumType w:start="1"/>
          <w:cols w:space="720" w:num="1"/>
          <w:docGrid w:linePitch="286" w:charSpace="0"/>
        </w:sectPr>
      </w:pPr>
      <w:r>
        <w:rPr>
          <w:b/>
        </w:rPr>
        <w:t>1.0.1</w:t>
      </w:r>
      <w:r>
        <w:rPr>
          <w:rFonts w:hint="eastAsia"/>
        </w:rPr>
        <w:t xml:space="preserve">  为适应北京市城市轨道交通网络化运营、绿色智慧发展及多网融合等需求，体现北京市新时期发展目标和地方特点，适应城市轨道交通建设与运营的新环境，促进城市轨道交通的高质量和可持续发展，制订本规范。</w:t>
      </w:r>
      <w:r>
        <w:cr/>
      </w:r>
      <w:r>
        <w:rPr>
          <w:b/>
        </w:rPr>
        <w:t>1.0.2</w:t>
      </w:r>
      <w:r>
        <w:rPr>
          <w:rFonts w:hint="eastAsia"/>
          <w:b/>
        </w:rPr>
        <w:t xml:space="preserve">  </w:t>
      </w:r>
      <w:r>
        <w:rPr>
          <w:rFonts w:hint="eastAsia"/>
        </w:rPr>
        <w:t>本规范适用于北京市行政区域内，钢轮钢轨系统和全封闭线路条件下，设计最高运行速度不大于140km/h的新建地铁和快速轨道交通的设计。</w:t>
      </w:r>
      <w:r>
        <w:cr/>
      </w:r>
      <w:r>
        <w:rPr>
          <w:b/>
        </w:rPr>
        <w:t>1.0.3</w:t>
      </w:r>
      <w:r>
        <w:rPr>
          <w:rFonts w:hint="eastAsia"/>
        </w:rPr>
        <w:t xml:space="preserve">  城市轨道交通工程设计应贯彻安全可靠、以人为本、功能合理、技术先进、节能环保、自主可控、降本增效、资源共享、多元融合和可持续发展理念，体现高质量发展目标需求。城市轨道交通工程设计应满足线路运营、管理和养护维修等功能的需要。</w:t>
      </w:r>
      <w:r>
        <w:cr/>
      </w:r>
      <w:r>
        <w:rPr>
          <w:b/>
        </w:rPr>
        <w:t>1.0.</w:t>
      </w:r>
      <w:r>
        <w:rPr>
          <w:rFonts w:hint="eastAsia"/>
          <w:b/>
        </w:rPr>
        <w:t xml:space="preserve">4  </w:t>
      </w:r>
      <w:r>
        <w:t>城市轨道交通工程的设计，除应符合本规范外，尚应符合国家和北京市现行有关标准的规定</w:t>
      </w:r>
      <w:r>
        <w:rPr>
          <w:rFonts w:hint="eastAsia"/>
        </w:rPr>
        <w:t>。</w:t>
      </w:r>
    </w:p>
    <w:p w14:paraId="038CE894">
      <w:pPr>
        <w:pStyle w:val="3"/>
      </w:pPr>
      <w:bookmarkStart w:id="25" w:name="_bookmark18"/>
      <w:bookmarkEnd w:id="25"/>
      <w:bookmarkStart w:id="26" w:name="_bookmark19"/>
      <w:bookmarkEnd w:id="26"/>
      <w:bookmarkStart w:id="27" w:name="_bookmark17"/>
      <w:bookmarkEnd w:id="27"/>
      <w:bookmarkStart w:id="28" w:name="_bookmark20"/>
      <w:bookmarkEnd w:id="28"/>
      <w:bookmarkStart w:id="29" w:name="_Toc183699860"/>
      <w:bookmarkStart w:id="30" w:name="_Toc183683476"/>
      <w:bookmarkStart w:id="31" w:name="_Toc183735404"/>
      <w:bookmarkStart w:id="32" w:name="_Toc183765049"/>
      <w:bookmarkStart w:id="33" w:name="_Toc183472184"/>
      <w:bookmarkStart w:id="34" w:name="_Toc183882402"/>
      <w:bookmarkStart w:id="35" w:name="_Toc183790479"/>
      <w:bookmarkStart w:id="36" w:name="_Toc183888454"/>
      <w:bookmarkStart w:id="37" w:name="_Toc183888092"/>
      <w:bookmarkStart w:id="38" w:name="_Toc183882040"/>
      <w:r>
        <w:rPr>
          <w:rFonts w:hint="eastAsia"/>
        </w:rPr>
        <w:t>术语和定义</w:t>
      </w:r>
      <w:bookmarkEnd w:id="29"/>
      <w:bookmarkEnd w:id="30"/>
      <w:bookmarkEnd w:id="31"/>
      <w:bookmarkEnd w:id="32"/>
      <w:bookmarkEnd w:id="33"/>
      <w:bookmarkEnd w:id="34"/>
      <w:bookmarkEnd w:id="35"/>
      <w:bookmarkEnd w:id="36"/>
      <w:bookmarkEnd w:id="37"/>
      <w:bookmarkEnd w:id="38"/>
    </w:p>
    <w:p w14:paraId="4FC33528">
      <w:pPr>
        <w:rPr>
          <w:b/>
          <w:bCs/>
          <w:kern w:val="0"/>
          <w:szCs w:val="20"/>
        </w:rPr>
      </w:pPr>
      <w:r>
        <w:rPr>
          <w:rFonts w:hint="eastAsia"/>
          <w:b/>
        </w:rPr>
        <w:t xml:space="preserve">2.0.1  </w:t>
      </w:r>
      <w:r>
        <w:rPr>
          <w:rFonts w:hint="eastAsia"/>
          <w:b/>
          <w:bCs/>
          <w:kern w:val="0"/>
          <w:szCs w:val="20"/>
        </w:rPr>
        <w:t>设计工作年限</w:t>
      </w:r>
      <w:r>
        <w:rPr>
          <w:b/>
          <w:bCs/>
          <w:kern w:val="0"/>
          <w:szCs w:val="20"/>
        </w:rPr>
        <w:t>designed lifetime</w:t>
      </w:r>
    </w:p>
    <w:p w14:paraId="0EDB0CA3">
      <w:pPr>
        <w:ind w:firstLine="420" w:firstLineChars="200"/>
        <w:rPr>
          <w:kern w:val="0"/>
          <w:szCs w:val="20"/>
        </w:rPr>
      </w:pPr>
      <w:r>
        <w:rPr>
          <w:rFonts w:hint="eastAsia"/>
          <w:kern w:val="0"/>
          <w:szCs w:val="20"/>
        </w:rPr>
        <w:t>在一般维护条件下，保证工程正常工作的最低时限。</w:t>
      </w:r>
    </w:p>
    <w:p w14:paraId="0480792C">
      <w:pPr>
        <w:rPr>
          <w:b/>
        </w:rPr>
      </w:pPr>
      <w:r>
        <w:rPr>
          <w:rFonts w:hint="eastAsia"/>
          <w:b/>
        </w:rPr>
        <w:t>2.0.2  客流预测  passenger volume forecasting</w:t>
      </w:r>
    </w:p>
    <w:p w14:paraId="4FB54A0D">
      <w:pPr>
        <w:ind w:firstLine="420" w:firstLineChars="200"/>
        <w:rPr>
          <w:kern w:val="0"/>
          <w:szCs w:val="20"/>
        </w:rPr>
      </w:pPr>
      <w:r>
        <w:rPr>
          <w:rFonts w:hint="eastAsia"/>
          <w:kern w:val="0"/>
          <w:szCs w:val="20"/>
        </w:rPr>
        <w:t>基于城市的社会经济、人口、土地使用及交通发展等条件，利用交通模型等技术手段，对城市轨道 交通各目标年限的客流数据(包括全线日客运量、区间断面流量、车站乘降量、站间 OD 、平均运距、 客运强度等)进行的预测和分析。</w:t>
      </w:r>
    </w:p>
    <w:p w14:paraId="78E6AFFB">
      <w:pPr>
        <w:rPr>
          <w:b/>
        </w:rPr>
      </w:pPr>
      <w:r>
        <w:rPr>
          <w:rFonts w:hint="eastAsia"/>
          <w:b/>
        </w:rPr>
        <w:t>2.0.3  停站时间  train dwell time in station</w:t>
      </w:r>
    </w:p>
    <w:p w14:paraId="44FA3987">
      <w:pPr>
        <w:ind w:firstLine="420" w:firstLineChars="200"/>
        <w:rPr>
          <w:kern w:val="0"/>
          <w:szCs w:val="20"/>
        </w:rPr>
      </w:pPr>
      <w:r>
        <w:rPr>
          <w:rFonts w:hint="eastAsia"/>
          <w:kern w:val="0"/>
          <w:szCs w:val="20"/>
        </w:rPr>
        <w:t xml:space="preserve">运营列车在车站停留的时间。包括开、关车门，乘客上、下车及信号确认的时间。 </w:t>
      </w:r>
    </w:p>
    <w:p w14:paraId="4E7DC7EF">
      <w:pPr>
        <w:rPr>
          <w:b/>
        </w:rPr>
      </w:pPr>
      <w:r>
        <w:rPr>
          <w:rFonts w:hint="eastAsia"/>
          <w:b/>
        </w:rPr>
        <w:t>2.0.4  旅行速度  operation speed</w:t>
      </w:r>
    </w:p>
    <w:p w14:paraId="4A6BF823">
      <w:pPr>
        <w:ind w:firstLine="420" w:firstLineChars="200"/>
        <w:rPr>
          <w:kern w:val="0"/>
          <w:szCs w:val="20"/>
        </w:rPr>
      </w:pPr>
      <w:r>
        <w:rPr>
          <w:kern w:val="0"/>
          <w:szCs w:val="20"/>
        </w:rPr>
        <w:t>正常</w:t>
      </w:r>
      <w:r>
        <w:rPr>
          <w:rFonts w:hint="eastAsia"/>
          <w:kern w:val="0"/>
          <w:szCs w:val="20"/>
        </w:rPr>
        <w:t>运营</w:t>
      </w:r>
      <w:r>
        <w:rPr>
          <w:kern w:val="0"/>
          <w:szCs w:val="20"/>
        </w:rPr>
        <w:t>情况下，列车从起点站发车至终点站停车的平均运行速度。</w:t>
      </w:r>
    </w:p>
    <w:p w14:paraId="2B1B282A">
      <w:pPr>
        <w:rPr>
          <w:b/>
        </w:rPr>
      </w:pPr>
      <w:r>
        <w:rPr>
          <w:rFonts w:hint="eastAsia"/>
          <w:b/>
        </w:rPr>
        <w:t>2.0.5  运用列车  deployed trains</w:t>
      </w:r>
    </w:p>
    <w:p w14:paraId="4BE097BE">
      <w:pPr>
        <w:ind w:firstLine="420" w:firstLineChars="200"/>
        <w:rPr>
          <w:kern w:val="0"/>
          <w:szCs w:val="20"/>
        </w:rPr>
      </w:pPr>
      <w:r>
        <w:rPr>
          <w:rFonts w:hint="eastAsia"/>
          <w:kern w:val="0"/>
          <w:szCs w:val="20"/>
        </w:rPr>
        <w:t xml:space="preserve">不同设计年限下，按设计最小行车间隔和最大载客能力要求，在线载客运营的列车数量。 </w:t>
      </w:r>
    </w:p>
    <w:p w14:paraId="022A2E9E">
      <w:pPr>
        <w:rPr>
          <w:b/>
        </w:rPr>
      </w:pPr>
      <w:r>
        <w:rPr>
          <w:rFonts w:hint="eastAsia"/>
          <w:b/>
        </w:rPr>
        <w:t>2.0.6  列车运行交路  cross track for train movement</w:t>
      </w:r>
    </w:p>
    <w:p w14:paraId="274B07AA">
      <w:pPr>
        <w:ind w:firstLine="420" w:firstLineChars="200"/>
        <w:rPr>
          <w:kern w:val="0"/>
          <w:szCs w:val="20"/>
        </w:rPr>
      </w:pPr>
      <w:r>
        <w:rPr>
          <w:rFonts w:hint="eastAsia"/>
          <w:kern w:val="0"/>
          <w:szCs w:val="20"/>
        </w:rPr>
        <w:t>列车往返运行所经过的区段。</w:t>
      </w:r>
    </w:p>
    <w:p w14:paraId="0471DB4E">
      <w:pPr>
        <w:rPr>
          <w:b/>
        </w:rPr>
      </w:pPr>
      <w:r>
        <w:rPr>
          <w:rFonts w:hint="eastAsia"/>
          <w:b/>
        </w:rPr>
        <w:t>2.0.7  最高运行速度( Vmax )   maximum running speed</w:t>
      </w:r>
    </w:p>
    <w:p w14:paraId="1EF701F3">
      <w:pPr>
        <w:ind w:firstLine="420" w:firstLineChars="200"/>
        <w:rPr>
          <w:kern w:val="0"/>
          <w:szCs w:val="20"/>
        </w:rPr>
      </w:pPr>
      <w:r>
        <w:rPr>
          <w:rFonts w:hint="eastAsia"/>
          <w:kern w:val="0"/>
          <w:szCs w:val="20"/>
        </w:rPr>
        <w:t>列车在各种不同运营状态和线路条件下允许达到的设计最高持续行驶速度。</w:t>
      </w:r>
    </w:p>
    <w:p w14:paraId="05128D1D">
      <w:pPr>
        <w:rPr>
          <w:b/>
        </w:rPr>
      </w:pPr>
      <w:r>
        <w:rPr>
          <w:rFonts w:hint="eastAsia"/>
          <w:b/>
        </w:rPr>
        <w:t>2.0.8  限制速度( Vlim )   limit</w:t>
      </w:r>
      <w:r>
        <w:rPr>
          <w:b/>
        </w:rPr>
        <w:t>ed</w:t>
      </w:r>
      <w:r>
        <w:rPr>
          <w:rFonts w:hint="eastAsia"/>
          <w:b/>
        </w:rPr>
        <w:t xml:space="preserve"> speed</w:t>
      </w:r>
    </w:p>
    <w:p w14:paraId="33BC501A">
      <w:pPr>
        <w:ind w:firstLine="420" w:firstLineChars="200"/>
        <w:rPr>
          <w:kern w:val="0"/>
          <w:szCs w:val="20"/>
        </w:rPr>
      </w:pPr>
      <w:r>
        <w:rPr>
          <w:rFonts w:hint="eastAsia"/>
          <w:kern w:val="0"/>
          <w:szCs w:val="20"/>
        </w:rPr>
        <w:t>列车在各种不同运营状态和线路条件下，大于最高运行速度的速度限值。</w:t>
      </w:r>
    </w:p>
    <w:p w14:paraId="5A59C29F">
      <w:pPr>
        <w:rPr>
          <w:b/>
        </w:rPr>
      </w:pPr>
      <w:r>
        <w:rPr>
          <w:rFonts w:hint="eastAsia"/>
          <w:b/>
        </w:rPr>
        <w:t xml:space="preserve">2.0.9  互联互通  </w:t>
      </w:r>
      <w:r>
        <w:rPr>
          <w:b/>
        </w:rPr>
        <w:t>interoperability</w:t>
      </w:r>
    </w:p>
    <w:p w14:paraId="408C2B0C">
      <w:pPr>
        <w:ind w:firstLine="420" w:firstLineChars="200"/>
        <w:rPr>
          <w:kern w:val="0"/>
          <w:szCs w:val="20"/>
        </w:rPr>
      </w:pPr>
      <w:r>
        <w:rPr>
          <w:rFonts w:hint="eastAsia"/>
          <w:kern w:val="0"/>
          <w:szCs w:val="20"/>
        </w:rPr>
        <w:t>两条及以上的线路通过联络线及技术装备的适应性配置，实现客运列车互通运行。</w:t>
      </w:r>
    </w:p>
    <w:p w14:paraId="5C5C4AAB">
      <w:pPr>
        <w:rPr>
          <w:b/>
        </w:rPr>
      </w:pPr>
      <w:r>
        <w:rPr>
          <w:rFonts w:hint="eastAsia"/>
          <w:b/>
        </w:rPr>
        <w:t xml:space="preserve">2.0.10  平行进路  </w:t>
      </w:r>
      <w:r>
        <w:rPr>
          <w:b/>
        </w:rPr>
        <w:t>parallel route</w:t>
      </w:r>
    </w:p>
    <w:p w14:paraId="5BA95DC2">
      <w:pPr>
        <w:ind w:firstLine="420" w:firstLineChars="200"/>
        <w:rPr>
          <w:kern w:val="0"/>
          <w:szCs w:val="20"/>
        </w:rPr>
      </w:pPr>
      <w:r>
        <w:rPr>
          <w:kern w:val="0"/>
          <w:szCs w:val="20"/>
        </w:rPr>
        <w:t>指在</w:t>
      </w:r>
      <w:r>
        <w:rPr>
          <w:rFonts w:hint="eastAsia"/>
          <w:kern w:val="0"/>
          <w:szCs w:val="20"/>
        </w:rPr>
        <w:t>车站站端</w:t>
      </w:r>
      <w:r>
        <w:rPr>
          <w:kern w:val="0"/>
          <w:szCs w:val="20"/>
        </w:rPr>
        <w:t>能同时</w:t>
      </w:r>
      <w:r>
        <w:rPr>
          <w:rFonts w:hint="eastAsia"/>
          <w:kern w:val="0"/>
          <w:szCs w:val="20"/>
        </w:rPr>
        <w:t>建立的</w:t>
      </w:r>
      <w:r>
        <w:rPr>
          <w:kern w:val="0"/>
          <w:szCs w:val="20"/>
        </w:rPr>
        <w:t>两项</w:t>
      </w:r>
      <w:r>
        <w:rPr>
          <w:rFonts w:hint="eastAsia"/>
          <w:kern w:val="0"/>
          <w:szCs w:val="20"/>
        </w:rPr>
        <w:t>或以上数量的列车运行</w:t>
      </w:r>
      <w:r>
        <w:rPr>
          <w:kern w:val="0"/>
          <w:szCs w:val="20"/>
        </w:rPr>
        <w:t>进路。</w:t>
      </w:r>
      <w:r>
        <w:rPr>
          <w:rFonts w:hint="eastAsia"/>
          <w:kern w:val="0"/>
          <w:szCs w:val="20"/>
        </w:rPr>
        <w:t>各进路之间同时作业互不干扰。</w:t>
      </w:r>
    </w:p>
    <w:p w14:paraId="0B7EBAF0">
      <w:pPr>
        <w:rPr>
          <w:b/>
        </w:rPr>
      </w:pPr>
      <w:r>
        <w:rPr>
          <w:rFonts w:hint="eastAsia"/>
          <w:b/>
        </w:rPr>
        <w:t>2.0.11  有效站台  eff</w:t>
      </w:r>
      <w:r>
        <w:rPr>
          <w:b/>
        </w:rPr>
        <w:t>ective platform</w:t>
      </w:r>
    </w:p>
    <w:p w14:paraId="17D64C67">
      <w:pPr>
        <w:ind w:firstLine="420" w:firstLineChars="200"/>
        <w:rPr>
          <w:kern w:val="0"/>
          <w:szCs w:val="20"/>
        </w:rPr>
      </w:pPr>
      <w:r>
        <w:rPr>
          <w:rFonts w:hint="eastAsia"/>
          <w:kern w:val="0"/>
          <w:szCs w:val="20"/>
        </w:rPr>
        <w:t>指</w:t>
      </w:r>
      <w:r>
        <w:rPr>
          <w:kern w:val="0"/>
          <w:szCs w:val="20"/>
        </w:rPr>
        <w:t>供给乘客上下车的有效</w:t>
      </w:r>
      <w:r>
        <w:rPr>
          <w:rFonts w:hint="eastAsia"/>
          <w:kern w:val="0"/>
          <w:szCs w:val="20"/>
        </w:rPr>
        <w:t>站台区域，</w:t>
      </w:r>
      <w:r>
        <w:rPr>
          <w:kern w:val="0"/>
          <w:szCs w:val="20"/>
        </w:rPr>
        <w:t>无屏蔽门（安全门）的站台为首末两节车辆司机室门外侧之间的</w:t>
      </w:r>
      <w:r>
        <w:rPr>
          <w:rFonts w:hint="eastAsia"/>
          <w:kern w:val="0"/>
          <w:szCs w:val="20"/>
        </w:rPr>
        <w:t>区域</w:t>
      </w:r>
      <w:r>
        <w:rPr>
          <w:kern w:val="0"/>
          <w:szCs w:val="20"/>
        </w:rPr>
        <w:t>；设屏蔽门（安全门）的站台为屏蔽门（安全门）所围</w:t>
      </w:r>
      <w:r>
        <w:rPr>
          <w:rFonts w:hint="eastAsia"/>
          <w:kern w:val="0"/>
          <w:szCs w:val="20"/>
        </w:rPr>
        <w:t>区域</w:t>
      </w:r>
      <w:r>
        <w:rPr>
          <w:kern w:val="0"/>
          <w:szCs w:val="20"/>
        </w:rPr>
        <w:t>。</w:t>
      </w:r>
    </w:p>
    <w:p w14:paraId="133DBC46">
      <w:pPr>
        <w:rPr>
          <w:b/>
        </w:rPr>
      </w:pPr>
      <w:r>
        <w:rPr>
          <w:rFonts w:hint="eastAsia"/>
          <w:b/>
        </w:rPr>
        <w:t xml:space="preserve">2.0.12  跨线运行  </w:t>
      </w:r>
      <w:r>
        <w:rPr>
          <w:b/>
        </w:rPr>
        <w:t>cross line o</w:t>
      </w:r>
      <w:r>
        <w:rPr>
          <w:rFonts w:hint="eastAsia"/>
          <w:b/>
        </w:rPr>
        <w:t>pera</w:t>
      </w:r>
      <w:r>
        <w:rPr>
          <w:b/>
        </w:rPr>
        <w:t>tion</w:t>
      </w:r>
    </w:p>
    <w:p w14:paraId="426C8D64">
      <w:pPr>
        <w:ind w:firstLine="420" w:firstLineChars="200"/>
        <w:rPr>
          <w:kern w:val="0"/>
          <w:szCs w:val="20"/>
        </w:rPr>
      </w:pPr>
      <w:r>
        <w:rPr>
          <w:rFonts w:hint="eastAsia"/>
          <w:kern w:val="0"/>
          <w:szCs w:val="20"/>
        </w:rPr>
        <w:t>运营列车由一条线路进入另一条线路运行的方式，包括线路首尾衔接的贯通运行方式和通过联络线实现中间站跨线的运行方式。</w:t>
      </w:r>
    </w:p>
    <w:p w14:paraId="59790580">
      <w:pPr>
        <w:rPr>
          <w:b/>
        </w:rPr>
      </w:pPr>
      <w:r>
        <w:rPr>
          <w:rFonts w:hint="eastAsia"/>
          <w:b/>
        </w:rPr>
        <w:t>2.0.13  快慢车运行  operation</w:t>
      </w:r>
      <w:r>
        <w:rPr>
          <w:b/>
        </w:rPr>
        <w:t xml:space="preserve"> </w:t>
      </w:r>
      <w:r>
        <w:rPr>
          <w:rFonts w:hint="eastAsia"/>
          <w:b/>
        </w:rPr>
        <w:t>mode</w:t>
      </w:r>
      <w:r>
        <w:rPr>
          <w:b/>
        </w:rPr>
        <w:t xml:space="preserve"> </w:t>
      </w:r>
      <w:r>
        <w:rPr>
          <w:rFonts w:hint="eastAsia"/>
          <w:b/>
        </w:rPr>
        <w:t>with</w:t>
      </w:r>
      <w:r>
        <w:rPr>
          <w:b/>
        </w:rPr>
        <w:t xml:space="preserve"> </w:t>
      </w:r>
      <w:r>
        <w:rPr>
          <w:rFonts w:hint="eastAsia"/>
          <w:b/>
        </w:rPr>
        <w:t>express</w:t>
      </w:r>
      <w:r>
        <w:rPr>
          <w:b/>
        </w:rPr>
        <w:t xml:space="preserve"> </w:t>
      </w:r>
      <w:r>
        <w:rPr>
          <w:rFonts w:hint="eastAsia"/>
          <w:b/>
        </w:rPr>
        <w:t>a</w:t>
      </w:r>
      <w:r>
        <w:rPr>
          <w:b/>
        </w:rPr>
        <w:t>nd slow trains</w:t>
      </w:r>
    </w:p>
    <w:p w14:paraId="12D4E6FB">
      <w:pPr>
        <w:ind w:firstLine="420" w:firstLineChars="200"/>
        <w:rPr>
          <w:kern w:val="0"/>
          <w:szCs w:val="20"/>
        </w:rPr>
      </w:pPr>
      <w:r>
        <w:rPr>
          <w:rFonts w:hint="eastAsia"/>
          <w:kern w:val="0"/>
          <w:szCs w:val="20"/>
        </w:rPr>
        <w:t>不同旅行速度列车在同一线路上开行，快行列车利用沿线相关车站设置的配线超越前方运行列车，实现提高快车旅行速度的运行方式。</w:t>
      </w:r>
    </w:p>
    <w:p w14:paraId="0CADD8BE">
      <w:pPr>
        <w:rPr>
          <w:b/>
        </w:rPr>
      </w:pPr>
      <w:r>
        <w:rPr>
          <w:rFonts w:hint="eastAsia"/>
          <w:b/>
        </w:rPr>
        <w:t>2.0.14  跨线站  c</w:t>
      </w:r>
      <w:r>
        <w:rPr>
          <w:b/>
        </w:rPr>
        <w:t xml:space="preserve">ross-line station </w:t>
      </w:r>
    </w:p>
    <w:p w14:paraId="0460B549">
      <w:pPr>
        <w:ind w:firstLine="420" w:firstLineChars="200"/>
        <w:rPr>
          <w:kern w:val="0"/>
          <w:szCs w:val="20"/>
        </w:rPr>
      </w:pPr>
      <w:r>
        <w:rPr>
          <w:rFonts w:hint="eastAsia"/>
          <w:kern w:val="0"/>
          <w:szCs w:val="20"/>
        </w:rPr>
        <w:t>跨线列车由一条线路进入另一条线路时的分界站。</w:t>
      </w:r>
    </w:p>
    <w:p w14:paraId="0D177735">
      <w:pPr>
        <w:rPr>
          <w:b/>
        </w:rPr>
      </w:pPr>
      <w:r>
        <w:rPr>
          <w:rFonts w:hint="eastAsia"/>
          <w:b/>
        </w:rPr>
        <w:t>2.0.15  越行站  over</w:t>
      </w:r>
      <w:r>
        <w:rPr>
          <w:b/>
        </w:rPr>
        <w:t>taking station</w:t>
      </w:r>
    </w:p>
    <w:p w14:paraId="5844DCE2">
      <w:pPr>
        <w:ind w:firstLine="420" w:firstLineChars="200"/>
        <w:rPr>
          <w:kern w:val="0"/>
          <w:szCs w:val="20"/>
        </w:rPr>
      </w:pPr>
      <w:r>
        <w:rPr>
          <w:rFonts w:hint="eastAsia"/>
          <w:kern w:val="0"/>
          <w:szCs w:val="20"/>
        </w:rPr>
        <w:t>设置配线并提供列车停靠、越行的车站。</w:t>
      </w:r>
    </w:p>
    <w:p w14:paraId="64DA9F85">
      <w:pPr>
        <w:rPr>
          <w:b/>
        </w:rPr>
      </w:pPr>
      <w:r>
        <w:rPr>
          <w:rFonts w:hint="eastAsia"/>
          <w:b/>
        </w:rPr>
        <w:t>2.0.16  灵活编组  fle</w:t>
      </w:r>
      <w:r>
        <w:rPr>
          <w:b/>
        </w:rPr>
        <w:t>xible train formation</w:t>
      </w:r>
    </w:p>
    <w:p w14:paraId="32268DDB">
      <w:pPr>
        <w:ind w:firstLine="420" w:firstLineChars="200"/>
        <w:rPr>
          <w:kern w:val="0"/>
          <w:szCs w:val="20"/>
        </w:rPr>
      </w:pPr>
      <w:r>
        <w:rPr>
          <w:rFonts w:hint="eastAsia"/>
          <w:kern w:val="0"/>
          <w:szCs w:val="20"/>
        </w:rPr>
        <w:t>为适应不同运营场景下的客流运输能力需求，同一线路采用不同编组辆数列车共线运行的方式；包括不同编组数的固定编组列车混合运行方式，和以固定小编组列车为基本单元，运营过程中通过重联、解列实现运输能力调整的可变的机械编组方式。</w:t>
      </w:r>
    </w:p>
    <w:p w14:paraId="0C1CCA8D">
      <w:pPr>
        <w:rPr>
          <w:b/>
        </w:rPr>
      </w:pPr>
      <w:r>
        <w:rPr>
          <w:rFonts w:hint="eastAsia"/>
          <w:b/>
        </w:rPr>
        <w:t>2.0.17  速度效率  speed</w:t>
      </w:r>
      <w:r>
        <w:rPr>
          <w:b/>
        </w:rPr>
        <w:t xml:space="preserve"> </w:t>
      </w:r>
      <w:r>
        <w:rPr>
          <w:rFonts w:hint="eastAsia"/>
          <w:b/>
        </w:rPr>
        <w:t>e</w:t>
      </w:r>
      <w:r>
        <w:rPr>
          <w:b/>
        </w:rPr>
        <w:t xml:space="preserve">fficiency ratio </w:t>
      </w:r>
    </w:p>
    <w:p w14:paraId="47933B58">
      <w:pPr>
        <w:ind w:firstLine="420" w:firstLineChars="200"/>
        <w:rPr>
          <w:kern w:val="0"/>
          <w:szCs w:val="20"/>
        </w:rPr>
      </w:pPr>
      <w:r>
        <w:rPr>
          <w:rFonts w:hint="eastAsia"/>
          <w:kern w:val="0"/>
          <w:szCs w:val="20"/>
        </w:rPr>
        <w:t>旅行速度与最高速度之百分比，体现列车在正常运行中发挥最高速度效率的评价指标，单位为%。</w:t>
      </w:r>
    </w:p>
    <w:p w14:paraId="76587AAE">
      <w:pPr>
        <w:rPr>
          <w:b/>
        </w:rPr>
      </w:pPr>
      <w:r>
        <w:rPr>
          <w:rFonts w:hint="eastAsia"/>
          <w:b/>
        </w:rPr>
        <w:t>2.0.18  限界  gauge</w:t>
      </w:r>
    </w:p>
    <w:p w14:paraId="3B674BA3">
      <w:pPr>
        <w:tabs>
          <w:tab w:val="left" w:pos="0"/>
          <w:tab w:val="left" w:pos="1260"/>
        </w:tabs>
        <w:spacing w:line="240" w:lineRule="auto"/>
        <w:ind w:firstLine="420" w:firstLineChars="200"/>
        <w:rPr>
          <w:kern w:val="0"/>
          <w:szCs w:val="20"/>
        </w:rPr>
      </w:pPr>
      <w:r>
        <w:rPr>
          <w:rFonts w:hint="eastAsia"/>
          <w:kern w:val="0"/>
          <w:szCs w:val="20"/>
        </w:rPr>
        <w:t>保障地铁安全运行、限制车辆断面尺寸、限制沿线设备安装尺寸及确定的建筑结构有效净空尺寸的图形及坐标参数称为限界。根据不同的功能要求，分为车辆限界、设备限界和建筑限界。</w:t>
      </w:r>
    </w:p>
    <w:p w14:paraId="04CD91BF">
      <w:pPr>
        <w:rPr>
          <w:b/>
        </w:rPr>
      </w:pPr>
      <w:r>
        <w:rPr>
          <w:rFonts w:hint="eastAsia"/>
          <w:b/>
        </w:rPr>
        <w:t>2.0.19 车辆轮廓线  vehicle profile</w:t>
      </w:r>
    </w:p>
    <w:p w14:paraId="5D5D0495">
      <w:pPr>
        <w:ind w:firstLine="420" w:firstLineChars="200"/>
        <w:rPr>
          <w:kern w:val="0"/>
          <w:szCs w:val="20"/>
        </w:rPr>
      </w:pPr>
      <w:r>
        <w:rPr>
          <w:rFonts w:hint="eastAsia"/>
          <w:kern w:val="0"/>
          <w:szCs w:val="20"/>
        </w:rPr>
        <w:t>制定限界时设定的某种车辆，包括各项构造参数、横断面轮廓线及纵断面轮廓线等，均是限界设计计算的依据。计算车辆横断面上最外点的连线为计算车辆轮廓线。</w:t>
      </w:r>
    </w:p>
    <w:p w14:paraId="5485AACF">
      <w:pPr>
        <w:rPr>
          <w:b/>
        </w:rPr>
      </w:pPr>
      <w:r>
        <w:rPr>
          <w:rFonts w:hint="eastAsia"/>
          <w:b/>
        </w:rPr>
        <w:t>2.0.20  车辆限界  vehicle gauge</w:t>
      </w:r>
    </w:p>
    <w:p w14:paraId="26F6A982">
      <w:pPr>
        <w:ind w:firstLine="420" w:firstLineChars="200"/>
        <w:rPr>
          <w:kern w:val="0"/>
          <w:szCs w:val="20"/>
        </w:rPr>
      </w:pPr>
      <w:r>
        <w:rPr>
          <w:rFonts w:hint="eastAsia"/>
          <w:kern w:val="0"/>
          <w:szCs w:val="20"/>
        </w:rPr>
        <w:t>计算车辆不论是空车或重车在平直线的轨道上按区间最高速度等级并附加瞬时超速、规定的过站速度运行，计及了规定的车辆和轨道的公差值、磨耗量、弹性变形量、车辆振动、一系或二系悬挂故障等各种限定因素而产生的车辆各部位横向和竖向动态偏移后形成的动态包络线，并以基准坐标系表示的界线。</w:t>
      </w:r>
    </w:p>
    <w:p w14:paraId="5FD19FB0">
      <w:pPr>
        <w:rPr>
          <w:b/>
        </w:rPr>
      </w:pPr>
      <w:r>
        <w:rPr>
          <w:rFonts w:hint="eastAsia"/>
          <w:b/>
        </w:rPr>
        <w:t>2.0.21  设备限界  equipment gauge</w:t>
      </w:r>
    </w:p>
    <w:p w14:paraId="07E81D60">
      <w:pPr>
        <w:ind w:firstLine="420" w:firstLineChars="200"/>
        <w:rPr>
          <w:kern w:val="0"/>
          <w:szCs w:val="20"/>
        </w:rPr>
      </w:pPr>
      <w:r>
        <w:rPr>
          <w:rFonts w:hint="eastAsia"/>
          <w:kern w:val="0"/>
          <w:szCs w:val="20"/>
        </w:rPr>
        <w:t>基准坐标系中控制沿线设备安装在车辆限界外加安全余量而形成的界线。</w:t>
      </w:r>
    </w:p>
    <w:p w14:paraId="6EBB97B5">
      <w:pPr>
        <w:rPr>
          <w:b/>
        </w:rPr>
      </w:pPr>
      <w:r>
        <w:rPr>
          <w:rFonts w:hint="eastAsia"/>
          <w:b/>
        </w:rPr>
        <w:t>2.0.22  建筑限界  structure gauge</w:t>
      </w:r>
    </w:p>
    <w:p w14:paraId="2DB7DE8F">
      <w:pPr>
        <w:ind w:firstLine="420" w:firstLineChars="200"/>
        <w:rPr>
          <w:kern w:val="0"/>
          <w:szCs w:val="20"/>
        </w:rPr>
      </w:pPr>
      <w:r>
        <w:rPr>
          <w:rFonts w:hint="eastAsia"/>
          <w:kern w:val="0"/>
          <w:szCs w:val="20"/>
        </w:rPr>
        <w:t>位于设备限界外考虑了沿线设备安装后的最小有效界线。</w:t>
      </w:r>
    </w:p>
    <w:p w14:paraId="01E1EBB2">
      <w:pPr>
        <w:rPr>
          <w:kern w:val="0"/>
          <w:szCs w:val="20"/>
        </w:rPr>
      </w:pPr>
      <w:r>
        <w:rPr>
          <w:rFonts w:hint="eastAsia"/>
          <w:b/>
        </w:rPr>
        <w:t>2.0.23  快速轨道交通</w:t>
      </w:r>
      <w:r>
        <w:rPr>
          <w:b/>
        </w:rPr>
        <w:t>rapid rail transit</w:t>
      </w:r>
    </w:p>
    <w:p w14:paraId="531BB3AD">
      <w:pPr>
        <w:ind w:firstLine="420" w:firstLineChars="200"/>
        <w:rPr>
          <w:kern w:val="0"/>
          <w:szCs w:val="20"/>
        </w:rPr>
      </w:pPr>
      <w:r>
        <w:rPr>
          <w:rFonts w:hint="eastAsia"/>
          <w:kern w:val="0"/>
          <w:szCs w:val="20"/>
        </w:rPr>
        <w:t>设计最高速度大于</w:t>
      </w:r>
      <w:r>
        <w:rPr>
          <w:kern w:val="0"/>
          <w:szCs w:val="20"/>
        </w:rPr>
        <w:t xml:space="preserve">100km/h </w:t>
      </w:r>
      <w:r>
        <w:rPr>
          <w:rFonts w:hint="eastAsia"/>
          <w:kern w:val="0"/>
          <w:szCs w:val="20"/>
        </w:rPr>
        <w:t>的城市轨道交通线路。亦称城市轨道交通快线。</w:t>
      </w:r>
    </w:p>
    <w:p w14:paraId="68C8CD89">
      <w:pPr>
        <w:rPr>
          <w:b/>
        </w:rPr>
      </w:pPr>
      <w:r>
        <w:rPr>
          <w:rFonts w:hint="eastAsia"/>
          <w:b/>
        </w:rPr>
        <w:t>2.0.24  正线  main line</w:t>
      </w:r>
    </w:p>
    <w:p w14:paraId="7A8201DE">
      <w:pPr>
        <w:ind w:firstLine="420" w:firstLineChars="200"/>
        <w:rPr>
          <w:kern w:val="0"/>
          <w:szCs w:val="20"/>
        </w:rPr>
      </w:pPr>
      <w:r>
        <w:rPr>
          <w:kern w:val="0"/>
          <w:szCs w:val="20"/>
        </w:rPr>
        <w:t>载客列车运营的贯穿全程的线路</w:t>
      </w:r>
      <w:r>
        <w:rPr>
          <w:rFonts w:hint="eastAsia"/>
          <w:kern w:val="0"/>
          <w:szCs w:val="20"/>
        </w:rPr>
        <w:t>，包括支线</w:t>
      </w:r>
      <w:r>
        <w:rPr>
          <w:kern w:val="0"/>
          <w:szCs w:val="20"/>
        </w:rPr>
        <w:t>。</w:t>
      </w:r>
    </w:p>
    <w:p w14:paraId="688EA093">
      <w:pPr>
        <w:rPr>
          <w:b/>
        </w:rPr>
      </w:pPr>
      <w:r>
        <w:rPr>
          <w:rFonts w:hint="eastAsia"/>
          <w:b/>
        </w:rPr>
        <w:t>2.0.25  配线  sidings</w:t>
      </w:r>
    </w:p>
    <w:p w14:paraId="42B31C37">
      <w:pPr>
        <w:ind w:firstLine="420" w:firstLineChars="200"/>
        <w:rPr>
          <w:kern w:val="0"/>
          <w:szCs w:val="20"/>
        </w:rPr>
      </w:pPr>
      <w:r>
        <w:rPr>
          <w:rFonts w:hint="eastAsia"/>
          <w:kern w:val="0"/>
          <w:szCs w:val="20"/>
        </w:rPr>
        <w:t>正线的辅助线。为运营列车提供收发车、折返、联络、安全保障、临时停车、站台停靠等功能服务，通过道岔与正线或相互联络的轨道线路。包括折返线、停车线、越行线、联络线、渡线、安全线和车辆基地出入线。</w:t>
      </w:r>
    </w:p>
    <w:p w14:paraId="6C4E4AA3">
      <w:pPr>
        <w:rPr>
          <w:b/>
        </w:rPr>
      </w:pPr>
      <w:r>
        <w:rPr>
          <w:rFonts w:hint="eastAsia"/>
          <w:b/>
        </w:rPr>
        <w:t>2.0.26  试车线  testing line</w:t>
      </w:r>
    </w:p>
    <w:p w14:paraId="12923532">
      <w:pPr>
        <w:ind w:firstLine="420" w:firstLineChars="200"/>
      </w:pPr>
      <w:r>
        <w:rPr>
          <w:kern w:val="0"/>
          <w:szCs w:val="20"/>
        </w:rPr>
        <w:t>专门用于车辆动态性能及信号车载设备试验的线路。</w:t>
      </w:r>
    </w:p>
    <w:p w14:paraId="0E0F7AE3">
      <w:pPr>
        <w:rPr>
          <w:b/>
        </w:rPr>
      </w:pPr>
      <w:r>
        <w:rPr>
          <w:rFonts w:hint="eastAsia"/>
          <w:b/>
        </w:rPr>
        <w:t>2.0.27  轨道结构  track structure</w:t>
      </w:r>
    </w:p>
    <w:p w14:paraId="02EA0107">
      <w:pPr>
        <w:ind w:firstLine="420" w:firstLineChars="200"/>
        <w:rPr>
          <w:kern w:val="0"/>
          <w:szCs w:val="20"/>
        </w:rPr>
      </w:pPr>
      <w:r>
        <w:rPr>
          <w:rFonts w:hint="eastAsia"/>
          <w:kern w:val="0"/>
          <w:szCs w:val="20"/>
        </w:rPr>
        <w:t>路基面或结构面以上的线路部分，由钢轨、扣件、轨枕、道床等组成。</w:t>
      </w:r>
    </w:p>
    <w:p w14:paraId="6636239C">
      <w:pPr>
        <w:rPr>
          <w:b/>
        </w:rPr>
      </w:pPr>
      <w:r>
        <w:rPr>
          <w:rFonts w:hint="eastAsia"/>
          <w:b/>
        </w:rPr>
        <w:t>2.0.28  伸缩调节器  expansion joint</w:t>
      </w:r>
    </w:p>
    <w:p w14:paraId="46010F1C">
      <w:pPr>
        <w:ind w:firstLine="420" w:firstLineChars="200"/>
        <w:rPr>
          <w:kern w:val="0"/>
          <w:szCs w:val="20"/>
        </w:rPr>
      </w:pPr>
      <w:r>
        <w:rPr>
          <w:rFonts w:hint="eastAsia"/>
          <w:kern w:val="0"/>
          <w:szCs w:val="20"/>
        </w:rPr>
        <w:t>调节钢轨伸缩量大于构造轨缝的装置。</w:t>
      </w:r>
    </w:p>
    <w:p w14:paraId="31AD842F">
      <w:pPr>
        <w:rPr>
          <w:b/>
        </w:rPr>
      </w:pPr>
      <w:r>
        <w:rPr>
          <w:rFonts w:hint="eastAsia"/>
          <w:b/>
        </w:rPr>
        <w:t>2.0.29  车站公共区  public zone of station</w:t>
      </w:r>
    </w:p>
    <w:p w14:paraId="68B4BED6">
      <w:pPr>
        <w:ind w:firstLine="420" w:firstLineChars="200"/>
        <w:rPr>
          <w:kern w:val="0"/>
          <w:szCs w:val="20"/>
        </w:rPr>
      </w:pPr>
      <w:r>
        <w:rPr>
          <w:kern w:val="0"/>
          <w:szCs w:val="20"/>
        </w:rPr>
        <w:t>车站内供乘客</w:t>
      </w:r>
      <w:r>
        <w:rPr>
          <w:rFonts w:hint="eastAsia"/>
          <w:kern w:val="0"/>
          <w:szCs w:val="20"/>
        </w:rPr>
        <w:t>购票、安检、检票、</w:t>
      </w:r>
      <w:r>
        <w:rPr>
          <w:kern w:val="0"/>
          <w:szCs w:val="20"/>
        </w:rPr>
        <w:t>通行</w:t>
      </w:r>
      <w:r>
        <w:rPr>
          <w:rFonts w:hint="eastAsia"/>
          <w:kern w:val="0"/>
          <w:szCs w:val="20"/>
        </w:rPr>
        <w:t>、候车</w:t>
      </w:r>
      <w:r>
        <w:rPr>
          <w:kern w:val="0"/>
          <w:szCs w:val="20"/>
        </w:rPr>
        <w:t>和乘降</w:t>
      </w:r>
      <w:r>
        <w:rPr>
          <w:rFonts w:hint="eastAsia"/>
          <w:kern w:val="0"/>
          <w:szCs w:val="20"/>
        </w:rPr>
        <w:t>列车</w:t>
      </w:r>
      <w:r>
        <w:rPr>
          <w:kern w:val="0"/>
          <w:szCs w:val="20"/>
        </w:rPr>
        <w:t>的</w:t>
      </w:r>
      <w:r>
        <w:rPr>
          <w:rFonts w:hint="eastAsia"/>
          <w:kern w:val="0"/>
          <w:szCs w:val="20"/>
        </w:rPr>
        <w:t>公共</w:t>
      </w:r>
      <w:r>
        <w:rPr>
          <w:kern w:val="0"/>
          <w:szCs w:val="20"/>
        </w:rPr>
        <w:t>区域。</w:t>
      </w:r>
    </w:p>
    <w:p w14:paraId="790A07AF">
      <w:pPr>
        <w:rPr>
          <w:b/>
        </w:rPr>
      </w:pPr>
      <w:r>
        <w:rPr>
          <w:rFonts w:hint="eastAsia"/>
          <w:b/>
        </w:rPr>
        <w:t>2.0.30 安全出口  emergency exit</w:t>
      </w:r>
    </w:p>
    <w:p w14:paraId="10D5ACA7">
      <w:pPr>
        <w:ind w:firstLine="420" w:firstLineChars="200"/>
        <w:rPr>
          <w:kern w:val="0"/>
          <w:szCs w:val="20"/>
        </w:rPr>
      </w:pPr>
      <w:r>
        <w:rPr>
          <w:kern w:val="0"/>
          <w:szCs w:val="20"/>
        </w:rPr>
        <w:t>供人员安全疏散，并能直接通向室外</w:t>
      </w:r>
      <w:r>
        <w:rPr>
          <w:rFonts w:hint="eastAsia"/>
          <w:kern w:val="0"/>
          <w:szCs w:val="20"/>
        </w:rPr>
        <w:t>或其他室外安全区域或室内安全区域</w:t>
      </w:r>
      <w:r>
        <w:rPr>
          <w:kern w:val="0"/>
          <w:szCs w:val="20"/>
        </w:rPr>
        <w:t>的车站出口、楼梯或扶梯的出口、</w:t>
      </w:r>
      <w:r>
        <w:rPr>
          <w:rFonts w:hint="eastAsia"/>
          <w:kern w:val="0"/>
          <w:szCs w:val="20"/>
        </w:rPr>
        <w:t>区间</w:t>
      </w:r>
      <w:r>
        <w:rPr>
          <w:kern w:val="0"/>
          <w:szCs w:val="20"/>
        </w:rPr>
        <w:t>联络通道</w:t>
      </w:r>
      <w:r>
        <w:rPr>
          <w:rFonts w:hint="eastAsia"/>
          <w:kern w:val="0"/>
          <w:szCs w:val="20"/>
        </w:rPr>
        <w:t>出</w:t>
      </w:r>
      <w:r>
        <w:rPr>
          <w:kern w:val="0"/>
          <w:szCs w:val="20"/>
        </w:rPr>
        <w:t>口、区间风井</w:t>
      </w:r>
      <w:r>
        <w:rPr>
          <w:rFonts w:hint="eastAsia"/>
          <w:kern w:val="0"/>
          <w:szCs w:val="20"/>
        </w:rPr>
        <w:t>或变电所</w:t>
      </w:r>
      <w:r>
        <w:rPr>
          <w:kern w:val="0"/>
          <w:szCs w:val="20"/>
        </w:rPr>
        <w:t>内直通</w:t>
      </w:r>
      <w:r>
        <w:rPr>
          <w:rFonts w:hint="eastAsia"/>
          <w:kern w:val="0"/>
          <w:szCs w:val="20"/>
        </w:rPr>
        <w:t>室外安全区域</w:t>
      </w:r>
      <w:r>
        <w:rPr>
          <w:kern w:val="0"/>
          <w:szCs w:val="20"/>
        </w:rPr>
        <w:t>的楼梯间</w:t>
      </w:r>
      <w:r>
        <w:rPr>
          <w:rFonts w:hint="eastAsia"/>
          <w:kern w:val="0"/>
          <w:szCs w:val="20"/>
        </w:rPr>
        <w:t>出</w:t>
      </w:r>
      <w:r>
        <w:rPr>
          <w:kern w:val="0"/>
          <w:szCs w:val="20"/>
        </w:rPr>
        <w:t>口</w:t>
      </w:r>
      <w:r>
        <w:rPr>
          <w:rFonts w:hint="eastAsia"/>
          <w:kern w:val="0"/>
          <w:szCs w:val="20"/>
        </w:rPr>
        <w:t>，</w:t>
      </w:r>
      <w:r>
        <w:rPr>
          <w:kern w:val="0"/>
          <w:szCs w:val="20"/>
        </w:rPr>
        <w:t>以及地下区间隧道通向站台的人行楼梯和地上区间到达站台的人行楼梯。</w:t>
      </w:r>
    </w:p>
    <w:p w14:paraId="704D41AE">
      <w:pPr>
        <w:rPr>
          <w:b/>
        </w:rPr>
      </w:pPr>
      <w:r>
        <w:rPr>
          <w:rFonts w:hint="eastAsia"/>
          <w:b/>
        </w:rPr>
        <w:t>2.0.31  消防专用通道  fire passage</w:t>
      </w:r>
    </w:p>
    <w:p w14:paraId="5EDDA732">
      <w:pPr>
        <w:ind w:firstLine="420" w:firstLineChars="200"/>
        <w:rPr>
          <w:kern w:val="0"/>
          <w:szCs w:val="20"/>
        </w:rPr>
      </w:pPr>
      <w:r>
        <w:rPr>
          <w:rFonts w:hint="eastAsia"/>
          <w:kern w:val="0"/>
          <w:szCs w:val="20"/>
        </w:rPr>
        <w:t>在地下车站或地下区间火灾时，专门用于消防救援人员从地面进入地下车站站厅、站台、区间等区域进行灭火救援的通道或（和）楼梯间</w:t>
      </w:r>
      <w:r>
        <w:rPr>
          <w:kern w:val="0"/>
          <w:szCs w:val="20"/>
        </w:rPr>
        <w:t>。</w:t>
      </w:r>
    </w:p>
    <w:p w14:paraId="78641415">
      <w:pPr>
        <w:rPr>
          <w:b/>
        </w:rPr>
      </w:pPr>
      <w:r>
        <w:rPr>
          <w:rFonts w:hint="eastAsia"/>
          <w:b/>
        </w:rPr>
        <w:t>2.0.32  乘客疏散区passenger evacuation area</w:t>
      </w:r>
    </w:p>
    <w:p w14:paraId="3263718D">
      <w:pPr>
        <w:ind w:firstLine="420" w:firstLineChars="200"/>
        <w:rPr>
          <w:kern w:val="0"/>
          <w:szCs w:val="20"/>
        </w:rPr>
      </w:pPr>
      <w:r>
        <w:rPr>
          <w:rFonts w:hint="eastAsia"/>
          <w:kern w:val="0"/>
          <w:szCs w:val="20"/>
        </w:rPr>
        <w:t>是指火灾工况下乘客从列车下至站台、经站厅疏散至地面完整路径上的通行区域，应与通行路径上楼扶梯、闸机、出入口通道等通行设施疏散宽度相匹配。</w:t>
      </w:r>
    </w:p>
    <w:p w14:paraId="2C07F4E2">
      <w:pPr>
        <w:rPr>
          <w:b/>
        </w:rPr>
      </w:pPr>
      <w:r>
        <w:rPr>
          <w:rFonts w:hint="eastAsia"/>
          <w:b/>
        </w:rPr>
        <w:t>2.0.33  纵向辅助疏散平台  auxiliary longitudinal emergency walkway</w:t>
      </w:r>
    </w:p>
    <w:p w14:paraId="484A4097">
      <w:pPr>
        <w:ind w:firstLine="420" w:firstLineChars="200"/>
        <w:rPr>
          <w:kern w:val="0"/>
          <w:szCs w:val="20"/>
        </w:rPr>
      </w:pPr>
      <w:r>
        <w:rPr>
          <w:rFonts w:hint="eastAsia"/>
          <w:kern w:val="0"/>
          <w:szCs w:val="20"/>
        </w:rPr>
        <w:t>在区间内平行于线路靠站台一侧设置、供人员辅助疏散用的纵向连续走道。</w:t>
      </w:r>
    </w:p>
    <w:p w14:paraId="639CCD6D">
      <w:pPr>
        <w:rPr>
          <w:b/>
          <w:kern w:val="0"/>
          <w:szCs w:val="20"/>
        </w:rPr>
      </w:pPr>
      <w:r>
        <w:rPr>
          <w:rFonts w:hint="eastAsia"/>
          <w:b/>
        </w:rPr>
        <w:t xml:space="preserve">2.0.34  </w:t>
      </w:r>
      <w:r>
        <w:rPr>
          <w:rFonts w:hint="eastAsia"/>
          <w:b/>
          <w:kern w:val="0"/>
          <w:szCs w:val="20"/>
        </w:rPr>
        <w:t xml:space="preserve">无缝线路纵向作用力  </w:t>
      </w:r>
      <w:r>
        <w:rPr>
          <w:rFonts w:hint="eastAsia"/>
          <w:b/>
        </w:rPr>
        <w:t>rail broken force of CWR</w:t>
      </w:r>
    </w:p>
    <w:p w14:paraId="1181B002">
      <w:pPr>
        <w:ind w:firstLine="420" w:firstLineChars="200"/>
        <w:rPr>
          <w:kern w:val="0"/>
          <w:szCs w:val="20"/>
        </w:rPr>
      </w:pPr>
      <w:r>
        <w:rPr>
          <w:rFonts w:hint="eastAsia"/>
          <w:kern w:val="0"/>
          <w:szCs w:val="20"/>
        </w:rPr>
        <w:t>由桥梁和无缝轨道线路间相对位移引起的水平力，分为断轨力、伸缩力、挠曲力。</w:t>
      </w:r>
    </w:p>
    <w:p w14:paraId="3749F54C">
      <w:pPr>
        <w:rPr>
          <w:b/>
        </w:rPr>
      </w:pPr>
      <w:r>
        <w:rPr>
          <w:rFonts w:hint="eastAsia"/>
          <w:b/>
        </w:rPr>
        <w:t>2.0.35  地下工程主体结构  main structure</w:t>
      </w:r>
    </w:p>
    <w:p w14:paraId="2B5443C5">
      <w:pPr>
        <w:ind w:firstLine="420" w:firstLineChars="200"/>
        <w:rPr>
          <w:kern w:val="0"/>
          <w:szCs w:val="20"/>
        </w:rPr>
      </w:pPr>
      <w:r>
        <w:rPr>
          <w:rFonts w:hint="eastAsia"/>
          <w:kern w:val="0"/>
          <w:szCs w:val="20"/>
        </w:rPr>
        <w:t>地下车站和区间工程中承受外围水土、地面车辆及建构筑物超载等外部荷载，地震及人防等外部作用， 保障结构体系整体稳定的受力结构。</w:t>
      </w:r>
    </w:p>
    <w:p w14:paraId="5AB8AA44">
      <w:pPr>
        <w:rPr>
          <w:b/>
        </w:rPr>
      </w:pPr>
      <w:r>
        <w:rPr>
          <w:rFonts w:hint="eastAsia"/>
          <w:b/>
        </w:rPr>
        <w:t>2.0.36 地下工程内部结构  internal structure</w:t>
      </w:r>
    </w:p>
    <w:p w14:paraId="7968DA67">
      <w:pPr>
        <w:ind w:firstLine="420" w:firstLineChars="200"/>
        <w:rPr>
          <w:kern w:val="0"/>
          <w:szCs w:val="20"/>
        </w:rPr>
      </w:pPr>
      <w:r>
        <w:rPr>
          <w:rFonts w:hint="eastAsia"/>
          <w:kern w:val="0"/>
          <w:szCs w:val="20"/>
        </w:rPr>
        <w:t>地下车站和区间工程中，支撑在地下工程主体结构上，承受行人、轨道交通车辆、风等内部荷载作用的结构，如站台板、轨顶风道等。</w:t>
      </w:r>
    </w:p>
    <w:p w14:paraId="468F8A3E">
      <w:pPr>
        <w:rPr>
          <w:b/>
        </w:rPr>
      </w:pPr>
      <w:r>
        <w:rPr>
          <w:rFonts w:hint="eastAsia"/>
          <w:b/>
        </w:rPr>
        <w:t>2.0.37  基坑支护结构  foundation pit support</w:t>
      </w:r>
    </w:p>
    <w:p w14:paraId="0BB74ADD">
      <w:pPr>
        <w:ind w:firstLine="420" w:firstLineChars="200"/>
        <w:rPr>
          <w:kern w:val="0"/>
          <w:szCs w:val="20"/>
        </w:rPr>
      </w:pPr>
      <w:r>
        <w:rPr>
          <w:rFonts w:hint="eastAsia"/>
          <w:kern w:val="0"/>
          <w:szCs w:val="20"/>
        </w:rPr>
        <w:t>基坑开挖过程中，用于临时抵抗水土等外部作用，保障地下结构安全施工的支护结构，包括钻孔灌注桩、地下连续墙、止水帷幕以及基坑内支撑、锚索、土钉等结构，又称围护结构。</w:t>
      </w:r>
    </w:p>
    <w:p w14:paraId="11BFA7B3">
      <w:pPr>
        <w:rPr>
          <w:b/>
        </w:rPr>
      </w:pPr>
      <w:r>
        <w:rPr>
          <w:rFonts w:hint="eastAsia"/>
          <w:b/>
        </w:rPr>
        <w:t>2.0.38  初期支护结构  primary lining</w:t>
      </w:r>
    </w:p>
    <w:p w14:paraId="00914656">
      <w:pPr>
        <w:ind w:firstLine="420" w:firstLineChars="200"/>
        <w:rPr>
          <w:kern w:val="0"/>
          <w:szCs w:val="20"/>
        </w:rPr>
      </w:pPr>
      <w:r>
        <w:rPr>
          <w:rFonts w:hint="eastAsia"/>
          <w:kern w:val="0"/>
          <w:szCs w:val="20"/>
        </w:rPr>
        <w:t>采用矿山法施工的地下结构，为保证安全施工，随开挖及时施作的、用于抵抗外部水土压力、地面车辆及建构筑物超载作用的临时支护结构。</w:t>
      </w:r>
    </w:p>
    <w:p w14:paraId="60440F95">
      <w:pPr>
        <w:rPr>
          <w:b/>
        </w:rPr>
      </w:pPr>
      <w:r>
        <w:rPr>
          <w:rFonts w:hint="eastAsia"/>
          <w:b/>
        </w:rPr>
        <w:t>2.0.39 明挖法  cut and cover method</w:t>
      </w:r>
    </w:p>
    <w:p w14:paraId="2E16A5C4">
      <w:pPr>
        <w:ind w:firstLine="420" w:firstLineChars="200"/>
        <w:rPr>
          <w:kern w:val="0"/>
          <w:szCs w:val="20"/>
        </w:rPr>
      </w:pPr>
      <w:r>
        <w:rPr>
          <w:rFonts w:hint="eastAsia"/>
          <w:kern w:val="0"/>
          <w:szCs w:val="20"/>
        </w:rPr>
        <w:t>在基坑中按自下而上施工顺序修筑地下结构的方法。包括敞口明挖顺作法、临时路面铺盖顺作法等。简称明挖法。</w:t>
      </w:r>
    </w:p>
    <w:p w14:paraId="35E21EF4">
      <w:pPr>
        <w:rPr>
          <w:b/>
        </w:rPr>
      </w:pPr>
      <w:r>
        <w:rPr>
          <w:rFonts w:hint="eastAsia"/>
          <w:b/>
        </w:rPr>
        <w:t>2.0.40  盖挖逆作法  cover and cut-top down method</w:t>
      </w:r>
    </w:p>
    <w:p w14:paraId="3ECA4CCF">
      <w:pPr>
        <w:ind w:firstLine="420" w:firstLineChars="200"/>
        <w:rPr>
          <w:kern w:val="0"/>
          <w:szCs w:val="20"/>
        </w:rPr>
      </w:pPr>
      <w:r>
        <w:rPr>
          <w:rFonts w:hint="eastAsia"/>
          <w:kern w:val="0"/>
          <w:szCs w:val="20"/>
        </w:rPr>
        <w:t>施工</w:t>
      </w:r>
      <w:r>
        <w:rPr>
          <w:kern w:val="0"/>
          <w:szCs w:val="20"/>
        </w:rPr>
        <w:t>顺序与明挖法相反，</w:t>
      </w:r>
      <w:r>
        <w:rPr>
          <w:rFonts w:hint="eastAsia"/>
          <w:kern w:val="0"/>
          <w:szCs w:val="20"/>
        </w:rPr>
        <w:t>在基坑中优先</w:t>
      </w:r>
      <w:r>
        <w:rPr>
          <w:kern w:val="0"/>
          <w:szCs w:val="20"/>
        </w:rPr>
        <w:t>修筑结构顶板及</w:t>
      </w:r>
      <w:r>
        <w:rPr>
          <w:rFonts w:hint="eastAsia"/>
          <w:kern w:val="0"/>
          <w:szCs w:val="20"/>
        </w:rPr>
        <w:t>对应</w:t>
      </w:r>
      <w:r>
        <w:rPr>
          <w:kern w:val="0"/>
          <w:szCs w:val="20"/>
        </w:rPr>
        <w:t>竖向支撑结构，</w:t>
      </w:r>
      <w:r>
        <w:rPr>
          <w:rFonts w:hint="eastAsia"/>
          <w:kern w:val="0"/>
          <w:szCs w:val="20"/>
        </w:rPr>
        <w:t>然后</w:t>
      </w:r>
      <w:r>
        <w:rPr>
          <w:kern w:val="0"/>
          <w:szCs w:val="20"/>
        </w:rPr>
        <w:t>自上而下分层开挖土方分层修筑</w:t>
      </w:r>
      <w:r>
        <w:rPr>
          <w:rFonts w:hint="eastAsia"/>
          <w:kern w:val="0"/>
          <w:szCs w:val="20"/>
        </w:rPr>
        <w:t>地下</w:t>
      </w:r>
      <w:r>
        <w:rPr>
          <w:kern w:val="0"/>
          <w:szCs w:val="20"/>
        </w:rPr>
        <w:t>结构</w:t>
      </w:r>
      <w:r>
        <w:rPr>
          <w:rFonts w:hint="eastAsia"/>
          <w:kern w:val="0"/>
          <w:szCs w:val="20"/>
        </w:rPr>
        <w:t>的方法。</w:t>
      </w:r>
    </w:p>
    <w:p w14:paraId="71F176B1">
      <w:pPr>
        <w:rPr>
          <w:b/>
        </w:rPr>
      </w:pPr>
      <w:r>
        <w:rPr>
          <w:rFonts w:hint="eastAsia"/>
          <w:b/>
        </w:rPr>
        <w:t>2.0.41  矿山法  mining method</w:t>
      </w:r>
    </w:p>
    <w:p w14:paraId="576347CE">
      <w:pPr>
        <w:ind w:firstLine="420" w:firstLineChars="200"/>
        <w:rPr>
          <w:kern w:val="0"/>
          <w:szCs w:val="20"/>
        </w:rPr>
      </w:pPr>
      <w:r>
        <w:rPr>
          <w:rFonts w:hint="eastAsia"/>
          <w:kern w:val="0"/>
          <w:szCs w:val="20"/>
        </w:rPr>
        <w:t>采用</w:t>
      </w:r>
      <w:r>
        <w:rPr>
          <w:kern w:val="0"/>
          <w:szCs w:val="20"/>
        </w:rPr>
        <w:t>爆破</w:t>
      </w:r>
      <w:r>
        <w:rPr>
          <w:rFonts w:hint="eastAsia"/>
          <w:kern w:val="0"/>
          <w:szCs w:val="20"/>
        </w:rPr>
        <w:t>或</w:t>
      </w:r>
      <w:r>
        <w:rPr>
          <w:kern w:val="0"/>
          <w:szCs w:val="20"/>
        </w:rPr>
        <w:t>浅埋暗挖</w:t>
      </w:r>
      <w:r>
        <w:rPr>
          <w:rFonts w:hint="eastAsia"/>
          <w:kern w:val="0"/>
          <w:szCs w:val="20"/>
        </w:rPr>
        <w:t>工艺</w:t>
      </w:r>
      <w:r>
        <w:rPr>
          <w:kern w:val="0"/>
          <w:szCs w:val="20"/>
        </w:rPr>
        <w:t>修筑</w:t>
      </w:r>
      <w:r>
        <w:rPr>
          <w:rFonts w:hint="eastAsia"/>
          <w:kern w:val="0"/>
          <w:szCs w:val="20"/>
        </w:rPr>
        <w:t>地下结构</w:t>
      </w:r>
      <w:r>
        <w:rPr>
          <w:kern w:val="0"/>
          <w:szCs w:val="20"/>
        </w:rPr>
        <w:t>的暗挖施工方法</w:t>
      </w:r>
      <w:r>
        <w:rPr>
          <w:rFonts w:hint="eastAsia"/>
          <w:kern w:val="0"/>
          <w:szCs w:val="20"/>
        </w:rPr>
        <w:t>。</w:t>
      </w:r>
    </w:p>
    <w:p w14:paraId="16C68C12">
      <w:pPr>
        <w:rPr>
          <w:b/>
        </w:rPr>
      </w:pPr>
      <w:r>
        <w:rPr>
          <w:rFonts w:hint="eastAsia"/>
          <w:b/>
        </w:rPr>
        <w:t>2.0.42  盾构法  shield method</w:t>
      </w:r>
    </w:p>
    <w:p w14:paraId="59F84709">
      <w:pPr>
        <w:ind w:firstLine="420" w:firstLineChars="200"/>
        <w:rPr>
          <w:kern w:val="0"/>
          <w:szCs w:val="20"/>
        </w:rPr>
      </w:pPr>
      <w:r>
        <w:rPr>
          <w:rFonts w:hint="eastAsia"/>
          <w:kern w:val="0"/>
          <w:szCs w:val="20"/>
        </w:rPr>
        <w:t>用盾构机修筑地下结构的暗挖施工方法，其在盾构机钢壳体的保护下进行土体开挖、推进、主体结构拼装和注浆等作业。</w:t>
      </w:r>
    </w:p>
    <w:p w14:paraId="24C9FC76">
      <w:pPr>
        <w:rPr>
          <w:b/>
        </w:rPr>
      </w:pPr>
      <w:r>
        <w:rPr>
          <w:rFonts w:hint="eastAsia"/>
          <w:b/>
        </w:rPr>
        <w:t>2.0.43  顶管法  pipe jacking method</w:t>
      </w:r>
    </w:p>
    <w:p w14:paraId="73E70CB0">
      <w:pPr>
        <w:ind w:firstLine="420" w:firstLineChars="200"/>
        <w:rPr>
          <w:kern w:val="0"/>
          <w:szCs w:val="20"/>
        </w:rPr>
      </w:pPr>
      <w:r>
        <w:rPr>
          <w:rFonts w:hint="eastAsia"/>
          <w:kern w:val="0"/>
          <w:szCs w:val="20"/>
        </w:rPr>
        <w:t>用顶进设备将预制好的管节或管段结构顶进地层中，形成地下结构的暗挖施工方法。</w:t>
      </w:r>
    </w:p>
    <w:p w14:paraId="01DEA345">
      <w:pPr>
        <w:rPr>
          <w:b/>
        </w:rPr>
      </w:pPr>
      <w:r>
        <w:rPr>
          <w:rFonts w:hint="eastAsia"/>
          <w:b/>
        </w:rPr>
        <w:t>2.0.44  集中式供电  centralized power supply mode</w:t>
      </w:r>
    </w:p>
    <w:p w14:paraId="552A2DC3">
      <w:pPr>
        <w:ind w:firstLine="416" w:firstLineChars="200"/>
        <w:rPr>
          <w:spacing w:val="4"/>
          <w:sz w:val="20"/>
          <w:szCs w:val="18"/>
        </w:rPr>
      </w:pPr>
      <w:r>
        <w:rPr>
          <w:spacing w:val="4"/>
          <w:sz w:val="20"/>
          <w:szCs w:val="18"/>
        </w:rPr>
        <w:t>由本线或</w:t>
      </w:r>
      <w:r>
        <w:rPr>
          <w:rFonts w:hint="eastAsia"/>
          <w:spacing w:val="4"/>
          <w:sz w:val="20"/>
          <w:szCs w:val="18"/>
        </w:rPr>
        <w:t>线网中</w:t>
      </w:r>
      <w:r>
        <w:rPr>
          <w:spacing w:val="4"/>
          <w:sz w:val="20"/>
          <w:szCs w:val="18"/>
        </w:rPr>
        <w:t>其他</w:t>
      </w:r>
      <w:r>
        <w:rPr>
          <w:rFonts w:hint="eastAsia"/>
          <w:spacing w:val="4"/>
          <w:sz w:val="20"/>
          <w:szCs w:val="18"/>
        </w:rPr>
        <w:t>地铁</w:t>
      </w:r>
      <w:r>
        <w:rPr>
          <w:spacing w:val="4"/>
          <w:sz w:val="20"/>
          <w:szCs w:val="18"/>
        </w:rPr>
        <w:t>线路的主变电所为本线牵引变电所及降压变电所供电的外部供电方式。</w:t>
      </w:r>
    </w:p>
    <w:p w14:paraId="4E2A6550">
      <w:pPr>
        <w:rPr>
          <w:b/>
        </w:rPr>
      </w:pPr>
      <w:r>
        <w:rPr>
          <w:rFonts w:hint="eastAsia"/>
          <w:b/>
        </w:rPr>
        <w:t>2.0.45  分散式供电  distributed power supply mode</w:t>
      </w:r>
    </w:p>
    <w:p w14:paraId="4B7D85E1">
      <w:pPr>
        <w:ind w:firstLine="416" w:firstLineChars="200"/>
        <w:rPr>
          <w:kern w:val="0"/>
          <w:szCs w:val="20"/>
        </w:rPr>
      </w:pPr>
      <w:r>
        <w:rPr>
          <w:rFonts w:hint="eastAsia"/>
          <w:bCs/>
          <w:spacing w:val="4"/>
          <w:sz w:val="20"/>
          <w:szCs w:val="18"/>
        </w:rPr>
        <w:t>由沿线分散引入的城市中压</w:t>
      </w:r>
      <w:r>
        <w:rPr>
          <w:bCs/>
          <w:spacing w:val="4"/>
          <w:sz w:val="20"/>
          <w:szCs w:val="18"/>
        </w:rPr>
        <w:t>电源分别为各类变电所供电的供电方式。</w:t>
      </w:r>
    </w:p>
    <w:p w14:paraId="2985DE15">
      <w:pPr>
        <w:rPr>
          <w:b/>
        </w:rPr>
      </w:pPr>
      <w:r>
        <w:rPr>
          <w:rFonts w:hint="eastAsia"/>
          <w:b/>
        </w:rPr>
        <w:t>2.0.46  混合式供电  combined power supply mode</w:t>
      </w:r>
    </w:p>
    <w:p w14:paraId="0FA5A133">
      <w:pPr>
        <w:ind w:firstLine="416" w:firstLineChars="200"/>
        <w:rPr>
          <w:spacing w:val="4"/>
          <w:sz w:val="20"/>
          <w:szCs w:val="18"/>
        </w:rPr>
      </w:pPr>
      <w:r>
        <w:rPr>
          <w:rFonts w:hint="eastAsia"/>
          <w:spacing w:val="4"/>
          <w:sz w:val="20"/>
          <w:szCs w:val="18"/>
        </w:rPr>
        <w:t>由地铁主变电所和城市中压电源共同为一条地铁线路的牵引变电所及降压变电所供电的外部供电方式。</w:t>
      </w:r>
    </w:p>
    <w:p w14:paraId="6025E5A3">
      <w:pPr>
        <w:rPr>
          <w:b/>
        </w:rPr>
      </w:pPr>
      <w:r>
        <w:rPr>
          <w:rFonts w:hint="eastAsia"/>
          <w:b/>
        </w:rPr>
        <w:t xml:space="preserve">2.0.47  </w:t>
      </w:r>
      <w:r>
        <w:rPr>
          <w:rFonts w:hint="eastAsia"/>
          <w:b/>
          <w:spacing w:val="4"/>
          <w:sz w:val="20"/>
          <w:szCs w:val="18"/>
        </w:rPr>
        <w:t xml:space="preserve">主变电所  </w:t>
      </w:r>
      <w:r>
        <w:rPr>
          <w:b/>
          <w:spacing w:val="4"/>
          <w:sz w:val="20"/>
          <w:szCs w:val="18"/>
        </w:rPr>
        <w:t>high voltage substation</w:t>
      </w:r>
    </w:p>
    <w:p w14:paraId="28E77C54">
      <w:pPr>
        <w:ind w:firstLine="420" w:firstLineChars="200"/>
        <w:rPr>
          <w:kern w:val="0"/>
          <w:szCs w:val="20"/>
        </w:rPr>
      </w:pPr>
      <w:r>
        <w:rPr>
          <w:rFonts w:hint="eastAsia"/>
          <w:kern w:val="0"/>
          <w:szCs w:val="20"/>
        </w:rPr>
        <w:t>由城市电网引入高压电源，转换为城市轨道交通用中压电源的专用高压变电所。</w:t>
      </w:r>
    </w:p>
    <w:p w14:paraId="53995B63">
      <w:pPr>
        <w:rPr>
          <w:b/>
        </w:rPr>
      </w:pPr>
      <w:r>
        <w:rPr>
          <w:rFonts w:hint="eastAsia"/>
          <w:b/>
        </w:rPr>
        <w:t>2.0.48  牵引降压混合变电所  combined substation</w:t>
      </w:r>
    </w:p>
    <w:p w14:paraId="3D53B9A2">
      <w:pPr>
        <w:ind w:firstLine="416" w:firstLineChars="200"/>
        <w:rPr>
          <w:kern w:val="0"/>
          <w:szCs w:val="20"/>
        </w:rPr>
      </w:pPr>
      <w:r>
        <w:rPr>
          <w:rFonts w:hint="eastAsia"/>
          <w:spacing w:val="4"/>
          <w:sz w:val="20"/>
          <w:szCs w:val="18"/>
        </w:rPr>
        <w:t>既提供牵引电源又提供动力照明交流低压电源的变电所。</w:t>
      </w:r>
    </w:p>
    <w:p w14:paraId="50055F6E">
      <w:pPr>
        <w:rPr>
          <w:b/>
        </w:rPr>
      </w:pPr>
      <w:r>
        <w:rPr>
          <w:rFonts w:hint="eastAsia"/>
          <w:b/>
        </w:rPr>
        <w:t>2.0.49  大双边供电  over bi-traction power supply</w:t>
      </w:r>
    </w:p>
    <w:p w14:paraId="792AE828">
      <w:pPr>
        <w:ind w:firstLine="420" w:firstLineChars="200"/>
        <w:rPr>
          <w:kern w:val="0"/>
          <w:szCs w:val="20"/>
        </w:rPr>
      </w:pPr>
      <w:r>
        <w:rPr>
          <w:rFonts w:hint="eastAsia"/>
          <w:kern w:val="0"/>
          <w:szCs w:val="20"/>
        </w:rPr>
        <w:t>当某一中间牵引变电所退出运行时，由两侧相邻牵引变电所对接触网构成双边供电的方式。</w:t>
      </w:r>
    </w:p>
    <w:p w14:paraId="7E1947A1">
      <w:pPr>
        <w:rPr>
          <w:b/>
        </w:rPr>
      </w:pPr>
      <w:r>
        <w:rPr>
          <w:rFonts w:hint="eastAsia"/>
          <w:b/>
        </w:rPr>
        <w:t>2.0.50  电力监控系统  power supervisory control and data acquisition system  (SCADA)</w:t>
      </w:r>
    </w:p>
    <w:p w14:paraId="2ADDEA7E">
      <w:pPr>
        <w:ind w:firstLine="420" w:firstLineChars="200"/>
        <w:rPr>
          <w:kern w:val="0"/>
          <w:szCs w:val="20"/>
        </w:rPr>
      </w:pPr>
      <w:r>
        <w:rPr>
          <w:rFonts w:hint="eastAsia"/>
          <w:kern w:val="0"/>
          <w:szCs w:val="20"/>
        </w:rPr>
        <w:t>电力数据采集与监视控制系统，包括遥控、遥测、遥信、遥调功能。</w:t>
      </w:r>
    </w:p>
    <w:p w14:paraId="1E79B91E">
      <w:pPr>
        <w:rPr>
          <w:b/>
        </w:rPr>
      </w:pPr>
      <w:r>
        <w:rPr>
          <w:rFonts w:hint="eastAsia"/>
          <w:b/>
        </w:rPr>
        <w:t>2.0.51  杂散电流  stray current</w:t>
      </w:r>
    </w:p>
    <w:p w14:paraId="3EBF8978">
      <w:pPr>
        <w:ind w:firstLine="420" w:firstLineChars="200"/>
        <w:rPr>
          <w:kern w:val="0"/>
          <w:szCs w:val="20"/>
        </w:rPr>
      </w:pPr>
      <w:r>
        <w:rPr>
          <w:rFonts w:hint="eastAsia"/>
          <w:kern w:val="0"/>
          <w:szCs w:val="20"/>
        </w:rPr>
        <w:t>不按规定径路流通的电流。</w:t>
      </w:r>
    </w:p>
    <w:p w14:paraId="550984B4">
      <w:pPr>
        <w:rPr>
          <w:b/>
        </w:rPr>
      </w:pPr>
      <w:r>
        <w:rPr>
          <w:rFonts w:hint="eastAsia"/>
          <w:b/>
        </w:rPr>
        <w:t>2.0.52  传输系统  transmission system</w:t>
      </w:r>
    </w:p>
    <w:p w14:paraId="6934CB80">
      <w:pPr>
        <w:ind w:firstLine="420" w:firstLineChars="200"/>
        <w:rPr>
          <w:kern w:val="0"/>
          <w:szCs w:val="20"/>
        </w:rPr>
      </w:pPr>
      <w:r>
        <w:rPr>
          <w:rFonts w:hint="eastAsia"/>
          <w:kern w:val="0"/>
          <w:szCs w:val="20"/>
        </w:rPr>
        <w:t>为专用通信系统中的信号、电力监控、防灾、环境与设备监控与自动售检票、线网业务、云平台等各系统提供线网中心、控制中心、车站、车辆基地等之间信息传输的系统。</w:t>
      </w:r>
    </w:p>
    <w:p w14:paraId="296FCCBC">
      <w:pPr>
        <w:rPr>
          <w:b/>
        </w:rPr>
      </w:pPr>
      <w:r>
        <w:rPr>
          <w:rFonts w:hint="eastAsia"/>
          <w:b/>
        </w:rPr>
        <w:t>2.0.53  视频监视系统  video monitoring system</w:t>
      </w:r>
    </w:p>
    <w:p w14:paraId="410E1CF7">
      <w:pPr>
        <w:ind w:firstLine="420" w:firstLineChars="200"/>
        <w:rPr>
          <w:kern w:val="0"/>
          <w:szCs w:val="20"/>
        </w:rPr>
      </w:pPr>
      <w:r>
        <w:rPr>
          <w:rFonts w:hint="eastAsia"/>
          <w:kern w:val="0"/>
          <w:szCs w:val="20"/>
        </w:rPr>
        <w:t>为控制中心调度员、各车站/车辆基地值班员、列车司机等提供有关列车运行、防灾、救灾及乘客疏导等方面视觉信息的设备总称，又称闭路电视系统。</w:t>
      </w:r>
    </w:p>
    <w:p w14:paraId="557A134F">
      <w:pPr>
        <w:rPr>
          <w:b/>
        </w:rPr>
      </w:pPr>
      <w:r>
        <w:rPr>
          <w:rFonts w:hint="eastAsia"/>
          <w:b/>
        </w:rPr>
        <w:t>2.0.54  宽带无线通信系统 Brandband wireless communication system</w:t>
      </w:r>
    </w:p>
    <w:p w14:paraId="4743A6E6">
      <w:pPr>
        <w:rPr>
          <w:kern w:val="0"/>
          <w:szCs w:val="20"/>
        </w:rPr>
      </w:pPr>
      <w:r>
        <w:rPr>
          <w:rFonts w:hint="eastAsia"/>
          <w:bCs/>
        </w:rPr>
        <w:t>提供列车视频、乘客信息等宽带信息业务无线传输的通信系统。</w:t>
      </w:r>
      <w:r>
        <w:rPr>
          <w:rFonts w:hint="eastAsia"/>
          <w:kern w:val="0"/>
          <w:szCs w:val="20"/>
        </w:rPr>
        <w:t>（通号院周颖更新）</w:t>
      </w:r>
    </w:p>
    <w:p w14:paraId="0966A04C">
      <w:pPr>
        <w:rPr>
          <w:b/>
        </w:rPr>
      </w:pPr>
      <w:r>
        <w:rPr>
          <w:rFonts w:hint="eastAsia"/>
          <w:b/>
        </w:rPr>
        <w:t>2.0.55  全自动运行系统 fully automatic operation system</w:t>
      </w:r>
    </w:p>
    <w:p w14:paraId="412035D0">
      <w:pPr>
        <w:ind w:firstLine="247" w:firstLineChars="118"/>
      </w:pPr>
      <w:r>
        <w:rPr>
          <w:rFonts w:hint="eastAsia"/>
        </w:rPr>
        <w:t>基于现代计算机、通信、控制和系统集成等技术，实现列车运行全过程</w:t>
      </w:r>
      <w:r>
        <w:t>无司机操控</w:t>
      </w:r>
      <w:r>
        <w:rPr>
          <w:rFonts w:hint="eastAsia"/>
        </w:rPr>
        <w:t>的系统。</w:t>
      </w:r>
    </w:p>
    <w:p w14:paraId="0BBD3ADE">
      <w:pPr>
        <w:rPr>
          <w:b/>
        </w:rPr>
      </w:pPr>
      <w:r>
        <w:rPr>
          <w:rFonts w:hint="eastAsia"/>
          <w:b/>
        </w:rPr>
        <w:t>2.0.56  休眠 sleep</w:t>
      </w:r>
    </w:p>
    <w:p w14:paraId="75880301">
      <w:pPr>
        <w:ind w:firstLine="420" w:firstLineChars="200"/>
        <w:rPr>
          <w:kern w:val="0"/>
          <w:szCs w:val="20"/>
        </w:rPr>
      </w:pPr>
      <w:r>
        <w:rPr>
          <w:rFonts w:hint="eastAsia"/>
          <w:kern w:val="0"/>
          <w:szCs w:val="20"/>
        </w:rPr>
        <w:t>将停放于停车列检库、正线停车线或终端折返线指定区域的列车，对除休眠唤醒单元及车地通信设备外的整列车设备进行断电的一种作业。</w:t>
      </w:r>
    </w:p>
    <w:p w14:paraId="7DE82B94">
      <w:pPr>
        <w:rPr>
          <w:b/>
        </w:rPr>
      </w:pPr>
      <w:r>
        <w:rPr>
          <w:rFonts w:hint="eastAsia"/>
          <w:b/>
        </w:rPr>
        <w:t>2.0.57  唤醒 awake</w:t>
      </w:r>
    </w:p>
    <w:p w14:paraId="4EDCD476">
      <w:pPr>
        <w:ind w:firstLine="420" w:firstLineChars="200"/>
        <w:rPr>
          <w:kern w:val="0"/>
          <w:szCs w:val="20"/>
        </w:rPr>
      </w:pPr>
      <w:r>
        <w:rPr>
          <w:rFonts w:hint="eastAsia"/>
          <w:kern w:val="0"/>
          <w:szCs w:val="20"/>
        </w:rPr>
        <w:t>对休眠列车上电并完成上电自检、静态测试、动态测试（若有）等的一种作业。</w:t>
      </w:r>
    </w:p>
    <w:p w14:paraId="08CF8AE9">
      <w:pPr>
        <w:rPr>
          <w:b/>
        </w:rPr>
      </w:pPr>
      <w:r>
        <w:rPr>
          <w:rFonts w:hint="eastAsia"/>
          <w:b/>
        </w:rPr>
        <w:t>2.0.58  蠕动模式 creep automatic mode</w:t>
      </w:r>
    </w:p>
    <w:p w14:paraId="1D10D088">
      <w:pPr>
        <w:ind w:firstLine="420" w:firstLineChars="200"/>
        <w:rPr>
          <w:kern w:val="0"/>
          <w:szCs w:val="20"/>
        </w:rPr>
      </w:pPr>
      <w:r>
        <w:rPr>
          <w:rFonts w:hint="eastAsia"/>
          <w:kern w:val="0"/>
          <w:szCs w:val="20"/>
        </w:rPr>
        <w:t>全自动运行模式下当列车因车辆网络故障、或车辆与信号通信网络发生故障时，在无司乘人员干预下，由控制中心人工确认并在信号系统的防护下采用备用接口直接控制车辆的牵引和制动以规定速度运行至指定的目的地的一种驾驶模式。</w:t>
      </w:r>
    </w:p>
    <w:p w14:paraId="291CBA9D">
      <w:pPr>
        <w:rPr>
          <w:b/>
        </w:rPr>
      </w:pPr>
      <w:r>
        <w:rPr>
          <w:rFonts w:hint="eastAsia"/>
          <w:b/>
        </w:rPr>
        <w:t>2.0.59  对位隔离Corresponding Isolation</w:t>
      </w:r>
    </w:p>
    <w:p w14:paraId="4E2FDE45">
      <w:pPr>
        <w:ind w:firstLine="420" w:firstLineChars="200"/>
        <w:rPr>
          <w:kern w:val="0"/>
          <w:szCs w:val="20"/>
        </w:rPr>
      </w:pPr>
      <w:bookmarkStart w:id="39" w:name="_Hlk183620350"/>
      <w:r>
        <w:rPr>
          <w:rFonts w:hint="eastAsia"/>
          <w:kern w:val="0"/>
          <w:szCs w:val="20"/>
        </w:rPr>
        <w:t>到站列车的车门与站台屏蔽门的滑动门其中一方出现故障被隔离后，相应位置的另一方联动隔离不开门的功能。</w:t>
      </w:r>
    </w:p>
    <w:bookmarkEnd w:id="39"/>
    <w:p w14:paraId="1D6ED09D">
      <w:pPr>
        <w:rPr>
          <w:b/>
        </w:rPr>
      </w:pPr>
      <w:r>
        <w:rPr>
          <w:rFonts w:hint="eastAsia"/>
          <w:b/>
        </w:rPr>
        <w:t>2.0.60  人员防护开关 staff protection key switch</w:t>
      </w:r>
    </w:p>
    <w:p w14:paraId="3F45DED1">
      <w:pPr>
        <w:ind w:firstLine="420" w:firstLineChars="200"/>
        <w:rPr>
          <w:kern w:val="0"/>
          <w:szCs w:val="20"/>
        </w:rPr>
      </w:pPr>
      <w:r>
        <w:rPr>
          <w:rFonts w:hint="eastAsia"/>
          <w:kern w:val="0"/>
          <w:szCs w:val="20"/>
        </w:rPr>
        <w:t>为运营及维护人员进入自动化区域提供安全防护的一种装置，通常设置于室内或轨旁。</w:t>
      </w:r>
    </w:p>
    <w:p w14:paraId="7681D236">
      <w:pPr>
        <w:rPr>
          <w:b/>
        </w:rPr>
      </w:pPr>
      <w:r>
        <w:rPr>
          <w:rFonts w:hint="eastAsia"/>
          <w:b/>
        </w:rPr>
        <w:t>2.0.61  障碍物检测 obstacle detection</w:t>
      </w:r>
    </w:p>
    <w:p w14:paraId="6D6A5D19">
      <w:pPr>
        <w:ind w:firstLine="420" w:firstLineChars="200"/>
        <w:rPr>
          <w:kern w:val="0"/>
          <w:szCs w:val="20"/>
        </w:rPr>
      </w:pPr>
      <w:r>
        <w:rPr>
          <w:rFonts w:hint="eastAsia"/>
          <w:kern w:val="0"/>
          <w:szCs w:val="20"/>
        </w:rPr>
        <w:t>列车前方触碰前或触碰时检测到障碍物,进行障碍物报警并触发车辆紧急制动停车。</w:t>
      </w:r>
    </w:p>
    <w:p w14:paraId="24826F1C">
      <w:pPr>
        <w:rPr>
          <w:b/>
        </w:rPr>
      </w:pPr>
      <w:r>
        <w:rPr>
          <w:rFonts w:hint="eastAsia"/>
          <w:b/>
        </w:rPr>
        <w:t xml:space="preserve">2.0.62  云平台  cloud platform </w:t>
      </w:r>
    </w:p>
    <w:p w14:paraId="3AED55B8">
      <w:pPr>
        <w:ind w:firstLine="420" w:firstLineChars="200"/>
        <w:rPr>
          <w:kern w:val="0"/>
          <w:szCs w:val="20"/>
        </w:rPr>
      </w:pPr>
      <w:r>
        <w:rPr>
          <w:rFonts w:hint="eastAsia"/>
          <w:kern w:val="0"/>
          <w:szCs w:val="20"/>
        </w:rPr>
        <w:t>基于云计算技术，按业务需求提供计算、存储、网络、安全等云基础设施及服务软件的集合。</w:t>
      </w:r>
    </w:p>
    <w:p w14:paraId="3DFE57CC">
      <w:pPr>
        <w:rPr>
          <w:b/>
        </w:rPr>
      </w:pPr>
      <w:r>
        <w:rPr>
          <w:rFonts w:hint="eastAsia"/>
          <w:b/>
        </w:rPr>
        <w:t>2.0.63  列车自动控制  automatic train control  (ATC)</w:t>
      </w:r>
    </w:p>
    <w:p w14:paraId="617B12C9">
      <w:pPr>
        <w:ind w:firstLine="420" w:firstLineChars="200"/>
        <w:rPr>
          <w:kern w:val="0"/>
          <w:szCs w:val="20"/>
        </w:rPr>
      </w:pPr>
      <w:r>
        <w:rPr>
          <w:rFonts w:hint="eastAsia"/>
          <w:kern w:val="0"/>
          <w:szCs w:val="20"/>
        </w:rPr>
        <w:t>实现列车自动监控、自动防护和自动运行控制等技术的总称。</w:t>
      </w:r>
    </w:p>
    <w:p w14:paraId="498C9584">
      <w:pPr>
        <w:rPr>
          <w:b/>
        </w:rPr>
      </w:pPr>
      <w:r>
        <w:rPr>
          <w:rFonts w:hint="eastAsia"/>
          <w:b/>
        </w:rPr>
        <w:t>2.0.64  列车自动监控  automatic train supervision  (ATS)</w:t>
      </w:r>
    </w:p>
    <w:p w14:paraId="3150C365">
      <w:pPr>
        <w:ind w:firstLine="420" w:firstLineChars="200"/>
        <w:rPr>
          <w:kern w:val="0"/>
          <w:szCs w:val="20"/>
        </w:rPr>
      </w:pPr>
      <w:r>
        <w:rPr>
          <w:rFonts w:hint="eastAsia"/>
          <w:kern w:val="0"/>
          <w:szCs w:val="20"/>
        </w:rPr>
        <w:t>自动实现行车指挥控制、列车运行监视和管理等技术的总称。</w:t>
      </w:r>
    </w:p>
    <w:p w14:paraId="0264B663">
      <w:pPr>
        <w:rPr>
          <w:b/>
        </w:rPr>
      </w:pPr>
      <w:r>
        <w:rPr>
          <w:rFonts w:hint="eastAsia"/>
          <w:b/>
        </w:rPr>
        <w:t>2.0.65  列车自动防护  automatic train protection  (ATP)</w:t>
      </w:r>
    </w:p>
    <w:p w14:paraId="6CB5AC62">
      <w:pPr>
        <w:ind w:firstLine="420" w:firstLineChars="200"/>
        <w:rPr>
          <w:kern w:val="0"/>
          <w:szCs w:val="20"/>
        </w:rPr>
      </w:pPr>
      <w:r>
        <w:rPr>
          <w:rFonts w:hint="eastAsia"/>
          <w:kern w:val="0"/>
          <w:szCs w:val="20"/>
        </w:rPr>
        <w:t>实现列车运行间隔、超速防护、进路安全和车门等自动控制以及其他与相关专业联动共同实现列车运行安全防护技术的总称。</w:t>
      </w:r>
    </w:p>
    <w:p w14:paraId="10A32331">
      <w:pPr>
        <w:rPr>
          <w:b/>
        </w:rPr>
      </w:pPr>
      <w:r>
        <w:rPr>
          <w:rFonts w:hint="eastAsia"/>
          <w:b/>
        </w:rPr>
        <w:t>2.0.66  列车自动运行  automatic train operation  (ATO)</w:t>
      </w:r>
    </w:p>
    <w:p w14:paraId="5D89D575">
      <w:pPr>
        <w:ind w:firstLine="420" w:firstLineChars="200"/>
        <w:rPr>
          <w:kern w:val="0"/>
          <w:szCs w:val="20"/>
        </w:rPr>
      </w:pPr>
      <w:r>
        <w:rPr>
          <w:rFonts w:hint="eastAsia"/>
          <w:kern w:val="0"/>
          <w:szCs w:val="20"/>
        </w:rPr>
        <w:t>自动控制列车实现启动、速度调整、定点停车、车门开闭功能以及其他分配给司机的驾驶功能等的技术总称。</w:t>
      </w:r>
    </w:p>
    <w:p w14:paraId="0BCECE5C">
      <w:pPr>
        <w:rPr>
          <w:kern w:val="0"/>
          <w:szCs w:val="20"/>
        </w:rPr>
      </w:pPr>
      <w:r>
        <w:rPr>
          <w:rFonts w:hint="eastAsia"/>
          <w:b/>
        </w:rPr>
        <w:t xml:space="preserve">2.0.67  </w:t>
      </w:r>
      <w:r>
        <w:rPr>
          <w:rFonts w:hint="eastAsia"/>
          <w:b/>
          <w:bCs/>
          <w:kern w:val="0"/>
          <w:szCs w:val="20"/>
        </w:rPr>
        <w:t>计算机联锁 computer interlocking (CI)</w:t>
      </w:r>
    </w:p>
    <w:p w14:paraId="17CF65A2">
      <w:pPr>
        <w:ind w:firstLine="420" w:firstLineChars="200"/>
        <w:rPr>
          <w:kern w:val="0"/>
          <w:szCs w:val="20"/>
        </w:rPr>
      </w:pPr>
      <w:r>
        <w:rPr>
          <w:rFonts w:hint="eastAsia"/>
          <w:kern w:val="0"/>
          <w:szCs w:val="20"/>
        </w:rPr>
        <w:t>以计算机、电子技术为核心，使道岔、区段、信号机按一定的规则和条件建立相互关联、制约关系的实时控制技术的总称。</w:t>
      </w:r>
    </w:p>
    <w:p w14:paraId="0A7AB2E6">
      <w:pPr>
        <w:rPr>
          <w:kern w:val="0"/>
          <w:szCs w:val="20"/>
        </w:rPr>
      </w:pPr>
      <w:r>
        <w:rPr>
          <w:rFonts w:hint="eastAsia"/>
          <w:b/>
        </w:rPr>
        <w:t xml:space="preserve">2.0.68  </w:t>
      </w:r>
      <w:r>
        <w:rPr>
          <w:rFonts w:hint="eastAsia"/>
          <w:b/>
          <w:bCs/>
          <w:kern w:val="0"/>
          <w:szCs w:val="20"/>
        </w:rPr>
        <w:t>自动售检票系统automatic fare collection system（AFC）</w:t>
      </w:r>
    </w:p>
    <w:p w14:paraId="202DDA21">
      <w:pPr>
        <w:ind w:firstLine="420" w:firstLineChars="200"/>
        <w:rPr>
          <w:kern w:val="0"/>
          <w:szCs w:val="20"/>
        </w:rPr>
      </w:pPr>
      <w:r>
        <w:rPr>
          <w:rFonts w:hint="eastAsia"/>
          <w:kern w:val="0"/>
          <w:szCs w:val="20"/>
        </w:rPr>
        <w:t>基于计算机、通信网络、自动控制、自动识别、精密机械和传动等技术，实现地铁售票、检票、计费、收费、统计、清分、管理等全过程的机电一体化、自动化和信息化系统。</w:t>
      </w:r>
    </w:p>
    <w:p w14:paraId="1A15DCC9">
      <w:pPr>
        <w:rPr>
          <w:b/>
        </w:rPr>
      </w:pPr>
      <w:r>
        <w:rPr>
          <w:rFonts w:hint="eastAsia"/>
          <w:b/>
        </w:rPr>
        <w:t>2.0.69  火灾自动报警系统  fire alarm system  (FAS)</w:t>
      </w:r>
    </w:p>
    <w:p w14:paraId="53C3D8B8">
      <w:pPr>
        <w:ind w:firstLine="420" w:firstLineChars="200"/>
      </w:pPr>
      <w:r>
        <w:rPr>
          <w:rFonts w:hint="eastAsia"/>
        </w:rPr>
        <w:t>探测火灾早期特征、发出火灾报警信号，为人员疏散、防止火灾蔓延和启动自动灭火设备提供控制与指示的消防系统。</w:t>
      </w:r>
    </w:p>
    <w:p w14:paraId="1B5DF28C">
      <w:pPr>
        <w:rPr>
          <w:b/>
        </w:rPr>
      </w:pPr>
      <w:r>
        <w:rPr>
          <w:rFonts w:hint="eastAsia"/>
          <w:b/>
        </w:rPr>
        <w:t>2.0.70 综合监控系统  integrated supervisory and control system  (ISCS)</w:t>
      </w:r>
    </w:p>
    <w:p w14:paraId="7E2EA751">
      <w:pPr>
        <w:ind w:firstLine="420" w:firstLineChars="200"/>
      </w:pPr>
      <w:bookmarkStart w:id="40" w:name="_Hlk183621467"/>
      <w:r>
        <w:t>基于大型监控软件平台，与</w:t>
      </w:r>
      <w:r>
        <w:rPr>
          <w:rFonts w:hint="eastAsia"/>
        </w:rPr>
        <w:t>各自动化</w:t>
      </w:r>
      <w:r>
        <w:t>系统</w:t>
      </w:r>
      <w:r>
        <w:rPr>
          <w:rFonts w:hint="eastAsia"/>
        </w:rPr>
        <w:t>采用标准化</w:t>
      </w:r>
      <w:r>
        <w:t>接口，</w:t>
      </w:r>
      <w:r>
        <w:rPr>
          <w:rFonts w:hint="eastAsia"/>
        </w:rPr>
        <w:t>进行数据采集、信息集成和信息共享，</w:t>
      </w:r>
      <w:r>
        <w:t>在同一</w:t>
      </w:r>
      <w:r>
        <w:rPr>
          <w:rFonts w:hint="eastAsia"/>
        </w:rPr>
        <w:t>软件平台上</w:t>
      </w:r>
      <w:r>
        <w:t>实现调度、协调和联动</w:t>
      </w:r>
      <w:r>
        <w:rPr>
          <w:rFonts w:hint="eastAsia"/>
        </w:rPr>
        <w:t>的</w:t>
      </w:r>
      <w:r>
        <w:t>集成系统。</w:t>
      </w:r>
    </w:p>
    <w:bookmarkEnd w:id="40"/>
    <w:p w14:paraId="5ED5D30C">
      <w:pPr>
        <w:rPr>
          <w:b/>
        </w:rPr>
      </w:pPr>
      <w:r>
        <w:rPr>
          <w:rFonts w:hint="eastAsia"/>
          <w:b/>
        </w:rPr>
        <w:t>2.0.71  综合后备盘  integrated backup panel  (IBP)</w:t>
      </w:r>
    </w:p>
    <w:p w14:paraId="4C0E60AE">
      <w:pPr>
        <w:ind w:firstLine="420" w:firstLineChars="200"/>
        <w:rPr>
          <w:kern w:val="0"/>
          <w:szCs w:val="20"/>
        </w:rPr>
      </w:pPr>
      <w:r>
        <w:rPr>
          <w:rFonts w:hint="eastAsia"/>
          <w:kern w:val="0"/>
          <w:szCs w:val="20"/>
        </w:rPr>
        <w:t>对多专业的重要监控对象，在紧急情况下仍可实现手动操作并显示其功能的装置。</w:t>
      </w:r>
    </w:p>
    <w:p w14:paraId="5E9FCD93">
      <w:pPr>
        <w:rPr>
          <w:b/>
        </w:rPr>
      </w:pPr>
      <w:r>
        <w:rPr>
          <w:rFonts w:hint="eastAsia"/>
          <w:b/>
        </w:rPr>
        <w:t>2.0.72  门禁系统  access control system  (ACS)</w:t>
      </w:r>
    </w:p>
    <w:p w14:paraId="339E5C7E">
      <w:pPr>
        <w:ind w:firstLine="420" w:firstLineChars="200"/>
        <w:rPr>
          <w:kern w:val="0"/>
          <w:szCs w:val="20"/>
        </w:rPr>
      </w:pPr>
      <w:r>
        <w:rPr>
          <w:rFonts w:hint="eastAsia"/>
          <w:kern w:val="0"/>
          <w:szCs w:val="20"/>
        </w:rPr>
        <w:t>又称出入口控制系统，是集计算机、网络、自动识别、控制等技术和现代安全管理措施为一体的自动化安全管理控制系统。</w:t>
      </w:r>
    </w:p>
    <w:p w14:paraId="5D4F0A50">
      <w:pPr>
        <w:rPr>
          <w:b/>
        </w:rPr>
      </w:pPr>
      <w:r>
        <w:rPr>
          <w:rFonts w:hint="eastAsia"/>
          <w:b/>
        </w:rPr>
        <w:t>2.0.73  环境与设备监控系统  building automatic system  (BAS)</w:t>
      </w:r>
    </w:p>
    <w:p w14:paraId="3C4B9646">
      <w:pPr>
        <w:ind w:firstLine="420" w:firstLineChars="200"/>
        <w:rPr>
          <w:kern w:val="0"/>
          <w:szCs w:val="20"/>
        </w:rPr>
      </w:pPr>
      <w:r>
        <w:rPr>
          <w:rFonts w:hint="eastAsia"/>
          <w:kern w:val="0"/>
          <w:szCs w:val="20"/>
        </w:rPr>
        <w:t>对地铁建筑物内的环境参数及空气调节、通风（包括隧道通风）、给排水、照明、导向标识、自动扶梯、自动人行道、电梯、防淹门等机电设备和系统进行集中监视、控制和管理的工业自动化系统。</w:t>
      </w:r>
    </w:p>
    <w:p w14:paraId="3AD0D4E5">
      <w:pPr>
        <w:rPr>
          <w:b/>
        </w:rPr>
      </w:pPr>
      <w:r>
        <w:rPr>
          <w:rFonts w:hint="eastAsia"/>
          <w:b/>
        </w:rPr>
        <w:t>2.0.74  安全检查及探测系统 security inspection &amp; detection system</w:t>
      </w:r>
    </w:p>
    <w:p w14:paraId="78842A62">
      <w:pPr>
        <w:ind w:firstLine="420" w:firstLineChars="200"/>
        <w:rPr>
          <w:kern w:val="0"/>
          <w:szCs w:val="20"/>
        </w:rPr>
      </w:pPr>
      <w:r>
        <w:rPr>
          <w:rFonts w:hint="eastAsia"/>
          <w:kern w:val="0"/>
          <w:szCs w:val="20"/>
        </w:rPr>
        <w:t>检查有关人员、行李是否携带危险货物、或违禁品的电子设备及网络。</w:t>
      </w:r>
    </w:p>
    <w:p w14:paraId="015ADF9A">
      <w:pPr>
        <w:rPr>
          <w:b/>
        </w:rPr>
      </w:pPr>
      <w:r>
        <w:rPr>
          <w:rFonts w:hint="eastAsia"/>
          <w:b/>
        </w:rPr>
        <w:t>2.0.75  乘客信息系统  passenger information system  (PIS)</w:t>
      </w:r>
    </w:p>
    <w:p w14:paraId="1640BCF0">
      <w:pPr>
        <w:ind w:firstLine="420" w:firstLineChars="200"/>
        <w:rPr>
          <w:kern w:val="0"/>
          <w:szCs w:val="20"/>
        </w:rPr>
      </w:pPr>
      <w:r>
        <w:rPr>
          <w:rFonts w:hint="eastAsia"/>
          <w:kern w:val="0"/>
          <w:szCs w:val="20"/>
        </w:rPr>
        <w:t>为站内和列车内的乘客提供有关安全、运营及服务等综合信息显示的系统。</w:t>
      </w:r>
    </w:p>
    <w:p w14:paraId="4C9CFA30">
      <w:pPr>
        <w:rPr>
          <w:b/>
        </w:rPr>
      </w:pPr>
      <w:r>
        <w:rPr>
          <w:rFonts w:hint="eastAsia"/>
          <w:b/>
        </w:rPr>
        <w:t>2.0.76  站台屏蔽门  platform screen doors  (PSD)</w:t>
      </w:r>
    </w:p>
    <w:p w14:paraId="3D36CEDA">
      <w:pPr>
        <w:ind w:firstLine="420" w:firstLineChars="200"/>
        <w:rPr>
          <w:kern w:val="0"/>
          <w:szCs w:val="20"/>
        </w:rPr>
      </w:pPr>
      <w:r>
        <w:rPr>
          <w:rFonts w:hint="eastAsia"/>
          <w:kern w:val="0"/>
          <w:szCs w:val="20"/>
        </w:rPr>
        <w:t>安装在车站站台边缘，将列车运行区与站台候车区隔开，设有与列车门相对应、可多级控制开启与关闭滑动门的连续屏障。</w:t>
      </w:r>
    </w:p>
    <w:p w14:paraId="7AAA6765">
      <w:pPr>
        <w:rPr>
          <w:b/>
        </w:rPr>
      </w:pPr>
      <w:r>
        <w:rPr>
          <w:rFonts w:hint="eastAsia"/>
          <w:b/>
        </w:rPr>
        <w:t>2.0.77  应急门  emergency escape door</w:t>
      </w:r>
    </w:p>
    <w:p w14:paraId="764D849A">
      <w:pPr>
        <w:ind w:firstLine="420" w:firstLineChars="200"/>
        <w:rPr>
          <w:kern w:val="0"/>
          <w:szCs w:val="20"/>
        </w:rPr>
      </w:pPr>
      <w:r>
        <w:rPr>
          <w:rFonts w:hint="eastAsia"/>
          <w:kern w:val="0"/>
          <w:szCs w:val="20"/>
        </w:rPr>
        <w:t>站台屏蔽门设施上的应急装置，当乘客无法正常从滑动门进出时，供乘客由车内向站台通行的门。</w:t>
      </w:r>
    </w:p>
    <w:p w14:paraId="16E4EBFA">
      <w:pPr>
        <w:rPr>
          <w:b/>
        </w:rPr>
      </w:pPr>
      <w:r>
        <w:rPr>
          <w:rFonts w:hint="eastAsia"/>
          <w:b/>
        </w:rPr>
        <w:t>2.0.78  车辆基地  base for the vehicle</w:t>
      </w:r>
    </w:p>
    <w:p w14:paraId="673D9C2D">
      <w:pPr>
        <w:ind w:firstLine="420" w:firstLineChars="200"/>
        <w:rPr>
          <w:kern w:val="0"/>
          <w:szCs w:val="20"/>
        </w:rPr>
      </w:pPr>
      <w:r>
        <w:rPr>
          <w:rFonts w:hint="eastAsia"/>
          <w:kern w:val="0"/>
          <w:szCs w:val="20"/>
        </w:rPr>
        <w:t>承担车辆运用维护和检修；线路设施、机电设备及系统设备运用维护和检修；运营物资仓储及物流；职工教育培训等功能的综合性基地，包括车辆段（停车场）、综合维修中心（维修工区）、物资总库、培训中心和配套的辅助生产设施，以及办公和生活设施的统称。</w:t>
      </w:r>
    </w:p>
    <w:p w14:paraId="419D59B1">
      <w:pPr>
        <w:rPr>
          <w:b/>
        </w:rPr>
      </w:pPr>
      <w:r>
        <w:rPr>
          <w:rFonts w:hint="eastAsia"/>
          <w:b/>
        </w:rPr>
        <w:t>2.0.79  车辆段  depot</w:t>
      </w:r>
    </w:p>
    <w:p w14:paraId="4C86B1FE">
      <w:pPr>
        <w:ind w:firstLine="420" w:firstLineChars="200"/>
        <w:rPr>
          <w:kern w:val="0"/>
          <w:szCs w:val="20"/>
        </w:rPr>
      </w:pPr>
      <w:r>
        <w:rPr>
          <w:rFonts w:hint="eastAsia"/>
          <w:kern w:val="0"/>
          <w:szCs w:val="20"/>
        </w:rPr>
        <w:t>承担车辆停放、运用管理、整备保养、检查、定修或大、架修的基本生产单位。</w:t>
      </w:r>
    </w:p>
    <w:p w14:paraId="66673D2E">
      <w:pPr>
        <w:rPr>
          <w:b/>
        </w:rPr>
      </w:pPr>
      <w:r>
        <w:rPr>
          <w:rFonts w:hint="eastAsia"/>
          <w:b/>
        </w:rPr>
        <w:t>2.0.80  停车场  parking lot ，stabling yard</w:t>
      </w:r>
    </w:p>
    <w:p w14:paraId="21A2FABC">
      <w:pPr>
        <w:ind w:firstLine="420" w:firstLineChars="200"/>
        <w:rPr>
          <w:kern w:val="0"/>
          <w:szCs w:val="20"/>
        </w:rPr>
      </w:pPr>
      <w:r>
        <w:rPr>
          <w:rFonts w:hint="eastAsia"/>
          <w:kern w:val="0"/>
          <w:szCs w:val="20"/>
        </w:rPr>
        <w:t>停放配属车辆，以及承担车辆的运用管理、日常检修的基本生产单位。</w:t>
      </w:r>
    </w:p>
    <w:p w14:paraId="0479BCCB">
      <w:pPr>
        <w:rPr>
          <w:b/>
        </w:rPr>
      </w:pPr>
      <w:r>
        <w:rPr>
          <w:rFonts w:hint="eastAsia"/>
          <w:b/>
        </w:rPr>
        <w:t>2.0.81  检修修程  examine and repair program</w:t>
      </w:r>
    </w:p>
    <w:p w14:paraId="4D4C5797">
      <w:pPr>
        <w:ind w:firstLine="420" w:firstLineChars="200"/>
        <w:rPr>
          <w:kern w:val="0"/>
          <w:szCs w:val="20"/>
        </w:rPr>
      </w:pPr>
      <w:r>
        <w:rPr>
          <w:rFonts w:hint="eastAsia"/>
          <w:kern w:val="0"/>
          <w:szCs w:val="20"/>
        </w:rPr>
        <w:t>根据车辆技术状态和寿命周期所确定的车辆检查、修理的等级，包括厂修、架修、月检和列检四个等级，其中厂修、架修为定期检修，月检和列检为日常检修。</w:t>
      </w:r>
    </w:p>
    <w:p w14:paraId="04C91D44">
      <w:pPr>
        <w:rPr>
          <w:b/>
        </w:rPr>
      </w:pPr>
      <w:r>
        <w:rPr>
          <w:rFonts w:hint="eastAsia"/>
          <w:b/>
        </w:rPr>
        <w:t>2.0.82  检修周期  examine and repair period</w:t>
      </w:r>
    </w:p>
    <w:p w14:paraId="32747246">
      <w:pPr>
        <w:ind w:firstLine="420" w:firstLineChars="200"/>
        <w:rPr>
          <w:kern w:val="0"/>
          <w:szCs w:val="20"/>
        </w:rPr>
      </w:pPr>
      <w:r>
        <w:rPr>
          <w:rFonts w:hint="eastAsia"/>
          <w:kern w:val="0"/>
          <w:szCs w:val="20"/>
        </w:rPr>
        <w:t xml:space="preserve">车辆各种检修修程中，两次检修的间隔，通常采用车辆走行公里或间隔时间作为规定。 </w:t>
      </w:r>
    </w:p>
    <w:p w14:paraId="3850C697">
      <w:pPr>
        <w:rPr>
          <w:kern w:val="0"/>
          <w:szCs w:val="20"/>
        </w:rPr>
      </w:pPr>
      <w:r>
        <w:rPr>
          <w:rFonts w:hint="eastAsia"/>
          <w:b/>
        </w:rPr>
        <w:t xml:space="preserve">2.0.83  </w:t>
      </w:r>
      <w:r>
        <w:rPr>
          <w:rFonts w:hint="eastAsia"/>
          <w:b/>
          <w:bCs/>
          <w:kern w:val="0"/>
          <w:szCs w:val="20"/>
        </w:rPr>
        <w:t>区间联络通道 cross-passageway</w:t>
      </w:r>
    </w:p>
    <w:p w14:paraId="0DDF5C8F">
      <w:pPr>
        <w:ind w:firstLine="420" w:firstLineChars="200"/>
        <w:rPr>
          <w:kern w:val="0"/>
          <w:szCs w:val="20"/>
        </w:rPr>
      </w:pPr>
      <w:r>
        <w:rPr>
          <w:rFonts w:hint="eastAsia"/>
          <w:kern w:val="0"/>
          <w:szCs w:val="20"/>
        </w:rPr>
        <w:t>连接单洞双线或相邻两条单洞单线载客运营地下区间、在火灾时可供人员双向安全疏散用的通道。</w:t>
      </w:r>
    </w:p>
    <w:p w14:paraId="4CEE9B49">
      <w:pPr>
        <w:rPr>
          <w:b/>
        </w:rPr>
      </w:pPr>
      <w:r>
        <w:rPr>
          <w:rFonts w:hint="eastAsia"/>
          <w:b/>
        </w:rPr>
        <w:t>2.0.84  板地 top slab floor</w:t>
      </w:r>
    </w:p>
    <w:p w14:paraId="78C82857">
      <w:pPr>
        <w:ind w:firstLine="420" w:firstLineChars="200"/>
        <w:rPr>
          <w:kern w:val="0"/>
          <w:szCs w:val="20"/>
        </w:rPr>
      </w:pPr>
      <w:r>
        <w:rPr>
          <w:rFonts w:hint="eastAsia"/>
          <w:kern w:val="0"/>
          <w:szCs w:val="20"/>
        </w:rPr>
        <w:t>在轨道交通车辆基地上方，承载上盖建筑的结构顶板。</w:t>
      </w:r>
    </w:p>
    <w:p w14:paraId="31C0963B">
      <w:pPr>
        <w:pStyle w:val="3"/>
      </w:pPr>
      <w:r>
        <w:br w:type="page"/>
      </w:r>
      <w:bookmarkStart w:id="41" w:name="_Toc183472185"/>
      <w:bookmarkStart w:id="42" w:name="_Toc183683477"/>
      <w:bookmarkStart w:id="43" w:name="_Toc183699861"/>
      <w:bookmarkStart w:id="44" w:name="_Toc183735405"/>
      <w:bookmarkStart w:id="45" w:name="_Toc183888455"/>
      <w:bookmarkStart w:id="46" w:name="_Toc183790480"/>
      <w:bookmarkStart w:id="47" w:name="_Toc183888093"/>
      <w:bookmarkStart w:id="48" w:name="_Toc183882041"/>
      <w:bookmarkStart w:id="49" w:name="_Toc183765050"/>
      <w:bookmarkStart w:id="50" w:name="_Toc183882403"/>
      <w:r>
        <w:t>基本规定</w:t>
      </w:r>
      <w:bookmarkEnd w:id="41"/>
      <w:bookmarkEnd w:id="42"/>
      <w:bookmarkEnd w:id="43"/>
      <w:bookmarkEnd w:id="44"/>
      <w:bookmarkEnd w:id="45"/>
      <w:bookmarkEnd w:id="46"/>
      <w:bookmarkEnd w:id="47"/>
      <w:bookmarkEnd w:id="48"/>
      <w:bookmarkEnd w:id="49"/>
      <w:bookmarkEnd w:id="50"/>
    </w:p>
    <w:p w14:paraId="44501C64">
      <w:r>
        <w:rPr>
          <w:rFonts w:hint="eastAsia"/>
          <w:b/>
        </w:rPr>
        <w:t>3</w:t>
      </w:r>
      <w:r>
        <w:rPr>
          <w:b/>
        </w:rPr>
        <w:t>.0.</w:t>
      </w:r>
      <w:r>
        <w:rPr>
          <w:rFonts w:hint="eastAsia"/>
          <w:b/>
        </w:rPr>
        <w:t xml:space="preserve">1  </w:t>
      </w:r>
      <w:r>
        <w:t>城市轨道交通工程设计，应符合国家政府主管部门批准的城市总体规划、城市轨道交通线网规划及近期建设规划。</w:t>
      </w:r>
    </w:p>
    <w:p w14:paraId="505E02B1">
      <w:r>
        <w:rPr>
          <w:rFonts w:hint="eastAsia"/>
          <w:b/>
        </w:rPr>
        <w:t>3</w:t>
      </w:r>
      <w:r>
        <w:rPr>
          <w:b/>
        </w:rPr>
        <w:t>.0.</w:t>
      </w:r>
      <w:r>
        <w:rPr>
          <w:rFonts w:hint="eastAsia"/>
          <w:b/>
        </w:rPr>
        <w:t xml:space="preserve">2  </w:t>
      </w:r>
      <w:r>
        <w:t>为适应城市轨道交通网络化发展的需要和资源共享的需求，应在立足总结网络化运营经验和教训的基础上，不断提高网络化的整体效益，实现网络资源的合理配置。</w:t>
      </w:r>
    </w:p>
    <w:p w14:paraId="419A1C63">
      <w:r>
        <w:rPr>
          <w:rFonts w:hint="eastAsia"/>
          <w:b/>
        </w:rPr>
        <w:t>3</w:t>
      </w:r>
      <w:r>
        <w:rPr>
          <w:b/>
        </w:rPr>
        <w:t>.0.</w:t>
      </w:r>
      <w:r>
        <w:rPr>
          <w:rFonts w:hint="eastAsia"/>
          <w:b/>
        </w:rPr>
        <w:t>3</w:t>
      </w:r>
      <w:r>
        <w:rPr>
          <w:rFonts w:hint="eastAsia"/>
        </w:rPr>
        <w:t xml:space="preserve">  </w:t>
      </w:r>
      <w:r>
        <w:t>对线网中的换乘节点，应遵循统一规划、同步设计的原则，近期线网的换乘节点宜同期建设，与远期线的换乘节点应预留工程实施条件。</w:t>
      </w:r>
    </w:p>
    <w:p w14:paraId="503FE4DF">
      <w:r>
        <w:rPr>
          <w:rFonts w:hint="eastAsia"/>
          <w:b/>
        </w:rPr>
        <w:t>3</w:t>
      </w:r>
      <w:r>
        <w:rPr>
          <w:b/>
        </w:rPr>
        <w:t>.0.</w:t>
      </w:r>
      <w:r>
        <w:rPr>
          <w:rFonts w:hint="eastAsia"/>
          <w:b/>
        </w:rPr>
        <w:t>4</w:t>
      </w:r>
      <w:r>
        <w:rPr>
          <w:rFonts w:hint="eastAsia"/>
        </w:rPr>
        <w:t xml:space="preserve">  </w:t>
      </w:r>
      <w:r>
        <w:t>城市轨道交通工程线路设计应依据轨道交通线网规划、建设时序、功能定位和客流特征，</w:t>
      </w:r>
      <w:r>
        <w:rPr>
          <w:rFonts w:hint="eastAsia"/>
        </w:rPr>
        <w:t>统筹城市发展需求，</w:t>
      </w:r>
      <w:r>
        <w:t>确定线路走向、起终点、线间换乘点和支线的接轨点，并处理好与城市和城际其他交通方式的一体化接驳关系。</w:t>
      </w:r>
    </w:p>
    <w:p w14:paraId="3E3C0FDC">
      <w:r>
        <w:rPr>
          <w:rFonts w:hint="eastAsia"/>
          <w:b/>
        </w:rPr>
        <w:t xml:space="preserve">3.0.5 </w:t>
      </w:r>
      <w:r>
        <w:rPr>
          <w:rFonts w:hint="eastAsia"/>
        </w:rPr>
        <w:t>地铁工程设计应以建成通车年为基准年，并按初期3年、近期10年和远期25年分别测定客流需求，各年限设计运能应分别满足客运需求，并具备支持运输能力提升10%的条件，满足客流波动下的运能余量要求。</w:t>
      </w:r>
    </w:p>
    <w:p w14:paraId="21394463">
      <w:pPr>
        <w:widowControl/>
        <w:jc w:val="left"/>
      </w:pPr>
      <w:r>
        <w:rPr>
          <w:rFonts w:hint="eastAsia"/>
          <w:b/>
        </w:rPr>
        <w:t>3</w:t>
      </w:r>
      <w:r>
        <w:rPr>
          <w:b/>
        </w:rPr>
        <w:t>.0.</w:t>
      </w:r>
      <w:r>
        <w:rPr>
          <w:rFonts w:hint="eastAsia"/>
          <w:b/>
        </w:rPr>
        <w:t xml:space="preserve">6  </w:t>
      </w:r>
      <w:r>
        <w:rPr>
          <w:lang w:bidi="ar"/>
        </w:rPr>
        <w:t>地铁系统的建设规模、系统运能、设备容量以及车辆基地用地规模等应按客流控制期的预测客流量、列车通过能力和网络资源共享原则进行设计</w:t>
      </w:r>
      <w:r>
        <w:t>。可分期建设的工程和可分期配置的设备，</w:t>
      </w:r>
      <w:r>
        <w:rPr>
          <w:rFonts w:hint="eastAsia"/>
        </w:rPr>
        <w:t>宜</w:t>
      </w:r>
      <w:r>
        <w:t>根据不同阶段</w:t>
      </w:r>
      <w:r>
        <w:rPr>
          <w:rFonts w:hint="eastAsia"/>
        </w:rPr>
        <w:t>的需求</w:t>
      </w:r>
      <w:r>
        <w:t>分期实施。</w:t>
      </w:r>
    </w:p>
    <w:p w14:paraId="2D015F29">
      <w:pPr>
        <w:widowControl/>
        <w:jc w:val="left"/>
      </w:pPr>
      <w:r>
        <w:rPr>
          <w:rFonts w:hint="eastAsia"/>
          <w:b/>
        </w:rPr>
        <w:t>3</w:t>
      </w:r>
      <w:r>
        <w:rPr>
          <w:b/>
        </w:rPr>
        <w:t>.0.7</w:t>
      </w:r>
      <w:r>
        <w:rPr>
          <w:rFonts w:hint="eastAsia"/>
          <w:b/>
        </w:rPr>
        <w:t xml:space="preserve">  </w:t>
      </w:r>
      <w:r>
        <w:rPr>
          <w:rFonts w:hint="eastAsia"/>
        </w:rPr>
        <w:t>确定列车运输能力时，车厢有效空余地板面站立乘客密度标准应根据线路性质、客群属性、高断面持续范围等因素综合确定；普线宜按5人/m</w:t>
      </w:r>
      <w:r>
        <w:rPr>
          <w:rFonts w:hint="eastAsia"/>
          <w:vertAlign w:val="superscript"/>
        </w:rPr>
        <w:t>2</w:t>
      </w:r>
      <w:r>
        <w:rPr>
          <w:rFonts w:hint="eastAsia"/>
        </w:rPr>
        <w:t>设计，快线宜按4~5人/m</w:t>
      </w:r>
      <w:r>
        <w:rPr>
          <w:rFonts w:hint="eastAsia"/>
          <w:vertAlign w:val="superscript"/>
        </w:rPr>
        <w:t>2</w:t>
      </w:r>
      <w:r>
        <w:rPr>
          <w:rFonts w:hint="eastAsia"/>
        </w:rPr>
        <w:t>进行设计；衔接对外交通枢纽、乘客携带行李较多时宜根据具体要求进行调整。</w:t>
      </w:r>
    </w:p>
    <w:p w14:paraId="28AC6F87">
      <w:r>
        <w:rPr>
          <w:rFonts w:hint="eastAsia"/>
          <w:b/>
        </w:rPr>
        <w:t xml:space="preserve">3.0.8  </w:t>
      </w:r>
      <w:r>
        <w:rPr>
          <w:rFonts w:hint="eastAsia"/>
        </w:rPr>
        <w:t>线路应以快速、安全、独立运行为原则。在两条正线或主线与支线之间，可根据客流需求并经论证后组织共线运行。</w:t>
      </w:r>
    </w:p>
    <w:p w14:paraId="7A3F5A64">
      <w:r>
        <w:rPr>
          <w:rFonts w:hint="eastAsia"/>
          <w:b/>
        </w:rPr>
        <w:t xml:space="preserve">3.0.9  </w:t>
      </w:r>
      <w:r>
        <w:t>位于待建区的线路和车站，宜结合周边地区开发，实施一体化设计，进行同步规划、同步建设或预留土建接口条件</w:t>
      </w:r>
      <w:r>
        <w:rPr>
          <w:rFonts w:hint="eastAsia"/>
        </w:rPr>
        <w:t>。</w:t>
      </w:r>
    </w:p>
    <w:p w14:paraId="6B7BB20D">
      <w:r>
        <w:rPr>
          <w:rFonts w:hint="eastAsia"/>
          <w:b/>
        </w:rPr>
        <w:t xml:space="preserve">3.0.10  </w:t>
      </w:r>
      <w:r>
        <w:rPr>
          <w:rFonts w:hint="eastAsia"/>
        </w:rPr>
        <w:t>车站总体布局应满足北京市城市总体规划、城市综合交通规划、环境保护、文物保护和城市景观的要求，应结合一体化统筹布局，以保障乘客出行服务为准则，处理好与地面建筑、城市道路、地下管线、地下构筑物及施工时交通组织之间的关系，减少房屋拆迁和管线改移。</w:t>
      </w:r>
    </w:p>
    <w:p w14:paraId="036A8327">
      <w:r>
        <w:rPr>
          <w:rFonts w:hint="eastAsia"/>
          <w:b/>
        </w:rPr>
        <w:t xml:space="preserve">3.0.11  </w:t>
      </w:r>
      <w:r>
        <w:rPr>
          <w:rFonts w:hint="eastAsia"/>
        </w:rPr>
        <w:t>车站设计应结合初近远期列车编组、行车运营组织模式，满足客流需求，确保乘降安全、疏导迅速。功能布局、通风、照明、卫生、防灾等设施配置应合理，并具备良好的经济效益，满足运营管理需求。</w:t>
      </w:r>
    </w:p>
    <w:p w14:paraId="28362E56">
      <w:r>
        <w:rPr>
          <w:rFonts w:hint="eastAsia"/>
          <w:b/>
        </w:rPr>
        <w:t xml:space="preserve">3.0.12  </w:t>
      </w:r>
      <w:r>
        <w:rPr>
          <w:rFonts w:hint="eastAsia"/>
        </w:rPr>
        <w:t>车站的地下、地上空间宜综合利用。车站与周边建筑的一体化设计应根据两者的空间关系、建设时序合理确定，并应满足车站的运营管理和防灾等要求。</w:t>
      </w:r>
    </w:p>
    <w:p w14:paraId="419C5170">
      <w:r>
        <w:rPr>
          <w:rFonts w:hint="eastAsia"/>
          <w:b/>
        </w:rPr>
        <w:t xml:space="preserve">3.0.13  </w:t>
      </w:r>
      <w:r>
        <w:t>城市轨道交通工程</w:t>
      </w:r>
      <w:r>
        <w:rPr>
          <w:rFonts w:hint="eastAsia"/>
        </w:rPr>
        <w:t>的主体结构、路基和道床结构以及因结构损坏或大修对地铁运营安全有严重影响的其他结构工程设计工作年限不应低于100年，因结构损坏或大修对地铁运营安全没有严重影响且使用期间可更换的构件，设计工作年限不应低于50年。</w:t>
      </w:r>
    </w:p>
    <w:p w14:paraId="24ED185F">
      <w:r>
        <w:rPr>
          <w:b/>
        </w:rPr>
        <w:t>3.0.1</w:t>
      </w:r>
      <w:r>
        <w:rPr>
          <w:rFonts w:hint="eastAsia"/>
          <w:b/>
        </w:rPr>
        <w:t>4</w:t>
      </w:r>
      <w:r>
        <w:rPr>
          <w:b/>
        </w:rPr>
        <w:t xml:space="preserve"> </w:t>
      </w:r>
      <w:r>
        <w:t xml:space="preserve"> 城市轨道交通工程安全保护区范围按如下规定。</w:t>
      </w:r>
    </w:p>
    <w:p w14:paraId="36CCB075">
      <w:pPr>
        <w:pStyle w:val="7"/>
        <w:ind w:firstLine="420"/>
      </w:pPr>
      <w:r>
        <w:t>出入口、通风亭、冷却塔、主变电所和残疾人直升电梯等建筑物、构筑物结构外边线外侧10米内；</w:t>
      </w:r>
    </w:p>
    <w:p w14:paraId="659A37F7">
      <w:pPr>
        <w:pStyle w:val="7"/>
        <w:ind w:firstLine="420"/>
      </w:pPr>
      <w:r>
        <w:t>地面车站和地面线路、高架车站和高架线路结构、车辆基地用地范围外边线外侧30米内；</w:t>
      </w:r>
    </w:p>
    <w:p w14:paraId="6861F929">
      <w:pPr>
        <w:pStyle w:val="7"/>
        <w:ind w:firstLine="420"/>
      </w:pPr>
      <w:r>
        <w:t>地下车站与隧道结构外边线外侧50米内；</w:t>
      </w:r>
    </w:p>
    <w:p w14:paraId="11A09275">
      <w:pPr>
        <w:pStyle w:val="7"/>
        <w:ind w:firstLine="420"/>
      </w:pPr>
      <w:r>
        <w:t>轨道交通过湖、过河隧道和桥梁结构外边线外侧100米内。</w:t>
      </w:r>
    </w:p>
    <w:p w14:paraId="581F4FF2">
      <w:r>
        <w:rPr>
          <w:b/>
        </w:rPr>
        <w:t>3.0.1</w:t>
      </w:r>
      <w:r>
        <w:rPr>
          <w:rFonts w:hint="eastAsia"/>
          <w:b/>
        </w:rPr>
        <w:t>5</w:t>
      </w:r>
      <w:r>
        <w:rPr>
          <w:b/>
        </w:rPr>
        <w:t xml:space="preserve">  </w:t>
      </w:r>
      <w:r>
        <w:t>地下结构抗浮稳定性验算所采用的地下水位标高应按论证后确定的抗浮设防水位标高和结构顶板顶标高的较大值取用。结构强度验算应计及最不利抗浮设计水位条件下的受力影响。</w:t>
      </w:r>
    </w:p>
    <w:p w14:paraId="444ACEA8">
      <w:r>
        <w:rPr>
          <w:b/>
        </w:rPr>
        <w:t>3.0.1</w:t>
      </w:r>
      <w:r>
        <w:rPr>
          <w:rFonts w:hint="eastAsia"/>
          <w:b/>
        </w:rPr>
        <w:t>6</w:t>
      </w:r>
      <w:r>
        <w:rPr>
          <w:b/>
        </w:rPr>
        <w:t xml:space="preserve">  </w:t>
      </w:r>
      <w:r>
        <w:t>地下结构防水设计应结合工程地质与水文地质、施工工法等条件，从有利于混凝土质量控制、防水层材料施工保障性、防水层接头和节点构造防水可靠性等角度出发，综合确定施工方便、不易串水、有利于达成整体防水性能的防水设计方案和构造措施。</w:t>
      </w:r>
    </w:p>
    <w:p w14:paraId="04E6D169">
      <w:r>
        <w:rPr>
          <w:b/>
        </w:rPr>
        <w:t>3.0.1</w:t>
      </w:r>
      <w:r>
        <w:rPr>
          <w:rFonts w:hint="eastAsia"/>
          <w:b/>
        </w:rPr>
        <w:t>7</w:t>
      </w:r>
      <w:r>
        <w:rPr>
          <w:b/>
        </w:rPr>
        <w:t xml:space="preserve">  </w:t>
      </w:r>
      <w:r>
        <w:t>城市轨道交通工程设计应根据环评报告要求及沿线环境敏感点的情况，采取减振降噪等环保措施。</w:t>
      </w:r>
    </w:p>
    <w:p w14:paraId="25FC5C79">
      <w:r>
        <w:rPr>
          <w:rFonts w:hint="eastAsia"/>
          <w:b/>
        </w:rPr>
        <w:t>3</w:t>
      </w:r>
      <w:r>
        <w:rPr>
          <w:b/>
        </w:rPr>
        <w:t>.0.</w:t>
      </w:r>
      <w:r>
        <w:rPr>
          <w:rFonts w:hint="eastAsia"/>
          <w:b/>
        </w:rPr>
        <w:t xml:space="preserve">18  </w:t>
      </w:r>
      <w:r>
        <w:rPr>
          <w:rFonts w:hint="eastAsia"/>
        </w:rPr>
        <w:t>轨道交通工程设计应贯彻国家绿色低碳发展政策，采取降低工程环境影响和减少能源消耗的措施。</w:t>
      </w:r>
    </w:p>
    <w:p w14:paraId="5D7451B1">
      <w:r>
        <w:rPr>
          <w:rFonts w:hint="eastAsia"/>
          <w:b/>
        </w:rPr>
        <w:t xml:space="preserve">3.0.19  </w:t>
      </w:r>
      <w:r>
        <w:t>车辆与机电设备应采用满足功能要求、技术先进、</w:t>
      </w:r>
      <w:r>
        <w:rPr>
          <w:rFonts w:hint="eastAsia"/>
        </w:rPr>
        <w:t>智能智慧、绿色低碳、</w:t>
      </w:r>
      <w:r>
        <w:t>经济适用的成熟产品，并应遵循标准化、系列化的整体运用策略。应鼓励采用具有自主知识产权的国产</w:t>
      </w:r>
      <w:r>
        <w:rPr>
          <w:rFonts w:hint="eastAsia"/>
        </w:rPr>
        <w:t>自主可控</w:t>
      </w:r>
      <w:r>
        <w:t>车辆与机电设备，车辆与机电设备的国产化率应满足国家的要求。</w:t>
      </w:r>
    </w:p>
    <w:p w14:paraId="526ED4EE">
      <w:r>
        <w:rPr>
          <w:rFonts w:hint="eastAsia"/>
          <w:b/>
        </w:rPr>
        <w:t>3</w:t>
      </w:r>
      <w:r>
        <w:rPr>
          <w:b/>
        </w:rPr>
        <w:t>.0.</w:t>
      </w:r>
      <w:r>
        <w:rPr>
          <w:rFonts w:hint="eastAsia"/>
          <w:b/>
        </w:rPr>
        <w:t xml:space="preserve">20  </w:t>
      </w:r>
      <w:r>
        <w:t>城市轨道交通工程应具有应对火灾、水淹、风灾、地震、冰雪和雷击等灾害的安全措施。</w:t>
      </w:r>
    </w:p>
    <w:p w14:paraId="00EBA24E">
      <w:r>
        <w:rPr>
          <w:rFonts w:hint="eastAsia"/>
          <w:b/>
        </w:rPr>
        <w:t xml:space="preserve">3.0.21  </w:t>
      </w:r>
      <w:r>
        <w:rPr>
          <w:rFonts w:hint="eastAsia"/>
        </w:rPr>
        <w:t>城市轨道交通载客运营的区间应具备纵向应急疏散条件。列车各节车厢之间应贯通；车头、车尾应设置应急疏散门；地下区间轨道中心道床面(或中心水沟)应作为应急疏散通道，并不应有影响疏散的障碍物；同时应保证连接地下区间联络通道的路径无影响疏散的障碍物。高架区间宜在两轨道中间设置纵向贯通的纵向辅助疏散平台，地下区间宜在设置联络通道侧设置纵向辅助疏散平台。</w:t>
      </w:r>
    </w:p>
    <w:p w14:paraId="6ABE36C4">
      <w:r>
        <w:rPr>
          <w:rFonts w:hint="eastAsia"/>
          <w:b/>
        </w:rPr>
        <w:t xml:space="preserve">3.0.22  </w:t>
      </w:r>
      <w:r>
        <w:rPr>
          <w:rFonts w:hint="eastAsia"/>
        </w:rPr>
        <w:t>城市轨道交通工程应进行防内涝和防洪水设计，设计重现期标准应依据专项研究报告确定，且不应低于100年。</w:t>
      </w:r>
    </w:p>
    <w:p w14:paraId="1E47F265">
      <w:r>
        <w:rPr>
          <w:rFonts w:hint="eastAsia"/>
          <w:b/>
        </w:rPr>
        <w:t xml:space="preserve">3.0.23  </w:t>
      </w:r>
      <w:r>
        <w:rPr>
          <w:rFonts w:hint="eastAsia"/>
        </w:rPr>
        <w:t>城市轨道交通工程设计应合理利用市政道路消防给水设施；当市政道路与城市轨道交通工程同期规划建设时，应与规划部门协调将市政道路消防给水设施与城市轨道交通工程同步规划、同步设计和同步实施。</w:t>
      </w:r>
    </w:p>
    <w:p w14:paraId="492ACEEE">
      <w:r>
        <w:rPr>
          <w:rFonts w:hint="eastAsia"/>
          <w:b/>
        </w:rPr>
        <w:t xml:space="preserve">3.0.24  </w:t>
      </w:r>
      <w:r>
        <w:rPr>
          <w:rFonts w:hint="eastAsia"/>
        </w:rPr>
        <w:t>当城市轨道交通下穿河道或湖泊等水域的水下隧道出现损坏后水体扩散可能危及其他区段安全运行时，应在隧道下穿水域段的两端设置防淹门或采取其他防水淹措施。</w:t>
      </w:r>
    </w:p>
    <w:p w14:paraId="0A5149D2">
      <w:r>
        <w:rPr>
          <w:b/>
        </w:rPr>
        <w:t>3.0.2</w:t>
      </w:r>
      <w:r>
        <w:rPr>
          <w:rFonts w:hint="eastAsia"/>
          <w:b/>
        </w:rPr>
        <w:t>5</w:t>
      </w:r>
      <w:r>
        <w:rPr>
          <w:b/>
        </w:rPr>
        <w:t xml:space="preserve">  </w:t>
      </w:r>
      <w:r>
        <w:t>城市轨道交通工程建设应集约利用土地。车辆综合基地、联络线、控制中心、主变电所、抢险救援设施及各设备系统资源等应根据规划及建设时序，从全路网角度合理布局，统筹建设，资源共享。</w:t>
      </w:r>
    </w:p>
    <w:p w14:paraId="6B89AA18">
      <w:r>
        <w:rPr>
          <w:b/>
        </w:rPr>
        <w:t>3.0.2</w:t>
      </w:r>
      <w:r>
        <w:rPr>
          <w:rFonts w:hint="eastAsia"/>
          <w:b/>
        </w:rPr>
        <w:t>6</w:t>
      </w:r>
      <w:r>
        <w:rPr>
          <w:b/>
        </w:rPr>
        <w:t xml:space="preserve">  </w:t>
      </w:r>
      <w:r>
        <w:t>城市轨道交通工程设计应在确保安全可靠和不降低使用功能的前提下，采取降低工程造价和运营成本的措施。工程设计宜在满足运营安全的前提下，为提供运营增值服务创造条件。</w:t>
      </w:r>
    </w:p>
    <w:p w14:paraId="1B4F4C63"/>
    <w:p w14:paraId="4C323A92">
      <w:pPr>
        <w:rPr>
          <w:b/>
        </w:rPr>
        <w:sectPr>
          <w:footerReference r:id="rId19" w:type="default"/>
          <w:headerReference r:id="rId18" w:type="even"/>
          <w:footerReference r:id="rId20" w:type="even"/>
          <w:pgSz w:w="7938" w:h="11510"/>
          <w:pgMar w:top="1247" w:right="907" w:bottom="1247" w:left="907" w:header="737" w:footer="737" w:gutter="0"/>
          <w:cols w:space="720" w:num="1"/>
          <w:titlePg/>
          <w:docGrid w:linePitch="286" w:charSpace="0"/>
        </w:sectPr>
      </w:pPr>
    </w:p>
    <w:bookmarkEnd w:id="18"/>
    <w:bookmarkEnd w:id="19"/>
    <w:bookmarkEnd w:id="20"/>
    <w:bookmarkEnd w:id="21"/>
    <w:p w14:paraId="3DFDCD41">
      <w:pPr>
        <w:pStyle w:val="3"/>
        <w:tabs>
          <w:tab w:val="left" w:pos="426"/>
          <w:tab w:val="left" w:pos="2552"/>
          <w:tab w:val="left" w:pos="2694"/>
          <w:tab w:val="clear" w:pos="567"/>
        </w:tabs>
      </w:pPr>
      <w:bookmarkStart w:id="51" w:name="_Toc183888456"/>
      <w:bookmarkStart w:id="52" w:name="_Toc183699862"/>
      <w:bookmarkStart w:id="53" w:name="_Toc183790481"/>
      <w:bookmarkStart w:id="54" w:name="_Toc183882404"/>
      <w:bookmarkStart w:id="55" w:name="_Toc183765051"/>
      <w:bookmarkStart w:id="56" w:name="_Toc183882042"/>
      <w:bookmarkStart w:id="57" w:name="_Toc183735406"/>
      <w:bookmarkStart w:id="58" w:name="_Toc183683478"/>
      <w:bookmarkStart w:id="59" w:name="_Toc183888094"/>
      <w:r>
        <w:t>运营组织</w:t>
      </w:r>
      <w:bookmarkEnd w:id="51"/>
      <w:bookmarkEnd w:id="52"/>
      <w:bookmarkEnd w:id="53"/>
      <w:bookmarkEnd w:id="54"/>
      <w:bookmarkEnd w:id="55"/>
      <w:bookmarkEnd w:id="56"/>
      <w:bookmarkEnd w:id="57"/>
      <w:bookmarkEnd w:id="58"/>
      <w:bookmarkEnd w:id="59"/>
    </w:p>
    <w:p w14:paraId="4CB804C3">
      <w:pPr>
        <w:pStyle w:val="4"/>
      </w:pPr>
      <w:bookmarkStart w:id="60" w:name="_Toc168061790"/>
      <w:bookmarkStart w:id="61" w:name="_Toc168061172"/>
      <w:bookmarkStart w:id="62" w:name="_Toc183790482"/>
      <w:bookmarkStart w:id="63" w:name="_Toc183882405"/>
      <w:bookmarkStart w:id="64" w:name="_Toc168061619"/>
      <w:bookmarkStart w:id="65" w:name="_Toc183888095"/>
      <w:bookmarkStart w:id="66" w:name="_Toc168059363"/>
      <w:bookmarkStart w:id="67" w:name="_Toc183683479"/>
      <w:bookmarkStart w:id="68" w:name="_Toc183765052"/>
      <w:bookmarkStart w:id="69" w:name="_Toc183882043"/>
      <w:bookmarkStart w:id="70" w:name="_Toc181796354"/>
      <w:bookmarkStart w:id="71" w:name="_Toc183888457"/>
      <w:r>
        <w:t>一般规定</w:t>
      </w:r>
      <w:bookmarkEnd w:id="60"/>
      <w:bookmarkEnd w:id="61"/>
      <w:bookmarkEnd w:id="62"/>
      <w:bookmarkEnd w:id="63"/>
      <w:bookmarkEnd w:id="64"/>
      <w:bookmarkEnd w:id="65"/>
      <w:bookmarkEnd w:id="66"/>
      <w:bookmarkEnd w:id="67"/>
      <w:bookmarkEnd w:id="68"/>
      <w:bookmarkEnd w:id="69"/>
      <w:bookmarkEnd w:id="70"/>
      <w:bookmarkEnd w:id="71"/>
    </w:p>
    <w:p w14:paraId="4A9B97FD">
      <w:pPr>
        <w:pStyle w:val="5"/>
      </w:pPr>
      <w:r>
        <w:t>运营组织设计应以客流预测量和乘客出行特点为基础，以提高运营效率和轨道交通服务水平为目标，合理确定运营规模、运营管理模式、线路配线和各项运营指标。</w:t>
      </w:r>
    </w:p>
    <w:p w14:paraId="4E229502">
      <w:pPr>
        <w:pStyle w:val="5"/>
      </w:pPr>
      <w:r>
        <w:t>运营组织设计应充分研究轨道交通网络化客流特点，</w:t>
      </w:r>
      <w:r>
        <w:rPr>
          <w:rFonts w:hint="eastAsia"/>
        </w:rPr>
        <w:t>包容多场景行车组织需求，合理预留运营灵活性与客流适应能力，在满足运输能力要求的前提下，运营组织方案应有利于</w:t>
      </w:r>
      <w:r>
        <w:t>降低建设和运营成本</w:t>
      </w:r>
      <w:r>
        <w:rPr>
          <w:rFonts w:hint="eastAsia"/>
        </w:rPr>
        <w:t>，并满足</w:t>
      </w:r>
      <w:r>
        <w:t>不同规模线路之间的衔接</w:t>
      </w:r>
      <w:r>
        <w:rPr>
          <w:rFonts w:hint="eastAsia"/>
        </w:rPr>
        <w:t>需求</w:t>
      </w:r>
      <w:r>
        <w:t>。</w:t>
      </w:r>
    </w:p>
    <w:p w14:paraId="1FBB4E3D">
      <w:pPr>
        <w:pStyle w:val="5"/>
      </w:pPr>
      <w:r>
        <w:rPr>
          <w:rFonts w:hint="eastAsia"/>
        </w:rPr>
        <w:t>城市轨道交通运营规模应根据功能需求、服务质量、管理要求、工程规模等合理确定，包括系统运输能力、系统设计能力、列车编组、旅行速度、车辆基地规模等。</w:t>
      </w:r>
    </w:p>
    <w:p w14:paraId="6FB52BD6">
      <w:pPr>
        <w:pStyle w:val="5"/>
      </w:pPr>
      <w:r>
        <w:rPr>
          <w:rFonts w:hint="eastAsia"/>
        </w:rPr>
        <w:t>系统运输能力应满足预测客流运输需求，提高运输效率与运营经济性。系统设计能力</w:t>
      </w:r>
      <w:r>
        <w:t>应有利于充分发挥轨道交通投资效益，确保系统的整体能力满足远期高密度运营的需要，并留有发展空间。</w:t>
      </w:r>
    </w:p>
    <w:p w14:paraId="145F9AFE">
      <w:pPr>
        <w:pStyle w:val="5"/>
      </w:pPr>
      <w:r>
        <w:rPr>
          <w:rFonts w:hint="eastAsia"/>
        </w:rPr>
        <w:t>列车编组</w:t>
      </w:r>
      <w:r>
        <w:t>和行车交路设计应满足</w:t>
      </w:r>
      <w:r>
        <w:rPr>
          <w:rFonts w:hint="eastAsia"/>
        </w:rPr>
        <w:t>客流分布特征要求，并与相邻线网良好衔接。</w:t>
      </w:r>
    </w:p>
    <w:p w14:paraId="32C9CBA1">
      <w:pPr>
        <w:pStyle w:val="5"/>
      </w:pPr>
      <w:r>
        <w:rPr>
          <w:rFonts w:hint="eastAsia"/>
        </w:rPr>
        <w:t>车站配线设置应满足行车组织、运营安全、应急救援、运营维护等要求，合理包容客流运输多场景要求，提高运营灵活应对能力，并兼顾工程投资与建设实施条件。</w:t>
      </w:r>
    </w:p>
    <w:p w14:paraId="0295B2AA">
      <w:pPr>
        <w:pStyle w:val="5"/>
      </w:pPr>
      <w:bookmarkStart w:id="72" w:name="_Toc168061791"/>
      <w:bookmarkStart w:id="73" w:name="_Toc168061620"/>
      <w:bookmarkStart w:id="74" w:name="_Toc168059364"/>
      <w:bookmarkStart w:id="75" w:name="_Toc168061173"/>
      <w:r>
        <w:rPr>
          <w:rFonts w:hint="eastAsia"/>
        </w:rPr>
        <w:t>运营模式应满足不同行车组织方式如快慢车运营、互联互通运营、灵活编组运营等需求，明确列车运行、调度指挥、运营辅助系统、维修保障系统和人员组织等。</w:t>
      </w:r>
    </w:p>
    <w:p w14:paraId="43F3C8B3">
      <w:pPr>
        <w:pStyle w:val="5"/>
      </w:pPr>
      <w:r>
        <w:rPr>
          <w:rFonts w:hint="eastAsia"/>
        </w:rPr>
        <w:t>运营管理应符合北京轨道交通统一规划，管理机构与既有管理体系相适应，调度指挥及综合监控满足指挥中心的接口要求，并合理确定定员规模。</w:t>
      </w:r>
    </w:p>
    <w:p w14:paraId="7A67438F">
      <w:pPr>
        <w:pStyle w:val="4"/>
      </w:pPr>
      <w:bookmarkStart w:id="76" w:name="_Toc183888458"/>
      <w:bookmarkStart w:id="77" w:name="_Toc183765053"/>
      <w:bookmarkStart w:id="78" w:name="_Toc183882044"/>
      <w:bookmarkStart w:id="79" w:name="_Toc181796355"/>
      <w:bookmarkStart w:id="80" w:name="_Toc183888096"/>
      <w:bookmarkStart w:id="81" w:name="_Toc183882406"/>
      <w:bookmarkStart w:id="82" w:name="_Toc183790483"/>
      <w:bookmarkStart w:id="83" w:name="_Toc183683480"/>
      <w:r>
        <w:t>运营规模</w:t>
      </w:r>
      <w:bookmarkEnd w:id="72"/>
      <w:bookmarkEnd w:id="73"/>
      <w:bookmarkEnd w:id="74"/>
      <w:bookmarkEnd w:id="75"/>
      <w:bookmarkEnd w:id="76"/>
      <w:bookmarkEnd w:id="77"/>
      <w:bookmarkEnd w:id="78"/>
      <w:bookmarkEnd w:id="79"/>
      <w:bookmarkEnd w:id="80"/>
      <w:bookmarkEnd w:id="81"/>
      <w:bookmarkEnd w:id="82"/>
      <w:bookmarkEnd w:id="83"/>
    </w:p>
    <w:p w14:paraId="6697AF32">
      <w:pPr>
        <w:pStyle w:val="5"/>
      </w:pPr>
      <w:r>
        <w:t>城市轨道交通</w:t>
      </w:r>
      <w:r>
        <w:rPr>
          <w:rFonts w:hint="eastAsia"/>
        </w:rPr>
        <w:t>设计</w:t>
      </w:r>
      <w:r>
        <w:t>运输能力</w:t>
      </w:r>
      <w:r>
        <w:rPr>
          <w:rFonts w:hint="eastAsia"/>
        </w:rPr>
        <w:t>，应在预测客流</w:t>
      </w:r>
      <w:r>
        <w:t>数据的基础上，</w:t>
      </w:r>
      <w:r>
        <w:rPr>
          <w:rFonts w:hint="eastAsia"/>
        </w:rPr>
        <w:t>结合</w:t>
      </w:r>
      <w:r>
        <w:t>沿线土地</w:t>
      </w:r>
      <w:r>
        <w:rPr>
          <w:rFonts w:hint="eastAsia"/>
        </w:rPr>
        <w:t>规划与</w:t>
      </w:r>
      <w:r>
        <w:t>利用</w:t>
      </w:r>
      <w:r>
        <w:rPr>
          <w:rFonts w:hint="eastAsia"/>
        </w:rPr>
        <w:t>、线路功能属性等因素，包容客流波动运输场景，并满足以下要求：</w:t>
      </w:r>
    </w:p>
    <w:p w14:paraId="642900E1">
      <w:pPr>
        <w:pStyle w:val="7"/>
        <w:ind w:firstLine="420"/>
      </w:pPr>
      <w:r>
        <w:t>满足各设计年限预测单向高峰小时断面客流量的需要</w:t>
      </w:r>
      <w:r>
        <w:rPr>
          <w:rFonts w:hint="eastAsia"/>
        </w:rPr>
        <w:t>。</w:t>
      </w:r>
    </w:p>
    <w:p w14:paraId="1413B146">
      <w:pPr>
        <w:pStyle w:val="7"/>
        <w:ind w:firstLine="420"/>
      </w:pPr>
      <w:r>
        <w:t>当超过高峰小时最大断面90%的区间数不多于3个时宜进行削峰设计，以最大断面折减10%或第三断面配置运输能力</w:t>
      </w:r>
      <w:r>
        <w:rPr>
          <w:rFonts w:hint="eastAsia"/>
        </w:rPr>
        <w:t>，削峰后最大断面拥挤度不应超6人/m</w:t>
      </w:r>
      <w:r>
        <w:rPr>
          <w:vertAlign w:val="superscript"/>
        </w:rPr>
        <w:t>2</w:t>
      </w:r>
      <w:r>
        <w:rPr>
          <w:rFonts w:hint="eastAsia"/>
        </w:rPr>
        <w:t>。</w:t>
      </w:r>
    </w:p>
    <w:p w14:paraId="528495BB">
      <w:pPr>
        <w:numPr>
          <w:ilvl w:val="2"/>
          <w:numId w:val="1"/>
        </w:numPr>
        <w:tabs>
          <w:tab w:val="left" w:pos="709"/>
          <w:tab w:val="left" w:pos="794"/>
        </w:tabs>
        <w:jc w:val="left"/>
        <w:outlineLvl w:val="2"/>
        <w:rPr>
          <w:bCs/>
          <w:szCs w:val="28"/>
        </w:rPr>
      </w:pPr>
      <w:r>
        <w:rPr>
          <w:rFonts w:hint="eastAsia"/>
          <w:bCs/>
          <w:szCs w:val="28"/>
        </w:rPr>
        <w:t>系统设计能力应满足运输能力的需要，结合运营模式与工程实施条件经技术经济比较确定，并符合以下规定：</w:t>
      </w:r>
    </w:p>
    <w:p w14:paraId="437115D4">
      <w:pPr>
        <w:pStyle w:val="7"/>
        <w:ind w:firstLine="420"/>
      </w:pPr>
      <w:r>
        <w:rPr>
          <w:rFonts w:hint="eastAsia"/>
        </w:rPr>
        <w:t>应具备支持运输能力提升1</w:t>
      </w:r>
      <w:r>
        <w:t>0</w:t>
      </w:r>
      <w:r>
        <w:rPr>
          <w:rFonts w:hint="eastAsia"/>
        </w:rPr>
        <w:t>%的条件；</w:t>
      </w:r>
    </w:p>
    <w:p w14:paraId="645F3942">
      <w:pPr>
        <w:pStyle w:val="7"/>
        <w:ind w:firstLine="420"/>
      </w:pPr>
      <w:r>
        <w:rPr>
          <w:rFonts w:hint="eastAsia"/>
        </w:rPr>
        <w:t>最高行车密度运行交路范围，站站停线路不宜低于</w:t>
      </w:r>
      <w:r>
        <w:rPr>
          <w:rFonts w:hint="eastAsia"/>
          <w:bCs w:val="0"/>
        </w:rPr>
        <w:t>30对/h，快慢车线路不宜低于2</w:t>
      </w:r>
      <w:r>
        <w:rPr>
          <w:bCs w:val="0"/>
        </w:rPr>
        <w:t>0</w:t>
      </w:r>
      <w:r>
        <w:rPr>
          <w:rFonts w:hint="eastAsia"/>
          <w:bCs w:val="0"/>
        </w:rPr>
        <w:t>对/</w:t>
      </w:r>
      <w:r>
        <w:rPr>
          <w:bCs w:val="0"/>
        </w:rPr>
        <w:t>h</w:t>
      </w:r>
      <w:r>
        <w:rPr>
          <w:rFonts w:hint="eastAsia"/>
          <w:bCs w:val="0"/>
        </w:rPr>
        <w:t>；</w:t>
      </w:r>
      <w:r>
        <w:rPr>
          <w:rFonts w:hint="eastAsia"/>
        </w:rPr>
        <w:t>最高行车密度交路范围之外不宜低于2</w:t>
      </w:r>
      <w:r>
        <w:t>0</w:t>
      </w:r>
      <w:r>
        <w:rPr>
          <w:rFonts w:hint="eastAsia"/>
        </w:rPr>
        <w:t>对</w:t>
      </w:r>
      <w:r>
        <w:t>/h</w:t>
      </w:r>
      <w:r>
        <w:rPr>
          <w:rFonts w:hint="eastAsia"/>
        </w:rPr>
        <w:t>；</w:t>
      </w:r>
    </w:p>
    <w:p w14:paraId="3424919D">
      <w:pPr>
        <w:pStyle w:val="7"/>
        <w:ind w:firstLine="420"/>
      </w:pPr>
      <w:r>
        <w:rPr>
          <w:rFonts w:hint="eastAsia"/>
        </w:rPr>
        <w:t>支线范围不宜低于1</w:t>
      </w:r>
      <w:r>
        <w:t>5</w:t>
      </w:r>
      <w:r>
        <w:rPr>
          <w:rFonts w:hint="eastAsia"/>
        </w:rPr>
        <w:t>对/</w:t>
      </w:r>
      <w:r>
        <w:t>h</w:t>
      </w:r>
      <w:r>
        <w:rPr>
          <w:rFonts w:hint="eastAsia"/>
        </w:rPr>
        <w:t>。</w:t>
      </w:r>
    </w:p>
    <w:p w14:paraId="79F2F871">
      <w:pPr>
        <w:numPr>
          <w:ilvl w:val="2"/>
          <w:numId w:val="1"/>
        </w:numPr>
        <w:tabs>
          <w:tab w:val="left" w:pos="709"/>
          <w:tab w:val="left" w:pos="794"/>
        </w:tabs>
        <w:jc w:val="left"/>
        <w:outlineLvl w:val="2"/>
        <w:rPr>
          <w:bCs/>
          <w:szCs w:val="28"/>
        </w:rPr>
      </w:pPr>
      <w:r>
        <w:rPr>
          <w:rFonts w:hint="eastAsia"/>
          <w:bCs/>
          <w:szCs w:val="28"/>
        </w:rPr>
        <w:t>列车编组应符合以下规定：</w:t>
      </w:r>
    </w:p>
    <w:p w14:paraId="79320108">
      <w:pPr>
        <w:pStyle w:val="7"/>
        <w:ind w:firstLine="420"/>
      </w:pPr>
      <w:r>
        <w:rPr>
          <w:rFonts w:hint="eastAsia"/>
          <w:bCs w:val="0"/>
        </w:rPr>
        <w:t>编组型式应满足各年线</w:t>
      </w:r>
      <w:r>
        <w:rPr>
          <w:bCs w:val="0"/>
        </w:rPr>
        <w:t>客流预测结果、线网规划和线网运能匹配要求</w:t>
      </w:r>
      <w:r>
        <w:rPr>
          <w:rFonts w:hint="eastAsia"/>
        </w:rPr>
        <w:t>。</w:t>
      </w:r>
    </w:p>
    <w:p w14:paraId="0E5E8506">
      <w:pPr>
        <w:pStyle w:val="7"/>
        <w:ind w:firstLine="420"/>
      </w:pPr>
      <w:r>
        <w:rPr>
          <w:rFonts w:hint="eastAsia"/>
        </w:rPr>
        <w:t>各设计年限运输能力需求差异较大时，初期、近期宜采用相同编组、远期可进行扩编，系统应预留扩编条件。</w:t>
      </w:r>
    </w:p>
    <w:p w14:paraId="5B21E70F">
      <w:pPr>
        <w:pStyle w:val="7"/>
        <w:ind w:firstLine="420"/>
      </w:pPr>
      <w:r>
        <w:rPr>
          <w:rFonts w:hint="eastAsia"/>
        </w:rPr>
        <w:t>同一线路各区段客流运输需求差异较大或不同编组线路跨线运行时可采用不同混跑模式，长、短编组列车单列运输能力差异不宜大于</w:t>
      </w:r>
      <w:r>
        <w:t>50</w:t>
      </w:r>
      <w:r>
        <w:rPr>
          <w:rFonts w:hint="eastAsia"/>
        </w:rPr>
        <w:t>%（以最长编组计），并宜采用不等间隔行车方式减少列车运力不等带来的拥挤度不均衡问题。</w:t>
      </w:r>
    </w:p>
    <w:p w14:paraId="3EAA06E9">
      <w:pPr>
        <w:pStyle w:val="7"/>
        <w:ind w:firstLine="420"/>
      </w:pPr>
      <w:r>
        <w:rPr>
          <w:rFonts w:hint="eastAsia"/>
        </w:rPr>
        <w:t>经技术经济比选后可采用灵活编组运营模式，通过列车的连挂、解体实现运输能力的灵活化配置。</w:t>
      </w:r>
    </w:p>
    <w:p w14:paraId="1BD7F808">
      <w:pPr>
        <w:pStyle w:val="5"/>
      </w:pPr>
      <w:r>
        <w:rPr>
          <w:rFonts w:hint="eastAsia"/>
        </w:rPr>
        <w:t>地铁新线车辆配属数量应按初期需要进行配置，当与衔接线路互联互通时应根据跨线运营方案统筹计算配属列车。</w:t>
      </w:r>
    </w:p>
    <w:p w14:paraId="47530726">
      <w:pPr>
        <w:pStyle w:val="5"/>
        <w:rPr>
          <w:bCs/>
          <w:szCs w:val="28"/>
        </w:rPr>
      </w:pPr>
      <w:r>
        <w:rPr>
          <w:rFonts w:hint="eastAsia"/>
        </w:rPr>
        <w:t>线路最高运行速度的选择应满足功能定位、出行时间目标要求，根据车站分布、行车组织模式、工程实施难度、建设投资规模等经技术经济比选确定。</w:t>
      </w:r>
      <w:r>
        <w:rPr>
          <w:bCs/>
          <w:szCs w:val="28"/>
        </w:rPr>
        <w:t>正常运营状态下，列车</w:t>
      </w:r>
      <w:r>
        <w:rPr>
          <w:rFonts w:hint="eastAsia"/>
          <w:bCs/>
          <w:szCs w:val="28"/>
        </w:rPr>
        <w:t>旅行</w:t>
      </w:r>
      <w:r>
        <w:rPr>
          <w:bCs/>
          <w:szCs w:val="28"/>
        </w:rPr>
        <w:t>速度</w:t>
      </w:r>
      <w:r>
        <w:rPr>
          <w:rFonts w:hint="eastAsia"/>
          <w:bCs/>
          <w:szCs w:val="28"/>
        </w:rPr>
        <w:t>宜满足以下标准</w:t>
      </w:r>
      <w:r>
        <w:rPr>
          <w:bCs/>
          <w:szCs w:val="28"/>
        </w:rPr>
        <w:t>：</w:t>
      </w:r>
    </w:p>
    <w:p w14:paraId="57461824">
      <w:pPr>
        <w:pStyle w:val="7"/>
        <w:ind w:firstLine="420"/>
      </w:pPr>
      <w:r>
        <w:rPr>
          <w:rFonts w:hint="eastAsia"/>
          <w:bCs w:val="0"/>
        </w:rPr>
        <w:t>站站停运营模式下，速度效率不宜低于4</w:t>
      </w:r>
      <w:r>
        <w:rPr>
          <w:bCs w:val="0"/>
        </w:rPr>
        <w:t>5</w:t>
      </w:r>
      <w:r>
        <w:rPr>
          <w:rFonts w:hint="eastAsia"/>
          <w:bCs w:val="0"/>
        </w:rPr>
        <w:t>%</w:t>
      </w:r>
      <w:r>
        <w:rPr>
          <w:rFonts w:hint="eastAsia"/>
        </w:rPr>
        <w:t>，通勤主通道不宜低于5</w:t>
      </w:r>
      <w:r>
        <w:t>0</w:t>
      </w:r>
      <w:r>
        <w:rPr>
          <w:rFonts w:hint="eastAsia"/>
        </w:rPr>
        <w:t>%。</w:t>
      </w:r>
    </w:p>
    <w:p w14:paraId="37190707">
      <w:pPr>
        <w:pStyle w:val="7"/>
        <w:ind w:firstLine="420"/>
      </w:pPr>
      <w:r>
        <w:rPr>
          <w:rFonts w:hint="eastAsia"/>
        </w:rPr>
        <w:t>快慢车运营模式下，快车速度效率不宜低于6</w:t>
      </w:r>
      <w:r>
        <w:t>0</w:t>
      </w:r>
      <w:r>
        <w:rPr>
          <w:rFonts w:hint="eastAsia"/>
        </w:rPr>
        <w:t>%，慢车速度效率不宜低于4</w:t>
      </w:r>
      <w:r>
        <w:t>0</w:t>
      </w:r>
      <w:r>
        <w:rPr>
          <w:rFonts w:hint="eastAsia"/>
        </w:rPr>
        <w:t>%。</w:t>
      </w:r>
    </w:p>
    <w:p w14:paraId="562F6B3D">
      <w:pPr>
        <w:pStyle w:val="7"/>
        <w:ind w:firstLine="420"/>
      </w:pPr>
      <w:r>
        <w:rPr>
          <w:rFonts w:hint="eastAsia"/>
        </w:rPr>
        <w:t>快线宜采用快慢车运营模式，速度效率应进一步提高。</w:t>
      </w:r>
    </w:p>
    <w:p w14:paraId="7431D8E0">
      <w:pPr>
        <w:numPr>
          <w:ilvl w:val="2"/>
          <w:numId w:val="1"/>
        </w:numPr>
        <w:tabs>
          <w:tab w:val="left" w:pos="709"/>
          <w:tab w:val="left" w:pos="794"/>
        </w:tabs>
        <w:jc w:val="left"/>
        <w:outlineLvl w:val="2"/>
        <w:rPr>
          <w:bCs/>
          <w:szCs w:val="28"/>
        </w:rPr>
      </w:pPr>
      <w:r>
        <w:rPr>
          <w:rFonts w:hint="eastAsia"/>
          <w:bCs/>
          <w:szCs w:val="28"/>
        </w:rPr>
        <w:t>全自动运行线路宜利用正线夜间停车，在保证夜间维修作业进路的前提下，将正线停车线计入设计停车规模，减少车辆基地用地</w:t>
      </w:r>
      <w:r>
        <w:rPr>
          <w:bCs/>
          <w:szCs w:val="28"/>
        </w:rPr>
        <w:t>。</w:t>
      </w:r>
    </w:p>
    <w:p w14:paraId="375A01C9">
      <w:pPr>
        <w:pStyle w:val="4"/>
      </w:pPr>
      <w:bookmarkStart w:id="84" w:name="_Toc168061174"/>
      <w:bookmarkStart w:id="85" w:name="_Toc181796356"/>
      <w:bookmarkStart w:id="86" w:name="_Toc168061792"/>
      <w:bookmarkStart w:id="87" w:name="_Toc168059365"/>
      <w:bookmarkStart w:id="88" w:name="_Toc183882407"/>
      <w:bookmarkStart w:id="89" w:name="_Toc183888097"/>
      <w:bookmarkStart w:id="90" w:name="_Toc183888459"/>
      <w:bookmarkStart w:id="91" w:name="_Toc168061621"/>
      <w:bookmarkStart w:id="92" w:name="_Toc183790484"/>
      <w:bookmarkStart w:id="93" w:name="_Toc183765054"/>
      <w:bookmarkStart w:id="94" w:name="_Toc183882045"/>
      <w:bookmarkStart w:id="95" w:name="_Toc183683481"/>
      <w:r>
        <w:t>行车组织</w:t>
      </w:r>
      <w:bookmarkEnd w:id="84"/>
      <w:bookmarkEnd w:id="85"/>
      <w:bookmarkEnd w:id="86"/>
      <w:bookmarkEnd w:id="87"/>
      <w:bookmarkEnd w:id="88"/>
      <w:bookmarkEnd w:id="89"/>
      <w:bookmarkEnd w:id="90"/>
      <w:bookmarkEnd w:id="91"/>
      <w:bookmarkEnd w:id="92"/>
      <w:bookmarkEnd w:id="93"/>
      <w:bookmarkEnd w:id="94"/>
      <w:bookmarkEnd w:id="95"/>
    </w:p>
    <w:p w14:paraId="130351F7">
      <w:pPr>
        <w:pStyle w:val="5"/>
      </w:pPr>
      <w:r>
        <w:t>列车运行采用双线线路，右侧行车制。南北向线路以由南向北运行为上行方向，由北向南运行为下行方向。东西向线路以由西向东运行为上行方向，由东向西运行为下行方向。环形线路以外环为上行方向；内环为下行方向。</w:t>
      </w:r>
    </w:p>
    <w:p w14:paraId="016C3153">
      <w:pPr>
        <w:pStyle w:val="5"/>
      </w:pPr>
      <w:r>
        <w:t>采用</w:t>
      </w:r>
      <w:r>
        <w:rPr>
          <w:rFonts w:hint="eastAsia"/>
        </w:rPr>
        <w:t>跨线</w:t>
      </w:r>
      <w:r>
        <w:t>运行方式时，</w:t>
      </w:r>
      <w:r>
        <w:rPr>
          <w:rFonts w:hint="eastAsia"/>
        </w:rPr>
        <w:t>线路</w:t>
      </w:r>
      <w:r>
        <w:t>的交汇点应设在车站，在进站方向</w:t>
      </w:r>
      <w:r>
        <w:rPr>
          <w:rFonts w:hint="eastAsia"/>
        </w:rPr>
        <w:t>宜</w:t>
      </w:r>
      <w:r>
        <w:t>设置平行进路。</w:t>
      </w:r>
      <w:r>
        <w:rPr>
          <w:rFonts w:hint="eastAsia"/>
        </w:rPr>
        <w:t>当条件困难经经经济技术比较满足运营安全及能力需求时，可选择在区间接轨，接轨点应设置安全线，地下线应结合安全线设置专用疏散通道。</w:t>
      </w:r>
    </w:p>
    <w:p w14:paraId="2EACE04C">
      <w:pPr>
        <w:pStyle w:val="5"/>
      </w:pPr>
      <w:r>
        <w:rPr>
          <w:rFonts w:hint="eastAsia"/>
        </w:rPr>
        <w:t>列车运行交路应根据</w:t>
      </w:r>
      <w:r>
        <w:t>全线客流断面</w:t>
      </w:r>
      <w:r>
        <w:rPr>
          <w:rFonts w:hint="eastAsia"/>
        </w:rPr>
        <w:t>分布情况确定，快线宜组织多交路适应客流变化，同站同方向列车终点站不宜多于</w:t>
      </w:r>
      <w:r>
        <w:t>3</w:t>
      </w:r>
      <w:r>
        <w:rPr>
          <w:rFonts w:hint="eastAsia"/>
        </w:rPr>
        <w:t>个，避免乘车选择过于复杂。</w:t>
      </w:r>
    </w:p>
    <w:p w14:paraId="39257E5B">
      <w:pPr>
        <w:pStyle w:val="5"/>
      </w:pPr>
      <w:r>
        <w:rPr>
          <w:rFonts w:hint="eastAsia"/>
        </w:rPr>
        <w:t>当上下行客流断面有差异时，宜结合车辆基地与停车线分布，组织不均衡运输，小客流方向减少行车密度需满足基本服务水平的要求</w:t>
      </w:r>
      <w:r>
        <w:t>。</w:t>
      </w:r>
    </w:p>
    <w:p w14:paraId="6E6D379E">
      <w:pPr>
        <w:pStyle w:val="5"/>
      </w:pPr>
      <w:r>
        <w:t>列车牵引计算应根据线路条件和车辆牵引和制动特性，按照省时模式和节能模式分别绘制最高运行速度和正常运行速度的牵引曲线。正常情况下，计算起动加速度、制动减速度不宜大于常用加、减速度的90%，且计算列车起、制动加速度均不宜大于0.9m/s</w:t>
      </w:r>
      <w:r>
        <w:rPr>
          <w:vertAlign w:val="superscript"/>
        </w:rPr>
        <w:t>2</w:t>
      </w:r>
      <w:r>
        <w:t>。</w:t>
      </w:r>
    </w:p>
    <w:p w14:paraId="6EFBA6BA">
      <w:pPr>
        <w:pStyle w:val="5"/>
      </w:pPr>
      <w:r>
        <w:rPr>
          <w:rFonts w:hint="eastAsia"/>
        </w:rPr>
        <w:t>列车运行速度应符合以下规定：</w:t>
      </w:r>
    </w:p>
    <w:p w14:paraId="47381100">
      <w:pPr>
        <w:snapToGrid w:val="0"/>
        <w:ind w:firstLine="420"/>
        <w:rPr>
          <w:bCs/>
          <w:szCs w:val="28"/>
        </w:rPr>
      </w:pPr>
      <w:r>
        <w:rPr>
          <w:rStyle w:val="176"/>
          <w:rFonts w:hint="eastAsia"/>
          <w:b/>
        </w:rPr>
        <w:t xml:space="preserve">1  </w:t>
      </w:r>
      <w:r>
        <w:rPr>
          <w:bCs/>
          <w:szCs w:val="28"/>
        </w:rPr>
        <w:t>载客列车进站停车时，列车进入有效站台范围的最高运行速度应以提高运行效率，满足乘客舒适度要求为前提。列车进入有效站台端部的运行速度宜参考表3.3.4的规定；</w:t>
      </w:r>
    </w:p>
    <w:p w14:paraId="4CF10856">
      <w:pPr>
        <w:pStyle w:val="198"/>
      </w:pPr>
      <w:r>
        <w:t>表 3.3.4  列车进入有效站台端部的运行速度</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92"/>
        <w:gridCol w:w="1580"/>
        <w:gridCol w:w="1580"/>
        <w:gridCol w:w="1588"/>
      </w:tblGrid>
      <w:tr w14:paraId="7EA46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0" w:hRule="atLeast"/>
          <w:jc w:val="center"/>
        </w:trPr>
        <w:tc>
          <w:tcPr>
            <w:tcW w:w="1592" w:type="dxa"/>
            <w:tcBorders>
              <w:left w:val="single" w:color="000000" w:sz="6" w:space="0"/>
              <w:right w:val="single" w:color="000000" w:sz="6" w:space="0"/>
            </w:tcBorders>
            <w:vAlign w:val="center"/>
          </w:tcPr>
          <w:p w14:paraId="55D9B531">
            <w:pPr>
              <w:pStyle w:val="235"/>
              <w:rPr>
                <w:color w:val="auto"/>
              </w:rPr>
            </w:pPr>
            <w:r>
              <w:rPr>
                <w:color w:val="auto"/>
              </w:rPr>
              <w:t>列车编组</w:t>
            </w:r>
          </w:p>
        </w:tc>
        <w:tc>
          <w:tcPr>
            <w:tcW w:w="1580" w:type="dxa"/>
            <w:tcBorders>
              <w:left w:val="single" w:color="000000" w:sz="6" w:space="0"/>
            </w:tcBorders>
            <w:vAlign w:val="center"/>
          </w:tcPr>
          <w:p w14:paraId="1C08EC80">
            <w:pPr>
              <w:pStyle w:val="235"/>
              <w:rPr>
                <w:color w:val="auto"/>
              </w:rPr>
            </w:pPr>
            <w:r>
              <w:rPr>
                <w:color w:val="auto"/>
              </w:rPr>
              <w:t>B6</w:t>
            </w:r>
          </w:p>
        </w:tc>
        <w:tc>
          <w:tcPr>
            <w:tcW w:w="1580" w:type="dxa"/>
            <w:vAlign w:val="center"/>
          </w:tcPr>
          <w:p w14:paraId="1D6599DB">
            <w:pPr>
              <w:pStyle w:val="235"/>
              <w:rPr>
                <w:color w:val="auto"/>
              </w:rPr>
            </w:pPr>
            <w:r>
              <w:rPr>
                <w:color w:val="auto"/>
              </w:rPr>
              <w:t>A6</w:t>
            </w:r>
          </w:p>
        </w:tc>
        <w:tc>
          <w:tcPr>
            <w:tcW w:w="1588" w:type="dxa"/>
            <w:tcBorders>
              <w:right w:val="single" w:color="000000" w:sz="6" w:space="0"/>
            </w:tcBorders>
            <w:vAlign w:val="center"/>
          </w:tcPr>
          <w:p w14:paraId="5DCC389B">
            <w:pPr>
              <w:pStyle w:val="235"/>
              <w:rPr>
                <w:color w:val="auto"/>
              </w:rPr>
            </w:pPr>
            <w:r>
              <w:rPr>
                <w:color w:val="auto"/>
              </w:rPr>
              <w:t>A8</w:t>
            </w:r>
          </w:p>
        </w:tc>
      </w:tr>
      <w:tr w14:paraId="08F47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9" w:hRule="atLeast"/>
          <w:jc w:val="center"/>
        </w:trPr>
        <w:tc>
          <w:tcPr>
            <w:tcW w:w="1592" w:type="dxa"/>
            <w:tcBorders>
              <w:left w:val="single" w:color="000000" w:sz="6" w:space="0"/>
              <w:right w:val="single" w:color="000000" w:sz="6" w:space="0"/>
            </w:tcBorders>
            <w:vAlign w:val="center"/>
          </w:tcPr>
          <w:p w14:paraId="043D6656">
            <w:pPr>
              <w:pStyle w:val="235"/>
              <w:rPr>
                <w:color w:val="auto"/>
              </w:rPr>
            </w:pPr>
            <w:r>
              <w:rPr>
                <w:color w:val="auto"/>
              </w:rPr>
              <w:t>进站速度(km/h)</w:t>
            </w:r>
          </w:p>
        </w:tc>
        <w:tc>
          <w:tcPr>
            <w:tcW w:w="1580" w:type="dxa"/>
            <w:tcBorders>
              <w:left w:val="single" w:color="000000" w:sz="6" w:space="0"/>
            </w:tcBorders>
            <w:vAlign w:val="center"/>
          </w:tcPr>
          <w:p w14:paraId="428B9894">
            <w:pPr>
              <w:pStyle w:val="235"/>
              <w:rPr>
                <w:color w:val="auto"/>
              </w:rPr>
            </w:pPr>
            <w:r>
              <w:rPr>
                <w:color w:val="auto"/>
              </w:rPr>
              <w:t>50</w:t>
            </w:r>
          </w:p>
        </w:tc>
        <w:tc>
          <w:tcPr>
            <w:tcW w:w="1580" w:type="dxa"/>
            <w:vAlign w:val="center"/>
          </w:tcPr>
          <w:p w14:paraId="00694D78">
            <w:pPr>
              <w:pStyle w:val="235"/>
              <w:rPr>
                <w:color w:val="auto"/>
              </w:rPr>
            </w:pPr>
            <w:r>
              <w:rPr>
                <w:color w:val="auto"/>
              </w:rPr>
              <w:t>55</w:t>
            </w:r>
          </w:p>
        </w:tc>
        <w:tc>
          <w:tcPr>
            <w:tcW w:w="1588" w:type="dxa"/>
            <w:tcBorders>
              <w:right w:val="single" w:color="000000" w:sz="6" w:space="0"/>
            </w:tcBorders>
            <w:vAlign w:val="center"/>
          </w:tcPr>
          <w:p w14:paraId="62CDB70E">
            <w:pPr>
              <w:pStyle w:val="235"/>
              <w:rPr>
                <w:color w:val="auto"/>
              </w:rPr>
            </w:pPr>
            <w:r>
              <w:rPr>
                <w:color w:val="auto"/>
              </w:rPr>
              <w:t>60</w:t>
            </w:r>
          </w:p>
        </w:tc>
      </w:tr>
    </w:tbl>
    <w:p w14:paraId="24D39587">
      <w:pPr>
        <w:snapToGrid w:val="0"/>
        <w:ind w:firstLine="420"/>
        <w:jc w:val="left"/>
        <w:rPr>
          <w:bCs/>
          <w:szCs w:val="28"/>
        </w:rPr>
      </w:pPr>
      <w:r>
        <w:rPr>
          <w:rFonts w:hint="eastAsia"/>
          <w:b/>
          <w:bCs/>
          <w:szCs w:val="28"/>
        </w:rPr>
        <w:t>2</w:t>
      </w:r>
      <w:r>
        <w:rPr>
          <w:rFonts w:hint="eastAsia"/>
          <w:bCs/>
          <w:szCs w:val="28"/>
        </w:rPr>
        <w:t xml:space="preserve">  </w:t>
      </w:r>
      <w:r>
        <w:rPr>
          <w:bCs/>
          <w:szCs w:val="28"/>
        </w:rPr>
        <w:t>列车在区间的最高运行速度，应根据线路条件和运营需求综合确定。站间距及线路条件允许时应达到设计允许的最高运行速度；</w:t>
      </w:r>
    </w:p>
    <w:p w14:paraId="641C23AC">
      <w:pPr>
        <w:spacing w:before="120" w:beforeLines="50" w:after="120" w:afterLines="50" w:line="240" w:lineRule="auto"/>
        <w:ind w:firstLine="422" w:firstLineChars="200"/>
        <w:rPr>
          <w:bCs/>
          <w:szCs w:val="28"/>
        </w:rPr>
      </w:pPr>
      <w:r>
        <w:rPr>
          <w:rFonts w:hint="eastAsia"/>
          <w:b/>
          <w:bCs/>
          <w:szCs w:val="28"/>
        </w:rPr>
        <w:t>3</w:t>
      </w:r>
      <w:r>
        <w:rPr>
          <w:rFonts w:hint="eastAsia"/>
          <w:bCs/>
          <w:szCs w:val="28"/>
        </w:rPr>
        <w:t xml:space="preserve">  </w:t>
      </w:r>
      <w:r>
        <w:rPr>
          <w:bCs/>
          <w:szCs w:val="28"/>
        </w:rPr>
        <w:t>列车在曲线地段的限制速度按下式控制：</w:t>
      </w:r>
    </w:p>
    <w:p w14:paraId="26917034">
      <w:pPr>
        <w:spacing w:before="120" w:beforeLines="50" w:after="120" w:afterLines="50" w:line="240" w:lineRule="auto"/>
        <w:ind w:firstLine="420" w:firstLineChars="200"/>
        <w:jc w:val="center"/>
        <w:rPr>
          <w:szCs w:val="20"/>
        </w:rPr>
      </w:pPr>
      <w:r>
        <w:rPr>
          <w:rFonts w:hint="eastAsia"/>
          <w:position w:val="-26"/>
        </w:rPr>
        <w:object>
          <v:shape id="_x0000_i1025" o:spt="75" type="#_x0000_t75" style="height:31.9pt;width:87.75pt;" o:ole="t" filled="f" o:preferrelative="t" stroked="f" coordsize="21600,21600">
            <v:path/>
            <v:fill on="f" focussize="0,0"/>
            <v:stroke on="f" joinstyle="miter"/>
            <v:imagedata r:id="rId57" o:title=""/>
            <o:lock v:ext="edit" aspectratio="t"/>
            <w10:wrap type="none"/>
            <w10:anchorlock/>
          </v:shape>
          <o:OLEObject Type="Embed" ProgID="Equation.DSMT4" ShapeID="_x0000_i1025" DrawAspect="Content" ObjectID="_1468075725" r:id="rId56">
            <o:LockedField>false</o:LockedField>
          </o:OLEObject>
        </w:object>
      </w:r>
      <w:r>
        <w:rPr>
          <w:rFonts w:hint="eastAsia"/>
        </w:rPr>
        <w:t xml:space="preserve">            </w:t>
      </w:r>
      <w:r>
        <w:t>（</w:t>
      </w:r>
      <w:r>
        <w:rPr>
          <w:rFonts w:hint="eastAsia"/>
        </w:rPr>
        <w:t>4.2.5</w:t>
      </w:r>
      <w:r>
        <w:t>）</w:t>
      </w:r>
    </w:p>
    <w:p w14:paraId="348A31E4">
      <w:pPr>
        <w:rPr>
          <w:rFonts w:eastAsia="方正书宋_GBK"/>
          <w:sz w:val="20"/>
          <w:szCs w:val="22"/>
        </w:rPr>
      </w:pPr>
      <w:r>
        <w:rPr>
          <w:rFonts w:eastAsia="方正书宋_GBK"/>
          <w:sz w:val="20"/>
          <w:szCs w:val="22"/>
        </w:rPr>
        <w:t>式中：</w:t>
      </w:r>
    </w:p>
    <w:p w14:paraId="34A8B7BE">
      <w:pPr>
        <w:ind w:firstLine="420" w:firstLineChars="200"/>
      </w:pPr>
      <w:r>
        <w:rPr>
          <w:i/>
          <w:iCs/>
        </w:rPr>
        <w:t>R</w:t>
      </w:r>
      <w:r>
        <w:t>—曲线半径(m)；</w:t>
      </w:r>
    </w:p>
    <w:p w14:paraId="479DCB8A">
      <w:pPr>
        <w:ind w:firstLine="420" w:firstLineChars="200"/>
      </w:pPr>
      <w:r>
        <w:t>(</w:t>
      </w:r>
      <w:r>
        <w:rPr>
          <w:i/>
          <w:iCs/>
        </w:rPr>
        <w:t>h</w:t>
      </w:r>
      <w:r>
        <w:t>+</w:t>
      </w:r>
      <w:r>
        <w:rPr>
          <w:i/>
          <w:iCs/>
        </w:rPr>
        <w:t>h</w:t>
      </w:r>
      <w:r>
        <w:rPr>
          <w:vertAlign w:val="subscript"/>
        </w:rPr>
        <w:t>0</w:t>
      </w:r>
      <w:r>
        <w:t xml:space="preserve"> )—曲线超高和欠超高(mm)。</w:t>
      </w:r>
    </w:p>
    <w:p w14:paraId="0B964CF8">
      <w:pPr>
        <w:spacing w:before="120" w:beforeLines="50" w:after="120" w:afterLines="50" w:line="240" w:lineRule="auto"/>
        <w:ind w:firstLine="422" w:firstLineChars="200"/>
        <w:rPr>
          <w:bCs/>
          <w:szCs w:val="28"/>
        </w:rPr>
      </w:pPr>
      <w:r>
        <w:rPr>
          <w:b/>
          <w:bCs/>
          <w:szCs w:val="28"/>
        </w:rPr>
        <w:t>4</w:t>
      </w:r>
      <w:r>
        <w:rPr>
          <w:bCs/>
          <w:szCs w:val="28"/>
        </w:rPr>
        <w:t xml:space="preserve">  </w:t>
      </w:r>
      <w:r>
        <w:rPr>
          <w:rFonts w:hint="eastAsia"/>
          <w:bCs/>
          <w:szCs w:val="28"/>
        </w:rPr>
        <w:t>正常运营状态下，列车宜提高侧向通过道岔速度，道岔选型应满足折返能力需求，结合线路条件经能力计算确定，可参考下表。</w:t>
      </w:r>
    </w:p>
    <w:p w14:paraId="201385C9">
      <w:pPr>
        <w:pStyle w:val="198"/>
      </w:pPr>
      <w:r>
        <w:rPr>
          <w:bCs/>
          <w:szCs w:val="28"/>
        </w:rPr>
        <w:br w:type="page"/>
      </w:r>
      <w:r>
        <w:t xml:space="preserve">表 3.3.4  </w:t>
      </w:r>
      <w:r>
        <w:rPr>
          <w:rFonts w:hint="eastAsia"/>
        </w:rPr>
        <w:t>折返道岔选型参考表</w:t>
      </w:r>
    </w:p>
    <w:tbl>
      <w:tblPr>
        <w:tblStyle w:val="88"/>
        <w:tblW w:w="6340" w:type="dxa"/>
        <w:tblInd w:w="0" w:type="dxa"/>
        <w:tblLayout w:type="fixed"/>
        <w:tblCellMar>
          <w:top w:w="0" w:type="dxa"/>
          <w:left w:w="108" w:type="dxa"/>
          <w:bottom w:w="0" w:type="dxa"/>
          <w:right w:w="108" w:type="dxa"/>
        </w:tblCellMar>
      </w:tblPr>
      <w:tblGrid>
        <w:gridCol w:w="867"/>
        <w:gridCol w:w="1784"/>
        <w:gridCol w:w="713"/>
        <w:gridCol w:w="1131"/>
        <w:gridCol w:w="1131"/>
        <w:gridCol w:w="714"/>
      </w:tblGrid>
      <w:tr w14:paraId="09CD6E0B">
        <w:tblPrEx>
          <w:tblCellMar>
            <w:top w:w="0" w:type="dxa"/>
            <w:left w:w="108" w:type="dxa"/>
            <w:bottom w:w="0" w:type="dxa"/>
            <w:right w:w="108" w:type="dxa"/>
          </w:tblCellMar>
        </w:tblPrEx>
        <w:trPr>
          <w:trHeight w:val="280" w:hRule="atLeast"/>
        </w:trPr>
        <w:tc>
          <w:tcPr>
            <w:tcW w:w="867" w:type="dxa"/>
            <w:vMerge w:val="restart"/>
            <w:tcBorders>
              <w:top w:val="single" w:color="auto" w:sz="4" w:space="0"/>
              <w:left w:val="single" w:color="auto" w:sz="4" w:space="0"/>
              <w:bottom w:val="single" w:color="auto" w:sz="4" w:space="0"/>
              <w:right w:val="single" w:color="auto" w:sz="4" w:space="0"/>
            </w:tcBorders>
            <w:noWrap/>
            <w:vAlign w:val="center"/>
          </w:tcPr>
          <w:p w14:paraId="280032A2">
            <w:pPr>
              <w:pStyle w:val="235"/>
              <w:rPr>
                <w:color w:val="auto"/>
              </w:rPr>
            </w:pPr>
            <w:r>
              <w:rPr>
                <w:rFonts w:hint="eastAsia"/>
                <w:color w:val="auto"/>
              </w:rPr>
              <w:t>折返方式</w:t>
            </w:r>
          </w:p>
        </w:tc>
        <w:tc>
          <w:tcPr>
            <w:tcW w:w="1784" w:type="dxa"/>
            <w:vMerge w:val="restart"/>
            <w:tcBorders>
              <w:top w:val="single" w:color="auto" w:sz="4" w:space="0"/>
              <w:left w:val="single" w:color="auto" w:sz="4" w:space="0"/>
              <w:bottom w:val="single" w:color="auto" w:sz="4" w:space="0"/>
              <w:right w:val="single" w:color="auto" w:sz="4" w:space="0"/>
            </w:tcBorders>
            <w:noWrap/>
            <w:vAlign w:val="center"/>
          </w:tcPr>
          <w:p w14:paraId="2AA336B0">
            <w:pPr>
              <w:pStyle w:val="235"/>
              <w:rPr>
                <w:color w:val="auto"/>
              </w:rPr>
            </w:pPr>
            <w:r>
              <w:rPr>
                <w:rFonts w:hint="eastAsia"/>
                <w:color w:val="auto"/>
              </w:rPr>
              <w:t>能力需求（N，对/h）</w:t>
            </w:r>
          </w:p>
        </w:tc>
        <w:tc>
          <w:tcPr>
            <w:tcW w:w="3689" w:type="dxa"/>
            <w:gridSpan w:val="4"/>
            <w:tcBorders>
              <w:top w:val="single" w:color="auto" w:sz="4" w:space="0"/>
              <w:left w:val="nil"/>
              <w:bottom w:val="single" w:color="auto" w:sz="4" w:space="0"/>
              <w:right w:val="single" w:color="auto" w:sz="4" w:space="0"/>
            </w:tcBorders>
            <w:noWrap/>
            <w:vAlign w:val="bottom"/>
          </w:tcPr>
          <w:p w14:paraId="5275BC80">
            <w:pPr>
              <w:pStyle w:val="235"/>
              <w:rPr>
                <w:color w:val="auto"/>
              </w:rPr>
            </w:pPr>
            <w:r>
              <w:rPr>
                <w:rFonts w:hint="eastAsia"/>
                <w:color w:val="auto"/>
              </w:rPr>
              <w:t>列车长度（L，m）</w:t>
            </w:r>
          </w:p>
        </w:tc>
      </w:tr>
      <w:tr w14:paraId="22E53C22">
        <w:tblPrEx>
          <w:tblCellMar>
            <w:top w:w="0" w:type="dxa"/>
            <w:left w:w="108" w:type="dxa"/>
            <w:bottom w:w="0" w:type="dxa"/>
            <w:right w:w="108" w:type="dxa"/>
          </w:tblCellMar>
        </w:tblPrEx>
        <w:trPr>
          <w:trHeight w:val="280" w:hRule="atLeast"/>
        </w:trPr>
        <w:tc>
          <w:tcPr>
            <w:tcW w:w="867" w:type="dxa"/>
            <w:vMerge w:val="continue"/>
            <w:tcBorders>
              <w:top w:val="single" w:color="auto" w:sz="4" w:space="0"/>
              <w:left w:val="single" w:color="auto" w:sz="4" w:space="0"/>
              <w:bottom w:val="single" w:color="auto" w:sz="4" w:space="0"/>
              <w:right w:val="single" w:color="auto" w:sz="4" w:space="0"/>
            </w:tcBorders>
            <w:vAlign w:val="center"/>
          </w:tcPr>
          <w:p w14:paraId="290352EC">
            <w:pPr>
              <w:pStyle w:val="235"/>
              <w:rPr>
                <w:color w:val="auto"/>
              </w:rPr>
            </w:pPr>
          </w:p>
        </w:tc>
        <w:tc>
          <w:tcPr>
            <w:tcW w:w="1784" w:type="dxa"/>
            <w:vMerge w:val="continue"/>
            <w:tcBorders>
              <w:top w:val="single" w:color="auto" w:sz="4" w:space="0"/>
              <w:left w:val="single" w:color="auto" w:sz="4" w:space="0"/>
              <w:bottom w:val="single" w:color="auto" w:sz="4" w:space="0"/>
              <w:right w:val="single" w:color="auto" w:sz="4" w:space="0"/>
            </w:tcBorders>
            <w:vAlign w:val="center"/>
          </w:tcPr>
          <w:p w14:paraId="7F90E0AD">
            <w:pPr>
              <w:pStyle w:val="235"/>
              <w:rPr>
                <w:color w:val="auto"/>
              </w:rPr>
            </w:pPr>
          </w:p>
        </w:tc>
        <w:tc>
          <w:tcPr>
            <w:tcW w:w="713" w:type="dxa"/>
            <w:tcBorders>
              <w:top w:val="nil"/>
              <w:left w:val="nil"/>
              <w:bottom w:val="single" w:color="auto" w:sz="4" w:space="0"/>
              <w:right w:val="single" w:color="auto" w:sz="4" w:space="0"/>
            </w:tcBorders>
            <w:noWrap/>
            <w:vAlign w:val="bottom"/>
          </w:tcPr>
          <w:p w14:paraId="74084ED8">
            <w:pPr>
              <w:pStyle w:val="235"/>
              <w:rPr>
                <w:color w:val="auto"/>
              </w:rPr>
            </w:pPr>
            <w:r>
              <w:rPr>
                <w:rFonts w:hint="eastAsia"/>
                <w:color w:val="auto"/>
              </w:rPr>
              <w:t>L＞140</w:t>
            </w:r>
          </w:p>
        </w:tc>
        <w:tc>
          <w:tcPr>
            <w:tcW w:w="1131" w:type="dxa"/>
            <w:tcBorders>
              <w:top w:val="nil"/>
              <w:left w:val="nil"/>
              <w:bottom w:val="single" w:color="auto" w:sz="4" w:space="0"/>
              <w:right w:val="single" w:color="auto" w:sz="4" w:space="0"/>
            </w:tcBorders>
            <w:noWrap/>
            <w:vAlign w:val="bottom"/>
          </w:tcPr>
          <w:p w14:paraId="7DC5BA5D">
            <w:pPr>
              <w:pStyle w:val="235"/>
              <w:rPr>
                <w:color w:val="auto"/>
              </w:rPr>
            </w:pPr>
            <w:r>
              <w:rPr>
                <w:rFonts w:hint="eastAsia"/>
                <w:color w:val="auto"/>
              </w:rPr>
              <w:t>120＜L≤140</w:t>
            </w:r>
          </w:p>
        </w:tc>
        <w:tc>
          <w:tcPr>
            <w:tcW w:w="1131" w:type="dxa"/>
            <w:tcBorders>
              <w:top w:val="nil"/>
              <w:left w:val="nil"/>
              <w:bottom w:val="single" w:color="auto" w:sz="4" w:space="0"/>
              <w:right w:val="single" w:color="auto" w:sz="4" w:space="0"/>
            </w:tcBorders>
            <w:noWrap/>
            <w:vAlign w:val="bottom"/>
          </w:tcPr>
          <w:p w14:paraId="258B7268">
            <w:pPr>
              <w:pStyle w:val="235"/>
              <w:rPr>
                <w:color w:val="auto"/>
              </w:rPr>
            </w:pPr>
            <w:r>
              <w:rPr>
                <w:rFonts w:hint="eastAsia"/>
                <w:color w:val="auto"/>
              </w:rPr>
              <w:t>100＜L≤120</w:t>
            </w:r>
          </w:p>
        </w:tc>
        <w:tc>
          <w:tcPr>
            <w:tcW w:w="714" w:type="dxa"/>
            <w:tcBorders>
              <w:top w:val="nil"/>
              <w:left w:val="nil"/>
              <w:bottom w:val="single" w:color="auto" w:sz="4" w:space="0"/>
              <w:right w:val="single" w:color="auto" w:sz="4" w:space="0"/>
            </w:tcBorders>
            <w:noWrap/>
            <w:vAlign w:val="bottom"/>
          </w:tcPr>
          <w:p w14:paraId="71B0B38E">
            <w:pPr>
              <w:pStyle w:val="235"/>
              <w:rPr>
                <w:color w:val="auto"/>
              </w:rPr>
            </w:pPr>
            <w:r>
              <w:rPr>
                <w:rFonts w:hint="eastAsia"/>
                <w:color w:val="auto"/>
              </w:rPr>
              <w:t>L≤100</w:t>
            </w:r>
          </w:p>
        </w:tc>
      </w:tr>
      <w:tr w14:paraId="304698A3">
        <w:tblPrEx>
          <w:tblCellMar>
            <w:top w:w="0" w:type="dxa"/>
            <w:left w:w="108" w:type="dxa"/>
            <w:bottom w:w="0" w:type="dxa"/>
            <w:right w:w="108" w:type="dxa"/>
          </w:tblCellMar>
        </w:tblPrEx>
        <w:trPr>
          <w:trHeight w:val="280" w:hRule="atLeast"/>
        </w:trPr>
        <w:tc>
          <w:tcPr>
            <w:tcW w:w="867" w:type="dxa"/>
            <w:vMerge w:val="restart"/>
            <w:tcBorders>
              <w:top w:val="nil"/>
              <w:left w:val="single" w:color="auto" w:sz="4" w:space="0"/>
              <w:bottom w:val="single" w:color="auto" w:sz="4" w:space="0"/>
              <w:right w:val="single" w:color="auto" w:sz="4" w:space="0"/>
            </w:tcBorders>
            <w:noWrap/>
            <w:vAlign w:val="center"/>
          </w:tcPr>
          <w:p w14:paraId="4F40AD68">
            <w:pPr>
              <w:pStyle w:val="235"/>
              <w:rPr>
                <w:color w:val="auto"/>
              </w:rPr>
            </w:pPr>
            <w:r>
              <w:rPr>
                <w:rFonts w:hint="eastAsia"/>
                <w:color w:val="auto"/>
              </w:rPr>
              <w:t>站前折返</w:t>
            </w:r>
          </w:p>
        </w:tc>
        <w:tc>
          <w:tcPr>
            <w:tcW w:w="1784" w:type="dxa"/>
            <w:tcBorders>
              <w:top w:val="nil"/>
              <w:left w:val="nil"/>
              <w:bottom w:val="single" w:color="auto" w:sz="4" w:space="0"/>
              <w:right w:val="single" w:color="auto" w:sz="4" w:space="0"/>
            </w:tcBorders>
            <w:noWrap/>
            <w:vAlign w:val="bottom"/>
          </w:tcPr>
          <w:p w14:paraId="7F494C70">
            <w:pPr>
              <w:pStyle w:val="235"/>
              <w:rPr>
                <w:color w:val="auto"/>
              </w:rPr>
            </w:pPr>
            <w:r>
              <w:rPr>
                <w:rFonts w:hint="eastAsia"/>
                <w:color w:val="auto"/>
              </w:rPr>
              <w:t>N=30</w:t>
            </w:r>
          </w:p>
        </w:tc>
        <w:tc>
          <w:tcPr>
            <w:tcW w:w="713" w:type="dxa"/>
            <w:tcBorders>
              <w:top w:val="nil"/>
              <w:left w:val="nil"/>
              <w:bottom w:val="single" w:color="auto" w:sz="4" w:space="0"/>
              <w:right w:val="single" w:color="auto" w:sz="4" w:space="0"/>
            </w:tcBorders>
            <w:noWrap/>
            <w:vAlign w:val="bottom"/>
          </w:tcPr>
          <w:p w14:paraId="3A0666D7">
            <w:pPr>
              <w:pStyle w:val="235"/>
              <w:rPr>
                <w:color w:val="auto"/>
              </w:rPr>
            </w:pPr>
            <w:r>
              <w:rPr>
                <w:rFonts w:hint="eastAsia"/>
                <w:color w:val="auto"/>
              </w:rPr>
              <w:t>18号</w:t>
            </w:r>
          </w:p>
        </w:tc>
        <w:tc>
          <w:tcPr>
            <w:tcW w:w="1131" w:type="dxa"/>
            <w:tcBorders>
              <w:top w:val="nil"/>
              <w:left w:val="nil"/>
              <w:bottom w:val="single" w:color="auto" w:sz="4" w:space="0"/>
              <w:right w:val="single" w:color="auto" w:sz="4" w:space="0"/>
            </w:tcBorders>
            <w:noWrap/>
            <w:vAlign w:val="center"/>
          </w:tcPr>
          <w:p w14:paraId="22A40D37">
            <w:pPr>
              <w:pStyle w:val="235"/>
              <w:rPr>
                <w:color w:val="auto"/>
              </w:rPr>
            </w:pPr>
            <w:r>
              <w:rPr>
                <w:rFonts w:hint="eastAsia"/>
                <w:color w:val="auto"/>
              </w:rPr>
              <w:t>18号</w:t>
            </w:r>
          </w:p>
        </w:tc>
        <w:tc>
          <w:tcPr>
            <w:tcW w:w="1131" w:type="dxa"/>
            <w:vMerge w:val="restart"/>
            <w:tcBorders>
              <w:top w:val="nil"/>
              <w:left w:val="single" w:color="auto" w:sz="4" w:space="0"/>
              <w:bottom w:val="single" w:color="000000" w:sz="4" w:space="0"/>
              <w:right w:val="single" w:color="auto" w:sz="4" w:space="0"/>
            </w:tcBorders>
            <w:noWrap/>
            <w:vAlign w:val="center"/>
          </w:tcPr>
          <w:p w14:paraId="0A9BB8EC">
            <w:pPr>
              <w:pStyle w:val="235"/>
              <w:rPr>
                <w:color w:val="auto"/>
              </w:rPr>
            </w:pPr>
            <w:r>
              <w:rPr>
                <w:rFonts w:hint="eastAsia"/>
                <w:color w:val="auto"/>
              </w:rPr>
              <w:t>12号</w:t>
            </w:r>
          </w:p>
        </w:tc>
        <w:tc>
          <w:tcPr>
            <w:tcW w:w="714" w:type="dxa"/>
            <w:vMerge w:val="restart"/>
            <w:tcBorders>
              <w:top w:val="nil"/>
              <w:left w:val="single" w:color="auto" w:sz="4" w:space="0"/>
              <w:bottom w:val="single" w:color="000000" w:sz="4" w:space="0"/>
              <w:right w:val="single" w:color="auto" w:sz="4" w:space="0"/>
            </w:tcBorders>
            <w:noWrap/>
            <w:vAlign w:val="center"/>
          </w:tcPr>
          <w:p w14:paraId="1311E338">
            <w:pPr>
              <w:pStyle w:val="235"/>
              <w:rPr>
                <w:color w:val="auto"/>
              </w:rPr>
            </w:pPr>
            <w:r>
              <w:rPr>
                <w:rFonts w:hint="eastAsia"/>
                <w:color w:val="auto"/>
              </w:rPr>
              <w:t>9号</w:t>
            </w:r>
          </w:p>
        </w:tc>
      </w:tr>
      <w:tr w14:paraId="0D1E7FC4">
        <w:tblPrEx>
          <w:tblCellMar>
            <w:top w:w="0" w:type="dxa"/>
            <w:left w:w="108" w:type="dxa"/>
            <w:bottom w:w="0" w:type="dxa"/>
            <w:right w:w="108" w:type="dxa"/>
          </w:tblCellMar>
        </w:tblPrEx>
        <w:trPr>
          <w:trHeight w:val="280" w:hRule="atLeast"/>
        </w:trPr>
        <w:tc>
          <w:tcPr>
            <w:tcW w:w="867" w:type="dxa"/>
            <w:vMerge w:val="continue"/>
            <w:tcBorders>
              <w:top w:val="nil"/>
              <w:left w:val="single" w:color="auto" w:sz="4" w:space="0"/>
              <w:bottom w:val="single" w:color="auto" w:sz="4" w:space="0"/>
              <w:right w:val="single" w:color="auto" w:sz="4" w:space="0"/>
            </w:tcBorders>
            <w:vAlign w:val="center"/>
          </w:tcPr>
          <w:p w14:paraId="1F5A6F06">
            <w:pPr>
              <w:pStyle w:val="235"/>
              <w:rPr>
                <w:color w:val="auto"/>
              </w:rPr>
            </w:pPr>
          </w:p>
        </w:tc>
        <w:tc>
          <w:tcPr>
            <w:tcW w:w="1784" w:type="dxa"/>
            <w:tcBorders>
              <w:top w:val="nil"/>
              <w:left w:val="nil"/>
              <w:bottom w:val="single" w:color="auto" w:sz="4" w:space="0"/>
              <w:right w:val="single" w:color="auto" w:sz="4" w:space="0"/>
            </w:tcBorders>
            <w:noWrap/>
            <w:vAlign w:val="bottom"/>
          </w:tcPr>
          <w:p w14:paraId="6B61E96E">
            <w:pPr>
              <w:pStyle w:val="235"/>
              <w:rPr>
                <w:color w:val="auto"/>
              </w:rPr>
            </w:pPr>
            <w:r>
              <w:rPr>
                <w:rFonts w:hint="eastAsia"/>
                <w:color w:val="auto"/>
              </w:rPr>
              <w:t>30＞N≥27</w:t>
            </w:r>
          </w:p>
        </w:tc>
        <w:tc>
          <w:tcPr>
            <w:tcW w:w="713" w:type="dxa"/>
            <w:tcBorders>
              <w:top w:val="nil"/>
              <w:left w:val="nil"/>
              <w:bottom w:val="single" w:color="auto" w:sz="4" w:space="0"/>
              <w:right w:val="single" w:color="auto" w:sz="4" w:space="0"/>
            </w:tcBorders>
            <w:noWrap/>
            <w:vAlign w:val="bottom"/>
          </w:tcPr>
          <w:p w14:paraId="26452044">
            <w:pPr>
              <w:pStyle w:val="235"/>
              <w:rPr>
                <w:color w:val="auto"/>
              </w:rPr>
            </w:pPr>
            <w:r>
              <w:rPr>
                <w:rFonts w:hint="eastAsia"/>
                <w:color w:val="auto"/>
              </w:rPr>
              <w:t>12号</w:t>
            </w:r>
          </w:p>
        </w:tc>
        <w:tc>
          <w:tcPr>
            <w:tcW w:w="1131" w:type="dxa"/>
            <w:tcBorders>
              <w:top w:val="nil"/>
              <w:left w:val="nil"/>
              <w:bottom w:val="single" w:color="auto" w:sz="4" w:space="0"/>
              <w:right w:val="single" w:color="auto" w:sz="4" w:space="0"/>
            </w:tcBorders>
            <w:noWrap/>
            <w:vAlign w:val="center"/>
          </w:tcPr>
          <w:p w14:paraId="44F39B8E">
            <w:pPr>
              <w:pStyle w:val="235"/>
              <w:rPr>
                <w:color w:val="auto"/>
              </w:rPr>
            </w:pPr>
            <w:r>
              <w:rPr>
                <w:rFonts w:hint="eastAsia"/>
                <w:color w:val="auto"/>
              </w:rPr>
              <w:t>12号</w:t>
            </w:r>
          </w:p>
        </w:tc>
        <w:tc>
          <w:tcPr>
            <w:tcW w:w="1131" w:type="dxa"/>
            <w:vMerge w:val="continue"/>
            <w:tcBorders>
              <w:top w:val="nil"/>
              <w:left w:val="single" w:color="auto" w:sz="4" w:space="0"/>
              <w:bottom w:val="single" w:color="000000" w:sz="4" w:space="0"/>
              <w:right w:val="single" w:color="auto" w:sz="4" w:space="0"/>
            </w:tcBorders>
            <w:vAlign w:val="center"/>
          </w:tcPr>
          <w:p w14:paraId="50A38208">
            <w:pPr>
              <w:pStyle w:val="235"/>
              <w:rPr>
                <w:color w:val="auto"/>
              </w:rPr>
            </w:pPr>
          </w:p>
        </w:tc>
        <w:tc>
          <w:tcPr>
            <w:tcW w:w="714" w:type="dxa"/>
            <w:vMerge w:val="continue"/>
            <w:tcBorders>
              <w:top w:val="nil"/>
              <w:left w:val="single" w:color="auto" w:sz="4" w:space="0"/>
              <w:bottom w:val="single" w:color="000000" w:sz="4" w:space="0"/>
              <w:right w:val="single" w:color="auto" w:sz="4" w:space="0"/>
            </w:tcBorders>
            <w:vAlign w:val="center"/>
          </w:tcPr>
          <w:p w14:paraId="2BC058E1">
            <w:pPr>
              <w:pStyle w:val="235"/>
              <w:rPr>
                <w:color w:val="auto"/>
              </w:rPr>
            </w:pPr>
          </w:p>
        </w:tc>
      </w:tr>
      <w:tr w14:paraId="6EE0A5C4">
        <w:tblPrEx>
          <w:tblCellMar>
            <w:top w:w="0" w:type="dxa"/>
            <w:left w:w="108" w:type="dxa"/>
            <w:bottom w:w="0" w:type="dxa"/>
            <w:right w:w="108" w:type="dxa"/>
          </w:tblCellMar>
        </w:tblPrEx>
        <w:trPr>
          <w:trHeight w:val="280" w:hRule="atLeast"/>
        </w:trPr>
        <w:tc>
          <w:tcPr>
            <w:tcW w:w="867" w:type="dxa"/>
            <w:vMerge w:val="continue"/>
            <w:tcBorders>
              <w:top w:val="nil"/>
              <w:left w:val="single" w:color="auto" w:sz="4" w:space="0"/>
              <w:bottom w:val="single" w:color="auto" w:sz="4" w:space="0"/>
              <w:right w:val="single" w:color="auto" w:sz="4" w:space="0"/>
            </w:tcBorders>
            <w:vAlign w:val="center"/>
          </w:tcPr>
          <w:p w14:paraId="66183561">
            <w:pPr>
              <w:pStyle w:val="235"/>
              <w:rPr>
                <w:color w:val="auto"/>
              </w:rPr>
            </w:pPr>
          </w:p>
        </w:tc>
        <w:tc>
          <w:tcPr>
            <w:tcW w:w="1784" w:type="dxa"/>
            <w:tcBorders>
              <w:top w:val="nil"/>
              <w:left w:val="nil"/>
              <w:bottom w:val="single" w:color="auto" w:sz="4" w:space="0"/>
              <w:right w:val="single" w:color="auto" w:sz="4" w:space="0"/>
            </w:tcBorders>
            <w:noWrap/>
            <w:vAlign w:val="bottom"/>
          </w:tcPr>
          <w:p w14:paraId="49C4A666">
            <w:pPr>
              <w:pStyle w:val="235"/>
              <w:rPr>
                <w:color w:val="auto"/>
              </w:rPr>
            </w:pPr>
            <w:r>
              <w:rPr>
                <w:rFonts w:hint="eastAsia"/>
                <w:color w:val="auto"/>
              </w:rPr>
              <w:t>27＞N＞24</w:t>
            </w:r>
          </w:p>
        </w:tc>
        <w:tc>
          <w:tcPr>
            <w:tcW w:w="713" w:type="dxa"/>
            <w:tcBorders>
              <w:top w:val="nil"/>
              <w:left w:val="nil"/>
              <w:bottom w:val="single" w:color="auto" w:sz="4" w:space="0"/>
              <w:right w:val="single" w:color="auto" w:sz="4" w:space="0"/>
            </w:tcBorders>
            <w:noWrap/>
            <w:vAlign w:val="bottom"/>
          </w:tcPr>
          <w:p w14:paraId="183080EE">
            <w:pPr>
              <w:pStyle w:val="235"/>
              <w:rPr>
                <w:color w:val="auto"/>
              </w:rPr>
            </w:pPr>
            <w:r>
              <w:rPr>
                <w:rFonts w:hint="eastAsia"/>
                <w:color w:val="auto"/>
              </w:rPr>
              <w:t>12号</w:t>
            </w:r>
          </w:p>
        </w:tc>
        <w:tc>
          <w:tcPr>
            <w:tcW w:w="1131" w:type="dxa"/>
            <w:vMerge w:val="restart"/>
            <w:tcBorders>
              <w:top w:val="nil"/>
              <w:left w:val="single" w:color="auto" w:sz="4" w:space="0"/>
              <w:bottom w:val="single" w:color="auto" w:sz="4" w:space="0"/>
              <w:right w:val="single" w:color="auto" w:sz="4" w:space="0"/>
            </w:tcBorders>
            <w:noWrap/>
            <w:vAlign w:val="center"/>
          </w:tcPr>
          <w:p w14:paraId="17CEF731">
            <w:pPr>
              <w:pStyle w:val="235"/>
              <w:rPr>
                <w:color w:val="auto"/>
              </w:rPr>
            </w:pPr>
            <w:r>
              <w:rPr>
                <w:rFonts w:hint="eastAsia"/>
                <w:color w:val="auto"/>
              </w:rPr>
              <w:t>9号</w:t>
            </w:r>
          </w:p>
        </w:tc>
        <w:tc>
          <w:tcPr>
            <w:tcW w:w="1131" w:type="dxa"/>
            <w:vMerge w:val="restart"/>
            <w:tcBorders>
              <w:top w:val="nil"/>
              <w:left w:val="single" w:color="auto" w:sz="4" w:space="0"/>
              <w:bottom w:val="single" w:color="000000" w:sz="4" w:space="0"/>
              <w:right w:val="single" w:color="auto" w:sz="4" w:space="0"/>
            </w:tcBorders>
            <w:noWrap/>
            <w:vAlign w:val="center"/>
          </w:tcPr>
          <w:p w14:paraId="79EDC646">
            <w:pPr>
              <w:pStyle w:val="235"/>
              <w:rPr>
                <w:color w:val="auto"/>
              </w:rPr>
            </w:pPr>
            <w:r>
              <w:rPr>
                <w:rFonts w:hint="eastAsia"/>
                <w:color w:val="auto"/>
              </w:rPr>
              <w:t>9号</w:t>
            </w:r>
          </w:p>
        </w:tc>
        <w:tc>
          <w:tcPr>
            <w:tcW w:w="714" w:type="dxa"/>
            <w:vMerge w:val="continue"/>
            <w:tcBorders>
              <w:top w:val="nil"/>
              <w:left w:val="single" w:color="auto" w:sz="4" w:space="0"/>
              <w:bottom w:val="single" w:color="000000" w:sz="4" w:space="0"/>
              <w:right w:val="single" w:color="auto" w:sz="4" w:space="0"/>
            </w:tcBorders>
            <w:vAlign w:val="center"/>
          </w:tcPr>
          <w:p w14:paraId="31DC6377">
            <w:pPr>
              <w:pStyle w:val="235"/>
              <w:rPr>
                <w:color w:val="auto"/>
              </w:rPr>
            </w:pPr>
          </w:p>
        </w:tc>
      </w:tr>
      <w:tr w14:paraId="152B2D01">
        <w:tblPrEx>
          <w:tblCellMar>
            <w:top w:w="0" w:type="dxa"/>
            <w:left w:w="108" w:type="dxa"/>
            <w:bottom w:w="0" w:type="dxa"/>
            <w:right w:w="108" w:type="dxa"/>
          </w:tblCellMar>
        </w:tblPrEx>
        <w:trPr>
          <w:trHeight w:val="280" w:hRule="atLeast"/>
        </w:trPr>
        <w:tc>
          <w:tcPr>
            <w:tcW w:w="867" w:type="dxa"/>
            <w:vMerge w:val="continue"/>
            <w:tcBorders>
              <w:top w:val="nil"/>
              <w:left w:val="single" w:color="auto" w:sz="4" w:space="0"/>
              <w:bottom w:val="single" w:color="auto" w:sz="4" w:space="0"/>
              <w:right w:val="single" w:color="auto" w:sz="4" w:space="0"/>
            </w:tcBorders>
            <w:vAlign w:val="center"/>
          </w:tcPr>
          <w:p w14:paraId="3B4452BB">
            <w:pPr>
              <w:pStyle w:val="235"/>
              <w:rPr>
                <w:color w:val="auto"/>
              </w:rPr>
            </w:pPr>
          </w:p>
        </w:tc>
        <w:tc>
          <w:tcPr>
            <w:tcW w:w="1784" w:type="dxa"/>
            <w:tcBorders>
              <w:top w:val="nil"/>
              <w:left w:val="nil"/>
              <w:bottom w:val="single" w:color="auto" w:sz="4" w:space="0"/>
              <w:right w:val="single" w:color="auto" w:sz="4" w:space="0"/>
            </w:tcBorders>
            <w:noWrap/>
            <w:vAlign w:val="bottom"/>
          </w:tcPr>
          <w:p w14:paraId="47269398">
            <w:pPr>
              <w:pStyle w:val="235"/>
              <w:rPr>
                <w:color w:val="auto"/>
              </w:rPr>
            </w:pPr>
            <w:r>
              <w:rPr>
                <w:rFonts w:hint="eastAsia"/>
                <w:color w:val="auto"/>
              </w:rPr>
              <w:t>N≤24</w:t>
            </w:r>
          </w:p>
        </w:tc>
        <w:tc>
          <w:tcPr>
            <w:tcW w:w="713" w:type="dxa"/>
            <w:tcBorders>
              <w:top w:val="nil"/>
              <w:left w:val="nil"/>
              <w:bottom w:val="single" w:color="auto" w:sz="4" w:space="0"/>
              <w:right w:val="single" w:color="auto" w:sz="4" w:space="0"/>
            </w:tcBorders>
            <w:noWrap/>
            <w:vAlign w:val="bottom"/>
          </w:tcPr>
          <w:p w14:paraId="2DF908E2">
            <w:pPr>
              <w:pStyle w:val="235"/>
              <w:rPr>
                <w:color w:val="auto"/>
              </w:rPr>
            </w:pPr>
            <w:r>
              <w:rPr>
                <w:rFonts w:hint="eastAsia"/>
                <w:color w:val="auto"/>
              </w:rPr>
              <w:t>9号</w:t>
            </w:r>
          </w:p>
        </w:tc>
        <w:tc>
          <w:tcPr>
            <w:tcW w:w="1131" w:type="dxa"/>
            <w:vMerge w:val="continue"/>
            <w:tcBorders>
              <w:top w:val="nil"/>
              <w:left w:val="single" w:color="auto" w:sz="4" w:space="0"/>
              <w:bottom w:val="single" w:color="auto" w:sz="4" w:space="0"/>
              <w:right w:val="single" w:color="auto" w:sz="4" w:space="0"/>
            </w:tcBorders>
            <w:vAlign w:val="center"/>
          </w:tcPr>
          <w:p w14:paraId="45D697B3">
            <w:pPr>
              <w:pStyle w:val="235"/>
              <w:rPr>
                <w:color w:val="auto"/>
              </w:rPr>
            </w:pPr>
          </w:p>
        </w:tc>
        <w:tc>
          <w:tcPr>
            <w:tcW w:w="1131" w:type="dxa"/>
            <w:vMerge w:val="continue"/>
            <w:tcBorders>
              <w:top w:val="nil"/>
              <w:left w:val="single" w:color="auto" w:sz="4" w:space="0"/>
              <w:bottom w:val="single" w:color="000000" w:sz="4" w:space="0"/>
              <w:right w:val="single" w:color="auto" w:sz="4" w:space="0"/>
            </w:tcBorders>
            <w:vAlign w:val="center"/>
          </w:tcPr>
          <w:p w14:paraId="54868073">
            <w:pPr>
              <w:pStyle w:val="235"/>
              <w:rPr>
                <w:color w:val="auto"/>
              </w:rPr>
            </w:pPr>
          </w:p>
        </w:tc>
        <w:tc>
          <w:tcPr>
            <w:tcW w:w="714" w:type="dxa"/>
            <w:vMerge w:val="continue"/>
            <w:tcBorders>
              <w:top w:val="nil"/>
              <w:left w:val="single" w:color="auto" w:sz="4" w:space="0"/>
              <w:bottom w:val="single" w:color="000000" w:sz="4" w:space="0"/>
              <w:right w:val="single" w:color="auto" w:sz="4" w:space="0"/>
            </w:tcBorders>
            <w:vAlign w:val="center"/>
          </w:tcPr>
          <w:p w14:paraId="46FA8E20">
            <w:pPr>
              <w:pStyle w:val="235"/>
              <w:rPr>
                <w:color w:val="auto"/>
              </w:rPr>
            </w:pPr>
          </w:p>
        </w:tc>
      </w:tr>
      <w:tr w14:paraId="24D0B937">
        <w:tblPrEx>
          <w:tblCellMar>
            <w:top w:w="0" w:type="dxa"/>
            <w:left w:w="108" w:type="dxa"/>
            <w:bottom w:w="0" w:type="dxa"/>
            <w:right w:w="108" w:type="dxa"/>
          </w:tblCellMar>
        </w:tblPrEx>
        <w:trPr>
          <w:trHeight w:val="280" w:hRule="atLeast"/>
        </w:trPr>
        <w:tc>
          <w:tcPr>
            <w:tcW w:w="867" w:type="dxa"/>
            <w:vMerge w:val="restart"/>
            <w:tcBorders>
              <w:top w:val="nil"/>
              <w:left w:val="single" w:color="auto" w:sz="4" w:space="0"/>
              <w:bottom w:val="single" w:color="auto" w:sz="4" w:space="0"/>
              <w:right w:val="single" w:color="auto" w:sz="4" w:space="0"/>
            </w:tcBorders>
            <w:noWrap/>
            <w:vAlign w:val="center"/>
          </w:tcPr>
          <w:p w14:paraId="346A4EDD">
            <w:pPr>
              <w:pStyle w:val="235"/>
              <w:rPr>
                <w:color w:val="auto"/>
              </w:rPr>
            </w:pPr>
            <w:r>
              <w:rPr>
                <w:rFonts w:hint="eastAsia"/>
                <w:color w:val="auto"/>
              </w:rPr>
              <w:t>站后折返</w:t>
            </w:r>
          </w:p>
        </w:tc>
        <w:tc>
          <w:tcPr>
            <w:tcW w:w="1784" w:type="dxa"/>
            <w:tcBorders>
              <w:top w:val="nil"/>
              <w:left w:val="nil"/>
              <w:bottom w:val="single" w:color="auto" w:sz="4" w:space="0"/>
              <w:right w:val="single" w:color="auto" w:sz="4" w:space="0"/>
            </w:tcBorders>
            <w:noWrap/>
            <w:vAlign w:val="bottom"/>
          </w:tcPr>
          <w:p w14:paraId="6D604368">
            <w:pPr>
              <w:pStyle w:val="235"/>
              <w:rPr>
                <w:color w:val="auto"/>
              </w:rPr>
            </w:pPr>
            <w:r>
              <w:rPr>
                <w:rFonts w:hint="eastAsia"/>
                <w:color w:val="auto"/>
              </w:rPr>
              <w:t>N=30</w:t>
            </w:r>
          </w:p>
        </w:tc>
        <w:tc>
          <w:tcPr>
            <w:tcW w:w="713" w:type="dxa"/>
            <w:tcBorders>
              <w:top w:val="nil"/>
              <w:left w:val="nil"/>
              <w:bottom w:val="single" w:color="auto" w:sz="4" w:space="0"/>
              <w:right w:val="single" w:color="auto" w:sz="4" w:space="0"/>
            </w:tcBorders>
            <w:noWrap/>
            <w:vAlign w:val="bottom"/>
          </w:tcPr>
          <w:p w14:paraId="2106E5CB">
            <w:pPr>
              <w:pStyle w:val="235"/>
              <w:rPr>
                <w:color w:val="auto"/>
              </w:rPr>
            </w:pPr>
            <w:r>
              <w:rPr>
                <w:rFonts w:hint="eastAsia"/>
                <w:color w:val="auto"/>
              </w:rPr>
              <w:t>12号</w:t>
            </w:r>
          </w:p>
        </w:tc>
        <w:tc>
          <w:tcPr>
            <w:tcW w:w="1131" w:type="dxa"/>
            <w:vMerge w:val="restart"/>
            <w:tcBorders>
              <w:top w:val="nil"/>
              <w:left w:val="single" w:color="auto" w:sz="4" w:space="0"/>
              <w:bottom w:val="single" w:color="auto" w:sz="4" w:space="0"/>
              <w:right w:val="single" w:color="auto" w:sz="4" w:space="0"/>
            </w:tcBorders>
            <w:noWrap/>
            <w:vAlign w:val="center"/>
          </w:tcPr>
          <w:p w14:paraId="20AA5DB6">
            <w:pPr>
              <w:pStyle w:val="235"/>
              <w:rPr>
                <w:color w:val="auto"/>
              </w:rPr>
            </w:pPr>
            <w:r>
              <w:rPr>
                <w:rFonts w:hint="eastAsia"/>
                <w:color w:val="auto"/>
              </w:rPr>
              <w:t>9号</w:t>
            </w:r>
          </w:p>
        </w:tc>
        <w:tc>
          <w:tcPr>
            <w:tcW w:w="1131" w:type="dxa"/>
            <w:vMerge w:val="restart"/>
            <w:tcBorders>
              <w:top w:val="nil"/>
              <w:left w:val="single" w:color="auto" w:sz="4" w:space="0"/>
              <w:bottom w:val="single" w:color="000000" w:sz="4" w:space="0"/>
              <w:right w:val="single" w:color="auto" w:sz="4" w:space="0"/>
            </w:tcBorders>
            <w:noWrap/>
            <w:vAlign w:val="center"/>
          </w:tcPr>
          <w:p w14:paraId="42D9D51A">
            <w:pPr>
              <w:pStyle w:val="235"/>
              <w:rPr>
                <w:color w:val="auto"/>
              </w:rPr>
            </w:pPr>
            <w:r>
              <w:rPr>
                <w:rFonts w:hint="eastAsia"/>
                <w:color w:val="auto"/>
              </w:rPr>
              <w:t>9号</w:t>
            </w:r>
          </w:p>
        </w:tc>
        <w:tc>
          <w:tcPr>
            <w:tcW w:w="714" w:type="dxa"/>
            <w:vMerge w:val="continue"/>
            <w:tcBorders>
              <w:top w:val="nil"/>
              <w:left w:val="single" w:color="auto" w:sz="4" w:space="0"/>
              <w:bottom w:val="single" w:color="000000" w:sz="4" w:space="0"/>
              <w:right w:val="single" w:color="auto" w:sz="4" w:space="0"/>
            </w:tcBorders>
            <w:vAlign w:val="center"/>
          </w:tcPr>
          <w:p w14:paraId="39D112F3">
            <w:pPr>
              <w:pStyle w:val="235"/>
              <w:rPr>
                <w:color w:val="auto"/>
              </w:rPr>
            </w:pPr>
          </w:p>
        </w:tc>
      </w:tr>
      <w:tr w14:paraId="6AD8910F">
        <w:tblPrEx>
          <w:tblCellMar>
            <w:top w:w="0" w:type="dxa"/>
            <w:left w:w="108" w:type="dxa"/>
            <w:bottom w:w="0" w:type="dxa"/>
            <w:right w:w="108" w:type="dxa"/>
          </w:tblCellMar>
        </w:tblPrEx>
        <w:trPr>
          <w:trHeight w:val="280" w:hRule="atLeast"/>
        </w:trPr>
        <w:tc>
          <w:tcPr>
            <w:tcW w:w="867" w:type="dxa"/>
            <w:vMerge w:val="continue"/>
            <w:tcBorders>
              <w:top w:val="nil"/>
              <w:left w:val="single" w:color="auto" w:sz="4" w:space="0"/>
              <w:bottom w:val="single" w:color="auto" w:sz="4" w:space="0"/>
              <w:right w:val="single" w:color="auto" w:sz="4" w:space="0"/>
            </w:tcBorders>
            <w:vAlign w:val="center"/>
          </w:tcPr>
          <w:p w14:paraId="765E2AA6">
            <w:pPr>
              <w:pStyle w:val="235"/>
              <w:rPr>
                <w:color w:val="auto"/>
              </w:rPr>
            </w:pPr>
          </w:p>
        </w:tc>
        <w:tc>
          <w:tcPr>
            <w:tcW w:w="1784" w:type="dxa"/>
            <w:tcBorders>
              <w:top w:val="nil"/>
              <w:left w:val="nil"/>
              <w:bottom w:val="single" w:color="auto" w:sz="4" w:space="0"/>
              <w:right w:val="single" w:color="auto" w:sz="4" w:space="0"/>
            </w:tcBorders>
            <w:noWrap/>
            <w:vAlign w:val="bottom"/>
          </w:tcPr>
          <w:p w14:paraId="159720F0">
            <w:pPr>
              <w:pStyle w:val="235"/>
              <w:rPr>
                <w:color w:val="auto"/>
              </w:rPr>
            </w:pPr>
            <w:r>
              <w:rPr>
                <w:rFonts w:hint="eastAsia"/>
                <w:color w:val="auto"/>
              </w:rPr>
              <w:t>30＞N≥27</w:t>
            </w:r>
          </w:p>
        </w:tc>
        <w:tc>
          <w:tcPr>
            <w:tcW w:w="713" w:type="dxa"/>
            <w:tcBorders>
              <w:top w:val="nil"/>
              <w:left w:val="nil"/>
              <w:bottom w:val="single" w:color="auto" w:sz="4" w:space="0"/>
              <w:right w:val="single" w:color="auto" w:sz="4" w:space="0"/>
            </w:tcBorders>
            <w:noWrap/>
            <w:vAlign w:val="center"/>
          </w:tcPr>
          <w:p w14:paraId="61D749C3">
            <w:pPr>
              <w:pStyle w:val="235"/>
              <w:rPr>
                <w:color w:val="auto"/>
              </w:rPr>
            </w:pPr>
            <w:r>
              <w:rPr>
                <w:rFonts w:hint="eastAsia"/>
                <w:color w:val="auto"/>
              </w:rPr>
              <w:t>12号</w:t>
            </w:r>
          </w:p>
        </w:tc>
        <w:tc>
          <w:tcPr>
            <w:tcW w:w="1131" w:type="dxa"/>
            <w:vMerge w:val="continue"/>
            <w:tcBorders>
              <w:top w:val="nil"/>
              <w:left w:val="single" w:color="auto" w:sz="4" w:space="0"/>
              <w:bottom w:val="single" w:color="auto" w:sz="4" w:space="0"/>
              <w:right w:val="single" w:color="auto" w:sz="4" w:space="0"/>
            </w:tcBorders>
            <w:vAlign w:val="center"/>
          </w:tcPr>
          <w:p w14:paraId="1B35AEFC">
            <w:pPr>
              <w:pStyle w:val="235"/>
              <w:rPr>
                <w:color w:val="auto"/>
              </w:rPr>
            </w:pPr>
          </w:p>
        </w:tc>
        <w:tc>
          <w:tcPr>
            <w:tcW w:w="1131" w:type="dxa"/>
            <w:vMerge w:val="continue"/>
            <w:tcBorders>
              <w:top w:val="nil"/>
              <w:left w:val="single" w:color="auto" w:sz="4" w:space="0"/>
              <w:bottom w:val="single" w:color="000000" w:sz="4" w:space="0"/>
              <w:right w:val="single" w:color="auto" w:sz="4" w:space="0"/>
            </w:tcBorders>
            <w:vAlign w:val="center"/>
          </w:tcPr>
          <w:p w14:paraId="7586B7A9">
            <w:pPr>
              <w:pStyle w:val="235"/>
              <w:rPr>
                <w:color w:val="auto"/>
              </w:rPr>
            </w:pPr>
          </w:p>
        </w:tc>
        <w:tc>
          <w:tcPr>
            <w:tcW w:w="714" w:type="dxa"/>
            <w:vMerge w:val="continue"/>
            <w:tcBorders>
              <w:top w:val="nil"/>
              <w:left w:val="single" w:color="auto" w:sz="4" w:space="0"/>
              <w:bottom w:val="single" w:color="000000" w:sz="4" w:space="0"/>
              <w:right w:val="single" w:color="auto" w:sz="4" w:space="0"/>
            </w:tcBorders>
            <w:vAlign w:val="center"/>
          </w:tcPr>
          <w:p w14:paraId="4C40BE7D">
            <w:pPr>
              <w:pStyle w:val="235"/>
              <w:rPr>
                <w:color w:val="auto"/>
              </w:rPr>
            </w:pPr>
          </w:p>
        </w:tc>
      </w:tr>
      <w:tr w14:paraId="061651EE">
        <w:tblPrEx>
          <w:tblCellMar>
            <w:top w:w="0" w:type="dxa"/>
            <w:left w:w="108" w:type="dxa"/>
            <w:bottom w:w="0" w:type="dxa"/>
            <w:right w:w="108" w:type="dxa"/>
          </w:tblCellMar>
        </w:tblPrEx>
        <w:trPr>
          <w:trHeight w:val="280" w:hRule="atLeast"/>
        </w:trPr>
        <w:tc>
          <w:tcPr>
            <w:tcW w:w="867" w:type="dxa"/>
            <w:vMerge w:val="continue"/>
            <w:tcBorders>
              <w:top w:val="nil"/>
              <w:left w:val="single" w:color="auto" w:sz="4" w:space="0"/>
              <w:bottom w:val="single" w:color="auto" w:sz="4" w:space="0"/>
              <w:right w:val="single" w:color="auto" w:sz="4" w:space="0"/>
            </w:tcBorders>
            <w:vAlign w:val="center"/>
          </w:tcPr>
          <w:p w14:paraId="1141C983">
            <w:pPr>
              <w:pStyle w:val="235"/>
              <w:rPr>
                <w:color w:val="auto"/>
              </w:rPr>
            </w:pPr>
          </w:p>
        </w:tc>
        <w:tc>
          <w:tcPr>
            <w:tcW w:w="1784" w:type="dxa"/>
            <w:tcBorders>
              <w:top w:val="nil"/>
              <w:left w:val="nil"/>
              <w:bottom w:val="single" w:color="auto" w:sz="4" w:space="0"/>
              <w:right w:val="single" w:color="auto" w:sz="4" w:space="0"/>
            </w:tcBorders>
            <w:noWrap/>
            <w:vAlign w:val="bottom"/>
          </w:tcPr>
          <w:p w14:paraId="23DC7125">
            <w:pPr>
              <w:pStyle w:val="235"/>
              <w:rPr>
                <w:color w:val="auto"/>
              </w:rPr>
            </w:pPr>
            <w:r>
              <w:rPr>
                <w:rFonts w:hint="eastAsia"/>
                <w:color w:val="auto"/>
              </w:rPr>
              <w:t>N＜27</w:t>
            </w:r>
          </w:p>
        </w:tc>
        <w:tc>
          <w:tcPr>
            <w:tcW w:w="713" w:type="dxa"/>
            <w:tcBorders>
              <w:top w:val="nil"/>
              <w:left w:val="nil"/>
              <w:bottom w:val="single" w:color="auto" w:sz="4" w:space="0"/>
              <w:right w:val="single" w:color="auto" w:sz="4" w:space="0"/>
            </w:tcBorders>
            <w:noWrap/>
            <w:vAlign w:val="center"/>
          </w:tcPr>
          <w:p w14:paraId="5AED6804">
            <w:pPr>
              <w:pStyle w:val="235"/>
              <w:rPr>
                <w:color w:val="auto"/>
              </w:rPr>
            </w:pPr>
            <w:r>
              <w:rPr>
                <w:rFonts w:hint="eastAsia"/>
                <w:color w:val="auto"/>
              </w:rPr>
              <w:t>9号</w:t>
            </w:r>
          </w:p>
        </w:tc>
        <w:tc>
          <w:tcPr>
            <w:tcW w:w="1131" w:type="dxa"/>
            <w:vMerge w:val="continue"/>
            <w:tcBorders>
              <w:top w:val="nil"/>
              <w:left w:val="single" w:color="auto" w:sz="4" w:space="0"/>
              <w:bottom w:val="single" w:color="auto" w:sz="4" w:space="0"/>
              <w:right w:val="single" w:color="auto" w:sz="4" w:space="0"/>
            </w:tcBorders>
            <w:vAlign w:val="center"/>
          </w:tcPr>
          <w:p w14:paraId="60BC378B">
            <w:pPr>
              <w:pStyle w:val="235"/>
              <w:rPr>
                <w:color w:val="auto"/>
              </w:rPr>
            </w:pPr>
          </w:p>
        </w:tc>
        <w:tc>
          <w:tcPr>
            <w:tcW w:w="1131" w:type="dxa"/>
            <w:vMerge w:val="continue"/>
            <w:tcBorders>
              <w:top w:val="nil"/>
              <w:left w:val="single" w:color="auto" w:sz="4" w:space="0"/>
              <w:bottom w:val="single" w:color="000000" w:sz="4" w:space="0"/>
              <w:right w:val="single" w:color="auto" w:sz="4" w:space="0"/>
            </w:tcBorders>
            <w:vAlign w:val="center"/>
          </w:tcPr>
          <w:p w14:paraId="2FABC463">
            <w:pPr>
              <w:pStyle w:val="235"/>
              <w:rPr>
                <w:color w:val="auto"/>
              </w:rPr>
            </w:pPr>
          </w:p>
        </w:tc>
        <w:tc>
          <w:tcPr>
            <w:tcW w:w="714" w:type="dxa"/>
            <w:vMerge w:val="continue"/>
            <w:tcBorders>
              <w:top w:val="nil"/>
              <w:left w:val="single" w:color="auto" w:sz="4" w:space="0"/>
              <w:bottom w:val="single" w:color="000000" w:sz="4" w:space="0"/>
              <w:right w:val="single" w:color="auto" w:sz="4" w:space="0"/>
            </w:tcBorders>
            <w:vAlign w:val="center"/>
          </w:tcPr>
          <w:p w14:paraId="6B99CB3A">
            <w:pPr>
              <w:pStyle w:val="235"/>
              <w:rPr>
                <w:color w:val="auto"/>
              </w:rPr>
            </w:pPr>
          </w:p>
        </w:tc>
      </w:tr>
    </w:tbl>
    <w:p w14:paraId="2151D3A1">
      <w:pPr>
        <w:pStyle w:val="198"/>
      </w:pPr>
    </w:p>
    <w:p w14:paraId="5B309BDB">
      <w:pPr>
        <w:pStyle w:val="5"/>
      </w:pPr>
      <w:r>
        <w:rPr>
          <w:rFonts w:hint="eastAsia"/>
        </w:rPr>
        <w:t>列车运行图铺画时区间运行时间标尺应在牵引计算值的基础上预留5~</w:t>
      </w:r>
      <w:r>
        <w:t>10</w:t>
      </w:r>
      <w:r>
        <w:rPr>
          <w:rFonts w:hint="eastAsia"/>
        </w:rPr>
        <w:t>s的弹性余量，列车运行间隔应在能力计算基础上预留1</w:t>
      </w:r>
      <w:r>
        <w:t>0</w:t>
      </w:r>
      <w:r>
        <w:rPr>
          <w:rFonts w:hint="eastAsia"/>
        </w:rPr>
        <w:t>%左右的余量。</w:t>
      </w:r>
    </w:p>
    <w:p w14:paraId="72D80EA0">
      <w:pPr>
        <w:pStyle w:val="5"/>
      </w:pPr>
      <w:r>
        <w:t>城市轨道交通系统列车</w:t>
      </w:r>
      <w:r>
        <w:rPr>
          <w:rFonts w:hint="eastAsia"/>
        </w:rPr>
        <w:t>运行</w:t>
      </w:r>
      <w:r>
        <w:t>间隔</w:t>
      </w:r>
      <w:r>
        <w:rPr>
          <w:rFonts w:hint="eastAsia"/>
        </w:rPr>
        <w:t>应满足以下规定：</w:t>
      </w:r>
    </w:p>
    <w:p w14:paraId="65B609CE">
      <w:pPr>
        <w:pStyle w:val="7"/>
        <w:ind w:firstLine="420"/>
        <w:rPr>
          <w:bCs w:val="0"/>
        </w:rPr>
      </w:pPr>
      <w:r>
        <w:rPr>
          <w:rFonts w:hint="eastAsia"/>
          <w:bCs w:val="0"/>
        </w:rPr>
        <w:t>普线</w:t>
      </w:r>
      <w:r>
        <w:rPr>
          <w:bCs w:val="0"/>
        </w:rPr>
        <w:t>高峰时段</w:t>
      </w:r>
      <w:r>
        <w:rPr>
          <w:rFonts w:hint="eastAsia"/>
          <w:bCs w:val="0"/>
        </w:rPr>
        <w:t>最大行车密度交路范围内</w:t>
      </w:r>
      <w:r>
        <w:rPr>
          <w:bCs w:val="0"/>
        </w:rPr>
        <w:t>不宜大于4min，</w:t>
      </w:r>
      <w:r>
        <w:rPr>
          <w:rFonts w:hint="eastAsia"/>
          <w:bCs w:val="0"/>
        </w:rPr>
        <w:t>范围外</w:t>
      </w:r>
      <w:r>
        <w:rPr>
          <w:bCs w:val="0"/>
        </w:rPr>
        <w:t>不宜大于6</w:t>
      </w:r>
      <w:r>
        <w:rPr>
          <w:rFonts w:hint="eastAsia"/>
          <w:bCs w:val="0"/>
        </w:rPr>
        <w:t>min；平峰时段分别</w:t>
      </w:r>
      <w:r>
        <w:rPr>
          <w:bCs w:val="0"/>
        </w:rPr>
        <w:t>不宜大于6min</w:t>
      </w:r>
      <w:r>
        <w:rPr>
          <w:rFonts w:hint="eastAsia"/>
          <w:bCs w:val="0"/>
        </w:rPr>
        <w:t>、</w:t>
      </w:r>
      <w:r>
        <w:rPr>
          <w:bCs w:val="0"/>
        </w:rPr>
        <w:t>10</w:t>
      </w:r>
      <w:r>
        <w:rPr>
          <w:rFonts w:hint="eastAsia"/>
          <w:bCs w:val="0"/>
        </w:rPr>
        <w:t>min；</w:t>
      </w:r>
    </w:p>
    <w:p w14:paraId="13A32371">
      <w:pPr>
        <w:pStyle w:val="7"/>
        <w:ind w:firstLine="420"/>
        <w:rPr>
          <w:bCs w:val="0"/>
        </w:rPr>
      </w:pPr>
      <w:r>
        <w:rPr>
          <w:rFonts w:hint="eastAsia"/>
          <w:bCs w:val="0"/>
        </w:rPr>
        <w:t>快线高峰时段最大行车密度交路范围内不宜大于6min、范围外不宜大于10min，平峰时段不宜大于1</w:t>
      </w:r>
      <w:r>
        <w:rPr>
          <w:bCs w:val="0"/>
        </w:rPr>
        <w:t>5</w:t>
      </w:r>
      <w:r>
        <w:rPr>
          <w:rFonts w:hint="eastAsia"/>
          <w:bCs w:val="0"/>
        </w:rPr>
        <w:t>min。</w:t>
      </w:r>
    </w:p>
    <w:p w14:paraId="74936656">
      <w:pPr>
        <w:pStyle w:val="7"/>
        <w:ind w:firstLine="420"/>
      </w:pPr>
      <w:r>
        <w:rPr>
          <w:rFonts w:hint="eastAsia"/>
        </w:rPr>
        <w:t>列车运行间隔应满足主要换乘客流车站的衔接需要；</w:t>
      </w:r>
    </w:p>
    <w:p w14:paraId="55C9EB99">
      <w:pPr>
        <w:pStyle w:val="7"/>
        <w:ind w:firstLine="420"/>
        <w:rPr>
          <w:bCs w:val="0"/>
        </w:rPr>
      </w:pPr>
      <w:r>
        <w:rPr>
          <w:rFonts w:hint="eastAsia"/>
          <w:bCs w:val="0"/>
        </w:rPr>
        <w:t>当行车间隔大于1</w:t>
      </w:r>
      <w:r>
        <w:rPr>
          <w:bCs w:val="0"/>
        </w:rPr>
        <w:t>0</w:t>
      </w:r>
      <w:r>
        <w:rPr>
          <w:rFonts w:hint="eastAsia"/>
          <w:bCs w:val="0"/>
        </w:rPr>
        <w:t>min时，应向乘客提供时刻表。</w:t>
      </w:r>
    </w:p>
    <w:p w14:paraId="3E603E40">
      <w:pPr>
        <w:pStyle w:val="5"/>
      </w:pPr>
      <w:r>
        <w:rPr>
          <w:rFonts w:hint="eastAsia"/>
        </w:rPr>
        <w:t>列车停站时间计算，</w:t>
      </w:r>
      <w:r>
        <w:t>开关门</w:t>
      </w:r>
      <w:r>
        <w:rPr>
          <w:rFonts w:hint="eastAsia"/>
        </w:rPr>
        <w:t>及附加时间不宜大于</w:t>
      </w:r>
      <w:r>
        <w:t>17s</w:t>
      </w:r>
      <w:r>
        <w:rPr>
          <w:rFonts w:hint="eastAsia"/>
        </w:rPr>
        <w:t>，</w:t>
      </w:r>
      <w:r>
        <w:t>全自动线路宜在此标准之上减少3</w:t>
      </w:r>
      <w:r>
        <w:rPr>
          <w:rFonts w:hint="eastAsia"/>
        </w:rPr>
        <w:t>~</w:t>
      </w:r>
      <w:r>
        <w:t>5</w:t>
      </w:r>
      <w:r>
        <w:rPr>
          <w:rFonts w:hint="eastAsia"/>
        </w:rPr>
        <w:t>s</w:t>
      </w:r>
      <w:r>
        <w:t>。</w:t>
      </w:r>
    </w:p>
    <w:p w14:paraId="0D40E5C9">
      <w:pPr>
        <w:pStyle w:val="5"/>
      </w:pPr>
      <w:r>
        <w:t>运用列车数量应根据行车密度的要求计算。计算公式：</w:t>
      </w:r>
    </w:p>
    <w:p w14:paraId="0DBBFCE8">
      <w:pPr>
        <w:spacing w:line="240" w:lineRule="auto"/>
        <w:jc w:val="center"/>
      </w:pPr>
      <w:r>
        <w:rPr>
          <w:rFonts w:hint="eastAsia"/>
        </w:rPr>
        <w:t xml:space="preserve">      </w:t>
      </w:r>
      <w:r>
        <w:rPr>
          <w:rFonts w:hint="eastAsia"/>
          <w:position w:val="-32"/>
        </w:rPr>
        <w:object>
          <v:shape id="_x0000_i1026" o:spt="75" type="#_x0000_t75" style="height:37.85pt;width:106.1pt;" o:ole="t" filled="f" o:preferrelative="t" stroked="f" coordsize="21600,21600">
            <v:path/>
            <v:fill on="f" focussize="0,0"/>
            <v:stroke on="f" joinstyle="miter"/>
            <v:imagedata r:id="rId59" o:title=""/>
            <o:lock v:ext="edit" aspectratio="t"/>
            <w10:wrap type="none"/>
            <w10:anchorlock/>
          </v:shape>
          <o:OLEObject Type="Embed" ProgID="Visio.Drawing.15" ShapeID="_x0000_i1026" DrawAspect="Content" ObjectID="_1468075726" r:id="rId58">
            <o:LockedField>false</o:LockedField>
          </o:OLEObject>
        </w:object>
      </w:r>
      <w:r>
        <w:t xml:space="preserve">    </w:t>
      </w:r>
      <w:r>
        <w:rPr>
          <w:rFonts w:hint="eastAsia"/>
        </w:rPr>
        <w:t xml:space="preserve">  </w:t>
      </w:r>
      <w:r>
        <w:t xml:space="preserve">       (</w:t>
      </w:r>
      <w:r>
        <w:rPr>
          <w:rFonts w:hint="eastAsia"/>
        </w:rPr>
        <w:t>4</w:t>
      </w:r>
      <w:r>
        <w:t>.3.</w:t>
      </w:r>
      <w:r>
        <w:rPr>
          <w:rFonts w:hint="eastAsia"/>
        </w:rPr>
        <w:t>9</w:t>
      </w:r>
      <w:r>
        <w:t>)</w:t>
      </w:r>
    </w:p>
    <w:p w14:paraId="7FE1FC30">
      <w:pPr>
        <w:rPr>
          <w:rFonts w:eastAsia="方正书宋_GBK"/>
          <w:sz w:val="20"/>
          <w:szCs w:val="22"/>
        </w:rPr>
      </w:pPr>
      <w:r>
        <w:rPr>
          <w:rFonts w:eastAsia="方正书宋_GBK"/>
          <w:sz w:val="20"/>
          <w:szCs w:val="22"/>
        </w:rPr>
        <w:t>式中：</w:t>
      </w:r>
    </w:p>
    <w:p w14:paraId="1B94A836">
      <w:pPr>
        <w:ind w:firstLine="420" w:firstLineChars="200"/>
      </w:pPr>
      <w:r>
        <w:t>N——运用列车数(列)；</w:t>
      </w:r>
    </w:p>
    <w:p w14:paraId="3105F350">
      <w:pPr>
        <w:ind w:firstLine="420" w:firstLineChars="200"/>
      </w:pPr>
      <w:r>
        <w:t>T</w:t>
      </w:r>
      <w:r>
        <w:rPr>
          <w:vertAlign w:val="subscript"/>
        </w:rPr>
        <w:t>列</w:t>
      </w:r>
      <w:r>
        <w:t>——列车全周转时间(min)，应包括运行交路两端列车折返时间；</w:t>
      </w:r>
    </w:p>
    <w:p w14:paraId="4C5419C8">
      <w:pPr>
        <w:ind w:firstLine="420" w:firstLineChars="200"/>
      </w:pPr>
      <w:r>
        <w:t>t</w:t>
      </w:r>
      <w:r>
        <w:rPr>
          <w:vertAlign w:val="subscript"/>
        </w:rPr>
        <w:t>间隔</w:t>
      </w:r>
      <w:r>
        <w:t>——列车最小间隔时间(min)。</w:t>
      </w:r>
    </w:p>
    <w:p w14:paraId="516DDFB4">
      <w:pPr>
        <w:pStyle w:val="5"/>
      </w:pPr>
      <w:r>
        <w:t>全日列车平均满载率按下式计算：</w:t>
      </w:r>
    </w:p>
    <w:p w14:paraId="7F2BD241">
      <w:pPr>
        <w:spacing w:line="240" w:lineRule="auto"/>
        <w:jc w:val="center"/>
      </w:pPr>
      <w:r>
        <w:rPr>
          <w:rFonts w:hint="eastAsia"/>
          <w:position w:val="-26"/>
        </w:rPr>
        <w:object>
          <v:shape id="_x0000_i1027" o:spt="75" type="#_x0000_t75" style="height:33.1pt;width:152.45pt;" o:ole="t" filled="f" o:preferrelative="t" stroked="f" coordsize="21600,21600">
            <v:path/>
            <v:fill on="f" focussize="0,0"/>
            <v:stroke on="f" joinstyle="miter"/>
            <v:imagedata r:id="rId61" o:title=""/>
            <o:lock v:ext="edit" aspectratio="t"/>
            <w10:wrap type="none"/>
            <w10:anchorlock/>
          </v:shape>
          <o:OLEObject Type="Embed" ProgID="Equation.DSMT4" ShapeID="_x0000_i1027" DrawAspect="Content" ObjectID="_1468075727" r:id="rId60">
            <o:LockedField>false</o:LockedField>
          </o:OLEObject>
        </w:object>
      </w:r>
      <w:r>
        <w:t xml:space="preserve">      (</w:t>
      </w:r>
      <w:r>
        <w:rPr>
          <w:rFonts w:hint="eastAsia"/>
        </w:rPr>
        <w:t>4</w:t>
      </w:r>
      <w:r>
        <w:t>.3.</w:t>
      </w:r>
      <w:r>
        <w:rPr>
          <w:rFonts w:hint="eastAsia"/>
        </w:rPr>
        <w:t>11</w:t>
      </w:r>
      <w:r>
        <w:t>)</w:t>
      </w:r>
    </w:p>
    <w:p w14:paraId="4F2E0DF6">
      <w:pPr>
        <w:rPr>
          <w:rFonts w:eastAsia="方正书宋_GBK"/>
          <w:sz w:val="20"/>
          <w:szCs w:val="22"/>
        </w:rPr>
      </w:pPr>
      <w:r>
        <w:rPr>
          <w:rFonts w:eastAsia="方正书宋_GBK"/>
          <w:sz w:val="20"/>
          <w:szCs w:val="22"/>
        </w:rPr>
        <w:t>式中：</w:t>
      </w:r>
    </w:p>
    <w:p w14:paraId="34DA6412">
      <w:pPr>
        <w:ind w:firstLine="420" w:firstLineChars="200"/>
      </w:pPr>
      <w:r>
        <w:rPr>
          <w:i/>
          <w:iCs/>
        </w:rPr>
        <w:t>Q</w:t>
      </w:r>
      <w:r>
        <w:rPr>
          <w:rFonts w:hint="eastAsia"/>
        </w:rPr>
        <w:t xml:space="preserve"> </w:t>
      </w:r>
      <w:r>
        <w:t>——</w:t>
      </w:r>
      <w:r>
        <w:rPr>
          <w:rFonts w:hint="eastAsia"/>
        </w:rPr>
        <w:t xml:space="preserve"> </w:t>
      </w:r>
      <w:r>
        <w:t>全日客运量(人次)；</w:t>
      </w:r>
    </w:p>
    <w:p w14:paraId="393DC7E1">
      <w:pPr>
        <w:ind w:firstLine="420" w:firstLineChars="200"/>
      </w:pPr>
      <w:r>
        <w:rPr>
          <w:i/>
          <w:iCs/>
        </w:rPr>
        <w:t>l</w:t>
      </w:r>
      <w:r>
        <w:rPr>
          <w:vertAlign w:val="subscript"/>
        </w:rPr>
        <w:t>运</w:t>
      </w:r>
      <w:r>
        <w:t xml:space="preserve"> ——</w:t>
      </w:r>
      <w:r>
        <w:rPr>
          <w:rFonts w:hint="eastAsia"/>
        </w:rPr>
        <w:t xml:space="preserve"> </w:t>
      </w:r>
      <w:r>
        <w:t>平均运距(km)；</w:t>
      </w:r>
    </w:p>
    <w:p w14:paraId="1229C534">
      <w:pPr>
        <w:ind w:firstLine="420" w:firstLineChars="200"/>
      </w:pPr>
      <w:r>
        <w:rPr>
          <w:i/>
          <w:iCs/>
        </w:rPr>
        <w:t>L</w:t>
      </w:r>
      <w:r>
        <w:rPr>
          <w:rFonts w:hint="eastAsia"/>
          <w:i/>
          <w:iCs/>
          <w:vertAlign w:val="subscript"/>
        </w:rPr>
        <w:t>i</w:t>
      </w:r>
      <w:r>
        <w:rPr>
          <w:rFonts w:hint="eastAsia"/>
        </w:rPr>
        <w:t xml:space="preserve"> </w:t>
      </w:r>
      <w:r>
        <w:t>——</w:t>
      </w:r>
      <w:r>
        <w:rPr>
          <w:rFonts w:hint="eastAsia"/>
        </w:rPr>
        <w:t xml:space="preserve"> </w:t>
      </w:r>
      <w:r>
        <w:t>线路长度(km)；</w:t>
      </w:r>
    </w:p>
    <w:p w14:paraId="677F13C9">
      <w:pPr>
        <w:ind w:firstLine="420" w:firstLineChars="200"/>
      </w:pPr>
      <w:r>
        <w:rPr>
          <w:i/>
          <w:iCs/>
        </w:rPr>
        <w:t>n</w:t>
      </w:r>
      <w:r>
        <w:rPr>
          <w:rFonts w:hint="eastAsia"/>
          <w:i/>
          <w:iCs/>
          <w:vertAlign w:val="subscript"/>
        </w:rPr>
        <w:t>i</w:t>
      </w:r>
      <w:r>
        <w:rPr>
          <w:vertAlign w:val="subscript"/>
        </w:rPr>
        <w:t>列</w:t>
      </w:r>
      <w:r>
        <w:t xml:space="preserve"> ——</w:t>
      </w:r>
      <w:r>
        <w:rPr>
          <w:rFonts w:hint="eastAsia"/>
        </w:rPr>
        <w:t xml:space="preserve"> </w:t>
      </w:r>
      <w:r>
        <w:t>全日开行列车数(列)。</w:t>
      </w:r>
    </w:p>
    <w:p w14:paraId="1126F331">
      <w:pPr>
        <w:pStyle w:val="5"/>
      </w:pPr>
      <w:r>
        <w:t>列车自动折返时驾驶方向转换操作时间不宜大于15s。</w:t>
      </w:r>
    </w:p>
    <w:p w14:paraId="1E4C6B3B">
      <w:pPr>
        <w:pStyle w:val="5"/>
      </w:pPr>
      <w:r>
        <w:rPr>
          <w:rFonts w:hint="eastAsia"/>
        </w:rPr>
        <w:t>为提高线路旅行速度、缩短乘客出行时间，</w:t>
      </w:r>
      <w:r>
        <w:t>城市轨道交通采用快慢车</w:t>
      </w:r>
      <w:r>
        <w:rPr>
          <w:rFonts w:hint="eastAsia"/>
        </w:rPr>
        <w:t>运营</w:t>
      </w:r>
      <w:r>
        <w:t>模式时，应</w:t>
      </w:r>
      <w:r>
        <w:rPr>
          <w:rFonts w:hint="eastAsia"/>
        </w:rPr>
        <w:t>符合以下要求：</w:t>
      </w:r>
    </w:p>
    <w:p w14:paraId="74BA7465">
      <w:pPr>
        <w:pStyle w:val="7"/>
        <w:ind w:firstLine="420"/>
      </w:pPr>
      <w:r>
        <w:rPr>
          <w:rFonts w:hint="eastAsia"/>
        </w:rPr>
        <w:t>快慢车运营模式</w:t>
      </w:r>
      <w:r>
        <w:t>较站站停</w:t>
      </w:r>
      <w:r>
        <w:rPr>
          <w:rFonts w:hint="eastAsia"/>
        </w:rPr>
        <w:t>运营</w:t>
      </w:r>
      <w:r>
        <w:t>模式应有效减少全口径的乘客总出行时间；</w:t>
      </w:r>
    </w:p>
    <w:p w14:paraId="30104F36">
      <w:pPr>
        <w:pStyle w:val="7"/>
        <w:ind w:firstLine="420"/>
      </w:pPr>
      <w:r>
        <w:rPr>
          <w:rFonts w:hint="eastAsia"/>
        </w:rPr>
        <w:t>快车停站方案应根据车站客流O</w:t>
      </w:r>
      <w:r>
        <w:t>D</w:t>
      </w:r>
      <w:r>
        <w:rPr>
          <w:rFonts w:hint="eastAsia"/>
        </w:rPr>
        <w:t>特征、出行时间要求、越行配线设置条件等综合确定，并预留灵活调整条件；</w:t>
      </w:r>
    </w:p>
    <w:p w14:paraId="7CBBA2A8">
      <w:pPr>
        <w:pStyle w:val="7"/>
        <w:ind w:firstLine="420"/>
      </w:pPr>
      <w:r>
        <w:t>慢车被快车越行的次数不宜大于两次，慢车</w:t>
      </w:r>
      <w:r>
        <w:rPr>
          <w:rFonts w:hint="eastAsia"/>
        </w:rPr>
        <w:t>待避不停站快车时的总停站时间</w:t>
      </w:r>
      <w:r>
        <w:t>不宜大于2min；</w:t>
      </w:r>
    </w:p>
    <w:p w14:paraId="455BF148">
      <w:pPr>
        <w:pStyle w:val="7"/>
        <w:ind w:firstLine="420"/>
      </w:pPr>
      <w:r>
        <w:rPr>
          <w:rFonts w:hint="eastAsia"/>
        </w:rPr>
        <w:t>快车在越行站超过慢车时，慢车与快车的到通间隔不应小于1min，快车与慢车的通发间隔根据通过能力计算确定。</w:t>
      </w:r>
    </w:p>
    <w:p w14:paraId="73442082">
      <w:pPr>
        <w:pStyle w:val="7"/>
        <w:ind w:firstLine="420"/>
      </w:pPr>
      <w:r>
        <w:t>快车宜实现不限速过站</w:t>
      </w:r>
      <w:r>
        <w:rPr>
          <w:rFonts w:hint="eastAsia"/>
        </w:rPr>
        <w:t>，</w:t>
      </w:r>
      <w:r>
        <w:t>列车临站台通过时限制速度不</w:t>
      </w:r>
      <w:r>
        <w:rPr>
          <w:rFonts w:hint="eastAsia"/>
        </w:rPr>
        <w:t>宜</w:t>
      </w:r>
      <w:r>
        <w:t>低于80km/h。</w:t>
      </w:r>
    </w:p>
    <w:p w14:paraId="17A014C3">
      <w:pPr>
        <w:pStyle w:val="5"/>
      </w:pPr>
      <w:r>
        <w:t>当线路高峰、平峰客流量差异较大时，</w:t>
      </w:r>
      <w:r>
        <w:rPr>
          <w:rFonts w:hint="eastAsia"/>
        </w:rPr>
        <w:t>为兼顾高峰运输能力供给与平峰基本服务水平，可采用灵活编组运营模式，灵活编组运营设计应符合以下规定：</w:t>
      </w:r>
    </w:p>
    <w:p w14:paraId="7349484A">
      <w:pPr>
        <w:pStyle w:val="7"/>
        <w:ind w:firstLine="420"/>
      </w:pPr>
      <w:r>
        <w:t>灵活编组可选择不同固定编组列车混跑运营，也可选择以小编组列车为基本单元，</w:t>
      </w:r>
      <w:r>
        <w:rPr>
          <w:rFonts w:hint="eastAsia"/>
        </w:rPr>
        <w:t>通过物理连挂、解编实现大小编组灵活运营</w:t>
      </w:r>
      <w:r>
        <w:t>；</w:t>
      </w:r>
    </w:p>
    <w:p w14:paraId="5D673BB6">
      <w:pPr>
        <w:pStyle w:val="7"/>
        <w:ind w:firstLine="420"/>
      </w:pPr>
      <w:r>
        <w:t>运营期间进行</w:t>
      </w:r>
      <w:r>
        <w:rPr>
          <w:rFonts w:hint="eastAsia"/>
        </w:rPr>
        <w:t>列车</w:t>
      </w:r>
      <w:r>
        <w:t>连挂和解</w:t>
      </w:r>
      <w:r>
        <w:rPr>
          <w:rFonts w:hint="eastAsia"/>
        </w:rPr>
        <w:t>编</w:t>
      </w:r>
      <w:r>
        <w:t>的线路，宜在站内设置连挂、解</w:t>
      </w:r>
      <w:r>
        <w:rPr>
          <w:rFonts w:hint="eastAsia"/>
        </w:rPr>
        <w:t>编</w:t>
      </w:r>
      <w:r>
        <w:t>作业线，作业线设置位置与数量应根据作业时间、作业量与列车运行交路等综合确定，作业线宜邻靠站台，并可兼作停车线。</w:t>
      </w:r>
    </w:p>
    <w:p w14:paraId="5C6AA6A2">
      <w:pPr>
        <w:pStyle w:val="7"/>
        <w:ind w:firstLine="420"/>
      </w:pPr>
      <w:r>
        <w:rPr>
          <w:rFonts w:hint="eastAsia"/>
        </w:rPr>
        <w:t>连挂状态列车解编后去往不同的运行方向或站停方案不同时，宜固定候车区域，并向乘客提供相应信息。</w:t>
      </w:r>
    </w:p>
    <w:p w14:paraId="028775D0">
      <w:pPr>
        <w:pStyle w:val="5"/>
      </w:pPr>
      <w:r>
        <w:rPr>
          <w:rFonts w:hint="eastAsia"/>
        </w:rPr>
        <w:t>为增强网络直通运输服务、提高资源共享水平，采用跨线运营模式时，应符合以下规定：</w:t>
      </w:r>
    </w:p>
    <w:p w14:paraId="21BF61B0">
      <w:pPr>
        <w:pStyle w:val="7"/>
        <w:ind w:firstLine="420"/>
      </w:pPr>
      <w:r>
        <w:t>首尾相连的线路宜实现</w:t>
      </w:r>
      <w:r>
        <w:rPr>
          <w:rFonts w:hint="eastAsia"/>
        </w:rPr>
        <w:t>贯通</w:t>
      </w:r>
      <w:r>
        <w:t>运行</w:t>
      </w:r>
      <w:r>
        <w:rPr>
          <w:rFonts w:hint="eastAsia"/>
        </w:rPr>
        <w:t>，系统运营规模、行车组织、配线设置宜按一条线路统筹考虑</w:t>
      </w:r>
      <w:r>
        <w:t>；</w:t>
      </w:r>
    </w:p>
    <w:p w14:paraId="46136E76">
      <w:pPr>
        <w:pStyle w:val="7"/>
        <w:ind w:firstLine="420"/>
      </w:pPr>
      <w:r>
        <w:rPr>
          <w:rFonts w:hint="eastAsia"/>
        </w:rPr>
        <w:t>跨线运行的关联</w:t>
      </w:r>
      <w:r>
        <w:t>线路技术标准应相互协调，</w:t>
      </w:r>
      <w:r>
        <w:rPr>
          <w:rFonts w:hint="eastAsia"/>
        </w:rPr>
        <w:t>统筹线路设计运输能力、系统设计能力，列车运行计划应</w:t>
      </w:r>
      <w:r>
        <w:t>统一编制，</w:t>
      </w:r>
      <w:r>
        <w:rPr>
          <w:rFonts w:hint="eastAsia"/>
        </w:rPr>
        <w:t>并宜</w:t>
      </w:r>
      <w:r>
        <w:t>实现一体化运营管理；</w:t>
      </w:r>
    </w:p>
    <w:p w14:paraId="72818752">
      <w:pPr>
        <w:pStyle w:val="7"/>
        <w:ind w:firstLine="420"/>
      </w:pPr>
      <w:r>
        <w:t>跨线列车高峰小时行车对数</w:t>
      </w:r>
      <w:r>
        <w:rPr>
          <w:rFonts w:hint="eastAsia"/>
        </w:rPr>
        <w:t>客流高断面范围</w:t>
      </w:r>
      <w:r>
        <w:t>不宜低于6对/h，</w:t>
      </w:r>
      <w:r>
        <w:rPr>
          <w:rFonts w:hint="eastAsia"/>
        </w:rPr>
        <w:t>低断面范围</w:t>
      </w:r>
      <w:r>
        <w:t>不宜低于本线</w:t>
      </w:r>
      <w:r>
        <w:rPr>
          <w:rFonts w:hint="eastAsia"/>
        </w:rPr>
        <w:t>总</w:t>
      </w:r>
      <w:r>
        <w:t>行车量的1/3。</w:t>
      </w:r>
    </w:p>
    <w:p w14:paraId="6E31488D">
      <w:pPr>
        <w:pStyle w:val="5"/>
      </w:pPr>
      <w:r>
        <w:rPr>
          <w:rFonts w:hint="eastAsia"/>
        </w:rPr>
        <w:t>为实现多网融合、提高网络一体化发展及服务水平，当</w:t>
      </w:r>
      <w:r>
        <w:t>城市轨道交通与国铁线路互联互通时，</w:t>
      </w:r>
      <w:r>
        <w:rPr>
          <w:rFonts w:hint="eastAsia"/>
        </w:rPr>
        <w:t>应符合以下规定</w:t>
      </w:r>
    </w:p>
    <w:p w14:paraId="73B93B7C">
      <w:pPr>
        <w:pStyle w:val="7"/>
        <w:ind w:firstLine="420"/>
      </w:pPr>
      <w:r>
        <w:t>车辆选型、供电电压宜选择与国铁系统相匹配的市域车型、AC25KV系统；</w:t>
      </w:r>
    </w:p>
    <w:p w14:paraId="242C0467">
      <w:pPr>
        <w:pStyle w:val="7"/>
        <w:ind w:firstLine="420"/>
      </w:pPr>
      <w:r>
        <w:t>车型不一致时宜单独设置站台，供电电压不同时跨线列车应采用双流制列车，信号系统不一致时宜采用双车载或兼容性车载；</w:t>
      </w:r>
    </w:p>
    <w:p w14:paraId="47B19CBD">
      <w:pPr>
        <w:pStyle w:val="7"/>
        <w:ind w:firstLine="420"/>
      </w:pPr>
      <w:r>
        <w:t>管理界面划分宜设置在接轨站，列车在</w:t>
      </w:r>
      <w:r>
        <w:rPr>
          <w:rFonts w:hint="eastAsia"/>
        </w:rPr>
        <w:t>铁路</w:t>
      </w:r>
      <w:r>
        <w:t>、</w:t>
      </w:r>
      <w:r>
        <w:rPr>
          <w:rFonts w:hint="eastAsia"/>
        </w:rPr>
        <w:t>城轨</w:t>
      </w:r>
      <w:r>
        <w:t>管理范围内应执行各自相应标准。</w:t>
      </w:r>
    </w:p>
    <w:p w14:paraId="03D6D6C8">
      <w:pPr>
        <w:pStyle w:val="4"/>
      </w:pPr>
      <w:bookmarkStart w:id="96" w:name="_Toc168061175"/>
      <w:bookmarkStart w:id="97" w:name="_Toc183888098"/>
      <w:bookmarkStart w:id="98" w:name="_Toc168061793"/>
      <w:bookmarkStart w:id="99" w:name="_Toc183765055"/>
      <w:bookmarkStart w:id="100" w:name="_Toc183882046"/>
      <w:bookmarkStart w:id="101" w:name="_Toc183683482"/>
      <w:bookmarkStart w:id="102" w:name="_Toc168059366"/>
      <w:bookmarkStart w:id="103" w:name="_Toc183882408"/>
      <w:bookmarkStart w:id="104" w:name="_Toc183790485"/>
      <w:bookmarkStart w:id="105" w:name="_Toc181796357"/>
      <w:bookmarkStart w:id="106" w:name="_Toc183888460"/>
      <w:bookmarkStart w:id="107" w:name="_Toc168061622"/>
      <w:r>
        <w:rPr>
          <w:rFonts w:hint="eastAsia"/>
        </w:rPr>
        <w:t>运营</w:t>
      </w:r>
      <w:r>
        <w:t>配线</w:t>
      </w:r>
      <w:bookmarkEnd w:id="96"/>
      <w:bookmarkEnd w:id="97"/>
      <w:bookmarkEnd w:id="98"/>
      <w:bookmarkEnd w:id="99"/>
      <w:bookmarkEnd w:id="100"/>
      <w:bookmarkEnd w:id="101"/>
      <w:bookmarkEnd w:id="102"/>
      <w:bookmarkEnd w:id="103"/>
      <w:bookmarkEnd w:id="104"/>
      <w:bookmarkEnd w:id="105"/>
      <w:bookmarkEnd w:id="106"/>
      <w:bookmarkEnd w:id="107"/>
    </w:p>
    <w:p w14:paraId="63FA5B25">
      <w:pPr>
        <w:pStyle w:val="5"/>
      </w:pPr>
      <w:r>
        <w:rPr>
          <w:rFonts w:hint="eastAsia"/>
        </w:rPr>
        <w:t>折返线设计应符合以下规定：</w:t>
      </w:r>
    </w:p>
    <w:p w14:paraId="168785E4">
      <w:pPr>
        <w:pStyle w:val="7"/>
        <w:ind w:firstLine="420"/>
      </w:pPr>
      <w:r>
        <w:rPr>
          <w:rFonts w:hint="eastAsia"/>
        </w:rPr>
        <w:t>终点折返线布置可采用站前折返或站后折返方式，折返能力应满足系统设计能力要求；</w:t>
      </w:r>
    </w:p>
    <w:p w14:paraId="6828416F">
      <w:pPr>
        <w:pStyle w:val="7"/>
        <w:ind w:firstLine="420"/>
      </w:pPr>
      <w:r>
        <w:rPr>
          <w:rFonts w:hint="eastAsia"/>
        </w:rPr>
        <w:t>中间折返线布置形式应满足折返列车与通过列车交替到发的场景下的行车间隔要求，折返能力满足大小交路组合运营状态下系统设计能力要求。</w:t>
      </w:r>
    </w:p>
    <w:p w14:paraId="6B6335B5">
      <w:pPr>
        <w:pStyle w:val="7"/>
        <w:ind w:firstLine="420"/>
      </w:pPr>
      <w:r>
        <w:rPr>
          <w:rFonts w:hint="eastAsia"/>
        </w:rPr>
        <w:t>折返线宜邻靠站台设置，困难条件下设于区间时应与相邻站按区间追踪行车，区间折返道岔宜在临近位置设置进出通道方便应急检修。</w:t>
      </w:r>
    </w:p>
    <w:p w14:paraId="581060A8">
      <w:pPr>
        <w:pStyle w:val="5"/>
      </w:pPr>
      <w:r>
        <w:rPr>
          <w:rFonts w:hint="eastAsia"/>
        </w:rPr>
        <w:t>车辆基地出入线应符合以下规定：</w:t>
      </w:r>
    </w:p>
    <w:p w14:paraId="0758E946">
      <w:pPr>
        <w:pStyle w:val="7"/>
        <w:ind w:firstLine="420"/>
      </w:pPr>
      <w:r>
        <w:t>出入线</w:t>
      </w:r>
      <w:r>
        <w:rPr>
          <w:rFonts w:hint="eastAsia"/>
        </w:rPr>
        <w:t>宜</w:t>
      </w:r>
      <w:r>
        <w:t>与上下行</w:t>
      </w:r>
      <w:r>
        <w:rPr>
          <w:rFonts w:hint="eastAsia"/>
        </w:rPr>
        <w:t>正线</w:t>
      </w:r>
      <w:r>
        <w:t>连通</w:t>
      </w:r>
      <w:r>
        <w:rPr>
          <w:rFonts w:hint="eastAsia"/>
        </w:rPr>
        <w:t>，</w:t>
      </w:r>
      <w:r>
        <w:t>接轨点宜设在</w:t>
      </w:r>
      <w:r>
        <w:rPr>
          <w:rFonts w:hint="eastAsia"/>
        </w:rPr>
        <w:t>站端，与正线宜采用立体交叉。区间接轨时宜在临近位置设置进出通道方便应急检修。</w:t>
      </w:r>
    </w:p>
    <w:p w14:paraId="78F9C68B">
      <w:pPr>
        <w:pStyle w:val="7"/>
        <w:ind w:firstLine="420"/>
      </w:pPr>
      <w:r>
        <w:rPr>
          <w:rFonts w:hint="eastAsia"/>
        </w:rPr>
        <w:t>停车规模大于1</w:t>
      </w:r>
      <w:r>
        <w:t>2</w:t>
      </w:r>
      <w:r>
        <w:rPr>
          <w:rFonts w:hint="eastAsia"/>
        </w:rPr>
        <w:t>列位时应</w:t>
      </w:r>
      <w:r>
        <w:t>设置两条出入线，</w:t>
      </w:r>
      <w:r>
        <w:rPr>
          <w:rFonts w:hint="eastAsia"/>
        </w:rPr>
        <w:t>线路中部接轨时宜</w:t>
      </w:r>
      <w:r>
        <w:t>具备向</w:t>
      </w:r>
      <w:r>
        <w:rPr>
          <w:rFonts w:hint="eastAsia"/>
        </w:rPr>
        <w:t>双方向收发</w:t>
      </w:r>
      <w:r>
        <w:t>车条件</w:t>
      </w:r>
      <w:r>
        <w:rPr>
          <w:rFonts w:hint="eastAsia"/>
        </w:rPr>
        <w:t>，</w:t>
      </w:r>
      <w:r>
        <w:t>有条件时宜设计为“八”字线形式。</w:t>
      </w:r>
      <w:r>
        <w:rPr>
          <w:rFonts w:hint="eastAsia"/>
        </w:rPr>
        <w:t>停车规模在1</w:t>
      </w:r>
      <w:r>
        <w:t>2</w:t>
      </w:r>
      <w:r>
        <w:rPr>
          <w:rFonts w:hint="eastAsia"/>
        </w:rPr>
        <w:t>列位及以下时可设1条出入线。</w:t>
      </w:r>
    </w:p>
    <w:p w14:paraId="2142B178">
      <w:pPr>
        <w:pStyle w:val="7"/>
        <w:ind w:firstLine="420"/>
      </w:pPr>
      <w:r>
        <w:rPr>
          <w:rFonts w:hint="eastAsia"/>
        </w:rPr>
        <w:t>出入线通过能力应满足系统设计能力需求，停车列位规模较大时应具备两条出入线同时收发车的条件。</w:t>
      </w:r>
    </w:p>
    <w:p w14:paraId="169EFC86">
      <w:pPr>
        <w:pStyle w:val="5"/>
      </w:pPr>
      <w:r>
        <w:rPr>
          <w:rFonts w:hint="eastAsia"/>
        </w:rPr>
        <w:t>停车线设计应符合以下规定：</w:t>
      </w:r>
    </w:p>
    <w:p w14:paraId="6C4A4F6F">
      <w:pPr>
        <w:pStyle w:val="7"/>
        <w:ind w:firstLine="420"/>
      </w:pPr>
      <w:r>
        <w:rPr>
          <w:rFonts w:hint="eastAsia"/>
          <w:bCs w:val="0"/>
        </w:rPr>
        <w:t>在统筹车辆段出入线分布的基础上，停车线设置间距应满足故障列车处置时间要求、结合救援流程规定的各项作业时间计算确定；</w:t>
      </w:r>
    </w:p>
    <w:p w14:paraId="79D63C59">
      <w:pPr>
        <w:pStyle w:val="7"/>
        <w:ind w:firstLine="420"/>
        <w:rPr>
          <w:bCs w:val="0"/>
        </w:rPr>
      </w:pPr>
      <w:r>
        <w:rPr>
          <w:rFonts w:hint="eastAsia"/>
          <w:bCs w:val="0"/>
        </w:rPr>
        <w:t>普线停车线间距不宜大于1</w:t>
      </w:r>
      <w:r>
        <w:rPr>
          <w:bCs w:val="0"/>
        </w:rPr>
        <w:t>0</w:t>
      </w:r>
      <w:r>
        <w:rPr>
          <w:rFonts w:hint="eastAsia"/>
          <w:bCs w:val="0"/>
        </w:rPr>
        <w:t>km，快线间距可根据救援速度的提升及车站分布适度加大；</w:t>
      </w:r>
    </w:p>
    <w:p w14:paraId="2AD6193F">
      <w:pPr>
        <w:pStyle w:val="7"/>
        <w:ind w:firstLine="420"/>
        <w:rPr>
          <w:bCs w:val="0"/>
        </w:rPr>
      </w:pPr>
      <w:r>
        <w:rPr>
          <w:rFonts w:hint="eastAsia"/>
          <w:bCs w:val="0"/>
        </w:rPr>
        <w:t>停车线宜提供备用交路折返功能，折返方向面向大客流区段。</w:t>
      </w:r>
    </w:p>
    <w:p w14:paraId="7293438D">
      <w:pPr>
        <w:pStyle w:val="7"/>
        <w:ind w:firstLine="420"/>
        <w:rPr>
          <w:bCs w:val="0"/>
        </w:rPr>
      </w:pPr>
      <w:r>
        <w:rPr>
          <w:bCs w:val="0"/>
        </w:rPr>
        <w:t>当线路长度大于40km，且车辆综合基地与停车场均设置在线路末端时，宜在全线中间地段的车站，根据线路条件，配置一线两列位的停车线或双线停车线。</w:t>
      </w:r>
    </w:p>
    <w:p w14:paraId="169364DF">
      <w:pPr>
        <w:pStyle w:val="7"/>
        <w:ind w:firstLine="420"/>
        <w:rPr>
          <w:bCs w:val="0"/>
        </w:rPr>
      </w:pPr>
      <w:r>
        <w:rPr>
          <w:rFonts w:hint="eastAsia"/>
          <w:bCs w:val="0"/>
        </w:rPr>
        <w:t>工程实施条件困难时，折返线与停车线可考虑兼用。</w:t>
      </w:r>
    </w:p>
    <w:p w14:paraId="2F91812D">
      <w:pPr>
        <w:pStyle w:val="5"/>
      </w:pPr>
      <w:r>
        <w:t>快慢车组合运行线路应根据车站通过能力与慢车避让需求设置越行站及到发线。到发线有效长度应根据停站列车长度、</w:t>
      </w:r>
      <w:r>
        <w:rPr>
          <w:rFonts w:hint="eastAsia"/>
        </w:rPr>
        <w:t>轨旁设备安装位置需求</w:t>
      </w:r>
      <w:r>
        <w:t>、安全保护距离等计算确定。</w:t>
      </w:r>
    </w:p>
    <w:p w14:paraId="7C155DBB">
      <w:pPr>
        <w:pStyle w:val="5"/>
      </w:pPr>
      <w:r>
        <w:t>互联互通联络线宜设置在车站，并应设置为双线，通过能力应满足系统能力需求，设置形式宜预留独立运营、小交路运营等灵活组织条件。</w:t>
      </w:r>
      <w:r>
        <w:rPr>
          <w:rFonts w:hint="eastAsia"/>
        </w:rPr>
        <w:t>承担线路之间临时联络调度的资源共享型联络线</w:t>
      </w:r>
      <w:r>
        <w:t>设置</w:t>
      </w:r>
      <w:r>
        <w:rPr>
          <w:rFonts w:hint="eastAsia"/>
        </w:rPr>
        <w:t>应满足线网规划</w:t>
      </w:r>
      <w:r>
        <w:t>规划</w:t>
      </w:r>
      <w:r>
        <w:rPr>
          <w:rFonts w:hint="eastAsia"/>
        </w:rPr>
        <w:t>要求，宜按单线设置</w:t>
      </w:r>
      <w:r>
        <w:t>。</w:t>
      </w:r>
    </w:p>
    <w:p w14:paraId="5AB9CC96">
      <w:pPr>
        <w:pStyle w:val="5"/>
      </w:pPr>
      <w:r>
        <w:rPr>
          <w:rFonts w:hint="eastAsia"/>
        </w:rPr>
        <w:t>安全线设计应符合以下规定：</w:t>
      </w:r>
    </w:p>
    <w:p w14:paraId="24EA87DC">
      <w:pPr>
        <w:pStyle w:val="7"/>
        <w:tabs>
          <w:tab w:val="clear" w:pos="420"/>
        </w:tabs>
        <w:ind w:firstLine="420" w:firstLineChars="0"/>
        <w:rPr>
          <w:bCs w:val="0"/>
        </w:rPr>
      </w:pPr>
      <w:r>
        <w:rPr>
          <w:rFonts w:hint="eastAsia"/>
          <w:bCs w:val="0"/>
        </w:rPr>
        <w:t>当主线与支线接轨、车辆基地出入线、折返线、越行线和停车线与正线接轨时，列车停车位置与接轨道岔处警冲标之间距离小于安全防护距离时，应设置安全线；</w:t>
      </w:r>
    </w:p>
    <w:p w14:paraId="546AD5F1">
      <w:pPr>
        <w:pStyle w:val="7"/>
        <w:ind w:firstLine="420"/>
      </w:pPr>
      <w:r>
        <w:rPr>
          <w:rFonts w:hint="eastAsia"/>
        </w:rPr>
        <w:t>车辆基地</w:t>
      </w:r>
      <w:r>
        <w:t>八字</w:t>
      </w:r>
      <w:r>
        <w:rPr>
          <w:rFonts w:hint="eastAsia"/>
        </w:rPr>
        <w:t>线与正线在区间接轨时</w:t>
      </w:r>
      <w:r>
        <w:t>，应设置安全线；</w:t>
      </w:r>
    </w:p>
    <w:p w14:paraId="219E6248">
      <w:pPr>
        <w:pStyle w:val="7"/>
        <w:tabs>
          <w:tab w:val="clear" w:pos="420"/>
        </w:tabs>
        <w:ind w:firstLine="420"/>
        <w:rPr>
          <w:bCs w:val="0"/>
        </w:rPr>
      </w:pPr>
      <w:r>
        <w:rPr>
          <w:rFonts w:hint="eastAsia"/>
          <w:bCs w:val="0"/>
        </w:rPr>
        <w:t>与车站站端正线接轨的车辆基地出入线、与正线接轨的非载客运行的联络线，宜设置安全线。</w:t>
      </w:r>
    </w:p>
    <w:p w14:paraId="542D34EE">
      <w:pPr>
        <w:pStyle w:val="5"/>
      </w:pPr>
      <w:r>
        <w:rPr>
          <w:rFonts w:hint="eastAsia"/>
        </w:rPr>
        <w:t>全线配线功能及分布应统筹、协调，有条件时宜采用复合功能配线，减少非常用功能配线的冗余设置，降低工程投资</w:t>
      </w:r>
      <w:r>
        <w:t>。</w:t>
      </w:r>
    </w:p>
    <w:p w14:paraId="655460F4">
      <w:pPr>
        <w:pStyle w:val="4"/>
      </w:pPr>
      <w:bookmarkStart w:id="108" w:name="_Toc183882047"/>
      <w:bookmarkStart w:id="109" w:name="_Toc183888099"/>
      <w:bookmarkStart w:id="110" w:name="_Toc183765056"/>
      <w:bookmarkStart w:id="111" w:name="_Toc181796359"/>
      <w:bookmarkStart w:id="112" w:name="_Toc183683483"/>
      <w:bookmarkStart w:id="113" w:name="_Toc168059368"/>
      <w:bookmarkStart w:id="114" w:name="_Toc168061624"/>
      <w:bookmarkStart w:id="115" w:name="_Toc168061177"/>
      <w:bookmarkStart w:id="116" w:name="_Toc183882409"/>
      <w:bookmarkStart w:id="117" w:name="_Toc168061795"/>
      <w:bookmarkStart w:id="118" w:name="_Toc183888461"/>
      <w:bookmarkStart w:id="119" w:name="_Toc183790486"/>
      <w:r>
        <w:t>运营管理</w:t>
      </w:r>
      <w:bookmarkEnd w:id="108"/>
      <w:bookmarkEnd w:id="109"/>
      <w:bookmarkEnd w:id="110"/>
      <w:bookmarkEnd w:id="111"/>
      <w:bookmarkEnd w:id="112"/>
      <w:bookmarkEnd w:id="113"/>
      <w:bookmarkEnd w:id="114"/>
      <w:bookmarkEnd w:id="115"/>
      <w:bookmarkEnd w:id="116"/>
      <w:bookmarkEnd w:id="117"/>
      <w:bookmarkEnd w:id="118"/>
      <w:bookmarkEnd w:id="119"/>
    </w:p>
    <w:p w14:paraId="71187051">
      <w:pPr>
        <w:pStyle w:val="5"/>
      </w:pPr>
      <w:r>
        <w:t>轨道交通系统应由具备运营资格并经市政府批准的运营公司进行经营管理</w:t>
      </w:r>
      <w:r>
        <w:rPr>
          <w:rFonts w:hint="eastAsia"/>
        </w:rPr>
        <w:t>，各线运营应协调统筹、资源共享、节约运营成本。</w:t>
      </w:r>
    </w:p>
    <w:p w14:paraId="5199C10C">
      <w:pPr>
        <w:pStyle w:val="5"/>
      </w:pPr>
      <w:r>
        <w:t>正常情况下由控制中心对运行列车进行监控，特殊情况下控制权可下放到车站。车站应设置车站综合控制室，对列车运行情况和本站设备进行集中监控。</w:t>
      </w:r>
    </w:p>
    <w:p w14:paraId="128FB950">
      <w:pPr>
        <w:pStyle w:val="5"/>
      </w:pPr>
      <w:r>
        <w:t>在正常运行状态下，列车必须在安全防护系统的监控下运行。</w:t>
      </w:r>
    </w:p>
    <w:p w14:paraId="2EC4DE46">
      <w:pPr>
        <w:pStyle w:val="5"/>
      </w:pPr>
      <w:r>
        <w:t>运营公司应适应网络化系统的运营管理需求，设置完整的行政及技术管理机构，负责系统的安全运营。每条线路的定员</w:t>
      </w:r>
      <w:r>
        <w:rPr>
          <w:rFonts w:hint="eastAsia"/>
        </w:rPr>
        <w:t>指标</w:t>
      </w:r>
      <w:r>
        <w:t>宜控制在</w:t>
      </w:r>
      <w:r>
        <w:rPr>
          <w:rFonts w:hint="eastAsia"/>
        </w:rPr>
        <w:t>4</w:t>
      </w:r>
      <w:r>
        <w:t>0</w:t>
      </w:r>
      <w:r>
        <w:rPr>
          <w:rFonts w:hint="eastAsia"/>
        </w:rPr>
        <w:t>~</w:t>
      </w:r>
      <w:r>
        <w:t>50人/km</w:t>
      </w:r>
      <w:r>
        <w:rPr>
          <w:rFonts w:hint="eastAsia"/>
        </w:rPr>
        <w:t>。</w:t>
      </w:r>
    </w:p>
    <w:p w14:paraId="518FDD59">
      <w:pPr>
        <w:pStyle w:val="5"/>
      </w:pPr>
      <w:r>
        <w:t>车站管理宜采用站区管理模式。中心站宜设在客流量较大或配线较多的车站。每个中心站负责管辖4座~6座车站。应为车站管理人员配备便携式联络设备。</w:t>
      </w:r>
    </w:p>
    <w:p w14:paraId="172B88D5">
      <w:pPr>
        <w:pStyle w:val="5"/>
      </w:pPr>
      <w:r>
        <w:rPr>
          <w:rFonts w:hint="eastAsia"/>
        </w:rPr>
        <w:t>车站管理用房应按站区管理模式群组化设置，有条件时宜设置多功能用房方便运营范围灵活调配；</w:t>
      </w:r>
      <w:r>
        <w:t>中心站应设站区长室、</w:t>
      </w:r>
      <w:r>
        <w:rPr>
          <w:rFonts w:hint="eastAsia"/>
        </w:rPr>
        <w:t>站区办公室、</w:t>
      </w:r>
      <w:r>
        <w:t>票务室、会议室等运营管理用房</w:t>
      </w:r>
      <w:r>
        <w:rPr>
          <w:rFonts w:hint="eastAsia"/>
        </w:rPr>
        <w:t>，客流量较小的卫星站可不设站务办公、会议用房。非无人驾驶线路折返站应设乘务用房。</w:t>
      </w:r>
    </w:p>
    <w:p w14:paraId="7C2D23A0">
      <w:pPr>
        <w:pStyle w:val="5"/>
      </w:pPr>
      <w:r>
        <w:t>车站的行车和机电设备由车站综合控制室的行车值班员和设备管理员进行监视和控制。</w:t>
      </w:r>
    </w:p>
    <w:p w14:paraId="6ABC9F91">
      <w:pPr>
        <w:pStyle w:val="5"/>
      </w:pPr>
      <w:r>
        <w:t>车站应设置乘客服务中心。乘客服务中心宜设在站厅层付费区与非付费区之间，具备票务、问讯、充值、信息等功能。</w:t>
      </w:r>
    </w:p>
    <w:p w14:paraId="614273FC">
      <w:pPr>
        <w:pStyle w:val="5"/>
      </w:pPr>
      <w:r>
        <w:t>车站应设置便捷的自助购票、自助信息查询设施。在满足客流需要、确保疏散安全的情况下，宜设置银行ATM机、电话、小商铺等便民服务设施。</w:t>
      </w:r>
    </w:p>
    <w:p w14:paraId="4D68837B">
      <w:pPr>
        <w:pStyle w:val="5"/>
      </w:pPr>
      <w:r>
        <w:t>城市轨道交通系统应有完善的导向服务标志、乘客信息系统，为乘客提供及时、有效的乘车信息。</w:t>
      </w:r>
    </w:p>
    <w:p w14:paraId="3D88E5F8">
      <w:pPr>
        <w:pStyle w:val="5"/>
      </w:pPr>
      <w:r>
        <w:t>城市轨道交通宜采用计程和计时票制。车站应设置自动售检票系统，具备对客流数据和票务收入进行自动统计的能力。</w:t>
      </w:r>
    </w:p>
    <w:p w14:paraId="47EB1E3B">
      <w:pPr>
        <w:pStyle w:val="5"/>
        <w:sectPr>
          <w:headerReference r:id="rId21" w:type="even"/>
          <w:pgSz w:w="7938" w:h="11510"/>
          <w:pgMar w:top="1247" w:right="907" w:bottom="1247" w:left="907" w:header="737" w:footer="737" w:gutter="0"/>
          <w:cols w:space="720" w:num="1"/>
          <w:titlePg/>
          <w:docGrid w:linePitch="272" w:charSpace="0"/>
        </w:sectPr>
      </w:pPr>
    </w:p>
    <w:bookmarkEnd w:id="22"/>
    <w:bookmarkEnd w:id="23"/>
    <w:bookmarkEnd w:id="24"/>
    <w:p w14:paraId="21F38DAF">
      <w:pPr>
        <w:pStyle w:val="3"/>
      </w:pPr>
      <w:bookmarkStart w:id="120" w:name="_Toc183790487"/>
      <w:bookmarkStart w:id="121" w:name="_Toc183882048"/>
      <w:bookmarkStart w:id="122" w:name="_Toc183888100"/>
      <w:bookmarkStart w:id="123" w:name="_Toc183882410"/>
      <w:bookmarkStart w:id="124" w:name="_Toc183765057"/>
      <w:bookmarkStart w:id="125" w:name="_Toc183735407"/>
      <w:bookmarkStart w:id="126" w:name="_Toc183888462"/>
      <w:bookmarkStart w:id="127" w:name="_Toc183699863"/>
      <w:bookmarkStart w:id="128" w:name="_Toc183683484"/>
      <w:bookmarkStart w:id="129" w:name="_Toc174611494"/>
      <w:bookmarkStart w:id="130" w:name="_Toc174611640"/>
      <w:bookmarkStart w:id="131" w:name="_Toc174612444"/>
      <w:bookmarkStart w:id="132" w:name="_Toc168059407"/>
      <w:r>
        <w:t>车</w:t>
      </w:r>
      <w:r>
        <w:rPr>
          <w:rFonts w:hint="eastAsia"/>
        </w:rPr>
        <w:t xml:space="preserve">    </w:t>
      </w:r>
      <w:r>
        <w:t>辆</w:t>
      </w:r>
      <w:bookmarkEnd w:id="120"/>
      <w:bookmarkEnd w:id="121"/>
      <w:bookmarkEnd w:id="122"/>
      <w:bookmarkEnd w:id="123"/>
      <w:bookmarkEnd w:id="124"/>
      <w:bookmarkEnd w:id="125"/>
      <w:bookmarkEnd w:id="126"/>
      <w:bookmarkEnd w:id="127"/>
      <w:bookmarkEnd w:id="128"/>
    </w:p>
    <w:p w14:paraId="178F3AA8">
      <w:pPr>
        <w:pStyle w:val="4"/>
      </w:pPr>
      <w:bookmarkStart w:id="133" w:name="_Toc168059370"/>
      <w:bookmarkStart w:id="134" w:name="_Toc183765058"/>
      <w:bookmarkStart w:id="135" w:name="_Toc183882049"/>
      <w:bookmarkStart w:id="136" w:name="_Toc183790488"/>
      <w:bookmarkStart w:id="137" w:name="_Toc183882411"/>
      <w:bookmarkStart w:id="138" w:name="_Toc183888101"/>
      <w:bookmarkStart w:id="139" w:name="_Toc168061179"/>
      <w:bookmarkStart w:id="140" w:name="_Toc168415147"/>
      <w:bookmarkStart w:id="141" w:name="_Toc183888463"/>
      <w:bookmarkStart w:id="142" w:name="_Toc168061626"/>
      <w:bookmarkStart w:id="143" w:name="_Toc183683485"/>
      <w:r>
        <w:t>一般规定</w:t>
      </w:r>
      <w:bookmarkEnd w:id="133"/>
      <w:bookmarkEnd w:id="134"/>
      <w:bookmarkEnd w:id="135"/>
      <w:bookmarkEnd w:id="136"/>
      <w:bookmarkEnd w:id="137"/>
      <w:bookmarkEnd w:id="138"/>
      <w:bookmarkEnd w:id="139"/>
      <w:bookmarkEnd w:id="140"/>
      <w:bookmarkEnd w:id="141"/>
      <w:bookmarkEnd w:id="142"/>
      <w:bookmarkEnd w:id="143"/>
    </w:p>
    <w:p w14:paraId="6CCA0ED4">
      <w:pPr>
        <w:pStyle w:val="5"/>
      </w:pPr>
      <w:r>
        <w:rPr>
          <w:rFonts w:hint="eastAsia"/>
        </w:rPr>
        <w:t>城市</w:t>
      </w:r>
      <w:r>
        <w:t>轨</w:t>
      </w:r>
      <w:bookmarkStart w:id="144" w:name="_Hlk183160559"/>
      <w:r>
        <w:t>道交通车辆应采用钢轮钢轨、旋转电机牵引，以</w:t>
      </w:r>
      <w:r>
        <w:rPr>
          <w:rFonts w:hint="eastAsia"/>
        </w:rPr>
        <w:t>车辆</w:t>
      </w:r>
      <w:r>
        <w:t>轮廓尺寸分类的A、B型车为主要车型</w:t>
      </w:r>
      <w:bookmarkEnd w:id="144"/>
      <w:r>
        <w:t>。</w:t>
      </w:r>
    </w:p>
    <w:p w14:paraId="1EA7C604">
      <w:pPr>
        <w:pStyle w:val="5"/>
      </w:pPr>
      <w:r>
        <w:t>运量等级相同的轨道交通线路车辆选型应一致。同一条轨道交通线路</w:t>
      </w:r>
      <w:r>
        <w:rPr>
          <w:rFonts w:hint="eastAsia"/>
        </w:rPr>
        <w:t>和</w:t>
      </w:r>
      <w:r>
        <w:t>具备互联互通需求的轨道交通线路的车辆选型</w:t>
      </w:r>
      <w:r>
        <w:rPr>
          <w:rFonts w:hint="eastAsia"/>
        </w:rPr>
        <w:t>宜车型统一</w:t>
      </w:r>
      <w:r>
        <w:t>。</w:t>
      </w:r>
    </w:p>
    <w:p w14:paraId="2564499E">
      <w:pPr>
        <w:pStyle w:val="5"/>
      </w:pPr>
      <w:r>
        <w:t>车辆的技术条件应根据预测客流量、环境</w:t>
      </w:r>
      <w:r>
        <w:rPr>
          <w:rFonts w:hint="eastAsia"/>
        </w:rPr>
        <w:t>和</w:t>
      </w:r>
      <w:r>
        <w:t>线路条件、运输</w:t>
      </w:r>
      <w:r>
        <w:rPr>
          <w:rFonts w:hint="eastAsia"/>
        </w:rPr>
        <w:t>能力</w:t>
      </w:r>
      <w:r>
        <w:t>要求等因素综合比较确定。</w:t>
      </w:r>
    </w:p>
    <w:p w14:paraId="1368F4CA">
      <w:pPr>
        <w:pStyle w:val="5"/>
      </w:pPr>
      <w:bookmarkStart w:id="145" w:name="_Hlk183161812"/>
      <w:r>
        <w:rPr>
          <w:rFonts w:hint="eastAsia"/>
        </w:rPr>
        <w:t>车辆的设计工作年限不应低于30年</w:t>
      </w:r>
      <w:bookmarkEnd w:id="145"/>
      <w:r>
        <w:rPr>
          <w:rFonts w:hint="eastAsia"/>
        </w:rPr>
        <w:t>。</w:t>
      </w:r>
    </w:p>
    <w:p w14:paraId="3C839A50">
      <w:pPr>
        <w:pStyle w:val="5"/>
      </w:pPr>
      <w:r>
        <w:rPr>
          <w:rFonts w:hint="eastAsia"/>
        </w:rPr>
        <w:t>车辆应采取有效的减振与降噪措施，减小车辆噪声对环境的有害影响。</w:t>
      </w:r>
    </w:p>
    <w:p w14:paraId="1FC3B9FE">
      <w:pPr>
        <w:pStyle w:val="5"/>
      </w:pPr>
      <w:r>
        <w:rPr>
          <w:rFonts w:hint="eastAsia"/>
        </w:rPr>
        <w:t>车辆应满足防雨水、冰雪要求，车厢、空调装置、电气设备箱、插销联结器等设备均应具备防水功能。洗车时不应有水渗入车厢及车辆各种设备内。</w:t>
      </w:r>
    </w:p>
    <w:p w14:paraId="32C31154">
      <w:pPr>
        <w:pStyle w:val="5"/>
      </w:pPr>
      <w:r>
        <w:rPr>
          <w:rFonts w:hint="eastAsia"/>
        </w:rPr>
        <w:t>车辆密封性能应符合《城市轨道交通车辆组装后的检查和试验规则》</w:t>
      </w:r>
      <w:r>
        <w:rPr>
          <w:rFonts w:hint="eastAsia" w:ascii="宋体" w:hAnsi="宋体"/>
        </w:rPr>
        <w:t>GB/T 14894</w:t>
      </w:r>
      <w:r>
        <w:rPr>
          <w:rFonts w:hint="eastAsia"/>
        </w:rPr>
        <w:t>的规定。车体和安装于车体外部的各种设备外壳和所有开孔、门窗、孔盖均能防止雨雪侵入。车内电气设备外壳防护IP等级应符合</w:t>
      </w:r>
      <w:r>
        <w:rPr>
          <w:rFonts w:hint="eastAsia" w:ascii="宋体" w:hAnsi="宋体"/>
        </w:rPr>
        <w:t xml:space="preserve">《外壳防护等级(IP 代码)》 </w:t>
      </w:r>
      <w:r>
        <w:rPr>
          <w:rFonts w:ascii="宋体" w:hAnsi="宋体"/>
        </w:rPr>
        <w:t>GB/T 4208</w:t>
      </w:r>
      <w:r>
        <w:rPr>
          <w:rFonts w:hint="eastAsia" w:ascii="宋体" w:hAnsi="宋体"/>
        </w:rPr>
        <w:t>的</w:t>
      </w:r>
      <w:r>
        <w:rPr>
          <w:rFonts w:hint="eastAsia"/>
        </w:rPr>
        <w:t>规定。</w:t>
      </w:r>
    </w:p>
    <w:p w14:paraId="007C8502">
      <w:pPr>
        <w:pStyle w:val="5"/>
      </w:pPr>
      <w:bookmarkStart w:id="146" w:name="_Hlk183160987"/>
      <w:r>
        <w:rPr>
          <w:rFonts w:hint="eastAsia"/>
        </w:rPr>
        <w:t>车辆宜设置健康管理系统，对车门、牵引系统、辅助电源系统、空调、制动系统等进行状态监测及预警。</w:t>
      </w:r>
    </w:p>
    <w:bookmarkEnd w:id="146"/>
    <w:p w14:paraId="440747C3">
      <w:pPr>
        <w:pStyle w:val="5"/>
      </w:pPr>
      <w:r>
        <w:t>车辆技术要求除应符合本章规定外，尚应符合现行《地铁车辆通用技术条件》GB/T</w:t>
      </w:r>
      <w:r>
        <w:rPr>
          <w:rFonts w:hint="eastAsia"/>
        </w:rPr>
        <w:t xml:space="preserve"> </w:t>
      </w:r>
      <w:r>
        <w:t>7928</w:t>
      </w:r>
      <w:r>
        <w:rPr>
          <w:rFonts w:hint="eastAsia"/>
        </w:rPr>
        <w:t>、《城市轨道交通市域快线120km∕h～160km∕h车辆通用技术条件》GB/T</w:t>
      </w:r>
      <w:r>
        <w:t xml:space="preserve"> 37532的规定。</w:t>
      </w:r>
    </w:p>
    <w:p w14:paraId="6658D9DB">
      <w:pPr>
        <w:pStyle w:val="4"/>
      </w:pPr>
      <w:bookmarkStart w:id="147" w:name="_Toc168059371"/>
      <w:bookmarkStart w:id="148" w:name="_Toc183888102"/>
      <w:bookmarkStart w:id="149" w:name="_Toc168061627"/>
      <w:bookmarkStart w:id="150" w:name="_Toc183888464"/>
      <w:bookmarkStart w:id="151" w:name="_Toc183790489"/>
      <w:bookmarkStart w:id="152" w:name="_Toc183765059"/>
      <w:bookmarkStart w:id="153" w:name="_Toc183882412"/>
      <w:bookmarkStart w:id="154" w:name="_Toc183882050"/>
      <w:bookmarkStart w:id="155" w:name="_Toc168415148"/>
      <w:bookmarkStart w:id="156" w:name="_Toc168061180"/>
      <w:bookmarkStart w:id="157" w:name="_Toc183683486"/>
      <w:r>
        <w:t>车辆使用条件</w:t>
      </w:r>
      <w:bookmarkEnd w:id="147"/>
      <w:bookmarkEnd w:id="148"/>
      <w:bookmarkEnd w:id="149"/>
      <w:bookmarkEnd w:id="150"/>
      <w:bookmarkEnd w:id="151"/>
      <w:bookmarkEnd w:id="152"/>
      <w:bookmarkEnd w:id="153"/>
      <w:bookmarkEnd w:id="154"/>
      <w:bookmarkEnd w:id="155"/>
      <w:bookmarkEnd w:id="156"/>
      <w:bookmarkEnd w:id="157"/>
    </w:p>
    <w:p w14:paraId="79AA9FF0">
      <w:pPr>
        <w:pStyle w:val="5"/>
      </w:pPr>
      <w:r>
        <w:t>车辆使用条件为地下、地面及高架线路，运行的环境温度为−25</w:t>
      </w:r>
      <w:r>
        <w:rPr>
          <w:rFonts w:hint="eastAsia" w:ascii="宋体" w:hAnsi="宋体" w:cs="宋体"/>
        </w:rPr>
        <w:t>℃</w:t>
      </w:r>
      <w:r>
        <w:t>~45</w:t>
      </w:r>
      <w:r>
        <w:rPr>
          <w:rFonts w:hint="eastAsia" w:ascii="宋体" w:hAnsi="宋体" w:cs="宋体"/>
        </w:rPr>
        <w:t>℃</w:t>
      </w:r>
      <w:r>
        <w:t>。</w:t>
      </w:r>
    </w:p>
    <w:p w14:paraId="21C6C448">
      <w:pPr>
        <w:pStyle w:val="5"/>
      </w:pPr>
      <w:r>
        <w:t>车辆应适应经铁路运送至运行线路上的运输条件。</w:t>
      </w:r>
    </w:p>
    <w:p w14:paraId="6164CF01">
      <w:pPr>
        <w:pStyle w:val="5"/>
      </w:pPr>
      <w:r>
        <w:t>车辆使用的线路平面曲线、线路坡度和竖曲线标准</w:t>
      </w:r>
      <w:r>
        <w:rPr>
          <w:rFonts w:hint="eastAsia"/>
        </w:rPr>
        <w:t>应</w:t>
      </w:r>
      <w:r>
        <w:t>按本规范第</w:t>
      </w:r>
      <w:r>
        <w:rPr>
          <w:rFonts w:hint="eastAsia"/>
        </w:rPr>
        <w:t>7</w:t>
      </w:r>
      <w:r>
        <w:t>.2.1、</w:t>
      </w:r>
      <w:r>
        <w:rPr>
          <w:rFonts w:hint="eastAsia"/>
        </w:rPr>
        <w:t>7</w:t>
      </w:r>
      <w:r>
        <w:t>.3.1、</w:t>
      </w:r>
      <w:r>
        <w:rPr>
          <w:rFonts w:hint="eastAsia"/>
        </w:rPr>
        <w:t>7</w:t>
      </w:r>
      <w:r>
        <w:t>.3.</w:t>
      </w:r>
      <w:r>
        <w:rPr>
          <w:rFonts w:hint="eastAsia"/>
        </w:rPr>
        <w:t>2</w:t>
      </w:r>
      <w:r>
        <w:t>条的规定执行。</w:t>
      </w:r>
    </w:p>
    <w:p w14:paraId="736632D3">
      <w:pPr>
        <w:pStyle w:val="5"/>
        <w:rPr>
          <w:b/>
        </w:rPr>
      </w:pPr>
      <w:r>
        <w:rPr>
          <w:rFonts w:hint="eastAsia"/>
        </w:rPr>
        <w:t>车辆</w:t>
      </w:r>
      <w:r>
        <w:t>应采用</w:t>
      </w:r>
      <w:r>
        <w:rPr>
          <w:rFonts w:hint="eastAsia"/>
        </w:rPr>
        <w:t>接触轨或</w:t>
      </w:r>
      <w:r>
        <w:t>架空接触网受电方式。</w:t>
      </w:r>
      <w:bookmarkStart w:id="158" w:name="_Toc168061628"/>
      <w:bookmarkStart w:id="159" w:name="_Toc168059372"/>
      <w:bookmarkStart w:id="160" w:name="_Toc168061181"/>
      <w:bookmarkStart w:id="161" w:name="_Toc168415149"/>
    </w:p>
    <w:p w14:paraId="32B8C436">
      <w:pPr>
        <w:pStyle w:val="4"/>
      </w:pPr>
      <w:bookmarkStart w:id="162" w:name="_Toc183888465"/>
      <w:bookmarkStart w:id="163" w:name="_Toc183683487"/>
      <w:bookmarkStart w:id="164" w:name="_Toc183765060"/>
      <w:bookmarkStart w:id="165" w:name="_Toc183790490"/>
      <w:bookmarkStart w:id="166" w:name="_Toc183888103"/>
      <w:bookmarkStart w:id="167" w:name="_Toc183882413"/>
      <w:bookmarkStart w:id="168" w:name="_Toc183882051"/>
      <w:r>
        <w:t>车辆主要技术规格</w:t>
      </w:r>
      <w:bookmarkEnd w:id="158"/>
      <w:bookmarkEnd w:id="159"/>
      <w:bookmarkEnd w:id="160"/>
      <w:bookmarkEnd w:id="161"/>
      <w:bookmarkEnd w:id="162"/>
      <w:bookmarkEnd w:id="163"/>
      <w:bookmarkEnd w:id="164"/>
      <w:bookmarkEnd w:id="165"/>
      <w:bookmarkEnd w:id="166"/>
      <w:bookmarkEnd w:id="167"/>
      <w:bookmarkEnd w:id="168"/>
    </w:p>
    <w:p w14:paraId="754C1352">
      <w:pPr>
        <w:pStyle w:val="5"/>
      </w:pPr>
      <w:r>
        <w:t>车辆主要技术规格</w:t>
      </w:r>
      <w:r>
        <w:rPr>
          <w:rFonts w:hint="eastAsia"/>
        </w:rPr>
        <w:t>宜</w:t>
      </w:r>
      <w:r>
        <w:t>符合下列规定：</w:t>
      </w:r>
    </w:p>
    <w:p w14:paraId="028E2A7A">
      <w:pPr>
        <w:pStyle w:val="198"/>
      </w:pPr>
      <w:r>
        <w:t>表5.3.1</w:t>
      </w:r>
      <w:r>
        <w:rPr>
          <w:rFonts w:hint="eastAsia"/>
        </w:rPr>
        <w:t xml:space="preserve">  </w:t>
      </w:r>
      <w:r>
        <w:t>主要技术规格</w:t>
      </w:r>
    </w:p>
    <w:tbl>
      <w:tblPr>
        <w:tblStyle w:val="88"/>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510"/>
        <w:gridCol w:w="550"/>
        <w:gridCol w:w="181"/>
        <w:gridCol w:w="673"/>
        <w:gridCol w:w="898"/>
        <w:gridCol w:w="993"/>
        <w:gridCol w:w="1259"/>
        <w:gridCol w:w="36"/>
        <w:gridCol w:w="1240"/>
      </w:tblGrid>
      <w:tr w14:paraId="154E1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402" w:type="pct"/>
            <w:tcBorders>
              <w:left w:val="single" w:color="000000" w:sz="6" w:space="0"/>
              <w:bottom w:val="nil"/>
            </w:tcBorders>
            <w:vAlign w:val="center"/>
          </w:tcPr>
          <w:p w14:paraId="23003D33">
            <w:pPr>
              <w:pStyle w:val="235"/>
              <w:rPr>
                <w:color w:val="auto"/>
              </w:rPr>
            </w:pPr>
            <w:r>
              <w:rPr>
                <w:rFonts w:hint="eastAsia"/>
                <w:color w:val="auto"/>
              </w:rPr>
              <w:t>序号</w:t>
            </w:r>
          </w:p>
        </w:tc>
        <w:tc>
          <w:tcPr>
            <w:tcW w:w="1108" w:type="pct"/>
            <w:gridSpan w:val="3"/>
            <w:tcBorders>
              <w:bottom w:val="nil"/>
            </w:tcBorders>
            <w:vAlign w:val="center"/>
          </w:tcPr>
          <w:p w14:paraId="5B388DD1">
            <w:pPr>
              <w:pStyle w:val="235"/>
              <w:rPr>
                <w:color w:val="auto"/>
              </w:rPr>
            </w:pPr>
            <w:r>
              <w:rPr>
                <w:rFonts w:hint="eastAsia"/>
                <w:color w:val="auto"/>
              </w:rPr>
              <w:t>名称</w:t>
            </w:r>
          </w:p>
        </w:tc>
        <w:tc>
          <w:tcPr>
            <w:tcW w:w="1491" w:type="pct"/>
            <w:gridSpan w:val="2"/>
            <w:vAlign w:val="center"/>
          </w:tcPr>
          <w:p w14:paraId="23A575ED">
            <w:pPr>
              <w:pStyle w:val="235"/>
              <w:rPr>
                <w:color w:val="auto"/>
              </w:rPr>
            </w:pPr>
            <w:r>
              <w:rPr>
                <w:rFonts w:hint="eastAsia"/>
                <w:color w:val="auto"/>
              </w:rPr>
              <w:t>A型车</w:t>
            </w:r>
          </w:p>
        </w:tc>
        <w:tc>
          <w:tcPr>
            <w:tcW w:w="1999" w:type="pct"/>
            <w:gridSpan w:val="3"/>
            <w:tcBorders>
              <w:right w:val="single" w:color="000000" w:sz="6" w:space="0"/>
            </w:tcBorders>
            <w:vAlign w:val="center"/>
          </w:tcPr>
          <w:p w14:paraId="1DA9C743">
            <w:pPr>
              <w:pStyle w:val="235"/>
              <w:rPr>
                <w:color w:val="auto"/>
              </w:rPr>
            </w:pPr>
            <w:r>
              <w:rPr>
                <w:rFonts w:hint="eastAsia"/>
                <w:color w:val="auto"/>
              </w:rPr>
              <w:t>B型车</w:t>
            </w:r>
          </w:p>
        </w:tc>
      </w:tr>
      <w:tr w14:paraId="68BED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5" w:hRule="atLeast"/>
          <w:jc w:val="center"/>
        </w:trPr>
        <w:tc>
          <w:tcPr>
            <w:tcW w:w="402" w:type="pct"/>
            <w:tcBorders>
              <w:left w:val="single" w:color="000000" w:sz="6" w:space="0"/>
            </w:tcBorders>
            <w:vAlign w:val="center"/>
          </w:tcPr>
          <w:p w14:paraId="6FF111DC">
            <w:pPr>
              <w:pStyle w:val="235"/>
              <w:rPr>
                <w:color w:val="auto"/>
              </w:rPr>
            </w:pPr>
            <w:r>
              <w:rPr>
                <w:rFonts w:hint="eastAsia"/>
                <w:color w:val="auto"/>
              </w:rPr>
              <w:t>1</w:t>
            </w:r>
          </w:p>
        </w:tc>
        <w:tc>
          <w:tcPr>
            <w:tcW w:w="1108" w:type="pct"/>
            <w:gridSpan w:val="3"/>
            <w:vAlign w:val="center"/>
          </w:tcPr>
          <w:p w14:paraId="0E471638">
            <w:pPr>
              <w:pStyle w:val="235"/>
              <w:rPr>
                <w:color w:val="auto"/>
              </w:rPr>
            </w:pPr>
            <w:r>
              <w:rPr>
                <w:rFonts w:hint="eastAsia"/>
                <w:color w:val="auto"/>
              </w:rPr>
              <w:t>供电制式</w:t>
            </w:r>
          </w:p>
        </w:tc>
        <w:tc>
          <w:tcPr>
            <w:tcW w:w="708" w:type="pct"/>
            <w:tcBorders>
              <w:right w:val="single" w:color="auto" w:sz="4" w:space="0"/>
            </w:tcBorders>
            <w:vAlign w:val="center"/>
          </w:tcPr>
          <w:p w14:paraId="582C0808">
            <w:pPr>
              <w:pStyle w:val="235"/>
              <w:rPr>
                <w:color w:val="auto"/>
              </w:rPr>
            </w:pPr>
            <w:r>
              <w:rPr>
                <w:rFonts w:hint="eastAsia"/>
                <w:color w:val="auto"/>
              </w:rPr>
              <w:t>AC25kV</w:t>
            </w:r>
          </w:p>
        </w:tc>
        <w:tc>
          <w:tcPr>
            <w:tcW w:w="782" w:type="pct"/>
            <w:vAlign w:val="center"/>
          </w:tcPr>
          <w:p w14:paraId="2C3D02C2">
            <w:pPr>
              <w:pStyle w:val="235"/>
              <w:rPr>
                <w:color w:val="auto"/>
              </w:rPr>
            </w:pPr>
            <w:r>
              <w:rPr>
                <w:rFonts w:hint="eastAsia"/>
                <w:color w:val="auto"/>
              </w:rPr>
              <w:t>DC1500V</w:t>
            </w:r>
          </w:p>
        </w:tc>
        <w:tc>
          <w:tcPr>
            <w:tcW w:w="993" w:type="pct"/>
            <w:tcBorders>
              <w:right w:val="single" w:color="auto" w:sz="4" w:space="0"/>
            </w:tcBorders>
            <w:vAlign w:val="center"/>
          </w:tcPr>
          <w:p w14:paraId="3B9F9CE0">
            <w:pPr>
              <w:pStyle w:val="235"/>
              <w:rPr>
                <w:color w:val="auto"/>
              </w:rPr>
            </w:pPr>
            <w:r>
              <w:rPr>
                <w:rFonts w:hint="eastAsia"/>
                <w:color w:val="auto"/>
              </w:rPr>
              <w:t>DC1500V</w:t>
            </w:r>
          </w:p>
        </w:tc>
        <w:tc>
          <w:tcPr>
            <w:tcW w:w="1006" w:type="pct"/>
            <w:gridSpan w:val="2"/>
            <w:tcBorders>
              <w:top w:val="single" w:color="auto" w:sz="4" w:space="0"/>
              <w:left w:val="single" w:color="auto" w:sz="4" w:space="0"/>
              <w:right w:val="single" w:color="000000" w:sz="6" w:space="0"/>
            </w:tcBorders>
            <w:vAlign w:val="center"/>
          </w:tcPr>
          <w:p w14:paraId="75521364">
            <w:pPr>
              <w:pStyle w:val="235"/>
              <w:rPr>
                <w:color w:val="auto"/>
              </w:rPr>
            </w:pPr>
            <w:r>
              <w:rPr>
                <w:rFonts w:hint="eastAsia"/>
                <w:color w:val="auto"/>
              </w:rPr>
              <w:t>DC750V</w:t>
            </w:r>
          </w:p>
        </w:tc>
      </w:tr>
      <w:tr w14:paraId="63356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5" w:hRule="atLeast"/>
          <w:jc w:val="center"/>
        </w:trPr>
        <w:tc>
          <w:tcPr>
            <w:tcW w:w="402" w:type="pct"/>
            <w:tcBorders>
              <w:left w:val="single" w:color="000000" w:sz="6" w:space="0"/>
            </w:tcBorders>
            <w:vAlign w:val="center"/>
          </w:tcPr>
          <w:p w14:paraId="7B6E49B5">
            <w:pPr>
              <w:pStyle w:val="235"/>
              <w:rPr>
                <w:color w:val="auto"/>
              </w:rPr>
            </w:pPr>
            <w:r>
              <w:rPr>
                <w:rFonts w:hint="eastAsia"/>
                <w:color w:val="auto"/>
              </w:rPr>
              <w:t>2</w:t>
            </w:r>
          </w:p>
        </w:tc>
        <w:tc>
          <w:tcPr>
            <w:tcW w:w="1108" w:type="pct"/>
            <w:gridSpan w:val="3"/>
            <w:vAlign w:val="center"/>
          </w:tcPr>
          <w:p w14:paraId="510E8D34">
            <w:pPr>
              <w:pStyle w:val="235"/>
              <w:rPr>
                <w:color w:val="auto"/>
              </w:rPr>
            </w:pPr>
            <w:r>
              <w:rPr>
                <w:rFonts w:hint="eastAsia"/>
                <w:color w:val="auto"/>
              </w:rPr>
              <w:t>最高速度</w:t>
            </w:r>
          </w:p>
        </w:tc>
        <w:tc>
          <w:tcPr>
            <w:tcW w:w="708" w:type="pct"/>
            <w:vAlign w:val="center"/>
          </w:tcPr>
          <w:p w14:paraId="364BE5D3">
            <w:pPr>
              <w:pStyle w:val="235"/>
              <w:rPr>
                <w:color w:val="auto"/>
              </w:rPr>
            </w:pPr>
            <w:r>
              <w:rPr>
                <w:rFonts w:hint="eastAsia"/>
                <w:color w:val="auto"/>
              </w:rPr>
              <w:t>120 km/h</w:t>
            </w:r>
            <w:r>
              <w:rPr>
                <w:color w:val="auto"/>
              </w:rPr>
              <w:t xml:space="preserve"> ~</w:t>
            </w:r>
            <w:r>
              <w:rPr>
                <w:rFonts w:hint="eastAsia"/>
                <w:color w:val="auto"/>
              </w:rPr>
              <w:t>140km/h</w:t>
            </w:r>
          </w:p>
        </w:tc>
        <w:tc>
          <w:tcPr>
            <w:tcW w:w="782" w:type="pct"/>
            <w:vAlign w:val="center"/>
          </w:tcPr>
          <w:p w14:paraId="18BC92A4">
            <w:pPr>
              <w:pStyle w:val="235"/>
              <w:rPr>
                <w:color w:val="auto"/>
              </w:rPr>
            </w:pPr>
            <w:r>
              <w:rPr>
                <w:rFonts w:hint="eastAsia"/>
                <w:color w:val="auto"/>
              </w:rPr>
              <w:t>80 km/h</w:t>
            </w:r>
            <w:r>
              <w:rPr>
                <w:color w:val="auto"/>
              </w:rPr>
              <w:t xml:space="preserve"> ~</w:t>
            </w:r>
            <w:r>
              <w:rPr>
                <w:rFonts w:hint="eastAsia"/>
                <w:color w:val="auto"/>
              </w:rPr>
              <w:t>140km/h</w:t>
            </w:r>
          </w:p>
        </w:tc>
        <w:tc>
          <w:tcPr>
            <w:tcW w:w="993" w:type="pct"/>
            <w:tcBorders>
              <w:right w:val="single" w:color="000000" w:sz="6" w:space="0"/>
            </w:tcBorders>
            <w:vAlign w:val="center"/>
          </w:tcPr>
          <w:p w14:paraId="15525FE5">
            <w:pPr>
              <w:pStyle w:val="235"/>
              <w:rPr>
                <w:color w:val="auto"/>
              </w:rPr>
            </w:pPr>
            <w:r>
              <w:rPr>
                <w:rFonts w:hint="eastAsia"/>
                <w:color w:val="auto"/>
              </w:rPr>
              <w:t>80 km/h</w:t>
            </w:r>
            <w:r>
              <w:rPr>
                <w:color w:val="auto"/>
              </w:rPr>
              <w:t xml:space="preserve"> ~</w:t>
            </w:r>
            <w:r>
              <w:rPr>
                <w:rFonts w:hint="eastAsia"/>
                <w:color w:val="auto"/>
              </w:rPr>
              <w:t>120km/h</w:t>
            </w:r>
          </w:p>
        </w:tc>
        <w:tc>
          <w:tcPr>
            <w:tcW w:w="1006" w:type="pct"/>
            <w:gridSpan w:val="2"/>
            <w:tcBorders>
              <w:right w:val="single" w:color="000000" w:sz="6" w:space="0"/>
            </w:tcBorders>
            <w:vAlign w:val="center"/>
          </w:tcPr>
          <w:p w14:paraId="14357E27">
            <w:pPr>
              <w:pStyle w:val="235"/>
              <w:rPr>
                <w:color w:val="auto"/>
              </w:rPr>
            </w:pPr>
            <w:r>
              <w:rPr>
                <w:rFonts w:hint="eastAsia"/>
                <w:color w:val="auto"/>
              </w:rPr>
              <w:t>80 km/h</w:t>
            </w:r>
            <w:r>
              <w:rPr>
                <w:color w:val="auto"/>
              </w:rPr>
              <w:t xml:space="preserve"> ~</w:t>
            </w:r>
            <w:r>
              <w:rPr>
                <w:rFonts w:hint="eastAsia"/>
                <w:color w:val="auto"/>
              </w:rPr>
              <w:t>100km/h</w:t>
            </w:r>
          </w:p>
        </w:tc>
      </w:tr>
      <w:tr w14:paraId="53D3E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402" w:type="pct"/>
            <w:tcBorders>
              <w:left w:val="single" w:color="000000" w:sz="6" w:space="0"/>
              <w:bottom w:val="nil"/>
            </w:tcBorders>
            <w:vAlign w:val="center"/>
          </w:tcPr>
          <w:p w14:paraId="13ABC906">
            <w:pPr>
              <w:pStyle w:val="235"/>
              <w:rPr>
                <w:color w:val="auto"/>
              </w:rPr>
            </w:pPr>
            <w:r>
              <w:rPr>
                <w:rFonts w:hint="eastAsia"/>
                <w:color w:val="auto"/>
              </w:rPr>
              <w:t>3</w:t>
            </w:r>
          </w:p>
        </w:tc>
        <w:tc>
          <w:tcPr>
            <w:tcW w:w="1108" w:type="pct"/>
            <w:gridSpan w:val="3"/>
            <w:tcBorders>
              <w:bottom w:val="nil"/>
            </w:tcBorders>
            <w:vAlign w:val="center"/>
          </w:tcPr>
          <w:p w14:paraId="404BB030">
            <w:pPr>
              <w:pStyle w:val="235"/>
              <w:rPr>
                <w:color w:val="auto"/>
              </w:rPr>
            </w:pPr>
            <w:r>
              <w:rPr>
                <w:rFonts w:hint="eastAsia"/>
                <w:color w:val="auto"/>
              </w:rPr>
              <w:t>车轴数</w:t>
            </w:r>
          </w:p>
        </w:tc>
        <w:tc>
          <w:tcPr>
            <w:tcW w:w="1491" w:type="pct"/>
            <w:gridSpan w:val="2"/>
            <w:vAlign w:val="center"/>
          </w:tcPr>
          <w:p w14:paraId="32B30671">
            <w:pPr>
              <w:pStyle w:val="235"/>
              <w:rPr>
                <w:color w:val="auto"/>
              </w:rPr>
            </w:pPr>
            <w:r>
              <w:rPr>
                <w:rFonts w:hint="eastAsia"/>
                <w:color w:val="auto"/>
              </w:rPr>
              <w:t>4</w:t>
            </w:r>
          </w:p>
        </w:tc>
        <w:tc>
          <w:tcPr>
            <w:tcW w:w="1999" w:type="pct"/>
            <w:gridSpan w:val="3"/>
            <w:tcBorders>
              <w:right w:val="single" w:color="000000" w:sz="6" w:space="0"/>
            </w:tcBorders>
            <w:vAlign w:val="center"/>
          </w:tcPr>
          <w:p w14:paraId="190AF133">
            <w:pPr>
              <w:pStyle w:val="235"/>
              <w:rPr>
                <w:color w:val="auto"/>
              </w:rPr>
            </w:pPr>
            <w:r>
              <w:rPr>
                <w:rFonts w:hint="eastAsia"/>
                <w:color w:val="auto"/>
              </w:rPr>
              <w:t>4</w:t>
            </w:r>
          </w:p>
        </w:tc>
      </w:tr>
      <w:tr w14:paraId="35D07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402" w:type="pct"/>
            <w:vMerge w:val="restart"/>
            <w:tcBorders>
              <w:left w:val="single" w:color="000000" w:sz="6" w:space="0"/>
              <w:bottom w:val="nil"/>
            </w:tcBorders>
            <w:vAlign w:val="center"/>
          </w:tcPr>
          <w:p w14:paraId="02EB4A34">
            <w:pPr>
              <w:pStyle w:val="235"/>
              <w:rPr>
                <w:color w:val="auto"/>
              </w:rPr>
            </w:pPr>
            <w:r>
              <w:rPr>
                <w:rFonts w:hint="eastAsia"/>
                <w:color w:val="auto"/>
              </w:rPr>
              <w:t>4</w:t>
            </w:r>
          </w:p>
        </w:tc>
        <w:tc>
          <w:tcPr>
            <w:tcW w:w="577" w:type="pct"/>
            <w:gridSpan w:val="2"/>
            <w:vMerge w:val="restart"/>
            <w:tcBorders>
              <w:bottom w:val="nil"/>
            </w:tcBorders>
            <w:vAlign w:val="center"/>
          </w:tcPr>
          <w:p w14:paraId="178A5EA5">
            <w:pPr>
              <w:pStyle w:val="235"/>
              <w:rPr>
                <w:color w:val="auto"/>
              </w:rPr>
            </w:pPr>
            <w:r>
              <w:rPr>
                <w:color w:val="auto"/>
              </w:rPr>
              <w:t>车体基本长度(mm)</w:t>
            </w:r>
          </w:p>
        </w:tc>
        <w:tc>
          <w:tcPr>
            <w:tcW w:w="531" w:type="pct"/>
            <w:vAlign w:val="center"/>
          </w:tcPr>
          <w:p w14:paraId="325DAACC">
            <w:pPr>
              <w:pStyle w:val="235"/>
              <w:rPr>
                <w:color w:val="auto"/>
              </w:rPr>
            </w:pPr>
            <w:r>
              <w:rPr>
                <w:color w:val="auto"/>
              </w:rPr>
              <w:t>无司机室车辆</w:t>
            </w:r>
          </w:p>
        </w:tc>
        <w:tc>
          <w:tcPr>
            <w:tcW w:w="1491" w:type="pct"/>
            <w:gridSpan w:val="2"/>
            <w:vAlign w:val="center"/>
          </w:tcPr>
          <w:p w14:paraId="4E6E3032">
            <w:pPr>
              <w:pStyle w:val="235"/>
              <w:rPr>
                <w:color w:val="auto"/>
              </w:rPr>
            </w:pPr>
            <w:r>
              <w:rPr>
                <w:rFonts w:hint="eastAsia"/>
                <w:color w:val="auto"/>
              </w:rPr>
              <w:t>21880</w:t>
            </w:r>
          </w:p>
        </w:tc>
        <w:tc>
          <w:tcPr>
            <w:tcW w:w="1999" w:type="pct"/>
            <w:gridSpan w:val="3"/>
            <w:tcBorders>
              <w:right w:val="single" w:color="000000" w:sz="6" w:space="0"/>
            </w:tcBorders>
            <w:vAlign w:val="center"/>
          </w:tcPr>
          <w:p w14:paraId="743BD111">
            <w:pPr>
              <w:pStyle w:val="235"/>
              <w:rPr>
                <w:color w:val="auto"/>
              </w:rPr>
            </w:pPr>
            <w:r>
              <w:rPr>
                <w:color w:val="auto"/>
              </w:rPr>
              <w:t>19000</w:t>
            </w:r>
          </w:p>
        </w:tc>
      </w:tr>
      <w:tr w14:paraId="41DEE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402" w:type="pct"/>
            <w:vMerge w:val="continue"/>
            <w:tcBorders>
              <w:top w:val="nil"/>
              <w:left w:val="single" w:color="000000" w:sz="6" w:space="0"/>
            </w:tcBorders>
            <w:vAlign w:val="center"/>
          </w:tcPr>
          <w:p w14:paraId="18745F82">
            <w:pPr>
              <w:pStyle w:val="235"/>
              <w:rPr>
                <w:color w:val="auto"/>
              </w:rPr>
            </w:pPr>
          </w:p>
        </w:tc>
        <w:tc>
          <w:tcPr>
            <w:tcW w:w="577" w:type="pct"/>
            <w:gridSpan w:val="2"/>
            <w:vMerge w:val="continue"/>
            <w:tcBorders>
              <w:top w:val="nil"/>
            </w:tcBorders>
            <w:vAlign w:val="center"/>
          </w:tcPr>
          <w:p w14:paraId="4380B406">
            <w:pPr>
              <w:pStyle w:val="235"/>
              <w:rPr>
                <w:color w:val="auto"/>
              </w:rPr>
            </w:pPr>
          </w:p>
        </w:tc>
        <w:tc>
          <w:tcPr>
            <w:tcW w:w="531" w:type="pct"/>
            <w:vAlign w:val="center"/>
          </w:tcPr>
          <w:p w14:paraId="3B87340E">
            <w:pPr>
              <w:pStyle w:val="235"/>
              <w:rPr>
                <w:color w:val="auto"/>
              </w:rPr>
            </w:pPr>
            <w:r>
              <w:rPr>
                <w:color w:val="auto"/>
              </w:rPr>
              <w:t>带司机室车辆</w:t>
            </w:r>
          </w:p>
        </w:tc>
        <w:tc>
          <w:tcPr>
            <w:tcW w:w="1491" w:type="pct"/>
            <w:gridSpan w:val="2"/>
            <w:vAlign w:val="center"/>
          </w:tcPr>
          <w:p w14:paraId="4CE4C9D0">
            <w:pPr>
              <w:pStyle w:val="235"/>
              <w:rPr>
                <w:color w:val="auto"/>
              </w:rPr>
            </w:pPr>
            <w:r>
              <w:rPr>
                <w:color w:val="auto"/>
              </w:rPr>
              <w:t>23600/24</w:t>
            </w:r>
            <w:r>
              <w:rPr>
                <w:rFonts w:hint="eastAsia"/>
                <w:color w:val="auto"/>
              </w:rPr>
              <w:t>3</w:t>
            </w:r>
            <w:r>
              <w:rPr>
                <w:color w:val="auto"/>
              </w:rPr>
              <w:t>80</w:t>
            </w:r>
            <w:r>
              <w:rPr>
                <w:rFonts w:hint="eastAsia"/>
                <w:color w:val="auto"/>
                <w:vertAlign w:val="superscript"/>
              </w:rPr>
              <w:t>1</w:t>
            </w:r>
          </w:p>
        </w:tc>
        <w:tc>
          <w:tcPr>
            <w:tcW w:w="1999" w:type="pct"/>
            <w:gridSpan w:val="3"/>
            <w:tcBorders>
              <w:right w:val="single" w:color="000000" w:sz="6" w:space="0"/>
            </w:tcBorders>
            <w:vAlign w:val="center"/>
          </w:tcPr>
          <w:p w14:paraId="001F0A68">
            <w:pPr>
              <w:pStyle w:val="235"/>
              <w:rPr>
                <w:color w:val="auto"/>
              </w:rPr>
            </w:pPr>
            <w:r>
              <w:rPr>
                <w:color w:val="auto"/>
              </w:rPr>
              <w:t>19500</w:t>
            </w:r>
          </w:p>
        </w:tc>
      </w:tr>
      <w:tr w14:paraId="0A19C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402" w:type="pct"/>
            <w:vMerge w:val="restart"/>
            <w:tcBorders>
              <w:left w:val="single" w:color="000000" w:sz="6" w:space="0"/>
              <w:bottom w:val="nil"/>
            </w:tcBorders>
            <w:vAlign w:val="center"/>
          </w:tcPr>
          <w:p w14:paraId="1EBAC2C0">
            <w:pPr>
              <w:pStyle w:val="235"/>
              <w:rPr>
                <w:color w:val="auto"/>
              </w:rPr>
            </w:pPr>
            <w:r>
              <w:rPr>
                <w:rFonts w:hint="eastAsia"/>
                <w:color w:val="auto"/>
              </w:rPr>
              <w:t>5</w:t>
            </w:r>
          </w:p>
        </w:tc>
        <w:tc>
          <w:tcPr>
            <w:tcW w:w="577" w:type="pct"/>
            <w:gridSpan w:val="2"/>
            <w:vMerge w:val="restart"/>
            <w:tcBorders>
              <w:bottom w:val="nil"/>
            </w:tcBorders>
            <w:vAlign w:val="center"/>
          </w:tcPr>
          <w:p w14:paraId="7DCDF5FF">
            <w:pPr>
              <w:pStyle w:val="235"/>
              <w:rPr>
                <w:color w:val="auto"/>
              </w:rPr>
            </w:pPr>
            <w:r>
              <w:rPr>
                <w:color w:val="auto"/>
              </w:rPr>
              <w:t>车钩连接中心点间距离(mm)</w:t>
            </w:r>
          </w:p>
        </w:tc>
        <w:tc>
          <w:tcPr>
            <w:tcW w:w="531" w:type="pct"/>
            <w:vAlign w:val="center"/>
          </w:tcPr>
          <w:p w14:paraId="616324F5">
            <w:pPr>
              <w:pStyle w:val="235"/>
              <w:rPr>
                <w:color w:val="auto"/>
              </w:rPr>
            </w:pPr>
            <w:r>
              <w:rPr>
                <w:color w:val="auto"/>
              </w:rPr>
              <w:t>无司机室车辆</w:t>
            </w:r>
          </w:p>
        </w:tc>
        <w:tc>
          <w:tcPr>
            <w:tcW w:w="1491" w:type="pct"/>
            <w:gridSpan w:val="2"/>
            <w:vAlign w:val="center"/>
          </w:tcPr>
          <w:p w14:paraId="338DA572">
            <w:pPr>
              <w:pStyle w:val="235"/>
              <w:rPr>
                <w:color w:val="auto"/>
              </w:rPr>
            </w:pPr>
            <w:r>
              <w:rPr>
                <w:color w:val="auto"/>
              </w:rPr>
              <w:t>22800</w:t>
            </w:r>
          </w:p>
        </w:tc>
        <w:tc>
          <w:tcPr>
            <w:tcW w:w="1999" w:type="pct"/>
            <w:gridSpan w:val="3"/>
            <w:tcBorders>
              <w:right w:val="single" w:color="000000" w:sz="6" w:space="0"/>
            </w:tcBorders>
            <w:vAlign w:val="center"/>
          </w:tcPr>
          <w:p w14:paraId="5C10C31B">
            <w:pPr>
              <w:pStyle w:val="235"/>
              <w:rPr>
                <w:color w:val="auto"/>
              </w:rPr>
            </w:pPr>
            <w:r>
              <w:rPr>
                <w:color w:val="auto"/>
              </w:rPr>
              <w:t>19520</w:t>
            </w:r>
          </w:p>
        </w:tc>
      </w:tr>
      <w:tr w14:paraId="1734D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7" w:hRule="atLeast"/>
          <w:jc w:val="center"/>
        </w:trPr>
        <w:tc>
          <w:tcPr>
            <w:tcW w:w="402" w:type="pct"/>
            <w:vMerge w:val="continue"/>
            <w:tcBorders>
              <w:top w:val="nil"/>
              <w:left w:val="single" w:color="000000" w:sz="6" w:space="0"/>
            </w:tcBorders>
            <w:vAlign w:val="center"/>
          </w:tcPr>
          <w:p w14:paraId="1924B572">
            <w:pPr>
              <w:pStyle w:val="235"/>
              <w:rPr>
                <w:color w:val="auto"/>
              </w:rPr>
            </w:pPr>
          </w:p>
        </w:tc>
        <w:tc>
          <w:tcPr>
            <w:tcW w:w="577" w:type="pct"/>
            <w:gridSpan w:val="2"/>
            <w:vMerge w:val="continue"/>
            <w:tcBorders>
              <w:top w:val="nil"/>
            </w:tcBorders>
            <w:vAlign w:val="center"/>
          </w:tcPr>
          <w:p w14:paraId="305185FF">
            <w:pPr>
              <w:pStyle w:val="235"/>
              <w:rPr>
                <w:color w:val="auto"/>
              </w:rPr>
            </w:pPr>
          </w:p>
        </w:tc>
        <w:tc>
          <w:tcPr>
            <w:tcW w:w="531" w:type="pct"/>
            <w:vAlign w:val="center"/>
          </w:tcPr>
          <w:p w14:paraId="428E483A">
            <w:pPr>
              <w:pStyle w:val="235"/>
              <w:rPr>
                <w:color w:val="auto"/>
              </w:rPr>
            </w:pPr>
            <w:r>
              <w:rPr>
                <w:color w:val="auto"/>
              </w:rPr>
              <w:t>带司机室车辆</w:t>
            </w:r>
          </w:p>
        </w:tc>
        <w:tc>
          <w:tcPr>
            <w:tcW w:w="1491" w:type="pct"/>
            <w:gridSpan w:val="2"/>
            <w:vAlign w:val="center"/>
          </w:tcPr>
          <w:p w14:paraId="6775A293">
            <w:pPr>
              <w:pStyle w:val="235"/>
              <w:rPr>
                <w:color w:val="auto"/>
              </w:rPr>
            </w:pPr>
            <w:r>
              <w:rPr>
                <w:color w:val="auto"/>
              </w:rPr>
              <w:t>24400/25080</w:t>
            </w:r>
            <w:r>
              <w:rPr>
                <w:rFonts w:hint="eastAsia"/>
                <w:color w:val="auto"/>
                <w:vertAlign w:val="superscript"/>
              </w:rPr>
              <w:t>1</w:t>
            </w:r>
          </w:p>
        </w:tc>
        <w:tc>
          <w:tcPr>
            <w:tcW w:w="1999" w:type="pct"/>
            <w:gridSpan w:val="3"/>
            <w:tcBorders>
              <w:right w:val="single" w:color="000000" w:sz="6" w:space="0"/>
            </w:tcBorders>
            <w:vAlign w:val="center"/>
          </w:tcPr>
          <w:p w14:paraId="26EAC283">
            <w:pPr>
              <w:pStyle w:val="235"/>
              <w:rPr>
                <w:color w:val="auto"/>
              </w:rPr>
            </w:pPr>
            <w:r>
              <w:rPr>
                <w:color w:val="auto"/>
              </w:rPr>
              <w:t>20020</w:t>
            </w:r>
          </w:p>
        </w:tc>
      </w:tr>
      <w:tr w14:paraId="02F48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402" w:type="pct"/>
            <w:tcBorders>
              <w:top w:val="nil"/>
              <w:left w:val="single" w:color="000000" w:sz="6" w:space="0"/>
            </w:tcBorders>
            <w:vAlign w:val="center"/>
          </w:tcPr>
          <w:p w14:paraId="624E75F2">
            <w:pPr>
              <w:pStyle w:val="235"/>
              <w:rPr>
                <w:color w:val="auto"/>
              </w:rPr>
            </w:pPr>
            <w:r>
              <w:rPr>
                <w:rFonts w:hint="eastAsia"/>
                <w:color w:val="auto"/>
              </w:rPr>
              <w:t>6</w:t>
            </w:r>
          </w:p>
        </w:tc>
        <w:tc>
          <w:tcPr>
            <w:tcW w:w="1108" w:type="pct"/>
            <w:gridSpan w:val="3"/>
            <w:tcBorders>
              <w:top w:val="nil"/>
            </w:tcBorders>
            <w:vAlign w:val="center"/>
          </w:tcPr>
          <w:p w14:paraId="770FB77A">
            <w:pPr>
              <w:pStyle w:val="235"/>
              <w:rPr>
                <w:color w:val="auto"/>
              </w:rPr>
            </w:pPr>
            <w:r>
              <w:rPr>
                <w:rFonts w:hint="eastAsia"/>
                <w:color w:val="auto"/>
              </w:rPr>
              <w:t>车体基本宽度（mm）</w:t>
            </w:r>
          </w:p>
        </w:tc>
        <w:tc>
          <w:tcPr>
            <w:tcW w:w="1491" w:type="pct"/>
            <w:gridSpan w:val="2"/>
            <w:vAlign w:val="center"/>
          </w:tcPr>
          <w:p w14:paraId="30FEB91C">
            <w:pPr>
              <w:pStyle w:val="235"/>
              <w:rPr>
                <w:color w:val="auto"/>
              </w:rPr>
            </w:pPr>
            <w:r>
              <w:rPr>
                <w:rFonts w:hint="eastAsia"/>
                <w:color w:val="auto"/>
              </w:rPr>
              <w:t>3000</w:t>
            </w:r>
          </w:p>
        </w:tc>
        <w:tc>
          <w:tcPr>
            <w:tcW w:w="1999" w:type="pct"/>
            <w:gridSpan w:val="3"/>
            <w:tcBorders>
              <w:right w:val="single" w:color="000000" w:sz="6" w:space="0"/>
            </w:tcBorders>
            <w:vAlign w:val="center"/>
          </w:tcPr>
          <w:p w14:paraId="37102F54">
            <w:pPr>
              <w:pStyle w:val="235"/>
              <w:rPr>
                <w:color w:val="auto"/>
              </w:rPr>
            </w:pPr>
            <w:r>
              <w:rPr>
                <w:rFonts w:hint="eastAsia"/>
                <w:color w:val="auto"/>
              </w:rPr>
              <w:t>2800</w:t>
            </w:r>
          </w:p>
        </w:tc>
      </w:tr>
      <w:tr w14:paraId="24384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99" w:hRule="atLeast"/>
          <w:jc w:val="center"/>
        </w:trPr>
        <w:tc>
          <w:tcPr>
            <w:tcW w:w="402" w:type="pct"/>
            <w:vMerge w:val="restart"/>
            <w:tcBorders>
              <w:left w:val="single" w:color="000000" w:sz="6" w:space="0"/>
              <w:bottom w:val="nil"/>
            </w:tcBorders>
            <w:vAlign w:val="center"/>
          </w:tcPr>
          <w:p w14:paraId="78EA3108">
            <w:pPr>
              <w:pStyle w:val="235"/>
              <w:rPr>
                <w:color w:val="auto"/>
              </w:rPr>
            </w:pPr>
            <w:r>
              <w:rPr>
                <w:rFonts w:hint="eastAsia"/>
                <w:color w:val="auto"/>
              </w:rPr>
              <w:t>7</w:t>
            </w:r>
          </w:p>
        </w:tc>
        <w:tc>
          <w:tcPr>
            <w:tcW w:w="434" w:type="pct"/>
            <w:vMerge w:val="restart"/>
            <w:tcBorders>
              <w:bottom w:val="nil"/>
            </w:tcBorders>
            <w:vAlign w:val="center"/>
          </w:tcPr>
          <w:p w14:paraId="4B67E8CF">
            <w:pPr>
              <w:pStyle w:val="235"/>
              <w:rPr>
                <w:color w:val="auto"/>
              </w:rPr>
            </w:pPr>
            <w:r>
              <w:rPr>
                <w:color w:val="auto"/>
              </w:rPr>
              <w:t>车辆最大高度(mm)</w:t>
            </w:r>
          </w:p>
        </w:tc>
        <w:tc>
          <w:tcPr>
            <w:tcW w:w="674" w:type="pct"/>
            <w:gridSpan w:val="2"/>
            <w:vAlign w:val="center"/>
          </w:tcPr>
          <w:p w14:paraId="6C5B2324">
            <w:pPr>
              <w:pStyle w:val="235"/>
              <w:rPr>
                <w:color w:val="auto"/>
              </w:rPr>
            </w:pPr>
            <w:r>
              <w:rPr>
                <w:color w:val="auto"/>
              </w:rPr>
              <w:t>受流器车</w:t>
            </w:r>
          </w:p>
        </w:tc>
        <w:tc>
          <w:tcPr>
            <w:tcW w:w="1491" w:type="pct"/>
            <w:gridSpan w:val="2"/>
            <w:vAlign w:val="center"/>
          </w:tcPr>
          <w:p w14:paraId="7F600307">
            <w:pPr>
              <w:pStyle w:val="235"/>
              <w:rPr>
                <w:color w:val="auto"/>
              </w:rPr>
            </w:pPr>
            <w:r>
              <w:rPr>
                <w:rFonts w:hint="eastAsia"/>
                <w:color w:val="auto"/>
              </w:rPr>
              <w:t>\</w:t>
            </w:r>
          </w:p>
        </w:tc>
        <w:tc>
          <w:tcPr>
            <w:tcW w:w="1999" w:type="pct"/>
            <w:gridSpan w:val="3"/>
            <w:tcBorders>
              <w:right w:val="single" w:color="000000" w:sz="4" w:space="0"/>
            </w:tcBorders>
            <w:vAlign w:val="center"/>
          </w:tcPr>
          <w:p w14:paraId="21611390">
            <w:pPr>
              <w:pStyle w:val="235"/>
              <w:rPr>
                <w:color w:val="auto"/>
              </w:rPr>
            </w:pPr>
            <w:r>
              <w:rPr>
                <w:rFonts w:hint="eastAsia"/>
                <w:color w:val="auto"/>
              </w:rPr>
              <w:t>3850</w:t>
            </w:r>
          </w:p>
        </w:tc>
      </w:tr>
      <w:tr w14:paraId="5E239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402" w:type="pct"/>
            <w:vMerge w:val="continue"/>
            <w:tcBorders>
              <w:top w:val="nil"/>
              <w:left w:val="single" w:color="000000" w:sz="6" w:space="0"/>
              <w:bottom w:val="nil"/>
            </w:tcBorders>
            <w:vAlign w:val="center"/>
          </w:tcPr>
          <w:p w14:paraId="1D982854">
            <w:pPr>
              <w:pStyle w:val="235"/>
              <w:rPr>
                <w:color w:val="auto"/>
              </w:rPr>
            </w:pPr>
          </w:p>
        </w:tc>
        <w:tc>
          <w:tcPr>
            <w:tcW w:w="434" w:type="pct"/>
            <w:vMerge w:val="continue"/>
            <w:tcBorders>
              <w:top w:val="nil"/>
              <w:bottom w:val="nil"/>
            </w:tcBorders>
            <w:vAlign w:val="center"/>
          </w:tcPr>
          <w:p w14:paraId="714FE46C">
            <w:pPr>
              <w:pStyle w:val="235"/>
              <w:rPr>
                <w:color w:val="auto"/>
              </w:rPr>
            </w:pPr>
          </w:p>
        </w:tc>
        <w:tc>
          <w:tcPr>
            <w:tcW w:w="674" w:type="pct"/>
            <w:gridSpan w:val="2"/>
            <w:vAlign w:val="center"/>
          </w:tcPr>
          <w:p w14:paraId="20FAEF22">
            <w:pPr>
              <w:pStyle w:val="235"/>
              <w:rPr>
                <w:color w:val="auto"/>
              </w:rPr>
            </w:pPr>
            <w:r>
              <w:rPr>
                <w:color w:val="auto"/>
              </w:rPr>
              <w:t>受电弓车(落弓高度)</w:t>
            </w:r>
          </w:p>
        </w:tc>
        <w:tc>
          <w:tcPr>
            <w:tcW w:w="708" w:type="pct"/>
            <w:tcBorders>
              <w:right w:val="single" w:color="auto" w:sz="4" w:space="0"/>
            </w:tcBorders>
            <w:vAlign w:val="center"/>
          </w:tcPr>
          <w:p w14:paraId="55B4B468">
            <w:pPr>
              <w:pStyle w:val="235"/>
              <w:rPr>
                <w:color w:val="auto"/>
              </w:rPr>
            </w:pPr>
            <w:r>
              <w:rPr>
                <w:color w:val="auto"/>
              </w:rPr>
              <w:t>≤</w:t>
            </w:r>
            <w:r>
              <w:rPr>
                <w:rFonts w:hint="eastAsia"/>
                <w:color w:val="auto"/>
              </w:rPr>
              <w:t>4450</w:t>
            </w:r>
          </w:p>
        </w:tc>
        <w:tc>
          <w:tcPr>
            <w:tcW w:w="782" w:type="pct"/>
            <w:tcBorders>
              <w:left w:val="single" w:color="auto" w:sz="4" w:space="0"/>
              <w:right w:val="single" w:color="auto" w:sz="4" w:space="0"/>
            </w:tcBorders>
            <w:vAlign w:val="center"/>
          </w:tcPr>
          <w:p w14:paraId="1079D772">
            <w:pPr>
              <w:pStyle w:val="235"/>
              <w:rPr>
                <w:color w:val="auto"/>
              </w:rPr>
            </w:pPr>
            <w:r>
              <w:rPr>
                <w:color w:val="auto"/>
              </w:rPr>
              <w:t>≤3850</w:t>
            </w:r>
          </w:p>
        </w:tc>
        <w:tc>
          <w:tcPr>
            <w:tcW w:w="993" w:type="pct"/>
            <w:tcBorders>
              <w:left w:val="single" w:color="auto" w:sz="4" w:space="0"/>
              <w:right w:val="single" w:color="000000" w:sz="6" w:space="0"/>
            </w:tcBorders>
            <w:vAlign w:val="center"/>
          </w:tcPr>
          <w:p w14:paraId="2D4AE5D7">
            <w:pPr>
              <w:pStyle w:val="235"/>
              <w:rPr>
                <w:color w:val="auto"/>
              </w:rPr>
            </w:pPr>
            <w:r>
              <w:rPr>
                <w:color w:val="auto"/>
              </w:rPr>
              <w:t>≤3850</w:t>
            </w:r>
          </w:p>
        </w:tc>
        <w:tc>
          <w:tcPr>
            <w:tcW w:w="1006" w:type="pct"/>
            <w:gridSpan w:val="2"/>
            <w:tcBorders>
              <w:left w:val="single" w:color="auto" w:sz="4" w:space="0"/>
              <w:right w:val="single" w:color="000000" w:sz="6" w:space="0"/>
            </w:tcBorders>
            <w:vAlign w:val="center"/>
          </w:tcPr>
          <w:p w14:paraId="2D603024">
            <w:pPr>
              <w:pStyle w:val="235"/>
              <w:rPr>
                <w:color w:val="auto"/>
              </w:rPr>
            </w:pPr>
            <w:r>
              <w:rPr>
                <w:rFonts w:hint="eastAsia"/>
                <w:color w:val="auto"/>
              </w:rPr>
              <w:t>\</w:t>
            </w:r>
          </w:p>
        </w:tc>
      </w:tr>
      <w:tr w14:paraId="508F8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1" w:hRule="atLeast"/>
          <w:jc w:val="center"/>
        </w:trPr>
        <w:tc>
          <w:tcPr>
            <w:tcW w:w="402" w:type="pct"/>
            <w:vMerge w:val="continue"/>
            <w:tcBorders>
              <w:top w:val="nil"/>
              <w:left w:val="single" w:color="000000" w:sz="6" w:space="0"/>
            </w:tcBorders>
            <w:vAlign w:val="center"/>
          </w:tcPr>
          <w:p w14:paraId="1559F454">
            <w:pPr>
              <w:pStyle w:val="235"/>
              <w:rPr>
                <w:color w:val="auto"/>
              </w:rPr>
            </w:pPr>
          </w:p>
        </w:tc>
        <w:tc>
          <w:tcPr>
            <w:tcW w:w="434" w:type="pct"/>
            <w:vMerge w:val="continue"/>
            <w:tcBorders>
              <w:top w:val="nil"/>
            </w:tcBorders>
            <w:vAlign w:val="center"/>
          </w:tcPr>
          <w:p w14:paraId="36FEF76F">
            <w:pPr>
              <w:pStyle w:val="235"/>
              <w:rPr>
                <w:color w:val="auto"/>
              </w:rPr>
            </w:pPr>
          </w:p>
        </w:tc>
        <w:tc>
          <w:tcPr>
            <w:tcW w:w="674" w:type="pct"/>
            <w:gridSpan w:val="2"/>
            <w:vAlign w:val="center"/>
          </w:tcPr>
          <w:p w14:paraId="6E672AA6">
            <w:pPr>
              <w:pStyle w:val="235"/>
              <w:rPr>
                <w:color w:val="auto"/>
              </w:rPr>
            </w:pPr>
            <w:r>
              <w:rPr>
                <w:color w:val="auto"/>
              </w:rPr>
              <w:t>受电弓工作高度</w:t>
            </w:r>
          </w:p>
        </w:tc>
        <w:tc>
          <w:tcPr>
            <w:tcW w:w="708" w:type="pct"/>
            <w:tcBorders>
              <w:right w:val="single" w:color="000000" w:sz="6" w:space="0"/>
            </w:tcBorders>
            <w:vAlign w:val="center"/>
          </w:tcPr>
          <w:p w14:paraId="06DC0D88">
            <w:pPr>
              <w:pStyle w:val="235"/>
              <w:rPr>
                <w:color w:val="auto"/>
              </w:rPr>
            </w:pPr>
            <w:r>
              <w:rPr>
                <w:rFonts w:hint="eastAsia"/>
                <w:color w:val="auto"/>
              </w:rPr>
              <w:t>4900~6300</w:t>
            </w:r>
          </w:p>
        </w:tc>
        <w:tc>
          <w:tcPr>
            <w:tcW w:w="782" w:type="pct"/>
            <w:tcBorders>
              <w:right w:val="single" w:color="000000" w:sz="6" w:space="0"/>
            </w:tcBorders>
            <w:vAlign w:val="center"/>
          </w:tcPr>
          <w:p w14:paraId="42FFCB2F">
            <w:pPr>
              <w:pStyle w:val="235"/>
              <w:rPr>
                <w:color w:val="auto"/>
              </w:rPr>
            </w:pPr>
            <w:r>
              <w:rPr>
                <w:color w:val="auto"/>
              </w:rPr>
              <w:t>3980~</w:t>
            </w:r>
            <w:r>
              <w:rPr>
                <w:rFonts w:hint="eastAsia"/>
                <w:color w:val="auto"/>
              </w:rPr>
              <w:t>5800</w:t>
            </w:r>
          </w:p>
        </w:tc>
        <w:tc>
          <w:tcPr>
            <w:tcW w:w="993" w:type="pct"/>
            <w:tcBorders>
              <w:right w:val="single" w:color="000000" w:sz="6" w:space="0"/>
            </w:tcBorders>
            <w:vAlign w:val="center"/>
          </w:tcPr>
          <w:p w14:paraId="6A22AD6D">
            <w:pPr>
              <w:pStyle w:val="235"/>
              <w:rPr>
                <w:color w:val="auto"/>
              </w:rPr>
            </w:pPr>
            <w:r>
              <w:rPr>
                <w:color w:val="auto"/>
              </w:rPr>
              <w:t>3980~</w:t>
            </w:r>
            <w:r>
              <w:rPr>
                <w:rFonts w:hint="eastAsia"/>
                <w:color w:val="auto"/>
              </w:rPr>
              <w:t>5800</w:t>
            </w:r>
          </w:p>
        </w:tc>
        <w:tc>
          <w:tcPr>
            <w:tcW w:w="1006" w:type="pct"/>
            <w:gridSpan w:val="2"/>
            <w:tcBorders>
              <w:right w:val="single" w:color="000000" w:sz="6" w:space="0"/>
            </w:tcBorders>
            <w:vAlign w:val="center"/>
          </w:tcPr>
          <w:p w14:paraId="4F642941">
            <w:pPr>
              <w:pStyle w:val="235"/>
              <w:rPr>
                <w:color w:val="auto"/>
              </w:rPr>
            </w:pPr>
            <w:r>
              <w:rPr>
                <w:rFonts w:hint="eastAsia"/>
                <w:color w:val="auto"/>
              </w:rPr>
              <w:t>\</w:t>
            </w:r>
          </w:p>
        </w:tc>
      </w:tr>
      <w:tr w14:paraId="5E407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402" w:type="pct"/>
            <w:tcBorders>
              <w:left w:val="single" w:color="000000" w:sz="6" w:space="0"/>
            </w:tcBorders>
            <w:vAlign w:val="center"/>
          </w:tcPr>
          <w:p w14:paraId="2DA308EC">
            <w:pPr>
              <w:pStyle w:val="235"/>
              <w:rPr>
                <w:color w:val="auto"/>
              </w:rPr>
            </w:pPr>
            <w:r>
              <w:rPr>
                <w:rFonts w:hint="eastAsia"/>
                <w:color w:val="auto"/>
              </w:rPr>
              <w:t>8</w:t>
            </w:r>
          </w:p>
        </w:tc>
        <w:tc>
          <w:tcPr>
            <w:tcW w:w="1108" w:type="pct"/>
            <w:gridSpan w:val="3"/>
            <w:vAlign w:val="center"/>
          </w:tcPr>
          <w:p w14:paraId="629A1E99">
            <w:pPr>
              <w:pStyle w:val="235"/>
              <w:rPr>
                <w:color w:val="auto"/>
              </w:rPr>
            </w:pPr>
            <w:r>
              <w:rPr>
                <w:color w:val="auto"/>
              </w:rPr>
              <w:t>车内净高(mm)</w:t>
            </w:r>
          </w:p>
        </w:tc>
        <w:tc>
          <w:tcPr>
            <w:tcW w:w="3490" w:type="pct"/>
            <w:gridSpan w:val="5"/>
            <w:tcBorders>
              <w:right w:val="single" w:color="000000" w:sz="6" w:space="0"/>
            </w:tcBorders>
            <w:vAlign w:val="center"/>
          </w:tcPr>
          <w:p w14:paraId="4D94BDC1">
            <w:pPr>
              <w:pStyle w:val="235"/>
              <w:rPr>
                <w:color w:val="auto"/>
              </w:rPr>
            </w:pPr>
            <w:r>
              <w:rPr>
                <w:color w:val="auto"/>
              </w:rPr>
              <w:t>≥2100</w:t>
            </w:r>
          </w:p>
        </w:tc>
      </w:tr>
      <w:tr w14:paraId="61942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402" w:type="pct"/>
            <w:tcBorders>
              <w:left w:val="single" w:color="000000" w:sz="6" w:space="0"/>
            </w:tcBorders>
            <w:vAlign w:val="center"/>
          </w:tcPr>
          <w:p w14:paraId="6B239ED5">
            <w:pPr>
              <w:pStyle w:val="235"/>
              <w:rPr>
                <w:color w:val="auto"/>
              </w:rPr>
            </w:pPr>
            <w:r>
              <w:rPr>
                <w:color w:val="auto"/>
              </w:rPr>
              <w:t>9</w:t>
            </w:r>
          </w:p>
        </w:tc>
        <w:tc>
          <w:tcPr>
            <w:tcW w:w="1108" w:type="pct"/>
            <w:gridSpan w:val="3"/>
            <w:vAlign w:val="center"/>
          </w:tcPr>
          <w:p w14:paraId="50914AE9">
            <w:pPr>
              <w:pStyle w:val="235"/>
              <w:rPr>
                <w:color w:val="auto"/>
              </w:rPr>
            </w:pPr>
            <w:r>
              <w:rPr>
                <w:color w:val="auto"/>
              </w:rPr>
              <w:t>地板面距轨面高(mm)</w:t>
            </w:r>
          </w:p>
        </w:tc>
        <w:tc>
          <w:tcPr>
            <w:tcW w:w="1491" w:type="pct"/>
            <w:gridSpan w:val="2"/>
            <w:tcBorders>
              <w:bottom w:val="single" w:color="000000" w:sz="2" w:space="0"/>
            </w:tcBorders>
            <w:vAlign w:val="center"/>
          </w:tcPr>
          <w:p w14:paraId="70F3BE75">
            <w:pPr>
              <w:pStyle w:val="235"/>
              <w:rPr>
                <w:color w:val="auto"/>
              </w:rPr>
            </w:pPr>
            <w:r>
              <w:rPr>
                <w:color w:val="auto"/>
              </w:rPr>
              <w:t>1130</w:t>
            </w:r>
          </w:p>
        </w:tc>
        <w:tc>
          <w:tcPr>
            <w:tcW w:w="1999" w:type="pct"/>
            <w:gridSpan w:val="3"/>
            <w:tcBorders>
              <w:bottom w:val="single" w:color="000000" w:sz="2" w:space="0"/>
              <w:right w:val="single" w:color="000000" w:sz="6" w:space="0"/>
            </w:tcBorders>
            <w:vAlign w:val="center"/>
          </w:tcPr>
          <w:p w14:paraId="51DE8B55">
            <w:pPr>
              <w:pStyle w:val="235"/>
              <w:rPr>
                <w:color w:val="auto"/>
              </w:rPr>
            </w:pPr>
            <w:r>
              <w:rPr>
                <w:color w:val="auto"/>
              </w:rPr>
              <w:t>l100</w:t>
            </w:r>
          </w:p>
        </w:tc>
      </w:tr>
      <w:tr w14:paraId="348A9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402" w:type="pct"/>
            <w:tcBorders>
              <w:left w:val="single" w:color="000000" w:sz="6" w:space="0"/>
            </w:tcBorders>
            <w:vAlign w:val="center"/>
          </w:tcPr>
          <w:p w14:paraId="0C9E5CA7">
            <w:pPr>
              <w:pStyle w:val="235"/>
              <w:rPr>
                <w:color w:val="auto"/>
              </w:rPr>
            </w:pPr>
            <w:r>
              <w:rPr>
                <w:color w:val="auto"/>
              </w:rPr>
              <w:t>10</w:t>
            </w:r>
          </w:p>
        </w:tc>
        <w:tc>
          <w:tcPr>
            <w:tcW w:w="1108" w:type="pct"/>
            <w:gridSpan w:val="3"/>
            <w:vAlign w:val="center"/>
          </w:tcPr>
          <w:p w14:paraId="325527CB">
            <w:pPr>
              <w:pStyle w:val="235"/>
              <w:rPr>
                <w:color w:val="auto"/>
              </w:rPr>
            </w:pPr>
            <w:r>
              <w:rPr>
                <w:color w:val="auto"/>
              </w:rPr>
              <w:t>车钩高度(mm)</w:t>
            </w:r>
          </w:p>
        </w:tc>
        <w:tc>
          <w:tcPr>
            <w:tcW w:w="708" w:type="pct"/>
            <w:tcBorders>
              <w:right w:val="nil"/>
            </w:tcBorders>
            <w:vAlign w:val="center"/>
          </w:tcPr>
          <w:p w14:paraId="07E46846">
            <w:pPr>
              <w:pStyle w:val="235"/>
              <w:rPr>
                <w:color w:val="auto"/>
              </w:rPr>
            </w:pPr>
            <w:r>
              <w:rPr>
                <w:color w:val="auto"/>
              </w:rPr>
              <w:t>720</w:t>
            </w:r>
          </w:p>
        </w:tc>
        <w:tc>
          <w:tcPr>
            <w:tcW w:w="782" w:type="pct"/>
            <w:tcBorders>
              <w:left w:val="nil"/>
            </w:tcBorders>
            <w:vAlign w:val="center"/>
          </w:tcPr>
          <w:p w14:paraId="6080EA84">
            <w:pPr>
              <w:pStyle w:val="235"/>
              <w:rPr>
                <w:color w:val="auto"/>
              </w:rPr>
            </w:pPr>
            <w:r>
              <w:rPr>
                <w:color w:val="auto"/>
              </w:rPr>
              <w:t>+8</w:t>
            </w:r>
          </w:p>
          <w:p w14:paraId="4CB1C6C9">
            <w:pPr>
              <w:pStyle w:val="235"/>
              <w:rPr>
                <w:color w:val="auto"/>
              </w:rPr>
            </w:pPr>
            <w:r>
              <w:rPr>
                <w:color w:val="auto"/>
              </w:rPr>
              <w:t>0</w:t>
            </w:r>
          </w:p>
        </w:tc>
        <w:tc>
          <w:tcPr>
            <w:tcW w:w="1021" w:type="pct"/>
            <w:gridSpan w:val="2"/>
            <w:tcBorders>
              <w:right w:val="nil"/>
            </w:tcBorders>
            <w:vAlign w:val="center"/>
          </w:tcPr>
          <w:p w14:paraId="5B23D805">
            <w:pPr>
              <w:pStyle w:val="235"/>
              <w:rPr>
                <w:color w:val="auto"/>
              </w:rPr>
            </w:pPr>
            <w:r>
              <w:rPr>
                <w:color w:val="auto"/>
              </w:rPr>
              <w:t>660</w:t>
            </w:r>
          </w:p>
        </w:tc>
        <w:tc>
          <w:tcPr>
            <w:tcW w:w="979" w:type="pct"/>
            <w:tcBorders>
              <w:left w:val="nil"/>
              <w:right w:val="single" w:color="000000" w:sz="6" w:space="0"/>
            </w:tcBorders>
            <w:vAlign w:val="center"/>
          </w:tcPr>
          <w:p w14:paraId="09233134">
            <w:pPr>
              <w:pStyle w:val="235"/>
              <w:rPr>
                <w:color w:val="auto"/>
              </w:rPr>
            </w:pPr>
            <w:r>
              <w:rPr>
                <w:color w:val="auto"/>
              </w:rPr>
              <w:t>+10</w:t>
            </w:r>
          </w:p>
          <w:p w14:paraId="26235542">
            <w:pPr>
              <w:pStyle w:val="235"/>
              <w:rPr>
                <w:color w:val="auto"/>
              </w:rPr>
            </w:pPr>
            <w:r>
              <w:rPr>
                <w:color w:val="auto"/>
              </w:rPr>
              <w:t>0</w:t>
            </w:r>
          </w:p>
        </w:tc>
      </w:tr>
    </w:tbl>
    <w:p w14:paraId="439FB93F">
      <w:pPr>
        <w:pStyle w:val="198"/>
      </w:pPr>
      <w:r>
        <w:t>表5.3.1</w:t>
      </w:r>
      <w:r>
        <w:rPr>
          <w:rFonts w:hint="eastAsia"/>
        </w:rPr>
        <w:t xml:space="preserve">  </w:t>
      </w:r>
      <w:r>
        <w:t>主要技术规格</w:t>
      </w:r>
      <w:r>
        <w:rPr>
          <w:rFonts w:hint="eastAsia"/>
        </w:rPr>
        <w:t>（续表）</w:t>
      </w:r>
    </w:p>
    <w:tbl>
      <w:tblPr>
        <w:tblStyle w:val="88"/>
        <w:tblW w:w="6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
        <w:gridCol w:w="467"/>
        <w:gridCol w:w="366"/>
        <w:gridCol w:w="751"/>
        <w:gridCol w:w="1981"/>
        <w:gridCol w:w="2408"/>
      </w:tblGrid>
      <w:tr w14:paraId="502C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7" w:type="dxa"/>
            <w:tcBorders>
              <w:top w:val="single" w:color="auto" w:sz="4" w:space="0"/>
              <w:left w:val="single" w:color="auto" w:sz="4" w:space="0"/>
              <w:bottom w:val="single" w:color="auto" w:sz="4" w:space="0"/>
              <w:right w:val="single" w:color="auto" w:sz="4" w:space="0"/>
            </w:tcBorders>
            <w:vAlign w:val="center"/>
          </w:tcPr>
          <w:p w14:paraId="61927F33">
            <w:pPr>
              <w:pStyle w:val="235"/>
              <w:rPr>
                <w:color w:val="auto"/>
              </w:rPr>
            </w:pPr>
            <w:r>
              <w:rPr>
                <w:rFonts w:hint="eastAsia"/>
                <w:color w:val="auto"/>
              </w:rPr>
              <w:t>序号</w:t>
            </w:r>
          </w:p>
        </w:tc>
        <w:tc>
          <w:tcPr>
            <w:tcW w:w="1584" w:type="dxa"/>
            <w:gridSpan w:val="3"/>
            <w:tcBorders>
              <w:top w:val="single" w:color="auto" w:sz="4" w:space="0"/>
              <w:left w:val="single" w:color="auto" w:sz="4" w:space="0"/>
              <w:bottom w:val="single" w:color="auto" w:sz="4" w:space="0"/>
              <w:right w:val="single" w:color="auto" w:sz="4" w:space="0"/>
            </w:tcBorders>
            <w:vAlign w:val="center"/>
          </w:tcPr>
          <w:p w14:paraId="4C26B526">
            <w:pPr>
              <w:pStyle w:val="235"/>
              <w:rPr>
                <w:color w:val="auto"/>
              </w:rPr>
            </w:pPr>
            <w:r>
              <w:rPr>
                <w:rFonts w:hint="eastAsia"/>
                <w:color w:val="auto"/>
              </w:rPr>
              <w:t>名称</w:t>
            </w:r>
          </w:p>
        </w:tc>
        <w:tc>
          <w:tcPr>
            <w:tcW w:w="1981" w:type="dxa"/>
            <w:tcBorders>
              <w:top w:val="single" w:color="auto" w:sz="4" w:space="0"/>
              <w:left w:val="single" w:color="auto" w:sz="4" w:space="0"/>
              <w:bottom w:val="single" w:color="auto" w:sz="4" w:space="0"/>
              <w:right w:val="single" w:color="auto" w:sz="4" w:space="0"/>
            </w:tcBorders>
            <w:vAlign w:val="center"/>
          </w:tcPr>
          <w:p w14:paraId="040042AF">
            <w:pPr>
              <w:pStyle w:val="235"/>
              <w:rPr>
                <w:color w:val="auto"/>
              </w:rPr>
            </w:pPr>
            <w:r>
              <w:rPr>
                <w:rFonts w:hint="eastAsia"/>
                <w:color w:val="auto"/>
              </w:rPr>
              <w:t>A型车</w:t>
            </w:r>
          </w:p>
        </w:tc>
        <w:tc>
          <w:tcPr>
            <w:tcW w:w="2408" w:type="dxa"/>
            <w:tcBorders>
              <w:top w:val="single" w:color="auto" w:sz="4" w:space="0"/>
              <w:left w:val="single" w:color="auto" w:sz="4" w:space="0"/>
              <w:bottom w:val="single" w:color="auto" w:sz="4" w:space="0"/>
              <w:right w:val="single" w:color="auto" w:sz="4" w:space="0"/>
            </w:tcBorders>
            <w:vAlign w:val="center"/>
          </w:tcPr>
          <w:p w14:paraId="190AD8D1">
            <w:pPr>
              <w:pStyle w:val="235"/>
              <w:rPr>
                <w:color w:val="auto"/>
              </w:rPr>
            </w:pPr>
            <w:r>
              <w:rPr>
                <w:rFonts w:hint="eastAsia"/>
                <w:color w:val="auto"/>
              </w:rPr>
              <w:t>B型车</w:t>
            </w:r>
          </w:p>
        </w:tc>
      </w:tr>
      <w:tr w14:paraId="35B7C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367" w:type="dxa"/>
            <w:tcBorders>
              <w:left w:val="single" w:color="000000" w:sz="6" w:space="0"/>
            </w:tcBorders>
            <w:vAlign w:val="center"/>
          </w:tcPr>
          <w:p w14:paraId="5768F7DB">
            <w:pPr>
              <w:pStyle w:val="235"/>
              <w:rPr>
                <w:color w:val="auto"/>
              </w:rPr>
            </w:pPr>
            <w:r>
              <w:rPr>
                <w:color w:val="auto"/>
              </w:rPr>
              <w:t>11</w:t>
            </w:r>
          </w:p>
        </w:tc>
        <w:tc>
          <w:tcPr>
            <w:tcW w:w="1584" w:type="dxa"/>
            <w:gridSpan w:val="3"/>
            <w:vAlign w:val="center"/>
          </w:tcPr>
          <w:p w14:paraId="70F96053">
            <w:pPr>
              <w:pStyle w:val="235"/>
              <w:rPr>
                <w:color w:val="auto"/>
              </w:rPr>
            </w:pPr>
            <w:r>
              <w:rPr>
                <w:color w:val="auto"/>
              </w:rPr>
              <w:t>轴重(t)</w:t>
            </w:r>
          </w:p>
        </w:tc>
        <w:tc>
          <w:tcPr>
            <w:tcW w:w="1981" w:type="dxa"/>
            <w:vAlign w:val="center"/>
          </w:tcPr>
          <w:p w14:paraId="29F15334">
            <w:pPr>
              <w:pStyle w:val="235"/>
              <w:rPr>
                <w:color w:val="auto"/>
              </w:rPr>
            </w:pPr>
            <w:r>
              <w:rPr>
                <w:rFonts w:hint="eastAsia"/>
                <w:color w:val="auto"/>
              </w:rPr>
              <w:t>80~120km/h：</w:t>
            </w:r>
            <w:r>
              <w:rPr>
                <w:color w:val="auto"/>
              </w:rPr>
              <w:t>≤1</w:t>
            </w:r>
            <w:r>
              <w:rPr>
                <w:rFonts w:hint="eastAsia"/>
                <w:color w:val="auto"/>
              </w:rPr>
              <w:t>6.5</w:t>
            </w:r>
            <w:r>
              <w:rPr>
                <w:color w:val="auto"/>
              </w:rPr>
              <w:t>(铝合金车)、</w:t>
            </w:r>
            <w:r>
              <w:rPr>
                <w:rFonts w:hint="eastAsia"/>
                <w:color w:val="auto"/>
              </w:rPr>
              <w:t>＜</w:t>
            </w:r>
            <w:r>
              <w:rPr>
                <w:color w:val="auto"/>
              </w:rPr>
              <w:t>17(不锈钢车)</w:t>
            </w:r>
          </w:p>
          <w:p w14:paraId="2A11BFE5">
            <w:pPr>
              <w:pStyle w:val="235"/>
              <w:rPr>
                <w:color w:val="auto"/>
              </w:rPr>
            </w:pPr>
            <w:r>
              <w:rPr>
                <w:rFonts w:hint="eastAsia"/>
                <w:color w:val="auto"/>
              </w:rPr>
              <w:t>140km/h：≤17</w:t>
            </w:r>
          </w:p>
        </w:tc>
        <w:tc>
          <w:tcPr>
            <w:tcW w:w="2408" w:type="dxa"/>
            <w:tcBorders>
              <w:right w:val="single" w:color="000000" w:sz="6" w:space="0"/>
            </w:tcBorders>
            <w:vAlign w:val="center"/>
          </w:tcPr>
          <w:p w14:paraId="05FB6B0B">
            <w:pPr>
              <w:pStyle w:val="235"/>
              <w:rPr>
                <w:color w:val="auto"/>
              </w:rPr>
            </w:pPr>
            <w:r>
              <w:rPr>
                <w:rFonts w:hint="eastAsia"/>
                <w:color w:val="auto"/>
              </w:rPr>
              <w:t>80~100km/h：</w:t>
            </w:r>
            <w:r>
              <w:rPr>
                <w:color w:val="auto"/>
              </w:rPr>
              <w:t>≤14</w:t>
            </w:r>
          </w:p>
          <w:p w14:paraId="194636FA">
            <w:pPr>
              <w:pStyle w:val="235"/>
              <w:rPr>
                <w:color w:val="auto"/>
              </w:rPr>
            </w:pPr>
            <w:r>
              <w:rPr>
                <w:rFonts w:hint="eastAsia"/>
                <w:color w:val="auto"/>
              </w:rPr>
              <w:t>120km/h：</w:t>
            </w:r>
            <w:r>
              <w:rPr>
                <w:color w:val="auto"/>
              </w:rPr>
              <w:t>≤</w:t>
            </w:r>
            <w:r>
              <w:rPr>
                <w:rFonts w:hint="eastAsia"/>
                <w:color w:val="auto"/>
              </w:rPr>
              <w:t>14.5</w:t>
            </w:r>
          </w:p>
        </w:tc>
      </w:tr>
      <w:tr w14:paraId="56CED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367" w:type="dxa"/>
            <w:tcBorders>
              <w:left w:val="single" w:color="000000" w:sz="6" w:space="0"/>
            </w:tcBorders>
            <w:vAlign w:val="center"/>
          </w:tcPr>
          <w:p w14:paraId="676EF310">
            <w:pPr>
              <w:pStyle w:val="235"/>
              <w:rPr>
                <w:color w:val="auto"/>
              </w:rPr>
            </w:pPr>
            <w:r>
              <w:rPr>
                <w:color w:val="auto"/>
              </w:rPr>
              <w:t>12</w:t>
            </w:r>
          </w:p>
        </w:tc>
        <w:tc>
          <w:tcPr>
            <w:tcW w:w="1584" w:type="dxa"/>
            <w:gridSpan w:val="3"/>
            <w:vAlign w:val="center"/>
          </w:tcPr>
          <w:p w14:paraId="266F99E9">
            <w:pPr>
              <w:pStyle w:val="235"/>
              <w:rPr>
                <w:color w:val="auto"/>
              </w:rPr>
            </w:pPr>
            <w:r>
              <w:rPr>
                <w:color w:val="auto"/>
              </w:rPr>
              <w:t>车辆定距(mm)</w:t>
            </w:r>
          </w:p>
        </w:tc>
        <w:tc>
          <w:tcPr>
            <w:tcW w:w="1981" w:type="dxa"/>
            <w:vAlign w:val="center"/>
          </w:tcPr>
          <w:p w14:paraId="2270451B">
            <w:pPr>
              <w:pStyle w:val="235"/>
              <w:rPr>
                <w:color w:val="auto"/>
              </w:rPr>
            </w:pPr>
            <w:r>
              <w:rPr>
                <w:color w:val="auto"/>
              </w:rPr>
              <w:t>15700</w:t>
            </w:r>
          </w:p>
        </w:tc>
        <w:tc>
          <w:tcPr>
            <w:tcW w:w="2408" w:type="dxa"/>
            <w:tcBorders>
              <w:right w:val="single" w:color="000000" w:sz="6" w:space="0"/>
            </w:tcBorders>
            <w:vAlign w:val="center"/>
          </w:tcPr>
          <w:p w14:paraId="4817DEE5">
            <w:pPr>
              <w:pStyle w:val="235"/>
              <w:rPr>
                <w:color w:val="auto"/>
              </w:rPr>
            </w:pPr>
            <w:r>
              <w:rPr>
                <w:color w:val="auto"/>
              </w:rPr>
              <w:t>12600</w:t>
            </w:r>
          </w:p>
        </w:tc>
      </w:tr>
      <w:tr w14:paraId="3222C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367" w:type="dxa"/>
            <w:tcBorders>
              <w:left w:val="single" w:color="000000" w:sz="6" w:space="0"/>
            </w:tcBorders>
            <w:vAlign w:val="center"/>
          </w:tcPr>
          <w:p w14:paraId="5866A3DE">
            <w:pPr>
              <w:pStyle w:val="235"/>
              <w:rPr>
                <w:color w:val="auto"/>
              </w:rPr>
            </w:pPr>
            <w:r>
              <w:rPr>
                <w:color w:val="auto"/>
              </w:rPr>
              <w:t>13</w:t>
            </w:r>
          </w:p>
        </w:tc>
        <w:tc>
          <w:tcPr>
            <w:tcW w:w="1584" w:type="dxa"/>
            <w:gridSpan w:val="3"/>
            <w:vAlign w:val="center"/>
          </w:tcPr>
          <w:p w14:paraId="74A96C90">
            <w:pPr>
              <w:pStyle w:val="235"/>
              <w:rPr>
                <w:color w:val="auto"/>
              </w:rPr>
            </w:pPr>
            <w:r>
              <w:rPr>
                <w:color w:val="auto"/>
              </w:rPr>
              <w:t>固定轴距(mm)</w:t>
            </w:r>
          </w:p>
        </w:tc>
        <w:tc>
          <w:tcPr>
            <w:tcW w:w="1981" w:type="dxa"/>
            <w:vAlign w:val="center"/>
          </w:tcPr>
          <w:p w14:paraId="22B6C640">
            <w:pPr>
              <w:pStyle w:val="235"/>
              <w:rPr>
                <w:color w:val="auto"/>
              </w:rPr>
            </w:pPr>
            <w:r>
              <w:rPr>
                <w:color w:val="auto"/>
              </w:rPr>
              <w:t>2500</w:t>
            </w:r>
          </w:p>
        </w:tc>
        <w:tc>
          <w:tcPr>
            <w:tcW w:w="2408" w:type="dxa"/>
            <w:tcBorders>
              <w:right w:val="single" w:color="000000" w:sz="6" w:space="0"/>
            </w:tcBorders>
            <w:vAlign w:val="center"/>
          </w:tcPr>
          <w:p w14:paraId="58E05B7E">
            <w:pPr>
              <w:pStyle w:val="235"/>
              <w:rPr>
                <w:color w:val="auto"/>
              </w:rPr>
            </w:pPr>
            <w:r>
              <w:rPr>
                <w:color w:val="auto"/>
              </w:rPr>
              <w:t>2200</w:t>
            </w:r>
            <w:r>
              <w:rPr>
                <w:rFonts w:hint="eastAsia"/>
                <w:color w:val="auto"/>
              </w:rPr>
              <w:t>，</w:t>
            </w:r>
            <w:r>
              <w:rPr>
                <w:color w:val="auto"/>
              </w:rPr>
              <w:t>2300</w:t>
            </w:r>
          </w:p>
        </w:tc>
      </w:tr>
      <w:tr w14:paraId="4E0DF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367" w:type="dxa"/>
            <w:tcBorders>
              <w:left w:val="single" w:color="000000" w:sz="6" w:space="0"/>
            </w:tcBorders>
            <w:vAlign w:val="center"/>
          </w:tcPr>
          <w:p w14:paraId="7C28562D">
            <w:pPr>
              <w:pStyle w:val="235"/>
              <w:rPr>
                <w:color w:val="auto"/>
              </w:rPr>
            </w:pPr>
            <w:r>
              <w:rPr>
                <w:color w:val="auto"/>
              </w:rPr>
              <w:t>14</w:t>
            </w:r>
          </w:p>
        </w:tc>
        <w:tc>
          <w:tcPr>
            <w:tcW w:w="1584" w:type="dxa"/>
            <w:gridSpan w:val="3"/>
            <w:vAlign w:val="center"/>
          </w:tcPr>
          <w:p w14:paraId="327F0551">
            <w:pPr>
              <w:pStyle w:val="235"/>
              <w:rPr>
                <w:color w:val="auto"/>
              </w:rPr>
            </w:pPr>
            <w:r>
              <w:rPr>
                <w:color w:val="auto"/>
              </w:rPr>
              <w:t>每侧车门数(对)</w:t>
            </w:r>
          </w:p>
        </w:tc>
        <w:tc>
          <w:tcPr>
            <w:tcW w:w="1981" w:type="dxa"/>
            <w:vAlign w:val="center"/>
          </w:tcPr>
          <w:p w14:paraId="4DFBCFC3">
            <w:pPr>
              <w:pStyle w:val="235"/>
              <w:rPr>
                <w:color w:val="auto"/>
              </w:rPr>
            </w:pPr>
            <w:r>
              <w:rPr>
                <w:rFonts w:hint="eastAsia"/>
                <w:color w:val="auto"/>
              </w:rPr>
              <w:t>2</w:t>
            </w:r>
            <w:r>
              <w:rPr>
                <w:color w:val="auto"/>
              </w:rPr>
              <w:t>~5</w:t>
            </w:r>
          </w:p>
        </w:tc>
        <w:tc>
          <w:tcPr>
            <w:tcW w:w="2408" w:type="dxa"/>
            <w:tcBorders>
              <w:right w:val="single" w:color="000000" w:sz="6" w:space="0"/>
            </w:tcBorders>
            <w:vAlign w:val="center"/>
          </w:tcPr>
          <w:p w14:paraId="505E55CA">
            <w:pPr>
              <w:pStyle w:val="235"/>
              <w:rPr>
                <w:color w:val="auto"/>
              </w:rPr>
            </w:pPr>
            <w:r>
              <w:rPr>
                <w:rFonts w:hint="eastAsia"/>
                <w:color w:val="auto"/>
              </w:rPr>
              <w:t>2</w:t>
            </w:r>
            <w:r>
              <w:rPr>
                <w:color w:val="auto"/>
              </w:rPr>
              <w:t>~4</w:t>
            </w:r>
          </w:p>
        </w:tc>
      </w:tr>
      <w:tr w14:paraId="57789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367" w:type="dxa"/>
            <w:tcBorders>
              <w:left w:val="single" w:color="000000" w:sz="6" w:space="0"/>
            </w:tcBorders>
            <w:vAlign w:val="center"/>
          </w:tcPr>
          <w:p w14:paraId="093FA6FD">
            <w:pPr>
              <w:pStyle w:val="235"/>
              <w:rPr>
                <w:color w:val="auto"/>
              </w:rPr>
            </w:pPr>
            <w:r>
              <w:rPr>
                <w:color w:val="auto"/>
              </w:rPr>
              <w:t>15</w:t>
            </w:r>
          </w:p>
        </w:tc>
        <w:tc>
          <w:tcPr>
            <w:tcW w:w="1584" w:type="dxa"/>
            <w:gridSpan w:val="3"/>
            <w:vAlign w:val="center"/>
          </w:tcPr>
          <w:p w14:paraId="69F5E397">
            <w:pPr>
              <w:pStyle w:val="235"/>
              <w:rPr>
                <w:color w:val="auto"/>
              </w:rPr>
            </w:pPr>
            <w:r>
              <w:rPr>
                <w:color w:val="auto"/>
              </w:rPr>
              <w:t>车门宽度(mm)</w:t>
            </w:r>
          </w:p>
        </w:tc>
        <w:tc>
          <w:tcPr>
            <w:tcW w:w="1981" w:type="dxa"/>
            <w:vAlign w:val="center"/>
          </w:tcPr>
          <w:p w14:paraId="19291417">
            <w:pPr>
              <w:pStyle w:val="235"/>
              <w:rPr>
                <w:color w:val="auto"/>
              </w:rPr>
            </w:pPr>
            <w:r>
              <w:rPr>
                <w:color w:val="auto"/>
              </w:rPr>
              <w:t>1400</w:t>
            </w:r>
          </w:p>
        </w:tc>
        <w:tc>
          <w:tcPr>
            <w:tcW w:w="2408" w:type="dxa"/>
            <w:tcBorders>
              <w:right w:val="single" w:color="000000" w:sz="6" w:space="0"/>
            </w:tcBorders>
            <w:vAlign w:val="center"/>
          </w:tcPr>
          <w:p w14:paraId="57F46FF9">
            <w:pPr>
              <w:pStyle w:val="235"/>
              <w:rPr>
                <w:color w:val="auto"/>
              </w:rPr>
            </w:pPr>
            <w:r>
              <w:rPr>
                <w:color w:val="auto"/>
              </w:rPr>
              <w:t>1300</w:t>
            </w:r>
          </w:p>
        </w:tc>
      </w:tr>
      <w:tr w14:paraId="7CFCF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367" w:type="dxa"/>
            <w:tcBorders>
              <w:left w:val="single" w:color="000000" w:sz="6" w:space="0"/>
              <w:bottom w:val="single" w:color="auto" w:sz="4" w:space="0"/>
            </w:tcBorders>
            <w:vAlign w:val="center"/>
          </w:tcPr>
          <w:p w14:paraId="4856D125">
            <w:pPr>
              <w:pStyle w:val="235"/>
              <w:rPr>
                <w:color w:val="auto"/>
              </w:rPr>
            </w:pPr>
            <w:r>
              <w:rPr>
                <w:rFonts w:hint="eastAsia"/>
                <w:color w:val="auto"/>
              </w:rPr>
              <w:t>16</w:t>
            </w:r>
          </w:p>
        </w:tc>
        <w:tc>
          <w:tcPr>
            <w:tcW w:w="1584" w:type="dxa"/>
            <w:gridSpan w:val="3"/>
            <w:tcBorders>
              <w:bottom w:val="single" w:color="auto" w:sz="4" w:space="0"/>
            </w:tcBorders>
            <w:vAlign w:val="center"/>
          </w:tcPr>
          <w:p w14:paraId="45A26563">
            <w:pPr>
              <w:pStyle w:val="235"/>
              <w:rPr>
                <w:color w:val="auto"/>
              </w:rPr>
            </w:pPr>
            <w:r>
              <w:rPr>
                <w:color w:val="auto"/>
              </w:rPr>
              <w:t>车门高度(mm)</w:t>
            </w:r>
          </w:p>
        </w:tc>
        <w:tc>
          <w:tcPr>
            <w:tcW w:w="1981" w:type="dxa"/>
            <w:tcBorders>
              <w:bottom w:val="single" w:color="auto" w:sz="4" w:space="0"/>
            </w:tcBorders>
            <w:vAlign w:val="center"/>
          </w:tcPr>
          <w:p w14:paraId="021864DB">
            <w:pPr>
              <w:pStyle w:val="235"/>
              <w:rPr>
                <w:color w:val="auto"/>
              </w:rPr>
            </w:pPr>
            <w:r>
              <w:rPr>
                <w:color w:val="auto"/>
              </w:rPr>
              <w:t>≥18</w:t>
            </w:r>
            <w:r>
              <w:rPr>
                <w:rFonts w:hint="eastAsia"/>
                <w:color w:val="auto"/>
              </w:rPr>
              <w:t>0</w:t>
            </w:r>
            <w:r>
              <w:rPr>
                <w:color w:val="auto"/>
              </w:rPr>
              <w:t>0</w:t>
            </w:r>
          </w:p>
        </w:tc>
        <w:tc>
          <w:tcPr>
            <w:tcW w:w="2408" w:type="dxa"/>
            <w:tcBorders>
              <w:bottom w:val="single" w:color="auto" w:sz="4" w:space="0"/>
              <w:right w:val="single" w:color="000000" w:sz="6" w:space="0"/>
            </w:tcBorders>
            <w:vAlign w:val="center"/>
          </w:tcPr>
          <w:p w14:paraId="7CE1C985">
            <w:pPr>
              <w:pStyle w:val="235"/>
              <w:rPr>
                <w:color w:val="auto"/>
              </w:rPr>
            </w:pPr>
            <w:r>
              <w:rPr>
                <w:color w:val="auto"/>
              </w:rPr>
              <w:t>≥18</w:t>
            </w:r>
            <w:r>
              <w:rPr>
                <w:rFonts w:hint="eastAsia"/>
                <w:color w:val="auto"/>
              </w:rPr>
              <w:t>0</w:t>
            </w:r>
            <w:r>
              <w:rPr>
                <w:color w:val="auto"/>
              </w:rPr>
              <w:t>0</w:t>
            </w:r>
          </w:p>
        </w:tc>
      </w:tr>
      <w:tr w14:paraId="41857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367" w:type="dxa"/>
            <w:vMerge w:val="restart"/>
            <w:tcBorders>
              <w:top w:val="single" w:color="auto" w:sz="4" w:space="0"/>
              <w:left w:val="single" w:color="auto" w:sz="4" w:space="0"/>
              <w:right w:val="single" w:color="auto" w:sz="4" w:space="0"/>
            </w:tcBorders>
            <w:vAlign w:val="center"/>
          </w:tcPr>
          <w:p w14:paraId="102B1194">
            <w:pPr>
              <w:pStyle w:val="235"/>
              <w:rPr>
                <w:color w:val="auto"/>
              </w:rPr>
            </w:pPr>
            <w:r>
              <w:rPr>
                <w:rFonts w:hint="eastAsia"/>
                <w:color w:val="auto"/>
              </w:rPr>
              <w:t>17</w:t>
            </w:r>
          </w:p>
        </w:tc>
        <w:tc>
          <w:tcPr>
            <w:tcW w:w="467" w:type="dxa"/>
            <w:vMerge w:val="restart"/>
            <w:tcBorders>
              <w:top w:val="single" w:color="auto" w:sz="4" w:space="0"/>
              <w:left w:val="single" w:color="auto" w:sz="4" w:space="0"/>
              <w:right w:val="single" w:color="auto" w:sz="4" w:space="0"/>
            </w:tcBorders>
            <w:vAlign w:val="center"/>
          </w:tcPr>
          <w:p w14:paraId="5F4E1F2C">
            <w:pPr>
              <w:pStyle w:val="235"/>
              <w:rPr>
                <w:color w:val="auto"/>
              </w:rPr>
            </w:pPr>
            <w:r>
              <w:rPr>
                <w:color w:val="auto"/>
              </w:rPr>
              <w:t>载员</w:t>
            </w:r>
            <w:r>
              <w:rPr>
                <w:rFonts w:hint="eastAsia"/>
                <w:color w:val="auto"/>
                <w:vertAlign w:val="superscript"/>
              </w:rPr>
              <w:t>2</w:t>
            </w:r>
            <w:r>
              <w:rPr>
                <w:color w:val="auto"/>
              </w:rPr>
              <w:t xml:space="preserve"> (人)</w:t>
            </w:r>
          </w:p>
        </w:tc>
        <w:tc>
          <w:tcPr>
            <w:tcW w:w="366" w:type="dxa"/>
            <w:vMerge w:val="restart"/>
            <w:tcBorders>
              <w:top w:val="single" w:color="auto" w:sz="4" w:space="0"/>
              <w:left w:val="single" w:color="auto" w:sz="4" w:space="0"/>
              <w:bottom w:val="single" w:color="auto" w:sz="4" w:space="0"/>
              <w:right w:val="single" w:color="000000" w:sz="4" w:space="0"/>
            </w:tcBorders>
            <w:vAlign w:val="center"/>
          </w:tcPr>
          <w:p w14:paraId="530ED4F7">
            <w:pPr>
              <w:pStyle w:val="235"/>
              <w:rPr>
                <w:color w:val="auto"/>
              </w:rPr>
            </w:pPr>
            <w:r>
              <w:rPr>
                <w:color w:val="auto"/>
              </w:rPr>
              <w:t>座席</w:t>
            </w:r>
          </w:p>
        </w:tc>
        <w:tc>
          <w:tcPr>
            <w:tcW w:w="751" w:type="dxa"/>
            <w:tcBorders>
              <w:top w:val="single" w:color="auto" w:sz="4" w:space="0"/>
              <w:left w:val="single" w:color="000000" w:sz="4" w:space="0"/>
              <w:bottom w:val="single" w:color="auto" w:sz="4" w:space="0"/>
              <w:right w:val="single" w:color="auto" w:sz="4" w:space="0"/>
            </w:tcBorders>
            <w:vAlign w:val="center"/>
          </w:tcPr>
          <w:p w14:paraId="7B0CFCD7">
            <w:pPr>
              <w:pStyle w:val="235"/>
              <w:rPr>
                <w:color w:val="auto"/>
              </w:rPr>
            </w:pPr>
            <w:r>
              <w:rPr>
                <w:color w:val="auto"/>
              </w:rPr>
              <w:t>带司机室车辆</w:t>
            </w:r>
          </w:p>
        </w:tc>
        <w:tc>
          <w:tcPr>
            <w:tcW w:w="1981" w:type="dxa"/>
            <w:tcBorders>
              <w:top w:val="single" w:color="auto" w:sz="4" w:space="0"/>
              <w:left w:val="single" w:color="auto" w:sz="4" w:space="0"/>
              <w:bottom w:val="single" w:color="auto" w:sz="4" w:space="0"/>
              <w:right w:val="single" w:color="auto" w:sz="4" w:space="0"/>
            </w:tcBorders>
            <w:vAlign w:val="center"/>
          </w:tcPr>
          <w:p w14:paraId="3C4CC0A3">
            <w:pPr>
              <w:pStyle w:val="235"/>
              <w:rPr>
                <w:color w:val="auto"/>
              </w:rPr>
            </w:pPr>
            <w:r>
              <w:rPr>
                <w:rFonts w:hint="eastAsia"/>
                <w:color w:val="auto"/>
              </w:rPr>
              <w:t>48</w:t>
            </w:r>
          </w:p>
        </w:tc>
        <w:tc>
          <w:tcPr>
            <w:tcW w:w="2408" w:type="dxa"/>
            <w:tcBorders>
              <w:top w:val="single" w:color="auto" w:sz="4" w:space="0"/>
              <w:left w:val="single" w:color="auto" w:sz="4" w:space="0"/>
              <w:bottom w:val="single" w:color="auto" w:sz="4" w:space="0"/>
              <w:right w:val="single" w:color="auto" w:sz="4" w:space="0"/>
            </w:tcBorders>
            <w:vAlign w:val="center"/>
          </w:tcPr>
          <w:p w14:paraId="678702DB">
            <w:pPr>
              <w:pStyle w:val="235"/>
              <w:rPr>
                <w:color w:val="auto"/>
              </w:rPr>
            </w:pPr>
            <w:r>
              <w:rPr>
                <w:color w:val="auto"/>
              </w:rPr>
              <w:t>36</w:t>
            </w:r>
          </w:p>
        </w:tc>
      </w:tr>
      <w:tr w14:paraId="4975B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367" w:type="dxa"/>
            <w:vMerge w:val="continue"/>
            <w:tcBorders>
              <w:left w:val="single" w:color="auto" w:sz="4" w:space="0"/>
              <w:right w:val="single" w:color="auto" w:sz="4" w:space="0"/>
            </w:tcBorders>
            <w:vAlign w:val="center"/>
          </w:tcPr>
          <w:p w14:paraId="391942FD">
            <w:pPr>
              <w:pStyle w:val="235"/>
              <w:rPr>
                <w:color w:val="auto"/>
              </w:rPr>
            </w:pPr>
          </w:p>
        </w:tc>
        <w:tc>
          <w:tcPr>
            <w:tcW w:w="467" w:type="dxa"/>
            <w:vMerge w:val="continue"/>
            <w:tcBorders>
              <w:left w:val="single" w:color="auto" w:sz="4" w:space="0"/>
              <w:right w:val="single" w:color="auto" w:sz="4" w:space="0"/>
            </w:tcBorders>
            <w:vAlign w:val="center"/>
          </w:tcPr>
          <w:p w14:paraId="192BC385">
            <w:pPr>
              <w:pStyle w:val="235"/>
              <w:rPr>
                <w:color w:val="auto"/>
              </w:rPr>
            </w:pPr>
          </w:p>
        </w:tc>
        <w:tc>
          <w:tcPr>
            <w:tcW w:w="366" w:type="dxa"/>
            <w:vMerge w:val="continue"/>
            <w:tcBorders>
              <w:top w:val="single" w:color="auto" w:sz="4" w:space="0"/>
              <w:left w:val="single" w:color="auto" w:sz="4" w:space="0"/>
              <w:bottom w:val="single" w:color="auto" w:sz="4" w:space="0"/>
              <w:right w:val="single" w:color="000000" w:sz="4" w:space="0"/>
            </w:tcBorders>
            <w:vAlign w:val="center"/>
          </w:tcPr>
          <w:p w14:paraId="3EF89677">
            <w:pPr>
              <w:pStyle w:val="235"/>
              <w:rPr>
                <w:color w:val="auto"/>
              </w:rPr>
            </w:pPr>
          </w:p>
        </w:tc>
        <w:tc>
          <w:tcPr>
            <w:tcW w:w="751" w:type="dxa"/>
            <w:tcBorders>
              <w:top w:val="single" w:color="auto" w:sz="4" w:space="0"/>
              <w:left w:val="single" w:color="000000" w:sz="4" w:space="0"/>
              <w:bottom w:val="single" w:color="auto" w:sz="4" w:space="0"/>
              <w:right w:val="single" w:color="auto" w:sz="4" w:space="0"/>
            </w:tcBorders>
            <w:vAlign w:val="center"/>
          </w:tcPr>
          <w:p w14:paraId="61B12234">
            <w:pPr>
              <w:pStyle w:val="235"/>
              <w:rPr>
                <w:color w:val="auto"/>
              </w:rPr>
            </w:pPr>
            <w:r>
              <w:rPr>
                <w:color w:val="auto"/>
              </w:rPr>
              <w:t>无司机室车辆</w:t>
            </w:r>
          </w:p>
        </w:tc>
        <w:tc>
          <w:tcPr>
            <w:tcW w:w="1981" w:type="dxa"/>
            <w:tcBorders>
              <w:top w:val="single" w:color="auto" w:sz="4" w:space="0"/>
              <w:left w:val="single" w:color="auto" w:sz="4" w:space="0"/>
              <w:bottom w:val="single" w:color="auto" w:sz="4" w:space="0"/>
              <w:right w:val="single" w:color="auto" w:sz="4" w:space="0"/>
            </w:tcBorders>
            <w:vAlign w:val="center"/>
          </w:tcPr>
          <w:p w14:paraId="637A0FF6">
            <w:pPr>
              <w:pStyle w:val="235"/>
              <w:rPr>
                <w:color w:val="auto"/>
              </w:rPr>
            </w:pPr>
            <w:r>
              <w:rPr>
                <w:rFonts w:hint="eastAsia"/>
                <w:color w:val="auto"/>
              </w:rPr>
              <w:t>48</w:t>
            </w:r>
          </w:p>
        </w:tc>
        <w:tc>
          <w:tcPr>
            <w:tcW w:w="2408" w:type="dxa"/>
            <w:tcBorders>
              <w:top w:val="single" w:color="auto" w:sz="4" w:space="0"/>
              <w:left w:val="single" w:color="auto" w:sz="4" w:space="0"/>
              <w:bottom w:val="single" w:color="auto" w:sz="4" w:space="0"/>
              <w:right w:val="single" w:color="auto" w:sz="4" w:space="0"/>
            </w:tcBorders>
            <w:vAlign w:val="center"/>
          </w:tcPr>
          <w:p w14:paraId="5CC33FDC">
            <w:pPr>
              <w:pStyle w:val="235"/>
              <w:rPr>
                <w:color w:val="auto"/>
              </w:rPr>
            </w:pPr>
            <w:r>
              <w:rPr>
                <w:color w:val="auto"/>
              </w:rPr>
              <w:t>42</w:t>
            </w:r>
          </w:p>
        </w:tc>
      </w:tr>
      <w:tr w14:paraId="08B7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7" w:type="dxa"/>
            <w:vMerge w:val="continue"/>
            <w:tcBorders>
              <w:left w:val="single" w:color="auto" w:sz="4" w:space="0"/>
              <w:right w:val="single" w:color="auto" w:sz="4" w:space="0"/>
            </w:tcBorders>
            <w:vAlign w:val="center"/>
          </w:tcPr>
          <w:p w14:paraId="45425BE4">
            <w:pPr>
              <w:pStyle w:val="235"/>
              <w:rPr>
                <w:color w:val="auto"/>
              </w:rPr>
            </w:pPr>
          </w:p>
        </w:tc>
        <w:tc>
          <w:tcPr>
            <w:tcW w:w="467" w:type="dxa"/>
            <w:vMerge w:val="continue"/>
            <w:tcBorders>
              <w:left w:val="single" w:color="auto" w:sz="4" w:space="0"/>
              <w:right w:val="single" w:color="auto" w:sz="4" w:space="0"/>
            </w:tcBorders>
            <w:vAlign w:val="center"/>
          </w:tcPr>
          <w:p w14:paraId="1DCC013D">
            <w:pPr>
              <w:pStyle w:val="235"/>
              <w:rPr>
                <w:color w:val="auto"/>
              </w:rPr>
            </w:pPr>
          </w:p>
        </w:tc>
        <w:tc>
          <w:tcPr>
            <w:tcW w:w="366" w:type="dxa"/>
            <w:vMerge w:val="restart"/>
            <w:tcBorders>
              <w:left w:val="single" w:color="auto" w:sz="4" w:space="0"/>
              <w:right w:val="single" w:color="000000" w:sz="4" w:space="0"/>
            </w:tcBorders>
            <w:vAlign w:val="center"/>
          </w:tcPr>
          <w:p w14:paraId="3658389C">
            <w:pPr>
              <w:pStyle w:val="235"/>
              <w:rPr>
                <w:color w:val="auto"/>
              </w:rPr>
            </w:pPr>
            <w:r>
              <w:rPr>
                <w:color w:val="auto"/>
              </w:rPr>
              <w:t>定员</w:t>
            </w:r>
          </w:p>
        </w:tc>
        <w:tc>
          <w:tcPr>
            <w:tcW w:w="751" w:type="dxa"/>
            <w:tcBorders>
              <w:left w:val="single" w:color="000000" w:sz="4" w:space="0"/>
              <w:bottom w:val="single" w:color="000000" w:sz="4" w:space="0"/>
            </w:tcBorders>
            <w:vAlign w:val="center"/>
          </w:tcPr>
          <w:p w14:paraId="71807C08">
            <w:pPr>
              <w:pStyle w:val="235"/>
              <w:rPr>
                <w:color w:val="auto"/>
              </w:rPr>
            </w:pPr>
            <w:r>
              <w:rPr>
                <w:color w:val="auto"/>
              </w:rPr>
              <w:t>带司机室车辆</w:t>
            </w:r>
          </w:p>
        </w:tc>
        <w:tc>
          <w:tcPr>
            <w:tcW w:w="1981" w:type="dxa"/>
            <w:vAlign w:val="center"/>
          </w:tcPr>
          <w:p w14:paraId="6923240F">
            <w:pPr>
              <w:pStyle w:val="235"/>
              <w:rPr>
                <w:color w:val="auto"/>
              </w:rPr>
            </w:pPr>
            <w:r>
              <w:rPr>
                <w:color w:val="auto"/>
              </w:rPr>
              <w:t>3</w:t>
            </w:r>
            <w:r>
              <w:rPr>
                <w:rFonts w:hint="eastAsia"/>
                <w:color w:val="auto"/>
              </w:rPr>
              <w:t>05</w:t>
            </w:r>
          </w:p>
        </w:tc>
        <w:tc>
          <w:tcPr>
            <w:tcW w:w="2408" w:type="dxa"/>
            <w:vAlign w:val="center"/>
          </w:tcPr>
          <w:p w14:paraId="042B35AF">
            <w:pPr>
              <w:pStyle w:val="235"/>
              <w:rPr>
                <w:color w:val="auto"/>
              </w:rPr>
            </w:pPr>
            <w:r>
              <w:rPr>
                <w:color w:val="auto"/>
              </w:rPr>
              <w:t>2</w:t>
            </w:r>
            <w:r>
              <w:rPr>
                <w:rFonts w:hint="eastAsia"/>
                <w:color w:val="auto"/>
              </w:rPr>
              <w:t>26</w:t>
            </w:r>
          </w:p>
        </w:tc>
      </w:tr>
      <w:tr w14:paraId="58C7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7" w:type="dxa"/>
            <w:vMerge w:val="continue"/>
            <w:tcBorders>
              <w:left w:val="single" w:color="auto" w:sz="4" w:space="0"/>
              <w:right w:val="single" w:color="auto" w:sz="4" w:space="0"/>
            </w:tcBorders>
            <w:vAlign w:val="center"/>
          </w:tcPr>
          <w:p w14:paraId="772F11BA">
            <w:pPr>
              <w:pStyle w:val="235"/>
              <w:rPr>
                <w:color w:val="auto"/>
              </w:rPr>
            </w:pPr>
          </w:p>
        </w:tc>
        <w:tc>
          <w:tcPr>
            <w:tcW w:w="467" w:type="dxa"/>
            <w:vMerge w:val="continue"/>
            <w:tcBorders>
              <w:left w:val="single" w:color="auto" w:sz="4" w:space="0"/>
              <w:right w:val="single" w:color="auto" w:sz="4" w:space="0"/>
            </w:tcBorders>
            <w:vAlign w:val="center"/>
          </w:tcPr>
          <w:p w14:paraId="63C804C1">
            <w:pPr>
              <w:pStyle w:val="235"/>
              <w:rPr>
                <w:color w:val="auto"/>
              </w:rPr>
            </w:pPr>
          </w:p>
        </w:tc>
        <w:tc>
          <w:tcPr>
            <w:tcW w:w="366" w:type="dxa"/>
            <w:vMerge w:val="continue"/>
            <w:tcBorders>
              <w:left w:val="single" w:color="auto" w:sz="4" w:space="0"/>
              <w:bottom w:val="single" w:color="000000" w:sz="4" w:space="0"/>
              <w:right w:val="single" w:color="000000" w:sz="4" w:space="0"/>
            </w:tcBorders>
            <w:vAlign w:val="center"/>
          </w:tcPr>
          <w:p w14:paraId="0B6B4771">
            <w:pPr>
              <w:pStyle w:val="235"/>
              <w:rPr>
                <w:color w:val="auto"/>
              </w:rPr>
            </w:pPr>
          </w:p>
        </w:tc>
        <w:tc>
          <w:tcPr>
            <w:tcW w:w="751" w:type="dxa"/>
            <w:tcBorders>
              <w:top w:val="single" w:color="000000" w:sz="4" w:space="0"/>
              <w:left w:val="single" w:color="000000" w:sz="4" w:space="0"/>
              <w:bottom w:val="single" w:color="000000" w:sz="4" w:space="0"/>
            </w:tcBorders>
            <w:vAlign w:val="center"/>
          </w:tcPr>
          <w:p w14:paraId="2DA08009">
            <w:pPr>
              <w:pStyle w:val="235"/>
              <w:rPr>
                <w:color w:val="auto"/>
              </w:rPr>
            </w:pPr>
            <w:r>
              <w:rPr>
                <w:color w:val="auto"/>
              </w:rPr>
              <w:t>无司机室车辆</w:t>
            </w:r>
          </w:p>
        </w:tc>
        <w:tc>
          <w:tcPr>
            <w:tcW w:w="1981" w:type="dxa"/>
            <w:vAlign w:val="center"/>
          </w:tcPr>
          <w:p w14:paraId="015CA5C7">
            <w:pPr>
              <w:pStyle w:val="235"/>
              <w:rPr>
                <w:color w:val="auto"/>
              </w:rPr>
            </w:pPr>
            <w:r>
              <w:rPr>
                <w:color w:val="auto"/>
              </w:rPr>
              <w:t>3</w:t>
            </w:r>
            <w:r>
              <w:rPr>
                <w:rFonts w:hint="eastAsia"/>
                <w:color w:val="auto"/>
              </w:rPr>
              <w:t>05</w:t>
            </w:r>
          </w:p>
        </w:tc>
        <w:tc>
          <w:tcPr>
            <w:tcW w:w="2408" w:type="dxa"/>
            <w:vAlign w:val="center"/>
          </w:tcPr>
          <w:p w14:paraId="5A5061DD">
            <w:pPr>
              <w:pStyle w:val="235"/>
              <w:rPr>
                <w:color w:val="auto"/>
              </w:rPr>
            </w:pPr>
            <w:r>
              <w:rPr>
                <w:color w:val="auto"/>
              </w:rPr>
              <w:t>2</w:t>
            </w:r>
            <w:r>
              <w:rPr>
                <w:rFonts w:hint="eastAsia"/>
                <w:color w:val="auto"/>
              </w:rPr>
              <w:t>46</w:t>
            </w:r>
          </w:p>
        </w:tc>
      </w:tr>
      <w:tr w14:paraId="72FC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7" w:type="dxa"/>
            <w:vMerge w:val="continue"/>
            <w:tcBorders>
              <w:left w:val="single" w:color="auto" w:sz="4" w:space="0"/>
              <w:right w:val="single" w:color="auto" w:sz="4" w:space="0"/>
            </w:tcBorders>
            <w:vAlign w:val="center"/>
          </w:tcPr>
          <w:p w14:paraId="6DEEE284">
            <w:pPr>
              <w:pStyle w:val="235"/>
              <w:rPr>
                <w:color w:val="auto"/>
              </w:rPr>
            </w:pPr>
          </w:p>
        </w:tc>
        <w:tc>
          <w:tcPr>
            <w:tcW w:w="467" w:type="dxa"/>
            <w:vMerge w:val="continue"/>
            <w:tcBorders>
              <w:left w:val="single" w:color="auto" w:sz="4" w:space="0"/>
              <w:right w:val="single" w:color="auto" w:sz="4" w:space="0"/>
            </w:tcBorders>
            <w:vAlign w:val="center"/>
          </w:tcPr>
          <w:p w14:paraId="0074D918">
            <w:pPr>
              <w:pStyle w:val="235"/>
              <w:rPr>
                <w:color w:val="auto"/>
              </w:rPr>
            </w:pPr>
          </w:p>
        </w:tc>
        <w:tc>
          <w:tcPr>
            <w:tcW w:w="366" w:type="dxa"/>
            <w:vMerge w:val="restart"/>
            <w:tcBorders>
              <w:top w:val="single" w:color="000000" w:sz="4" w:space="0"/>
              <w:left w:val="single" w:color="auto" w:sz="4" w:space="0"/>
              <w:right w:val="single" w:color="000000" w:sz="4" w:space="0"/>
            </w:tcBorders>
            <w:vAlign w:val="center"/>
          </w:tcPr>
          <w:p w14:paraId="1DB91A01">
            <w:pPr>
              <w:pStyle w:val="235"/>
              <w:rPr>
                <w:color w:val="auto"/>
              </w:rPr>
            </w:pPr>
            <w:r>
              <w:rPr>
                <w:color w:val="auto"/>
              </w:rPr>
              <w:t>超员</w:t>
            </w:r>
          </w:p>
        </w:tc>
        <w:tc>
          <w:tcPr>
            <w:tcW w:w="751" w:type="dxa"/>
            <w:tcBorders>
              <w:top w:val="single" w:color="000000" w:sz="4" w:space="0"/>
              <w:left w:val="single" w:color="000000" w:sz="4" w:space="0"/>
              <w:bottom w:val="single" w:color="000000" w:sz="4" w:space="0"/>
            </w:tcBorders>
            <w:vAlign w:val="center"/>
          </w:tcPr>
          <w:p w14:paraId="61275940">
            <w:pPr>
              <w:pStyle w:val="235"/>
              <w:rPr>
                <w:color w:val="auto"/>
              </w:rPr>
            </w:pPr>
            <w:r>
              <w:rPr>
                <w:color w:val="auto"/>
              </w:rPr>
              <w:t>带司机室车辆</w:t>
            </w:r>
          </w:p>
        </w:tc>
        <w:tc>
          <w:tcPr>
            <w:tcW w:w="1981" w:type="dxa"/>
            <w:vAlign w:val="center"/>
          </w:tcPr>
          <w:p w14:paraId="3D97DD21">
            <w:pPr>
              <w:pStyle w:val="235"/>
              <w:rPr>
                <w:color w:val="auto"/>
              </w:rPr>
            </w:pPr>
            <w:r>
              <w:rPr>
                <w:color w:val="auto"/>
              </w:rPr>
              <w:t>432</w:t>
            </w:r>
          </w:p>
        </w:tc>
        <w:tc>
          <w:tcPr>
            <w:tcW w:w="2408" w:type="dxa"/>
            <w:vAlign w:val="center"/>
          </w:tcPr>
          <w:p w14:paraId="060B1A4D">
            <w:pPr>
              <w:pStyle w:val="235"/>
              <w:rPr>
                <w:color w:val="auto"/>
              </w:rPr>
            </w:pPr>
            <w:r>
              <w:rPr>
                <w:color w:val="auto"/>
              </w:rPr>
              <w:t>32</w:t>
            </w:r>
            <w:r>
              <w:rPr>
                <w:rFonts w:hint="eastAsia"/>
                <w:color w:val="auto"/>
              </w:rPr>
              <w:t>0</w:t>
            </w:r>
          </w:p>
        </w:tc>
      </w:tr>
      <w:tr w14:paraId="0193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7" w:type="dxa"/>
            <w:vMerge w:val="continue"/>
            <w:tcBorders>
              <w:left w:val="single" w:color="auto" w:sz="4" w:space="0"/>
              <w:right w:val="single" w:color="auto" w:sz="4" w:space="0"/>
            </w:tcBorders>
            <w:vAlign w:val="center"/>
          </w:tcPr>
          <w:p w14:paraId="63289D58">
            <w:pPr>
              <w:pStyle w:val="235"/>
              <w:rPr>
                <w:color w:val="auto"/>
              </w:rPr>
            </w:pPr>
          </w:p>
        </w:tc>
        <w:tc>
          <w:tcPr>
            <w:tcW w:w="467" w:type="dxa"/>
            <w:vMerge w:val="continue"/>
            <w:tcBorders>
              <w:left w:val="single" w:color="auto" w:sz="4" w:space="0"/>
              <w:right w:val="single" w:color="auto" w:sz="4" w:space="0"/>
            </w:tcBorders>
            <w:vAlign w:val="center"/>
          </w:tcPr>
          <w:p w14:paraId="282922B2">
            <w:pPr>
              <w:pStyle w:val="235"/>
              <w:rPr>
                <w:color w:val="auto"/>
              </w:rPr>
            </w:pPr>
          </w:p>
        </w:tc>
        <w:tc>
          <w:tcPr>
            <w:tcW w:w="366" w:type="dxa"/>
            <w:vMerge w:val="continue"/>
            <w:tcBorders>
              <w:left w:val="single" w:color="auto" w:sz="4" w:space="0"/>
              <w:right w:val="single" w:color="000000" w:sz="4" w:space="0"/>
            </w:tcBorders>
            <w:vAlign w:val="center"/>
          </w:tcPr>
          <w:p w14:paraId="4D24C574">
            <w:pPr>
              <w:pStyle w:val="235"/>
              <w:rPr>
                <w:color w:val="auto"/>
              </w:rPr>
            </w:pPr>
          </w:p>
        </w:tc>
        <w:tc>
          <w:tcPr>
            <w:tcW w:w="751" w:type="dxa"/>
            <w:tcBorders>
              <w:top w:val="single" w:color="000000" w:sz="4" w:space="0"/>
              <w:left w:val="single" w:color="000000" w:sz="4" w:space="0"/>
            </w:tcBorders>
            <w:vAlign w:val="center"/>
          </w:tcPr>
          <w:p w14:paraId="16B7D539">
            <w:pPr>
              <w:pStyle w:val="235"/>
              <w:rPr>
                <w:color w:val="auto"/>
              </w:rPr>
            </w:pPr>
            <w:r>
              <w:rPr>
                <w:color w:val="auto"/>
              </w:rPr>
              <w:t>无司机室车辆</w:t>
            </w:r>
          </w:p>
        </w:tc>
        <w:tc>
          <w:tcPr>
            <w:tcW w:w="1981" w:type="dxa"/>
            <w:vAlign w:val="center"/>
          </w:tcPr>
          <w:p w14:paraId="257BBCA2">
            <w:pPr>
              <w:pStyle w:val="235"/>
              <w:rPr>
                <w:color w:val="auto"/>
              </w:rPr>
            </w:pPr>
            <w:r>
              <w:rPr>
                <w:color w:val="auto"/>
              </w:rPr>
              <w:t>432</w:t>
            </w:r>
          </w:p>
        </w:tc>
        <w:tc>
          <w:tcPr>
            <w:tcW w:w="2408" w:type="dxa"/>
            <w:vAlign w:val="center"/>
          </w:tcPr>
          <w:p w14:paraId="17004CEC">
            <w:pPr>
              <w:pStyle w:val="235"/>
              <w:rPr>
                <w:color w:val="auto"/>
              </w:rPr>
            </w:pPr>
            <w:r>
              <w:rPr>
                <w:color w:val="auto"/>
              </w:rPr>
              <w:t>3</w:t>
            </w:r>
            <w:r>
              <w:rPr>
                <w:rFonts w:hint="eastAsia"/>
                <w:color w:val="auto"/>
              </w:rPr>
              <w:t>48</w:t>
            </w:r>
          </w:p>
        </w:tc>
      </w:tr>
    </w:tbl>
    <w:p w14:paraId="1DD82F35">
      <w:pPr>
        <w:pStyle w:val="202"/>
        <w:ind w:firstLine="300"/>
      </w:pPr>
      <w:r>
        <w:t>注：</w:t>
      </w:r>
      <w:r>
        <w:rPr>
          <w:rFonts w:hint="eastAsia"/>
        </w:rPr>
        <w:t>1  车辆长度根据灵活编组站台屏蔽门对位要求可做相应选择；</w:t>
      </w:r>
    </w:p>
    <w:p w14:paraId="0997CD17">
      <w:pPr>
        <w:spacing w:line="240" w:lineRule="auto"/>
        <w:ind w:left="823" w:leftChars="285" w:hanging="225" w:hangingChars="150"/>
        <w:jc w:val="left"/>
        <w:rPr>
          <w:sz w:val="15"/>
          <w:szCs w:val="20"/>
        </w:rPr>
      </w:pPr>
      <w:r>
        <w:rPr>
          <w:rFonts w:hint="eastAsia"/>
          <w:sz w:val="15"/>
          <w:szCs w:val="20"/>
        </w:rPr>
        <w:t xml:space="preserve">2  </w:t>
      </w:r>
      <w:r>
        <w:rPr>
          <w:sz w:val="15"/>
          <w:szCs w:val="20"/>
        </w:rPr>
        <w:t>载员座席数根据车辆轮椅位的设置数量可做相应调整</w:t>
      </w:r>
      <w:r>
        <w:rPr>
          <w:rFonts w:hint="eastAsia"/>
          <w:sz w:val="15"/>
          <w:szCs w:val="20"/>
        </w:rPr>
        <w:t>，</w:t>
      </w:r>
      <w:r>
        <w:rPr>
          <w:sz w:val="15"/>
          <w:szCs w:val="20"/>
        </w:rPr>
        <w:t>定员立席按6人/m</w:t>
      </w:r>
      <w:r>
        <w:rPr>
          <w:sz w:val="15"/>
          <w:szCs w:val="20"/>
          <w:vertAlign w:val="superscript"/>
        </w:rPr>
        <w:t>2</w:t>
      </w:r>
      <w:r>
        <w:rPr>
          <w:sz w:val="15"/>
          <w:szCs w:val="20"/>
        </w:rPr>
        <w:t>计</w:t>
      </w:r>
      <w:r>
        <w:rPr>
          <w:rFonts w:hint="eastAsia"/>
          <w:sz w:val="15"/>
          <w:szCs w:val="20"/>
        </w:rPr>
        <w:t>，超员</w:t>
      </w:r>
      <w:r>
        <w:rPr>
          <w:sz w:val="15"/>
          <w:szCs w:val="20"/>
        </w:rPr>
        <w:t>立席按9人/m</w:t>
      </w:r>
      <w:r>
        <w:rPr>
          <w:sz w:val="15"/>
          <w:szCs w:val="20"/>
          <w:vertAlign w:val="superscript"/>
        </w:rPr>
        <w:t>2</w:t>
      </w:r>
      <w:r>
        <w:rPr>
          <w:sz w:val="15"/>
          <w:szCs w:val="20"/>
        </w:rPr>
        <w:t>计。</w:t>
      </w:r>
      <w:r>
        <w:rPr>
          <w:rFonts w:hint="eastAsia"/>
          <w:sz w:val="15"/>
          <w:szCs w:val="20"/>
        </w:rPr>
        <w:t>若采用横排或横纵结合座椅布置，载员数可相应调整。</w:t>
      </w:r>
    </w:p>
    <w:p w14:paraId="1FA39940">
      <w:pPr>
        <w:pStyle w:val="5"/>
      </w:pPr>
      <w:r>
        <w:rPr>
          <w:rFonts w:hint="eastAsia"/>
        </w:rPr>
        <w:t>车</w:t>
      </w:r>
      <w:r>
        <w:t>辆结构强度应满足9人/m</w:t>
      </w:r>
      <w:r>
        <w:rPr>
          <w:vertAlign w:val="superscript"/>
        </w:rPr>
        <w:t>2</w:t>
      </w:r>
      <w:r>
        <w:t>站立标准，乘客人均重量按60kg/人计算。</w:t>
      </w:r>
    </w:p>
    <w:p w14:paraId="623AFCAF">
      <w:pPr>
        <w:pStyle w:val="5"/>
      </w:pPr>
      <w:r>
        <w:t>车轮直径应为840mm，最大磨耗时不小于770mm。</w:t>
      </w:r>
    </w:p>
    <w:p w14:paraId="0BFCB243">
      <w:pPr>
        <w:pStyle w:val="5"/>
      </w:pPr>
      <w:r>
        <w:t>轮对内侧距应为(1353±2)mm。</w:t>
      </w:r>
    </w:p>
    <w:p w14:paraId="784F66B0">
      <w:pPr>
        <w:pStyle w:val="5"/>
      </w:pPr>
      <w:r>
        <w:t>车辆限界应符合本规范附录A~附录C的限界标准。</w:t>
      </w:r>
    </w:p>
    <w:p w14:paraId="1923708A">
      <w:pPr>
        <w:pStyle w:val="5"/>
      </w:pPr>
      <w:bookmarkStart w:id="169" w:name="_Hlk183159441"/>
      <w:r>
        <w:rPr>
          <w:rFonts w:hint="eastAsia"/>
        </w:rPr>
        <w:t>列车编组应根据预测客流量、设计运输能力、运营组织及互联互通、灵活编组等要素确定</w:t>
      </w:r>
      <w:bookmarkEnd w:id="169"/>
      <w:r>
        <w:rPr>
          <w:rFonts w:hint="eastAsia"/>
        </w:rPr>
        <w:t>。</w:t>
      </w:r>
    </w:p>
    <w:p w14:paraId="7FA128AF">
      <w:pPr>
        <w:pStyle w:val="4"/>
      </w:pPr>
      <w:bookmarkStart w:id="170" w:name="_Toc168059373"/>
      <w:bookmarkStart w:id="171" w:name="_Toc183888466"/>
      <w:bookmarkStart w:id="172" w:name="_Toc183888104"/>
      <w:bookmarkStart w:id="173" w:name="_Toc183882414"/>
      <w:bookmarkStart w:id="174" w:name="_Toc183882052"/>
      <w:bookmarkStart w:id="175" w:name="_Toc168061629"/>
      <w:bookmarkStart w:id="176" w:name="_Toc183765061"/>
      <w:bookmarkStart w:id="177" w:name="_Toc183683488"/>
      <w:bookmarkStart w:id="178" w:name="_Toc168061182"/>
      <w:bookmarkStart w:id="179" w:name="_Toc183790491"/>
      <w:bookmarkStart w:id="180" w:name="_Toc168415150"/>
      <w:r>
        <w:t>车辆运行主要技术指标</w:t>
      </w:r>
      <w:bookmarkEnd w:id="170"/>
      <w:bookmarkEnd w:id="171"/>
      <w:bookmarkEnd w:id="172"/>
      <w:bookmarkEnd w:id="173"/>
      <w:bookmarkEnd w:id="174"/>
      <w:bookmarkEnd w:id="175"/>
      <w:bookmarkEnd w:id="176"/>
      <w:bookmarkEnd w:id="177"/>
      <w:bookmarkEnd w:id="178"/>
      <w:bookmarkEnd w:id="179"/>
      <w:bookmarkEnd w:id="180"/>
    </w:p>
    <w:p w14:paraId="64A2B782">
      <w:pPr>
        <w:pStyle w:val="5"/>
      </w:pPr>
      <w:r>
        <w:t>车辆运行速度应符合下列规定：</w:t>
      </w:r>
    </w:p>
    <w:p w14:paraId="5166F2D5">
      <w:pPr>
        <w:pStyle w:val="7"/>
        <w:ind w:firstLine="420"/>
      </w:pPr>
      <w:r>
        <w:rPr>
          <w:rFonts w:hint="eastAsia"/>
        </w:rPr>
        <w:t>车辆最高运行速度可按系统设计要求采取80 km/h、100 km/h、120 km/h或140 km/h等速度等级，列车应在设计最高运行速度条件下，满足瞬间超过最高运行速度安全运行的能力；</w:t>
      </w:r>
    </w:p>
    <w:p w14:paraId="757EB1D6">
      <w:pPr>
        <w:pStyle w:val="7"/>
        <w:ind w:firstLine="420"/>
      </w:pPr>
      <w:r>
        <w:t>通过洗车机的稳定运行速度：3~5km/h；</w:t>
      </w:r>
    </w:p>
    <w:p w14:paraId="1879647E">
      <w:pPr>
        <w:pStyle w:val="7"/>
        <w:ind w:firstLine="420"/>
      </w:pPr>
      <w:r>
        <w:t>列车联挂速度不</w:t>
      </w:r>
      <w:r>
        <w:rPr>
          <w:rFonts w:hint="eastAsia"/>
        </w:rPr>
        <w:t>应</w:t>
      </w:r>
      <w:r>
        <w:t>大于5km/h。</w:t>
      </w:r>
    </w:p>
    <w:p w14:paraId="0410F218">
      <w:pPr>
        <w:pStyle w:val="5"/>
      </w:pPr>
      <w:r>
        <w:t>列车在定员载荷下，在平直干燥轨道，车轮为半磨耗状态，额定</w:t>
      </w:r>
      <w:r>
        <w:rPr>
          <w:rFonts w:hint="eastAsia"/>
        </w:rPr>
        <w:t>供电</w:t>
      </w:r>
      <w:r>
        <w:t>电压</w:t>
      </w:r>
      <w:r>
        <w:rPr>
          <w:rFonts w:hint="eastAsia"/>
        </w:rPr>
        <w:t>时，如无特殊要求：</w:t>
      </w:r>
    </w:p>
    <w:p w14:paraId="19243EAA">
      <w:pPr>
        <w:pStyle w:val="7"/>
        <w:ind w:firstLine="420"/>
      </w:pPr>
      <w:r>
        <w:t>当最高运行速度为80km/h时，列车速度从0达到40km/h的平均加速度不应低于1.0m/s</w:t>
      </w:r>
      <w:r>
        <w:rPr>
          <w:vertAlign w:val="superscript"/>
        </w:rPr>
        <w:t>2</w:t>
      </w:r>
      <w:r>
        <w:t>，当动拖比为1</w:t>
      </w:r>
      <w:r>
        <w:rPr>
          <w:rFonts w:hint="eastAsia"/>
        </w:rPr>
        <w:t>:</w:t>
      </w:r>
      <w:r>
        <w:t>1时，不应低于0.83m/s</w:t>
      </w:r>
      <w:r>
        <w:rPr>
          <w:vertAlign w:val="superscript"/>
        </w:rPr>
        <w:t>2</w:t>
      </w:r>
      <w:r>
        <w:t>；列车速度从0达到80km/h的平均加速度不应低于0.6m/s</w:t>
      </w:r>
      <w:r>
        <w:rPr>
          <w:vertAlign w:val="superscript"/>
        </w:rPr>
        <w:t>2</w:t>
      </w:r>
      <w:r>
        <w:t>，当动拖比为1</w:t>
      </w:r>
      <w:r>
        <w:rPr>
          <w:rFonts w:hint="eastAsia"/>
        </w:rPr>
        <w:t>:</w:t>
      </w:r>
      <w:r>
        <w:t>1时，不应低于0.5m/s</w:t>
      </w:r>
      <w:r>
        <w:rPr>
          <w:vertAlign w:val="superscript"/>
        </w:rPr>
        <w:t>2</w:t>
      </w:r>
      <w:r>
        <w:t>；</w:t>
      </w:r>
    </w:p>
    <w:p w14:paraId="1E84BF39">
      <w:pPr>
        <w:pStyle w:val="7"/>
        <w:ind w:firstLine="420"/>
      </w:pPr>
      <w:r>
        <w:t>当最高运行速度为100km/h时，列车速度从0达到45km/h的平均加速度不应低于1.0m/s</w:t>
      </w:r>
      <w:r>
        <w:rPr>
          <w:vertAlign w:val="superscript"/>
        </w:rPr>
        <w:t>2</w:t>
      </w:r>
      <w:r>
        <w:t>；列车速度从0达到100km/h的平均加速度不应低于0.6m/s</w:t>
      </w:r>
      <w:r>
        <w:rPr>
          <w:vertAlign w:val="superscript"/>
        </w:rPr>
        <w:t>2</w:t>
      </w:r>
      <w:r>
        <w:t>；</w:t>
      </w:r>
    </w:p>
    <w:p w14:paraId="65A8C1C6">
      <w:pPr>
        <w:pStyle w:val="7"/>
        <w:ind w:firstLine="420"/>
      </w:pPr>
      <w:r>
        <w:t>当最高运行速度为120km/h时</w:t>
      </w:r>
      <w:r>
        <w:rPr>
          <w:rFonts w:hint="eastAsia"/>
        </w:rPr>
        <w:t>，</w:t>
      </w:r>
      <w:r>
        <w:t>列车速度从0达到50km/h的平均加速度不应低于1.0m/s</w:t>
      </w:r>
      <w:r>
        <w:rPr>
          <w:vertAlign w:val="superscript"/>
        </w:rPr>
        <w:t>2</w:t>
      </w:r>
      <w:r>
        <w:t>；列车速度从0达到120km/h的平均加速度不应低于0.5m/s</w:t>
      </w:r>
      <w:r>
        <w:rPr>
          <w:vertAlign w:val="superscript"/>
        </w:rPr>
        <w:t>2</w:t>
      </w:r>
      <w:r>
        <w:rPr>
          <w:rFonts w:hint="eastAsia"/>
        </w:rPr>
        <w:t>；</w:t>
      </w:r>
    </w:p>
    <w:p w14:paraId="161EC17E">
      <w:pPr>
        <w:pStyle w:val="7"/>
        <w:ind w:firstLine="420" w:firstLineChars="0"/>
      </w:pPr>
      <w:r>
        <w:t>当最高运行速度为1</w:t>
      </w:r>
      <w:r>
        <w:rPr>
          <w:rFonts w:hint="eastAsia"/>
        </w:rPr>
        <w:t>4</w:t>
      </w:r>
      <w:r>
        <w:t>0km/h时</w:t>
      </w:r>
      <w:r>
        <w:rPr>
          <w:rFonts w:hint="eastAsia"/>
        </w:rPr>
        <w:t>，</w:t>
      </w:r>
      <w:r>
        <w:t>列车速度从0达到</w:t>
      </w:r>
      <w:r>
        <w:rPr>
          <w:rFonts w:hint="eastAsia"/>
        </w:rPr>
        <w:t>5</w:t>
      </w:r>
      <w:r>
        <w:t>0km/h的平均加速度不应低于</w:t>
      </w:r>
      <w:r>
        <w:rPr>
          <w:rFonts w:hint="eastAsia"/>
        </w:rPr>
        <w:t>1.0</w:t>
      </w:r>
      <w:r>
        <w:t>m/s</w:t>
      </w:r>
      <w:r>
        <w:rPr>
          <w:vertAlign w:val="superscript"/>
        </w:rPr>
        <w:t>2</w:t>
      </w:r>
      <w:r>
        <w:t>；列车速度从0达到1</w:t>
      </w:r>
      <w:r>
        <w:rPr>
          <w:rFonts w:hint="eastAsia"/>
        </w:rPr>
        <w:t>4</w:t>
      </w:r>
      <w:r>
        <w:t>0km/h的平均加速度不应低于0.</w:t>
      </w:r>
      <w:r>
        <w:rPr>
          <w:rFonts w:hint="eastAsia"/>
        </w:rPr>
        <w:t>5</w:t>
      </w:r>
      <w:r>
        <w:t>m/s</w:t>
      </w:r>
      <w:r>
        <w:rPr>
          <w:vertAlign w:val="superscript"/>
        </w:rPr>
        <w:t>2</w:t>
      </w:r>
      <w:r>
        <w:t>。</w:t>
      </w:r>
    </w:p>
    <w:p w14:paraId="34F1BC37">
      <w:pPr>
        <w:pStyle w:val="5"/>
      </w:pPr>
      <w:r>
        <w:rPr>
          <w:rFonts w:hint="eastAsia"/>
        </w:rPr>
        <w:t>当在超员情况下、平直干燥轨道上、车轮为半磨耗状态时，列车从最高运行速度到停车制动的平均减速度应符合下列规定：</w:t>
      </w:r>
    </w:p>
    <w:p w14:paraId="38CE61B9">
      <w:pPr>
        <w:pStyle w:val="7"/>
        <w:ind w:firstLine="420"/>
      </w:pPr>
      <w:r>
        <w:t>常用制动</w:t>
      </w:r>
      <w:r>
        <w:rPr>
          <w:rFonts w:hint="eastAsia"/>
        </w:rPr>
        <w:t>平均减速度</w:t>
      </w:r>
      <w:r>
        <w:t>不</w:t>
      </w:r>
      <w:r>
        <w:rPr>
          <w:rFonts w:hint="eastAsia"/>
        </w:rPr>
        <w:t>应</w:t>
      </w:r>
      <w:r>
        <w:t>低于1.0m/s</w:t>
      </w:r>
      <w:r>
        <w:rPr>
          <w:vertAlign w:val="superscript"/>
        </w:rPr>
        <w:t>2</w:t>
      </w:r>
      <w:r>
        <w:t>；</w:t>
      </w:r>
    </w:p>
    <w:p w14:paraId="6087C495">
      <w:pPr>
        <w:pStyle w:val="7"/>
        <w:ind w:firstLine="420"/>
      </w:pPr>
      <w:r>
        <w:t>紧急制动</w:t>
      </w:r>
      <w:r>
        <w:rPr>
          <w:rFonts w:hint="eastAsia"/>
        </w:rPr>
        <w:t>减速度不应</w:t>
      </w:r>
      <w:r>
        <w:t>低于1.2m/s</w:t>
      </w:r>
      <w:r>
        <w:rPr>
          <w:vertAlign w:val="superscript"/>
        </w:rPr>
        <w:t>2</w:t>
      </w:r>
      <w:r>
        <w:t>。</w:t>
      </w:r>
    </w:p>
    <w:p w14:paraId="538D61D1">
      <w:pPr>
        <w:pStyle w:val="5"/>
      </w:pPr>
      <w:r>
        <w:rPr>
          <w:rFonts w:hint="eastAsia"/>
        </w:rPr>
        <w:t>列车内部、外部的噪声限值应满足</w:t>
      </w:r>
      <w:r>
        <w:t>《地铁车辆通用技术条件》</w:t>
      </w:r>
      <w:r>
        <w:rPr>
          <w:rFonts w:hint="eastAsia"/>
        </w:rPr>
        <w:t>GB/T7928要求。</w:t>
      </w:r>
    </w:p>
    <w:p w14:paraId="71EE7906">
      <w:pPr>
        <w:pStyle w:val="5"/>
      </w:pPr>
      <w:r>
        <w:t>列车运行平稳性指标应小于2.5，车辆的脱轨系数应小于0.8，车辆轮重减载率应不大于0.6。</w:t>
      </w:r>
    </w:p>
    <w:p w14:paraId="64A5BCCF">
      <w:pPr>
        <w:pStyle w:val="5"/>
      </w:pPr>
      <w:r>
        <w:t>车辆自身固有振动频率应避免与轨道产生共振。</w:t>
      </w:r>
    </w:p>
    <w:p w14:paraId="4549451D">
      <w:pPr>
        <w:pStyle w:val="5"/>
      </w:pPr>
      <w:r>
        <w:t>列车纵向冲击率应不大于0.75m/s</w:t>
      </w:r>
      <w:r>
        <w:rPr>
          <w:rFonts w:hint="eastAsia"/>
        </w:rPr>
        <w:t>³</w:t>
      </w:r>
      <w:r>
        <w:t>。</w:t>
      </w:r>
    </w:p>
    <w:p w14:paraId="26ED434D">
      <w:pPr>
        <w:pStyle w:val="5"/>
      </w:pPr>
      <w:r>
        <w:rPr>
          <w:rFonts w:hint="eastAsia"/>
        </w:rPr>
        <w:t>在黏着允许范围内，</w:t>
      </w:r>
      <w:r>
        <w:t>列车应</w:t>
      </w:r>
      <w:r>
        <w:rPr>
          <w:rFonts w:hint="eastAsia"/>
        </w:rPr>
        <w:t>具备下列故障运行及救援能力</w:t>
      </w:r>
      <w:r>
        <w:t>：</w:t>
      </w:r>
    </w:p>
    <w:p w14:paraId="773BABAC">
      <w:pPr>
        <w:pStyle w:val="7"/>
        <w:ind w:firstLine="420"/>
      </w:pPr>
      <w:r>
        <w:t>在超员载荷(AW3)工况下，当丧失1/4及以下动力时，动拖比大于1</w:t>
      </w:r>
      <w:r>
        <w:rPr>
          <w:rFonts w:hint="eastAsia"/>
        </w:rPr>
        <w:t>:</w:t>
      </w:r>
      <w:r>
        <w:t>1的列车应能维持全天运营，动拖比1</w:t>
      </w:r>
      <w:r>
        <w:rPr>
          <w:rFonts w:hint="eastAsia"/>
        </w:rPr>
        <w:t>:</w:t>
      </w:r>
      <w:r>
        <w:t>1的列车应能维持运营到终点；</w:t>
      </w:r>
    </w:p>
    <w:p w14:paraId="4735E95C">
      <w:pPr>
        <w:pStyle w:val="7"/>
        <w:ind w:firstLine="420"/>
      </w:pPr>
      <w:r>
        <w:t>在超员载荷(AW3)工况下，当丧失1/3动力时，列车应能在</w:t>
      </w:r>
      <w:r>
        <w:rPr>
          <w:rFonts w:hint="eastAsia"/>
        </w:rPr>
        <w:t>正线最大</w:t>
      </w:r>
      <w:r>
        <w:t>坡道上启动，并维持运营到终点</w:t>
      </w:r>
      <w:r>
        <w:rPr>
          <w:rFonts w:hint="eastAsia"/>
        </w:rPr>
        <w:t>；</w:t>
      </w:r>
      <w:r>
        <w:t xml:space="preserve"> </w:t>
      </w:r>
    </w:p>
    <w:p w14:paraId="7A463C45">
      <w:pPr>
        <w:pStyle w:val="7"/>
        <w:ind w:firstLine="420"/>
      </w:pPr>
      <w:r>
        <w:t>在超员载荷(AW3)工况下，当丧失1/2动力时，列车应能在</w:t>
      </w:r>
      <w:r>
        <w:rPr>
          <w:rFonts w:hint="eastAsia"/>
        </w:rPr>
        <w:t>正线最大</w:t>
      </w:r>
      <w:r>
        <w:t>坡道上启动，并维持运营至下一车站清客后回库；</w:t>
      </w:r>
    </w:p>
    <w:p w14:paraId="738318B3">
      <w:pPr>
        <w:pStyle w:val="7"/>
        <w:ind w:firstLine="420"/>
      </w:pPr>
      <w:r>
        <w:t>一列空载列车具有将另一列停在正线最大坡道上的同编组、无动力、超员载荷(AW3)工况的列车救援(推送或拖拽)到下一车站清客并回库的能力。</w:t>
      </w:r>
    </w:p>
    <w:p w14:paraId="07579220">
      <w:pPr>
        <w:pStyle w:val="5"/>
      </w:pPr>
      <w:r>
        <w:rPr>
          <w:rFonts w:hint="eastAsia"/>
        </w:rPr>
        <w:t>列车气密性指标应分为密封性、非密封性两个等级，密封性列车应符合下列规定：</w:t>
      </w:r>
    </w:p>
    <w:p w14:paraId="458D9C48">
      <w:pPr>
        <w:pStyle w:val="7"/>
        <w:ind w:firstLine="420"/>
      </w:pPr>
      <w:r>
        <w:rPr>
          <w:rFonts w:hint="eastAsia"/>
        </w:rPr>
        <w:t>动态密封指数τ&gt;6 s；</w:t>
      </w:r>
    </w:p>
    <w:p w14:paraId="64B15B02">
      <w:pPr>
        <w:pStyle w:val="7"/>
        <w:ind w:firstLine="420"/>
      </w:pPr>
      <w:r>
        <w:rPr>
          <w:rFonts w:hint="eastAsia"/>
        </w:rPr>
        <w:t>120km/h~140 km/h等级车辆在整备状态下，单节车辆关闭门窗及空调设备的对外开口时，车厢内空气压力由2100Pa降至1000Pa的时间不应小于15s。</w:t>
      </w:r>
    </w:p>
    <w:p w14:paraId="02FD484D">
      <w:pPr>
        <w:pStyle w:val="4"/>
      </w:pPr>
      <w:bookmarkStart w:id="181" w:name="_Toc183765062"/>
      <w:bookmarkStart w:id="182" w:name="_Toc183882053"/>
      <w:bookmarkStart w:id="183" w:name="_Toc183888105"/>
      <w:bookmarkStart w:id="184" w:name="_Toc183882415"/>
      <w:bookmarkStart w:id="185" w:name="_Toc183888467"/>
      <w:bookmarkStart w:id="186" w:name="_Toc168061183"/>
      <w:bookmarkStart w:id="187" w:name="_Toc168059374"/>
      <w:bookmarkStart w:id="188" w:name="_Toc183790492"/>
      <w:bookmarkStart w:id="189" w:name="_Toc168061630"/>
      <w:bookmarkStart w:id="190" w:name="_Toc183683489"/>
      <w:bookmarkStart w:id="191" w:name="_Toc168415151"/>
      <w:r>
        <w:t>车辆各主要部件及系统</w:t>
      </w:r>
      <w:bookmarkEnd w:id="181"/>
      <w:bookmarkEnd w:id="182"/>
      <w:bookmarkEnd w:id="183"/>
      <w:bookmarkEnd w:id="184"/>
      <w:bookmarkEnd w:id="185"/>
      <w:bookmarkEnd w:id="186"/>
      <w:bookmarkEnd w:id="187"/>
      <w:bookmarkEnd w:id="188"/>
      <w:bookmarkEnd w:id="189"/>
      <w:bookmarkEnd w:id="190"/>
      <w:bookmarkEnd w:id="191"/>
    </w:p>
    <w:p w14:paraId="49CB6D04">
      <w:pPr>
        <w:pStyle w:val="5"/>
      </w:pPr>
      <w:r>
        <w:t>车体及内装设备应符合下列规定：</w:t>
      </w:r>
    </w:p>
    <w:p w14:paraId="1C221164">
      <w:pPr>
        <w:pStyle w:val="7"/>
        <w:ind w:firstLine="420"/>
      </w:pPr>
      <w:r>
        <w:rPr>
          <w:rFonts w:hint="eastAsia"/>
        </w:rPr>
        <w:t>最高运行速度＜120km/h的</w:t>
      </w:r>
      <w:r>
        <w:t>车体应采用高强度</w:t>
      </w:r>
      <w:r>
        <w:rPr>
          <w:rFonts w:hint="eastAsia"/>
        </w:rPr>
        <w:t>免</w:t>
      </w:r>
      <w:r>
        <w:t>涂装不锈钢或铝合金材料；</w:t>
      </w:r>
      <w:r>
        <w:rPr>
          <w:rFonts w:hint="eastAsia"/>
        </w:rPr>
        <w:t>最高运行速度≥120km/h的车体应采用高强度铝合金材料。车体</w:t>
      </w:r>
      <w:r>
        <w:t>应采用整体承载结构，满足受力要求</w:t>
      </w:r>
      <w:r>
        <w:rPr>
          <w:rFonts w:hint="eastAsia"/>
        </w:rPr>
        <w:t>；</w:t>
      </w:r>
    </w:p>
    <w:p w14:paraId="6201F920">
      <w:pPr>
        <w:pStyle w:val="7"/>
        <w:ind w:firstLine="420"/>
      </w:pPr>
      <w:r>
        <w:t>车体之间应采用贯通通道，由渡板和风档组成，宽度B型车宜不小于1300mm，A型车宜不小于1500mm；高度应不小于1900mm</w:t>
      </w:r>
      <w:r>
        <w:rPr>
          <w:rFonts w:hint="eastAsia"/>
        </w:rPr>
        <w:t>；</w:t>
      </w:r>
    </w:p>
    <w:p w14:paraId="00BF2BA0">
      <w:pPr>
        <w:pStyle w:val="7"/>
        <w:ind w:firstLine="420"/>
      </w:pPr>
      <w:bookmarkStart w:id="192" w:name="OLE_LINK8"/>
      <w:r>
        <w:rPr>
          <w:rFonts w:hint="eastAsia"/>
        </w:rPr>
        <w:t>客室侧门的开闭宜采用电气控制方式，并宜以电力或压缩空气为动力，其传动和控制应安全可靠。客室侧门应具有车门闭锁装置，行驶中车门的锁闭应无误。单个侧门应具有系统隔离功能，在发生故障时应具有机械切除功能，且不应影响系统指令，还应具有在客室内手动操作解锁开闭车门的功能；</w:t>
      </w:r>
    </w:p>
    <w:bookmarkEnd w:id="192"/>
    <w:p w14:paraId="40F95B49">
      <w:pPr>
        <w:pStyle w:val="7"/>
        <w:ind w:firstLine="420"/>
      </w:pPr>
      <w:r>
        <w:t>车辆应设</w:t>
      </w:r>
      <w:r>
        <w:rPr>
          <w:rFonts w:hint="eastAsia"/>
        </w:rPr>
        <w:t>有</w:t>
      </w:r>
      <w:r>
        <w:t>架车支座、车体吊装座，并应标注允许架车、起吊的位置</w:t>
      </w:r>
      <w:r>
        <w:rPr>
          <w:rFonts w:hint="eastAsia"/>
        </w:rPr>
        <w:t>；</w:t>
      </w:r>
    </w:p>
    <w:p w14:paraId="392FE845">
      <w:pPr>
        <w:pStyle w:val="7"/>
        <w:ind w:firstLine="420"/>
      </w:pPr>
      <w:r>
        <w:t>客室内应布置适量的客室座椅，座椅形状满足人体工程学要求</w:t>
      </w:r>
      <w:r>
        <w:rPr>
          <w:rFonts w:hint="eastAsia"/>
        </w:rPr>
        <w:t>；</w:t>
      </w:r>
    </w:p>
    <w:p w14:paraId="7DEE81D2">
      <w:pPr>
        <w:pStyle w:val="7"/>
        <w:ind w:firstLine="420"/>
      </w:pPr>
      <w:r>
        <w:t>客室内应设置数量足够，牢固美观的立柱、扶手杆，并加装适量的吊环</w:t>
      </w:r>
      <w:r>
        <w:rPr>
          <w:rFonts w:hint="eastAsia"/>
        </w:rPr>
        <w:t>；</w:t>
      </w:r>
    </w:p>
    <w:p w14:paraId="41F73E90">
      <w:pPr>
        <w:pStyle w:val="7"/>
        <w:ind w:firstLine="420"/>
      </w:pPr>
      <w:r>
        <w:t>客室应有足够的灯光照明，在距地板面高800mm处的照度平均值不应低于200</w:t>
      </w:r>
      <w:r>
        <w:rPr>
          <w:rFonts w:hint="eastAsia"/>
        </w:rPr>
        <w:t xml:space="preserve"> </w:t>
      </w:r>
      <w:r>
        <w:t>lx。在正常供电中断时，</w:t>
      </w:r>
      <w:r>
        <w:rPr>
          <w:rFonts w:hint="eastAsia"/>
        </w:rPr>
        <w:t>应</w:t>
      </w:r>
      <w:r>
        <w:t>备有紧急照明，其照度不应低于</w:t>
      </w:r>
      <w:r>
        <w:rPr>
          <w:rFonts w:hint="eastAsia"/>
        </w:rPr>
        <w:t>6</w:t>
      </w:r>
      <w:r>
        <w:t>0</w:t>
      </w:r>
      <w:r>
        <w:rPr>
          <w:rFonts w:hint="eastAsia"/>
        </w:rPr>
        <w:t xml:space="preserve"> </w:t>
      </w:r>
      <w:r>
        <w:t>lx</w:t>
      </w:r>
      <w:r>
        <w:rPr>
          <w:rFonts w:hint="eastAsia"/>
        </w:rPr>
        <w:t>；</w:t>
      </w:r>
    </w:p>
    <w:p w14:paraId="4527FC18">
      <w:pPr>
        <w:pStyle w:val="7"/>
        <w:ind w:firstLine="420"/>
      </w:pPr>
      <w:r>
        <w:t>每列车中</w:t>
      </w:r>
      <w:r>
        <w:rPr>
          <w:rFonts w:hint="eastAsia"/>
        </w:rPr>
        <w:t>宜</w:t>
      </w:r>
      <w:r>
        <w:t>至少设置</w:t>
      </w:r>
      <w:r>
        <w:rPr>
          <w:rFonts w:hint="eastAsia"/>
        </w:rPr>
        <w:t>两</w:t>
      </w:r>
      <w:r>
        <w:t>处轮椅专用位置</w:t>
      </w:r>
      <w:r>
        <w:rPr>
          <w:rFonts w:hint="eastAsia"/>
        </w:rPr>
        <w:t>，</w:t>
      </w:r>
      <w:r>
        <w:t>并应有乘轮椅者适用的抓握或固定装置。</w:t>
      </w:r>
    </w:p>
    <w:p w14:paraId="29FF0022">
      <w:pPr>
        <w:pStyle w:val="5"/>
      </w:pPr>
      <w:r>
        <w:t>转向架应符合下列规定：</w:t>
      </w:r>
    </w:p>
    <w:p w14:paraId="36B4E2E8">
      <w:pPr>
        <w:pStyle w:val="7"/>
        <w:ind w:firstLine="420"/>
      </w:pPr>
      <w:r>
        <w:t>采用无摇枕两系悬挂两轴转向架</w:t>
      </w:r>
      <w:r>
        <w:rPr>
          <w:rFonts w:hint="eastAsia"/>
        </w:rPr>
        <w:t>；</w:t>
      </w:r>
    </w:p>
    <w:p w14:paraId="5471ADDB">
      <w:pPr>
        <w:pStyle w:val="7"/>
        <w:ind w:firstLine="420"/>
      </w:pPr>
      <w:r>
        <w:t>转向架应分为两种结构相似的动车转向架和拖车转向架，且均为焊接结构的无摇枕转向架。两种转向架应采用相同的轴箱定位装置</w:t>
      </w:r>
      <w:r>
        <w:rPr>
          <w:rFonts w:hint="eastAsia"/>
        </w:rPr>
        <w:t>；</w:t>
      </w:r>
    </w:p>
    <w:p w14:paraId="282780A7">
      <w:pPr>
        <w:pStyle w:val="7"/>
        <w:ind w:firstLine="420"/>
      </w:pPr>
      <w:r>
        <w:t>车轮采用整体碾钢轮，其踏面形状应符合现行</w:t>
      </w:r>
      <w:r>
        <w:rPr>
          <w:rFonts w:hint="eastAsia"/>
        </w:rPr>
        <w:t>《机车车辆车轮轮缘踏面外形》</w:t>
      </w:r>
      <w:r>
        <w:t>TB/T449的</w:t>
      </w:r>
      <w:r>
        <w:rPr>
          <w:rFonts w:hint="eastAsia"/>
        </w:rPr>
        <w:t>规定</w:t>
      </w:r>
      <w:r>
        <w:t>。车轮的材质和硬度应与轨道的参数相匹配。</w:t>
      </w:r>
    </w:p>
    <w:p w14:paraId="0E7F5532">
      <w:pPr>
        <w:pStyle w:val="5"/>
      </w:pPr>
      <w:r>
        <w:t>电气</w:t>
      </w:r>
      <w:r>
        <w:rPr>
          <w:rFonts w:hint="eastAsia"/>
        </w:rPr>
        <w:t>牵引</w:t>
      </w:r>
      <w:r>
        <w:t>系统应符合下列规定：</w:t>
      </w:r>
    </w:p>
    <w:p w14:paraId="45F4206D">
      <w:pPr>
        <w:pStyle w:val="7"/>
        <w:ind w:firstLine="420"/>
      </w:pPr>
      <w:r>
        <w:t>应采用变压变频(VVVF)控制的交流传动系统，以及矢量控制或直接力矩控制方式，具有牵引再生制动的功能；</w:t>
      </w:r>
    </w:p>
    <w:p w14:paraId="418CD774">
      <w:pPr>
        <w:pStyle w:val="7"/>
        <w:ind w:firstLine="420"/>
      </w:pPr>
      <w:r>
        <w:t>应采用电制动与空气制动混合的控制方式。应优先采用电制动，当电制动力不足或失效时，由空气制动补足或替代。电制动与空气制动的过渡应平滑</w:t>
      </w:r>
      <w:r>
        <w:rPr>
          <w:rFonts w:hint="eastAsia"/>
        </w:rPr>
        <w:t>无冲动并满足列车纵向冲击率的要求；</w:t>
      </w:r>
    </w:p>
    <w:p w14:paraId="53325F85">
      <w:pPr>
        <w:pStyle w:val="7"/>
        <w:ind w:firstLine="420"/>
      </w:pPr>
      <w:r>
        <w:rPr>
          <w:rFonts w:hint="eastAsia"/>
        </w:rPr>
        <w:t>列车未设置车载制动电阻时，</w:t>
      </w:r>
      <w:bookmarkStart w:id="193" w:name="_Hlk183248771"/>
      <w:r>
        <w:rPr>
          <w:rFonts w:hint="eastAsia"/>
        </w:rPr>
        <w:t>离车设置的制动电阻或其他储能装置</w:t>
      </w:r>
      <w:bookmarkEnd w:id="193"/>
      <w:r>
        <w:rPr>
          <w:rFonts w:hint="eastAsia"/>
        </w:rPr>
        <w:t>应确保电制动效果</w:t>
      </w:r>
      <w:r>
        <w:t>；</w:t>
      </w:r>
    </w:p>
    <w:p w14:paraId="4E875E1D">
      <w:pPr>
        <w:pStyle w:val="7"/>
        <w:ind w:firstLine="420"/>
      </w:pPr>
      <w:r>
        <w:t>应具</w:t>
      </w:r>
      <w:r>
        <w:rPr>
          <w:rFonts w:hint="eastAsia"/>
        </w:rPr>
        <w:t>备</w:t>
      </w:r>
      <w:r>
        <w:t>自诊断功能以及完整的监控和保护功能；</w:t>
      </w:r>
    </w:p>
    <w:p w14:paraId="3A324E7C">
      <w:pPr>
        <w:pStyle w:val="7"/>
        <w:ind w:firstLine="420"/>
      </w:pPr>
      <w:r>
        <w:rPr>
          <w:rFonts w:hint="eastAsia"/>
        </w:rPr>
        <w:t>宜</w:t>
      </w:r>
      <w:r>
        <w:t>采用三相交流异步电动机或永磁同步电机，自通风或强迫风冷方式，并具有良好的空气滤尘功能；</w:t>
      </w:r>
    </w:p>
    <w:p w14:paraId="36F9BD9E">
      <w:pPr>
        <w:pStyle w:val="7"/>
        <w:ind w:firstLine="420"/>
      </w:pPr>
      <w:r>
        <w:rPr>
          <w:rFonts w:hint="eastAsia"/>
        </w:rPr>
        <w:t>应</w:t>
      </w:r>
      <w:r>
        <w:t>具有防空转/滑行控制功能；</w:t>
      </w:r>
    </w:p>
    <w:p w14:paraId="25EC36AF">
      <w:pPr>
        <w:pStyle w:val="7"/>
        <w:ind w:firstLine="420"/>
      </w:pPr>
      <w:r>
        <w:t>应具有良好的电磁兼容性，电磁兼容应满足</w:t>
      </w:r>
      <w:r>
        <w:rPr>
          <w:rFonts w:hint="eastAsia"/>
        </w:rPr>
        <w:t>《轨道交通 电磁兼容》</w:t>
      </w:r>
      <w:r>
        <w:rPr>
          <w:rFonts w:hint="eastAsia" w:ascii="宋体" w:hAnsi="宋体"/>
        </w:rPr>
        <w:t>GB/T 24338</w:t>
      </w:r>
      <w:r>
        <w:t>或其他相关的标准</w:t>
      </w:r>
      <w:r>
        <w:rPr>
          <w:rFonts w:hint="eastAsia"/>
        </w:rPr>
        <w:t>；</w:t>
      </w:r>
    </w:p>
    <w:p w14:paraId="71FA9AB5">
      <w:pPr>
        <w:pStyle w:val="7"/>
        <w:ind w:firstLine="420"/>
      </w:pPr>
      <w:r>
        <w:rPr>
          <w:rFonts w:hint="eastAsia"/>
        </w:rPr>
        <w:t>120km/h及以上速度列车，电气牵引系统应满足《城市轨道交通市域快线120km∕h～160km∕h车辆通用技术条件》</w:t>
      </w:r>
      <w:r>
        <w:rPr>
          <w:rFonts w:hint="eastAsia" w:ascii="宋体" w:hAnsi="宋体"/>
        </w:rPr>
        <w:t>GB/T 37532</w:t>
      </w:r>
      <w:r>
        <w:rPr>
          <w:rFonts w:hint="eastAsia"/>
        </w:rPr>
        <w:t>及《市域（郊）铁路设计规范》</w:t>
      </w:r>
      <w:r>
        <w:rPr>
          <w:rFonts w:hint="eastAsia" w:ascii="宋体" w:hAnsi="宋体"/>
        </w:rPr>
        <w:t>TB 10624</w:t>
      </w:r>
      <w:r>
        <w:rPr>
          <w:rFonts w:hint="eastAsia"/>
        </w:rPr>
        <w:t>的要求。</w:t>
      </w:r>
    </w:p>
    <w:p w14:paraId="360E085E">
      <w:pPr>
        <w:pStyle w:val="5"/>
      </w:pPr>
      <w:r>
        <w:t>辅助电源系统应符合下列规定：</w:t>
      </w:r>
    </w:p>
    <w:p w14:paraId="5363C64E">
      <w:pPr>
        <w:pStyle w:val="7"/>
        <w:ind w:firstLine="420"/>
      </w:pPr>
      <w:r>
        <w:t>辅助电源应包括静止逆变器和蓄电池组，其输出能力应满足列车辅助系统各种负载工况的用电要求；</w:t>
      </w:r>
    </w:p>
    <w:p w14:paraId="35BB751B">
      <w:pPr>
        <w:pStyle w:val="7"/>
        <w:ind w:firstLine="420"/>
      </w:pPr>
      <w:r>
        <w:t>逆变器</w:t>
      </w:r>
      <w:r>
        <w:rPr>
          <w:rFonts w:hint="eastAsia"/>
        </w:rPr>
        <w:t>应</w:t>
      </w:r>
      <w:r>
        <w:t>输出交流正弦波电压，三相380V和单相220V，频率为50Hz；充电器输出直流电压为110V和24V；</w:t>
      </w:r>
    </w:p>
    <w:p w14:paraId="73884D52">
      <w:pPr>
        <w:pStyle w:val="7"/>
        <w:ind w:firstLine="420"/>
      </w:pPr>
      <w:r>
        <w:t>系统应具有自诊断和故障记录功能，并能在司机室显示屏上显示系统状态及故障信息；</w:t>
      </w:r>
    </w:p>
    <w:p w14:paraId="4F0B2BB0">
      <w:pPr>
        <w:pStyle w:val="7"/>
        <w:ind w:firstLine="420"/>
      </w:pPr>
      <w:r>
        <w:t>静止逆变器应具有冗余能力，当一台逆变器故障时，</w:t>
      </w:r>
      <w:r>
        <w:rPr>
          <w:rFonts w:hint="eastAsia"/>
        </w:rPr>
        <w:t>其余</w:t>
      </w:r>
      <w:r>
        <w:t>静止逆变器应能承担列车减载后的负荷；</w:t>
      </w:r>
    </w:p>
    <w:p w14:paraId="7A97E42A">
      <w:pPr>
        <w:pStyle w:val="7"/>
        <w:ind w:firstLine="420"/>
      </w:pPr>
      <w:r>
        <w:rPr>
          <w:rFonts w:hint="eastAsia"/>
        </w:rPr>
        <w:t>车辆宜设置</w:t>
      </w:r>
      <w:bookmarkStart w:id="194" w:name="_Hlk183249313"/>
      <w:r>
        <w:rPr>
          <w:rFonts w:hint="eastAsia"/>
        </w:rPr>
        <w:t>蓄电池在线管理系统</w:t>
      </w:r>
      <w:bookmarkEnd w:id="194"/>
      <w:r>
        <w:rPr>
          <w:rFonts w:hint="eastAsia"/>
        </w:rPr>
        <w:t>，蓄电池容量应能满足列车任何工况时的需要，应能够保证车辆在故障情况下的应急照明、外部照明、车载安全设备、广播、通讯、应急通风等工作不低于45min；紧急疏散时，采用电动客室车门的车辆还应满足紧急开闭一次客室车门的用电需求。</w:t>
      </w:r>
    </w:p>
    <w:p w14:paraId="3019084F">
      <w:pPr>
        <w:pStyle w:val="5"/>
      </w:pPr>
      <w:r>
        <w:t>列车控制及监控系统应符合下列规定：</w:t>
      </w:r>
    </w:p>
    <w:p w14:paraId="4B608BA6">
      <w:pPr>
        <w:pStyle w:val="7"/>
        <w:ind w:firstLine="420"/>
      </w:pPr>
      <w:r>
        <w:rPr>
          <w:rFonts w:hint="eastAsia"/>
        </w:rPr>
        <w:t>系统应具有对列车及其辅助设备的控制功能并兼有车辆运行和故障信息自动采集、记录和显示的功能，可通过读出器将数据读出和打印，断电后数据存储期宜不小于6个月；</w:t>
      </w:r>
    </w:p>
    <w:p w14:paraId="51DA4E0C">
      <w:pPr>
        <w:pStyle w:val="7"/>
        <w:ind w:firstLine="420"/>
      </w:pPr>
      <w:r>
        <w:t>系统应具有强抗干扰能力、高可靠性和冗余性；</w:t>
      </w:r>
    </w:p>
    <w:p w14:paraId="3EF10E08">
      <w:pPr>
        <w:pStyle w:val="7"/>
        <w:ind w:firstLine="420"/>
      </w:pPr>
      <w:r>
        <w:t>列车宜采用总线控制方式。</w:t>
      </w:r>
    </w:p>
    <w:p w14:paraId="40B4236B">
      <w:pPr>
        <w:pStyle w:val="5"/>
      </w:pPr>
      <w:r>
        <w:t>空气制动和风源系统应符合下列规定：</w:t>
      </w:r>
    </w:p>
    <w:p w14:paraId="59BFA9E5">
      <w:pPr>
        <w:pStyle w:val="7"/>
        <w:ind w:firstLine="420"/>
      </w:pPr>
      <w:r>
        <w:t>应采用微机控制的数字或模拟式电－空制动系统，在司机控制器、ATO或ATP的控制下对列车进行阶段或一次的制动与缓解；</w:t>
      </w:r>
    </w:p>
    <w:p w14:paraId="28E590DB">
      <w:pPr>
        <w:pStyle w:val="7"/>
        <w:ind w:firstLine="420"/>
      </w:pPr>
      <w:r>
        <w:t>列车制动应采用电制动与空气制动协调配合的混合制动方式，基础制动采用单元制动装置，并带有停放制动功能；</w:t>
      </w:r>
    </w:p>
    <w:p w14:paraId="09F2F329">
      <w:pPr>
        <w:pStyle w:val="7"/>
        <w:ind w:firstLine="420"/>
      </w:pPr>
      <w:r>
        <w:t>列车应具有事故导向安全的紧急制动系统，紧急制动完全由空气制动承担；</w:t>
      </w:r>
    </w:p>
    <w:p w14:paraId="486717F4">
      <w:pPr>
        <w:pStyle w:val="7"/>
        <w:ind w:firstLine="420"/>
      </w:pPr>
      <w:r>
        <w:t>列车应有两台或两台以上独立的电动空气压缩机组，每台机组经列车总管相连通，总能力应满足列车各种工况的用风要求，并留有裕度。当一台机组失效时，其余的</w:t>
      </w:r>
      <w:r>
        <w:rPr>
          <w:rFonts w:hint="eastAsia"/>
        </w:rPr>
        <w:t>空气</w:t>
      </w:r>
      <w:r>
        <w:t>压缩机组应能满足整列车的供气要求；</w:t>
      </w:r>
    </w:p>
    <w:p w14:paraId="360EBDFD">
      <w:pPr>
        <w:pStyle w:val="7"/>
        <w:ind w:firstLine="420"/>
      </w:pPr>
      <w:r>
        <w:t>停放制动应能保证超员列车安全地停放在正线的最大坡道上，每列1/2车单元制动应具有停车制动功能。</w:t>
      </w:r>
    </w:p>
    <w:p w14:paraId="6E9B5E49">
      <w:pPr>
        <w:pStyle w:val="5"/>
      </w:pPr>
      <w:r>
        <w:t>列车广播及乘客信息显示应符合下列规定：</w:t>
      </w:r>
    </w:p>
    <w:p w14:paraId="597D0C61">
      <w:pPr>
        <w:pStyle w:val="7"/>
        <w:ind w:firstLine="420"/>
      </w:pPr>
      <w:r>
        <w:t>列车广播应具有全自动播放、半自动播放、人工播放三种工作模式；具有两端司机对讲、广播的输出控制、客室紧急报警和对讲、客室广播音量自动调整功能；</w:t>
      </w:r>
    </w:p>
    <w:p w14:paraId="2D50DACD">
      <w:pPr>
        <w:pStyle w:val="7"/>
        <w:ind w:firstLine="420"/>
      </w:pPr>
      <w:bookmarkStart w:id="195" w:name="_Hlk183160535"/>
      <w:r>
        <w:rPr>
          <w:rFonts w:hint="eastAsia"/>
        </w:rPr>
        <w:t>列车两端的司机室前部应设置运行区段显示装置</w:t>
      </w:r>
      <w:bookmarkEnd w:id="195"/>
      <w:r>
        <w:t>；</w:t>
      </w:r>
    </w:p>
    <w:p w14:paraId="11E6C417">
      <w:pPr>
        <w:pStyle w:val="7"/>
        <w:ind w:firstLine="420"/>
      </w:pPr>
      <w:r>
        <w:rPr>
          <w:rFonts w:hint="eastAsia"/>
        </w:rPr>
        <w:t>列车应设置用于显示线路、站点、车站导向标志等信息的乘客服务设施</w:t>
      </w:r>
      <w:r>
        <w:t>。</w:t>
      </w:r>
    </w:p>
    <w:p w14:paraId="5CFD631F">
      <w:pPr>
        <w:pStyle w:val="5"/>
      </w:pPr>
      <w:r>
        <w:t>车辆空调应符合下列规定：</w:t>
      </w:r>
    </w:p>
    <w:p w14:paraId="7FD08203">
      <w:pPr>
        <w:pStyle w:val="7"/>
        <w:ind w:firstLine="420"/>
      </w:pPr>
      <w:r>
        <w:rPr>
          <w:rFonts w:hint="eastAsia"/>
        </w:rPr>
        <w:t>车辆宜设置变频空调机组。车辆空调制冷能力，应满足在环境温度为33℃时，客室温度不高于27℃±1℃；</w:t>
      </w:r>
    </w:p>
    <w:p w14:paraId="7D18A08D">
      <w:pPr>
        <w:pStyle w:val="7"/>
        <w:ind w:firstLine="420"/>
      </w:pPr>
      <w:r>
        <w:t>新鲜空气的最小供给量：制冷时司机室人均新风量应不少于30m</w:t>
      </w:r>
      <w:r>
        <w:rPr>
          <w:vertAlign w:val="superscript"/>
        </w:rPr>
        <w:t>3</w:t>
      </w:r>
      <w:r>
        <w:t>/h；</w:t>
      </w:r>
      <w:r>
        <w:rPr>
          <w:rFonts w:hint="eastAsia"/>
        </w:rPr>
        <w:t>按定员载客人数计的</w:t>
      </w:r>
      <w:r>
        <w:t>人均新风量应不少于12m</w:t>
      </w:r>
      <w:r>
        <w:rPr>
          <w:rFonts w:hint="eastAsia"/>
        </w:rPr>
        <w:t>³</w:t>
      </w:r>
      <w:r>
        <w:t>/h；紧急通风人均通风量应不少于</w:t>
      </w:r>
      <w:r>
        <w:rPr>
          <w:rFonts w:hint="eastAsia"/>
        </w:rPr>
        <w:t>8</w:t>
      </w:r>
      <w:r>
        <w:t>m</w:t>
      </w:r>
      <w:r>
        <w:rPr>
          <w:rFonts w:hint="eastAsia"/>
        </w:rPr>
        <w:t>³</w:t>
      </w:r>
      <w:r>
        <w:t>/h</w:t>
      </w:r>
      <w:r>
        <w:rPr>
          <w:rFonts w:hint="eastAsia"/>
        </w:rPr>
        <w:t>；</w:t>
      </w:r>
    </w:p>
    <w:p w14:paraId="34D43DFB">
      <w:pPr>
        <w:pStyle w:val="7"/>
        <w:ind w:firstLine="420"/>
      </w:pPr>
      <w:r>
        <w:t>客室、司机室宜设采暖设备。</w:t>
      </w:r>
    </w:p>
    <w:p w14:paraId="4D5A8A4B">
      <w:pPr>
        <w:pStyle w:val="5"/>
      </w:pPr>
      <w:r>
        <w:t>列车应装配无线电台通信设备。</w:t>
      </w:r>
    </w:p>
    <w:p w14:paraId="25783D5C">
      <w:pPr>
        <w:pStyle w:val="4"/>
      </w:pPr>
      <w:bookmarkStart w:id="196" w:name="_Toc183765063"/>
      <w:bookmarkStart w:id="197" w:name="_Toc183882054"/>
      <w:bookmarkStart w:id="198" w:name="_Toc183882416"/>
      <w:bookmarkStart w:id="199" w:name="_Toc183888106"/>
      <w:bookmarkStart w:id="200" w:name="_Toc183888468"/>
      <w:bookmarkStart w:id="201" w:name="_Toc168061631"/>
      <w:bookmarkStart w:id="202" w:name="_Toc183790493"/>
      <w:bookmarkStart w:id="203" w:name="_Toc183683490"/>
      <w:bookmarkStart w:id="204" w:name="_Toc168415152"/>
      <w:bookmarkStart w:id="205" w:name="_Toc168061184"/>
      <w:bookmarkStart w:id="206" w:name="_Toc168059375"/>
      <w:r>
        <w:t>安全与应急设施</w:t>
      </w:r>
      <w:bookmarkEnd w:id="196"/>
      <w:bookmarkEnd w:id="197"/>
      <w:bookmarkEnd w:id="198"/>
      <w:bookmarkEnd w:id="199"/>
      <w:bookmarkEnd w:id="200"/>
      <w:bookmarkEnd w:id="201"/>
      <w:bookmarkEnd w:id="202"/>
      <w:bookmarkEnd w:id="203"/>
      <w:bookmarkEnd w:id="204"/>
      <w:bookmarkEnd w:id="205"/>
      <w:bookmarkEnd w:id="206"/>
    </w:p>
    <w:p w14:paraId="10D6AB4C">
      <w:pPr>
        <w:pStyle w:val="5"/>
      </w:pPr>
      <w:r>
        <w:rPr>
          <w:rFonts w:hint="eastAsia"/>
        </w:rPr>
        <w:t>车辆应具有良好的防火性能。车辆结构材料、零部件应采用高阻燃或难燃材料制造；车辆上的所有电线、电缆均应低烟、无卤、阻燃。车辆材料的防火要求应符合</w:t>
      </w:r>
      <w:r>
        <w:t>《地铁车辆通用技术条件》</w:t>
      </w:r>
      <w:r>
        <w:rPr>
          <w:rFonts w:hint="eastAsia"/>
        </w:rPr>
        <w:t>GB/T7928要求。</w:t>
      </w:r>
    </w:p>
    <w:p w14:paraId="167630EB">
      <w:pPr>
        <w:pStyle w:val="5"/>
      </w:pPr>
      <w:r>
        <w:t>车辆客室及司机室内均应配置报警及灭火设施。安放位置应有明显标识并便于取用。</w:t>
      </w:r>
    </w:p>
    <w:p w14:paraId="4F3F6496">
      <w:pPr>
        <w:pStyle w:val="5"/>
      </w:pPr>
      <w:r>
        <w:t>列车端部车辆应设置疏散专用端门和配置下车设施，端门的宽度应不小于600mm，高度不小于1800mm。</w:t>
      </w:r>
    </w:p>
    <w:p w14:paraId="4E02B7B1">
      <w:pPr>
        <w:pStyle w:val="5"/>
      </w:pPr>
      <w:r>
        <w:t>列车应设有报警系统，客室内应设有乘客紧急报警装置，该报警装置应具有乘务员与乘客间双向通信功能。</w:t>
      </w:r>
    </w:p>
    <w:p w14:paraId="594DDC0A">
      <w:pPr>
        <w:pStyle w:val="5"/>
      </w:pPr>
      <w:r>
        <w:t>司机台上应设置紧急制动操纵装置，</w:t>
      </w:r>
      <w:bookmarkStart w:id="207" w:name="_Hlk183161581"/>
      <w:r>
        <w:t>司机室内应设有两个以上紧急制动</w:t>
      </w:r>
      <w:r>
        <w:rPr>
          <w:rFonts w:hint="eastAsia"/>
        </w:rPr>
        <w:t>操纵装置</w:t>
      </w:r>
      <w:r>
        <w:t>。</w:t>
      </w:r>
      <w:bookmarkEnd w:id="207"/>
    </w:p>
    <w:p w14:paraId="1AFF4433">
      <w:pPr>
        <w:pStyle w:val="5"/>
      </w:pPr>
      <w:r>
        <w:t>主控制器手柄上应设警惕按钮。</w:t>
      </w:r>
    </w:p>
    <w:p w14:paraId="4DE826D4">
      <w:pPr>
        <w:pStyle w:val="5"/>
      </w:pPr>
      <w:r>
        <w:t>司机室内应设置客室侧门开闭状态显示灯。</w:t>
      </w:r>
    </w:p>
    <w:p w14:paraId="5E2665BC">
      <w:pPr>
        <w:pStyle w:val="5"/>
      </w:pPr>
      <w:r>
        <w:t>客室车门系统应有安全联锁，确保车速大于5km/h时不能开启，车门未全关闭时不能起动列车</w:t>
      </w:r>
      <w:r>
        <w:rPr>
          <w:rFonts w:hint="eastAsia"/>
        </w:rPr>
        <w:t>客室车门。安全联锁功能应符合GB 55033及GB 50157规定</w:t>
      </w:r>
      <w:r>
        <w:t>。</w:t>
      </w:r>
    </w:p>
    <w:p w14:paraId="0219CB85">
      <w:pPr>
        <w:pStyle w:val="5"/>
      </w:pPr>
      <w:r>
        <w:t>司机室前端应装设可进行远近光变换的前照灯。前照灯在车辆前端紧急制停距离处照度不应小于21x。列车尾端外壁应设有红色防护灯。车辆侧壁可根据需要设置显示车门开闭、制动缸缓解等的指示灯。</w:t>
      </w:r>
    </w:p>
    <w:p w14:paraId="32A16836">
      <w:pPr>
        <w:pStyle w:val="5"/>
      </w:pPr>
      <w:bookmarkStart w:id="208" w:name="_Hlk183161545"/>
      <w:r>
        <w:t>列车应设置鸣笛装置</w:t>
      </w:r>
      <w:r>
        <w:rPr>
          <w:rFonts w:hint="eastAsia"/>
        </w:rPr>
        <w:t>及雨刷</w:t>
      </w:r>
      <w:r>
        <w:t>。</w:t>
      </w:r>
    </w:p>
    <w:bookmarkEnd w:id="208"/>
    <w:p w14:paraId="7527B09D">
      <w:pPr>
        <w:pStyle w:val="5"/>
      </w:pPr>
      <w:r>
        <w:t>车辆应有各种安全警告标识，包括车门防夹警示、车门防倚靠警示、紧急报警提示、车门紧急解锁操作提示、消防设备标识等。</w:t>
      </w:r>
    </w:p>
    <w:p w14:paraId="0EAF7571">
      <w:pPr>
        <w:pStyle w:val="5"/>
      </w:pPr>
      <w:r>
        <w:t>各电气设备应有可靠的保护性接地措施。</w:t>
      </w:r>
    </w:p>
    <w:p w14:paraId="7C393402">
      <w:pPr>
        <w:pStyle w:val="4"/>
      </w:pPr>
      <w:bookmarkStart w:id="209" w:name="_Toc183888469"/>
      <w:bookmarkStart w:id="210" w:name="_Toc183882055"/>
      <w:bookmarkStart w:id="211" w:name="_Toc183683491"/>
      <w:bookmarkStart w:id="212" w:name="_Toc183790494"/>
      <w:bookmarkStart w:id="213" w:name="_Toc183765064"/>
      <w:bookmarkStart w:id="214" w:name="_Toc183882417"/>
      <w:bookmarkStart w:id="215" w:name="_Toc183888107"/>
      <w:r>
        <w:rPr>
          <w:rFonts w:hint="eastAsia"/>
        </w:rPr>
        <w:t>全自动驾驶车辆</w:t>
      </w:r>
      <w:bookmarkEnd w:id="209"/>
      <w:bookmarkEnd w:id="210"/>
      <w:bookmarkEnd w:id="211"/>
      <w:bookmarkEnd w:id="212"/>
      <w:bookmarkEnd w:id="213"/>
      <w:bookmarkEnd w:id="214"/>
      <w:bookmarkEnd w:id="215"/>
    </w:p>
    <w:p w14:paraId="398D2744">
      <w:pPr>
        <w:pStyle w:val="5"/>
      </w:pPr>
      <w:r>
        <w:rPr>
          <w:rFonts w:hint="eastAsia"/>
        </w:rPr>
        <w:t>车载蓄电池应满足休眠唤醒功能模块的供电要求。</w:t>
      </w:r>
    </w:p>
    <w:p w14:paraId="77281CF6">
      <w:pPr>
        <w:pStyle w:val="5"/>
      </w:pPr>
      <w:r>
        <w:rPr>
          <w:rFonts w:hint="eastAsia"/>
        </w:rPr>
        <w:t>应设置走行部在线检测装置、障碍物探测装置，宜配置脱轨检测装置，相关监控信息应上传至控制中心或车辆基地。</w:t>
      </w:r>
    </w:p>
    <w:p w14:paraId="58EC1196">
      <w:pPr>
        <w:pStyle w:val="5"/>
      </w:pPr>
      <w:r>
        <w:rPr>
          <w:rFonts w:hint="eastAsia"/>
        </w:rPr>
        <w:t>列车端部车辆宜设置模式运行灯和动车提示灯。</w:t>
      </w:r>
    </w:p>
    <w:p w14:paraId="736B8A05">
      <w:pPr>
        <w:pStyle w:val="5"/>
      </w:pPr>
      <w:r>
        <w:rPr>
          <w:rFonts w:hint="eastAsia"/>
        </w:rPr>
        <w:t>线路有灵活编组运营需求时，车辆宜具备自动解编、重联功能。</w:t>
      </w:r>
    </w:p>
    <w:p w14:paraId="7F9ADC8C"/>
    <w:p w14:paraId="730BD513">
      <w:pPr>
        <w:pStyle w:val="3"/>
      </w:pPr>
      <w:r>
        <w:br w:type="page"/>
      </w:r>
      <w:bookmarkStart w:id="216" w:name="_Toc183699864"/>
      <w:bookmarkStart w:id="217" w:name="_Toc183882418"/>
      <w:bookmarkStart w:id="218" w:name="_Toc183683492"/>
      <w:bookmarkStart w:id="219" w:name="_Toc183735408"/>
      <w:bookmarkStart w:id="220" w:name="_Toc183790495"/>
      <w:bookmarkStart w:id="221" w:name="_Toc183888108"/>
      <w:bookmarkStart w:id="222" w:name="_Toc183888470"/>
      <w:bookmarkStart w:id="223" w:name="_Toc183765065"/>
      <w:bookmarkStart w:id="224" w:name="_Toc183882056"/>
      <w:r>
        <w:rPr>
          <w:rFonts w:hint="eastAsia"/>
        </w:rPr>
        <w:t>限</w:t>
      </w:r>
      <w:bookmarkStart w:id="225" w:name="_Hlk175660359"/>
      <w:r>
        <w:t xml:space="preserve">    </w:t>
      </w:r>
      <w:bookmarkEnd w:id="225"/>
      <w:r>
        <w:rPr>
          <w:rFonts w:hint="eastAsia"/>
        </w:rPr>
        <w:t>界</w:t>
      </w:r>
      <w:bookmarkEnd w:id="216"/>
      <w:bookmarkEnd w:id="217"/>
      <w:bookmarkEnd w:id="218"/>
      <w:bookmarkEnd w:id="219"/>
      <w:bookmarkEnd w:id="220"/>
      <w:bookmarkEnd w:id="221"/>
      <w:bookmarkEnd w:id="222"/>
      <w:bookmarkEnd w:id="223"/>
      <w:bookmarkEnd w:id="224"/>
    </w:p>
    <w:p w14:paraId="27FA4199">
      <w:pPr>
        <w:pStyle w:val="4"/>
      </w:pPr>
      <w:bookmarkStart w:id="226" w:name="_Toc357929314"/>
      <w:bookmarkStart w:id="227" w:name="_Toc183790496"/>
      <w:bookmarkStart w:id="228" w:name="_Toc183765066"/>
      <w:bookmarkStart w:id="229" w:name="_Toc183882419"/>
      <w:bookmarkStart w:id="230" w:name="_Toc183888109"/>
      <w:bookmarkStart w:id="231" w:name="_Toc183888471"/>
      <w:bookmarkStart w:id="232" w:name="_Toc183882057"/>
      <w:r>
        <w:rPr>
          <w:rFonts w:hint="eastAsia"/>
        </w:rPr>
        <w:t>一般规定</w:t>
      </w:r>
      <w:bookmarkEnd w:id="226"/>
      <w:bookmarkEnd w:id="227"/>
      <w:bookmarkEnd w:id="228"/>
      <w:bookmarkEnd w:id="229"/>
      <w:bookmarkEnd w:id="230"/>
      <w:bookmarkEnd w:id="231"/>
      <w:bookmarkEnd w:id="232"/>
    </w:p>
    <w:p w14:paraId="46B3629F">
      <w:pPr>
        <w:pStyle w:val="5"/>
      </w:pPr>
      <w:r>
        <w:rPr>
          <w:rFonts w:hint="eastAsia"/>
        </w:rPr>
        <w:t>限界坐标系应为正交于轨道所在平面的直角坐标，应以直线地段通过两钢轨轨顶中心连线的中点引出的水平坐标轴为水平轴，以</w:t>
      </w:r>
      <w:r>
        <w:rPr>
          <w:i/>
          <w:iCs/>
        </w:rPr>
        <w:t>Y</w:t>
      </w:r>
      <w:r>
        <w:rPr>
          <w:rFonts w:hint="eastAsia"/>
        </w:rPr>
        <w:t>表示；应以通过该中点垂直于水平轴的坐标轴为垂直轴，以</w:t>
      </w:r>
      <w:r>
        <w:rPr>
          <w:i/>
          <w:iCs/>
        </w:rPr>
        <w:t>Z</w:t>
      </w:r>
      <w:r>
        <w:rPr>
          <w:rFonts w:hint="eastAsia"/>
        </w:rPr>
        <w:t>表示。</w:t>
      </w:r>
    </w:p>
    <w:p w14:paraId="6ADB5802">
      <w:pPr>
        <w:pStyle w:val="5"/>
      </w:pPr>
      <w:r>
        <w:rPr>
          <w:rFonts w:hint="eastAsia"/>
        </w:rPr>
        <w:t>车辆限界应按隧道内车辆限界和隧道外车辆限界分别计算，并区分区间车辆限界、站台计算长度内车辆限界和车辆综合基地内车辆限界。</w:t>
      </w:r>
    </w:p>
    <w:p w14:paraId="7BCC344B">
      <w:pPr>
        <w:pStyle w:val="5"/>
      </w:pPr>
      <w:r>
        <w:rPr>
          <w:rFonts w:hint="eastAsia"/>
        </w:rPr>
        <w:t>建筑限界不应包括测量误差、施工误差、结构沉降和位移变形等因素。</w:t>
      </w:r>
    </w:p>
    <w:p w14:paraId="63FF0CEB">
      <w:pPr>
        <w:pStyle w:val="5"/>
      </w:pPr>
      <w:r>
        <w:rPr>
          <w:rFonts w:hint="eastAsia"/>
        </w:rPr>
        <w:t>区间直线地段，当相邻两线间无墙、柱、纵向辅助疏散平台或设备时，两相邻线路的最小线间距宜为</w:t>
      </w:r>
      <w:r>
        <w:t>A</w:t>
      </w:r>
      <w:r>
        <w:rPr>
          <w:rFonts w:hint="eastAsia"/>
        </w:rPr>
        <w:t>型车</w:t>
      </w:r>
      <w:r>
        <w:t>3800mm</w:t>
      </w:r>
      <w:r>
        <w:rPr>
          <w:rFonts w:hint="eastAsia"/>
        </w:rPr>
        <w:t>、</w:t>
      </w:r>
      <w:r>
        <w:t>B</w:t>
      </w:r>
      <w:r>
        <w:rPr>
          <w:rFonts w:hint="eastAsia"/>
        </w:rPr>
        <w:t>型车</w:t>
      </w:r>
      <w:r>
        <w:t>3600mm</w:t>
      </w:r>
      <w:r>
        <w:rPr>
          <w:rFonts w:hint="eastAsia"/>
        </w:rPr>
        <w:t>。</w:t>
      </w:r>
    </w:p>
    <w:p w14:paraId="4A9F6DF6">
      <w:pPr>
        <w:pStyle w:val="5"/>
      </w:pPr>
      <w:r>
        <w:rPr>
          <w:rFonts w:hint="eastAsia"/>
        </w:rPr>
        <w:t>载客运营的地下区间应设置纵向辅助疏散平台。</w:t>
      </w:r>
      <w:r>
        <w:t> </w:t>
      </w:r>
      <w:r>
        <w:rPr>
          <w:rFonts w:hint="eastAsia"/>
        </w:rPr>
        <w:t>建筑限界应包容该平台所必须的净空尺寸。载客运营轨道区的道床面应满足人员疏散行走的要求，道床面应平整、连续、无障碍物。</w:t>
      </w:r>
    </w:p>
    <w:p w14:paraId="614A40FE">
      <w:pPr>
        <w:pStyle w:val="5"/>
      </w:pPr>
      <w:r>
        <w:rPr>
          <w:rFonts w:hint="eastAsia"/>
        </w:rPr>
        <w:t>设备限界按所处地段分为直线设备限界和曲线设备限界。直线设备限界应符合本规范附录</w:t>
      </w:r>
      <w:r>
        <w:t>A</w:t>
      </w:r>
      <w:r>
        <w:rPr>
          <w:rFonts w:hint="eastAsia"/>
        </w:rPr>
        <w:t>、附录</w:t>
      </w:r>
      <w:r>
        <w:t>B</w:t>
      </w:r>
      <w:r>
        <w:rPr>
          <w:rFonts w:hint="eastAsia"/>
        </w:rPr>
        <w:t>和附录</w:t>
      </w:r>
      <w:r>
        <w:t>C</w:t>
      </w:r>
      <w:r>
        <w:rPr>
          <w:rFonts w:hint="eastAsia"/>
        </w:rPr>
        <w:t>的规定；曲线设备限界计算方法应按本规范附录</w:t>
      </w:r>
      <w:r>
        <w:t>D</w:t>
      </w:r>
      <w:r>
        <w:rPr>
          <w:rFonts w:hint="eastAsia"/>
        </w:rPr>
        <w:t>的规定执行；缓和曲线地段矩形隧道建筑限界加宽方法应按本规范附录</w:t>
      </w:r>
      <w:r>
        <w:t>E</w:t>
      </w:r>
      <w:r>
        <w:rPr>
          <w:rFonts w:hint="eastAsia"/>
        </w:rPr>
        <w:t>的规定执行。</w:t>
      </w:r>
    </w:p>
    <w:p w14:paraId="78AC4D2D">
      <w:pPr>
        <w:spacing w:line="240" w:lineRule="auto"/>
        <w:ind w:firstLine="416" w:firstLineChars="200"/>
        <w:rPr>
          <w:spacing w:val="4"/>
          <w:sz w:val="20"/>
          <w:szCs w:val="18"/>
        </w:rPr>
      </w:pPr>
      <w:r>
        <w:rPr>
          <w:rFonts w:hint="eastAsia"/>
          <w:spacing w:val="4"/>
          <w:sz w:val="20"/>
          <w:szCs w:val="18"/>
        </w:rPr>
        <w:t>进入线路运行的其他运营车辆及各种工程车辆，其车辆限界均不应突破正线运行车型的车辆限界。</w:t>
      </w:r>
    </w:p>
    <w:p w14:paraId="0519AFB0">
      <w:pPr>
        <w:pStyle w:val="5"/>
        <w:rPr>
          <w:bCs/>
        </w:rPr>
      </w:pPr>
      <w:r>
        <w:rPr>
          <w:rFonts w:hint="eastAsia"/>
        </w:rPr>
        <w:t>列车最高运行速度为</w:t>
      </w:r>
      <w:r>
        <w:t>80km/h</w:t>
      </w:r>
      <w:r>
        <w:rPr>
          <w:rFonts w:hint="eastAsia"/>
        </w:rPr>
        <w:t>～</w:t>
      </w:r>
      <w:r>
        <w:t>140km/h</w:t>
      </w:r>
      <w:r>
        <w:rPr>
          <w:rFonts w:hint="eastAsia"/>
        </w:rPr>
        <w:t>的车辆限界及设备限界宜采用同一限界</w:t>
      </w:r>
      <w:r>
        <w:rPr>
          <w:rFonts w:hint="eastAsia"/>
          <w:bCs/>
        </w:rPr>
        <w:t>。</w:t>
      </w:r>
    </w:p>
    <w:p w14:paraId="45759BA0">
      <w:pPr>
        <w:numPr>
          <w:ilvl w:val="1"/>
          <w:numId w:val="1"/>
        </w:numPr>
        <w:tabs>
          <w:tab w:val="left" w:pos="794"/>
        </w:tabs>
        <w:snapToGrid w:val="0"/>
        <w:spacing w:before="156" w:after="156" w:line="240" w:lineRule="auto"/>
        <w:jc w:val="center"/>
        <w:outlineLvl w:val="1"/>
        <w:rPr>
          <w:rFonts w:eastAsia="黑体"/>
          <w:bCs/>
          <w:szCs w:val="28"/>
        </w:rPr>
      </w:pPr>
      <w:bookmarkStart w:id="233" w:name="_Toc357929315"/>
      <w:bookmarkStart w:id="234" w:name="_Toc183888472"/>
      <w:bookmarkStart w:id="235" w:name="_Toc183790497"/>
      <w:bookmarkStart w:id="236" w:name="_Toc183888110"/>
      <w:bookmarkStart w:id="237" w:name="_Toc183882058"/>
      <w:bookmarkStart w:id="238" w:name="_Toc183765067"/>
      <w:bookmarkStart w:id="239" w:name="_Toc183882420"/>
      <w:r>
        <w:rPr>
          <w:rFonts w:hint="eastAsia" w:eastAsia="黑体"/>
          <w:bCs/>
          <w:szCs w:val="28"/>
        </w:rPr>
        <w:t>制定限界的基本参数</w:t>
      </w:r>
      <w:bookmarkEnd w:id="233"/>
      <w:bookmarkEnd w:id="234"/>
      <w:bookmarkEnd w:id="235"/>
      <w:bookmarkEnd w:id="236"/>
      <w:bookmarkEnd w:id="237"/>
      <w:bookmarkEnd w:id="238"/>
      <w:bookmarkEnd w:id="239"/>
    </w:p>
    <w:p w14:paraId="4BE014CD">
      <w:pPr>
        <w:pStyle w:val="5"/>
      </w:pPr>
      <w:r>
        <w:rPr>
          <w:rFonts w:hint="eastAsia"/>
        </w:rPr>
        <w:t>车辆基本参数应符合本规范第5</w:t>
      </w:r>
      <w:r>
        <w:t>.3.1</w:t>
      </w:r>
      <w:r>
        <w:rPr>
          <w:rFonts w:hint="eastAsia"/>
        </w:rPr>
        <w:t>、5</w:t>
      </w:r>
      <w:r>
        <w:t>.</w:t>
      </w:r>
      <w:r>
        <w:rPr>
          <w:rFonts w:hint="eastAsia"/>
        </w:rPr>
        <w:t>4</w:t>
      </w:r>
      <w:r>
        <w:t>.</w:t>
      </w:r>
      <w:r>
        <w:rPr>
          <w:rFonts w:hint="eastAsia"/>
        </w:rPr>
        <w:t>1条的规定。</w:t>
      </w:r>
    </w:p>
    <w:p w14:paraId="6E8AE7D8">
      <w:pPr>
        <w:pStyle w:val="5"/>
      </w:pPr>
      <w:r>
        <w:rPr>
          <w:rFonts w:hint="eastAsia"/>
        </w:rPr>
        <w:t>区间纵向辅助疏散平台应满足下列要求：</w:t>
      </w:r>
    </w:p>
    <w:p w14:paraId="61ED2E78">
      <w:pPr>
        <w:pStyle w:val="7"/>
        <w:ind w:firstLine="420"/>
      </w:pPr>
      <w:r>
        <w:rPr>
          <w:rFonts w:hint="eastAsia"/>
        </w:rPr>
        <w:t>地下区间，宜设置在行车方向左侧；</w:t>
      </w:r>
    </w:p>
    <w:p w14:paraId="631CAC1A">
      <w:pPr>
        <w:pStyle w:val="7"/>
        <w:ind w:firstLine="420"/>
      </w:pPr>
      <w:r>
        <w:rPr>
          <w:rFonts w:hint="eastAsia"/>
        </w:rPr>
        <w:t>高架区间，宜设置在上、下行线路之间；</w:t>
      </w:r>
    </w:p>
    <w:p w14:paraId="5E033A9C">
      <w:pPr>
        <w:pStyle w:val="7"/>
        <w:ind w:firstLine="420"/>
      </w:pPr>
      <w:r>
        <w:rPr>
          <w:rFonts w:hint="eastAsia"/>
        </w:rPr>
        <w:t>疏散平台设置，宜根据区间两端的站台形式确定；</w:t>
      </w:r>
    </w:p>
    <w:p w14:paraId="3CEC525B">
      <w:pPr>
        <w:pStyle w:val="7"/>
        <w:ind w:firstLine="420"/>
      </w:pPr>
      <w:r>
        <w:rPr>
          <w:rFonts w:hint="eastAsia"/>
        </w:rPr>
        <w:t>最小宽度应符合表</w:t>
      </w:r>
      <w:r>
        <w:t>6.2.2</w:t>
      </w:r>
      <w:r>
        <w:rPr>
          <w:rFonts w:hint="eastAsia"/>
        </w:rPr>
        <w:t>的规定：</w:t>
      </w:r>
    </w:p>
    <w:p w14:paraId="5120452C">
      <w:pPr>
        <w:pStyle w:val="198"/>
      </w:pPr>
      <w:r>
        <w:rPr>
          <w:rFonts w:hint="eastAsia"/>
        </w:rPr>
        <w:t>表</w:t>
      </w:r>
      <w:r>
        <w:t xml:space="preserve">6.2.2  </w:t>
      </w:r>
      <w:r>
        <w:rPr>
          <w:rFonts w:hint="eastAsia"/>
        </w:rPr>
        <w:t>纵向辅助疏散平台最小宽度取值表（</w:t>
      </w:r>
      <w:r>
        <w:t>mm</w:t>
      </w:r>
      <w:r>
        <w:rPr>
          <w:rFonts w:hint="eastAsia"/>
        </w:rPr>
        <w:t>）</w:t>
      </w:r>
    </w:p>
    <w:tbl>
      <w:tblPr>
        <w:tblStyle w:val="88"/>
        <w:tblW w:w="361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117"/>
        <w:gridCol w:w="1134"/>
      </w:tblGrid>
      <w:tr w14:paraId="1F8160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171" w:hRule="atLeast"/>
          <w:jc w:val="center"/>
        </w:trPr>
        <w:tc>
          <w:tcPr>
            <w:tcW w:w="1367" w:type="dxa"/>
            <w:tcBorders>
              <w:top w:val="single" w:color="auto" w:sz="8" w:space="0"/>
              <w:left w:val="single" w:color="auto" w:sz="8" w:space="0"/>
              <w:bottom w:val="single" w:color="auto" w:sz="8" w:space="0"/>
              <w:right w:val="single" w:color="auto" w:sz="4" w:space="0"/>
            </w:tcBorders>
            <w:vAlign w:val="center"/>
          </w:tcPr>
          <w:p w14:paraId="5E0A9A33">
            <w:pPr>
              <w:widowControl/>
              <w:spacing w:line="240" w:lineRule="auto"/>
              <w:jc w:val="left"/>
              <w:rPr>
                <w:kern w:val="0"/>
                <w:sz w:val="15"/>
                <w:szCs w:val="15"/>
              </w:rPr>
            </w:pPr>
          </w:p>
        </w:tc>
        <w:tc>
          <w:tcPr>
            <w:tcW w:w="1117" w:type="dxa"/>
            <w:tcBorders>
              <w:top w:val="single" w:color="auto" w:sz="4" w:space="0"/>
              <w:left w:val="single" w:color="auto" w:sz="4" w:space="0"/>
              <w:bottom w:val="single" w:color="auto" w:sz="8" w:space="0"/>
              <w:right w:val="single" w:color="auto" w:sz="4" w:space="0"/>
            </w:tcBorders>
            <w:vAlign w:val="center"/>
          </w:tcPr>
          <w:p w14:paraId="57CA81F9">
            <w:pPr>
              <w:autoSpaceDE w:val="0"/>
              <w:autoSpaceDN w:val="0"/>
              <w:spacing w:line="240" w:lineRule="auto"/>
              <w:jc w:val="center"/>
              <w:rPr>
                <w:kern w:val="0"/>
                <w:sz w:val="15"/>
                <w:szCs w:val="15"/>
              </w:rPr>
            </w:pPr>
            <w:r>
              <w:rPr>
                <w:rFonts w:hint="eastAsia"/>
                <w:kern w:val="0"/>
                <w:sz w:val="15"/>
                <w:szCs w:val="15"/>
              </w:rPr>
              <w:t>一般情况</w:t>
            </w:r>
          </w:p>
        </w:tc>
        <w:tc>
          <w:tcPr>
            <w:tcW w:w="1134" w:type="dxa"/>
            <w:tcBorders>
              <w:top w:val="single" w:color="auto" w:sz="4" w:space="0"/>
              <w:left w:val="single" w:color="auto" w:sz="4" w:space="0"/>
              <w:bottom w:val="single" w:color="auto" w:sz="8" w:space="0"/>
              <w:right w:val="single" w:color="auto" w:sz="4" w:space="0"/>
            </w:tcBorders>
            <w:vAlign w:val="center"/>
          </w:tcPr>
          <w:p w14:paraId="0EE9196F">
            <w:pPr>
              <w:autoSpaceDE w:val="0"/>
              <w:autoSpaceDN w:val="0"/>
              <w:spacing w:line="240" w:lineRule="auto"/>
              <w:jc w:val="center"/>
              <w:rPr>
                <w:kern w:val="0"/>
                <w:sz w:val="15"/>
                <w:szCs w:val="15"/>
              </w:rPr>
            </w:pPr>
            <w:r>
              <w:rPr>
                <w:rFonts w:hint="eastAsia"/>
                <w:kern w:val="0"/>
                <w:sz w:val="15"/>
                <w:szCs w:val="15"/>
              </w:rPr>
              <w:t>困难情况</w:t>
            </w:r>
          </w:p>
        </w:tc>
      </w:tr>
      <w:tr w14:paraId="7EC6C5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67" w:type="dxa"/>
            <w:tcBorders>
              <w:top w:val="single" w:color="auto" w:sz="8" w:space="0"/>
              <w:left w:val="single" w:color="auto" w:sz="8" w:space="0"/>
              <w:bottom w:val="single" w:color="auto" w:sz="4" w:space="0"/>
              <w:right w:val="single" w:color="auto" w:sz="4" w:space="0"/>
            </w:tcBorders>
            <w:vAlign w:val="center"/>
          </w:tcPr>
          <w:p w14:paraId="41727D16">
            <w:pPr>
              <w:autoSpaceDE w:val="0"/>
              <w:autoSpaceDN w:val="0"/>
              <w:spacing w:line="240" w:lineRule="auto"/>
              <w:jc w:val="center"/>
              <w:rPr>
                <w:kern w:val="0"/>
                <w:sz w:val="15"/>
                <w:szCs w:val="15"/>
              </w:rPr>
            </w:pPr>
            <w:r>
              <w:rPr>
                <w:rFonts w:hint="eastAsia"/>
                <w:kern w:val="0"/>
                <w:sz w:val="15"/>
                <w:szCs w:val="15"/>
              </w:rPr>
              <w:t>单线（设于一侧）</w:t>
            </w:r>
          </w:p>
        </w:tc>
        <w:tc>
          <w:tcPr>
            <w:tcW w:w="1117" w:type="dxa"/>
            <w:tcBorders>
              <w:top w:val="single" w:color="auto" w:sz="8" w:space="0"/>
              <w:left w:val="single" w:color="auto" w:sz="4" w:space="0"/>
              <w:bottom w:val="single" w:color="auto" w:sz="4" w:space="0"/>
              <w:right w:val="single" w:color="auto" w:sz="4" w:space="0"/>
            </w:tcBorders>
            <w:vAlign w:val="center"/>
          </w:tcPr>
          <w:p w14:paraId="60359127">
            <w:pPr>
              <w:autoSpaceDE w:val="0"/>
              <w:autoSpaceDN w:val="0"/>
              <w:spacing w:line="240" w:lineRule="auto"/>
              <w:jc w:val="center"/>
              <w:rPr>
                <w:kern w:val="0"/>
                <w:sz w:val="15"/>
                <w:szCs w:val="15"/>
              </w:rPr>
            </w:pPr>
            <w:r>
              <w:rPr>
                <w:kern w:val="0"/>
                <w:sz w:val="15"/>
                <w:szCs w:val="15"/>
              </w:rPr>
              <w:t>800</w:t>
            </w:r>
          </w:p>
        </w:tc>
        <w:tc>
          <w:tcPr>
            <w:tcW w:w="1134" w:type="dxa"/>
            <w:tcBorders>
              <w:top w:val="single" w:color="auto" w:sz="8" w:space="0"/>
              <w:left w:val="single" w:color="auto" w:sz="4" w:space="0"/>
              <w:bottom w:val="single" w:color="auto" w:sz="4" w:space="0"/>
              <w:right w:val="single" w:color="auto" w:sz="4" w:space="0"/>
            </w:tcBorders>
            <w:vAlign w:val="center"/>
          </w:tcPr>
          <w:p w14:paraId="020E6F0C">
            <w:pPr>
              <w:autoSpaceDE w:val="0"/>
              <w:autoSpaceDN w:val="0"/>
              <w:spacing w:line="240" w:lineRule="auto"/>
              <w:jc w:val="center"/>
              <w:rPr>
                <w:kern w:val="0"/>
                <w:sz w:val="15"/>
                <w:szCs w:val="15"/>
              </w:rPr>
            </w:pPr>
            <w:r>
              <w:rPr>
                <w:kern w:val="0"/>
                <w:sz w:val="15"/>
                <w:szCs w:val="15"/>
              </w:rPr>
              <w:t>600</w:t>
            </w:r>
          </w:p>
        </w:tc>
      </w:tr>
      <w:tr w14:paraId="2BB84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67" w:type="dxa"/>
            <w:tcBorders>
              <w:top w:val="single" w:color="auto" w:sz="4" w:space="0"/>
              <w:left w:val="single" w:color="auto" w:sz="8" w:space="0"/>
              <w:bottom w:val="single" w:color="auto" w:sz="8" w:space="0"/>
              <w:right w:val="single" w:color="auto" w:sz="4" w:space="0"/>
            </w:tcBorders>
            <w:vAlign w:val="center"/>
          </w:tcPr>
          <w:p w14:paraId="2A9C240D">
            <w:pPr>
              <w:autoSpaceDE w:val="0"/>
              <w:autoSpaceDN w:val="0"/>
              <w:spacing w:line="240" w:lineRule="auto"/>
              <w:jc w:val="center"/>
              <w:rPr>
                <w:kern w:val="0"/>
                <w:sz w:val="15"/>
                <w:szCs w:val="15"/>
              </w:rPr>
            </w:pPr>
            <w:r>
              <w:rPr>
                <w:rFonts w:hint="eastAsia"/>
                <w:kern w:val="0"/>
                <w:sz w:val="15"/>
                <w:szCs w:val="15"/>
              </w:rPr>
              <w:t>双线（设于中央）</w:t>
            </w:r>
          </w:p>
        </w:tc>
        <w:tc>
          <w:tcPr>
            <w:tcW w:w="1117" w:type="dxa"/>
            <w:tcBorders>
              <w:top w:val="single" w:color="auto" w:sz="4" w:space="0"/>
              <w:left w:val="single" w:color="auto" w:sz="4" w:space="0"/>
              <w:bottom w:val="single" w:color="auto" w:sz="8" w:space="0"/>
              <w:right w:val="single" w:color="auto" w:sz="4" w:space="0"/>
            </w:tcBorders>
            <w:vAlign w:val="center"/>
          </w:tcPr>
          <w:p w14:paraId="431FC909">
            <w:pPr>
              <w:autoSpaceDE w:val="0"/>
              <w:autoSpaceDN w:val="0"/>
              <w:spacing w:line="240" w:lineRule="auto"/>
              <w:jc w:val="center"/>
              <w:rPr>
                <w:kern w:val="0"/>
                <w:sz w:val="15"/>
                <w:szCs w:val="15"/>
              </w:rPr>
            </w:pPr>
            <w:r>
              <w:rPr>
                <w:kern w:val="0"/>
                <w:sz w:val="15"/>
                <w:szCs w:val="15"/>
              </w:rPr>
              <w:t>1000</w:t>
            </w:r>
          </w:p>
        </w:tc>
        <w:tc>
          <w:tcPr>
            <w:tcW w:w="1134" w:type="dxa"/>
            <w:tcBorders>
              <w:top w:val="single" w:color="auto" w:sz="4" w:space="0"/>
              <w:left w:val="single" w:color="auto" w:sz="4" w:space="0"/>
              <w:bottom w:val="single" w:color="auto" w:sz="8" w:space="0"/>
              <w:right w:val="single" w:color="auto" w:sz="4" w:space="0"/>
            </w:tcBorders>
            <w:vAlign w:val="center"/>
          </w:tcPr>
          <w:p w14:paraId="35702E98">
            <w:pPr>
              <w:autoSpaceDE w:val="0"/>
              <w:autoSpaceDN w:val="0"/>
              <w:spacing w:line="240" w:lineRule="auto"/>
              <w:jc w:val="center"/>
              <w:rPr>
                <w:kern w:val="0"/>
                <w:sz w:val="15"/>
                <w:szCs w:val="15"/>
              </w:rPr>
            </w:pPr>
            <w:r>
              <w:rPr>
                <w:kern w:val="0"/>
                <w:sz w:val="15"/>
                <w:szCs w:val="15"/>
              </w:rPr>
              <w:t>800</w:t>
            </w:r>
          </w:p>
        </w:tc>
      </w:tr>
    </w:tbl>
    <w:p w14:paraId="5852BEBE">
      <w:pPr>
        <w:pStyle w:val="7"/>
        <w:ind w:firstLine="420"/>
      </w:pPr>
      <w:r>
        <w:rPr>
          <w:rFonts w:hint="eastAsia"/>
        </w:rPr>
        <w:t>疏散平台顶面距轨面高度宜采用</w:t>
      </w:r>
      <w:r>
        <w:t>950mm</w:t>
      </w:r>
      <w:r>
        <w:rPr>
          <w:rFonts w:hint="eastAsia"/>
        </w:rPr>
        <w:t>；</w:t>
      </w:r>
    </w:p>
    <w:p w14:paraId="796C6A64">
      <w:pPr>
        <w:pStyle w:val="7"/>
        <w:ind w:firstLine="420"/>
      </w:pPr>
      <w:r>
        <w:rPr>
          <w:rFonts w:hint="eastAsia"/>
        </w:rPr>
        <w:t>平台边缘与设备限界之间的间隙不应小于</w:t>
      </w:r>
      <w:r>
        <w:t>50mm</w:t>
      </w:r>
      <w:r>
        <w:rPr>
          <w:rFonts w:hint="eastAsia"/>
        </w:rPr>
        <w:t>，直线地段平台边缘距离车辆轮廓线的水平距离不应大于</w:t>
      </w:r>
      <w:r>
        <w:t>150mm</w:t>
      </w:r>
      <w:r>
        <w:rPr>
          <w:rFonts w:hint="eastAsia"/>
        </w:rPr>
        <w:t>、曲线地段应按偏移量计算加宽，但不宜大于</w:t>
      </w:r>
      <w:r>
        <w:t>300mm</w:t>
      </w:r>
      <w:r>
        <w:rPr>
          <w:rFonts w:hint="eastAsia"/>
        </w:rPr>
        <w:t>。</w:t>
      </w:r>
    </w:p>
    <w:p w14:paraId="4F3A89B2">
      <w:pPr>
        <w:pStyle w:val="5"/>
      </w:pPr>
      <w:r>
        <w:rPr>
          <w:rFonts w:hint="eastAsia"/>
        </w:rPr>
        <w:t>隧道</w:t>
      </w:r>
      <w:r>
        <w:rPr>
          <w:rFonts w:hint="eastAsia"/>
          <w:szCs w:val="18"/>
        </w:rPr>
        <w:t>阻塞</w:t>
      </w:r>
      <w:r>
        <w:rPr>
          <w:rFonts w:hint="eastAsia"/>
        </w:rPr>
        <w:t>比应符合表</w:t>
      </w:r>
      <w:r>
        <w:t>6.2.3</w:t>
      </w:r>
      <w:r>
        <w:rPr>
          <w:rFonts w:hint="eastAsia"/>
        </w:rPr>
        <w:t>的规定：</w:t>
      </w:r>
    </w:p>
    <w:p w14:paraId="13C145D0">
      <w:pPr>
        <w:pStyle w:val="198"/>
      </w:pPr>
      <w:r>
        <w:rPr>
          <w:rFonts w:hint="eastAsia"/>
        </w:rPr>
        <w:t>表</w:t>
      </w:r>
      <w:r>
        <w:t xml:space="preserve">6.2.3  </w:t>
      </w:r>
      <w:r>
        <w:rPr>
          <w:rFonts w:hint="eastAsia"/>
        </w:rPr>
        <w:t>隧道阻塞比表</w:t>
      </w:r>
      <w:r>
        <w:t>(mm)</w:t>
      </w:r>
    </w:p>
    <w:tbl>
      <w:tblPr>
        <w:tblStyle w:val="88"/>
        <w:tblW w:w="5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1316"/>
        <w:gridCol w:w="1316"/>
        <w:gridCol w:w="1314"/>
      </w:tblGrid>
      <w:tr w14:paraId="1D5A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577" w:type="dxa"/>
            <w:tcBorders>
              <w:top w:val="single" w:color="auto" w:sz="4" w:space="0"/>
              <w:left w:val="single" w:color="auto" w:sz="4" w:space="0"/>
              <w:bottom w:val="single" w:color="auto" w:sz="4" w:space="0"/>
              <w:right w:val="single" w:color="auto" w:sz="4" w:space="0"/>
            </w:tcBorders>
            <w:vAlign w:val="center"/>
          </w:tcPr>
          <w:p w14:paraId="789FEF5C">
            <w:pPr>
              <w:pStyle w:val="235"/>
              <w:rPr>
                <w:color w:val="auto"/>
              </w:rPr>
            </w:pPr>
            <w:r>
              <w:rPr>
                <w:rFonts w:hint="eastAsia"/>
                <w:color w:val="auto"/>
              </w:rPr>
              <w:t>列车运行速度</w:t>
            </w:r>
          </w:p>
        </w:tc>
        <w:tc>
          <w:tcPr>
            <w:tcW w:w="1316" w:type="dxa"/>
            <w:tcBorders>
              <w:top w:val="single" w:color="auto" w:sz="4" w:space="0"/>
              <w:left w:val="single" w:color="auto" w:sz="4" w:space="0"/>
              <w:bottom w:val="single" w:color="auto" w:sz="4" w:space="0"/>
              <w:right w:val="single" w:color="auto" w:sz="4" w:space="0"/>
            </w:tcBorders>
            <w:vAlign w:val="center"/>
          </w:tcPr>
          <w:p w14:paraId="2AAEA278">
            <w:pPr>
              <w:pStyle w:val="235"/>
              <w:rPr>
                <w:color w:val="auto"/>
              </w:rPr>
            </w:pPr>
            <w:r>
              <w:rPr>
                <w:color w:val="auto"/>
              </w:rPr>
              <w:t>110km/h</w:t>
            </w:r>
          </w:p>
        </w:tc>
        <w:tc>
          <w:tcPr>
            <w:tcW w:w="1316" w:type="dxa"/>
            <w:tcBorders>
              <w:top w:val="single" w:color="auto" w:sz="4" w:space="0"/>
              <w:left w:val="single" w:color="auto" w:sz="4" w:space="0"/>
              <w:bottom w:val="single" w:color="auto" w:sz="4" w:space="0"/>
              <w:right w:val="single" w:color="auto" w:sz="4" w:space="0"/>
            </w:tcBorders>
            <w:vAlign w:val="center"/>
          </w:tcPr>
          <w:p w14:paraId="089BADCA">
            <w:pPr>
              <w:pStyle w:val="235"/>
              <w:rPr>
                <w:color w:val="auto"/>
              </w:rPr>
            </w:pPr>
            <w:r>
              <w:rPr>
                <w:color w:val="auto"/>
              </w:rPr>
              <w:t>120km/h</w:t>
            </w:r>
          </w:p>
        </w:tc>
        <w:tc>
          <w:tcPr>
            <w:tcW w:w="1314" w:type="dxa"/>
            <w:tcBorders>
              <w:top w:val="single" w:color="auto" w:sz="4" w:space="0"/>
              <w:left w:val="single" w:color="auto" w:sz="4" w:space="0"/>
              <w:bottom w:val="single" w:color="auto" w:sz="4" w:space="0"/>
              <w:right w:val="single" w:color="auto" w:sz="4" w:space="0"/>
            </w:tcBorders>
            <w:vAlign w:val="center"/>
          </w:tcPr>
          <w:p w14:paraId="5766C9D7">
            <w:pPr>
              <w:pStyle w:val="235"/>
              <w:rPr>
                <w:color w:val="auto"/>
              </w:rPr>
            </w:pPr>
            <w:r>
              <w:rPr>
                <w:color w:val="auto"/>
              </w:rPr>
              <w:t>140km/h</w:t>
            </w:r>
          </w:p>
        </w:tc>
      </w:tr>
      <w:tr w14:paraId="24FF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7" w:type="dxa"/>
            <w:tcBorders>
              <w:top w:val="single" w:color="auto" w:sz="4" w:space="0"/>
              <w:left w:val="single" w:color="auto" w:sz="4" w:space="0"/>
              <w:bottom w:val="single" w:color="auto" w:sz="4" w:space="0"/>
              <w:right w:val="single" w:color="auto" w:sz="4" w:space="0"/>
            </w:tcBorders>
            <w:vAlign w:val="center"/>
          </w:tcPr>
          <w:p w14:paraId="26347C4F">
            <w:pPr>
              <w:pStyle w:val="235"/>
              <w:rPr>
                <w:color w:val="auto"/>
              </w:rPr>
            </w:pPr>
            <w:r>
              <w:rPr>
                <w:rFonts w:hint="eastAsia"/>
                <w:color w:val="auto"/>
              </w:rPr>
              <w:t>非密闭性车体</w:t>
            </w:r>
          </w:p>
        </w:tc>
        <w:tc>
          <w:tcPr>
            <w:tcW w:w="1316" w:type="dxa"/>
            <w:tcBorders>
              <w:top w:val="single" w:color="auto" w:sz="4" w:space="0"/>
              <w:left w:val="single" w:color="auto" w:sz="4" w:space="0"/>
              <w:bottom w:val="single" w:color="auto" w:sz="4" w:space="0"/>
              <w:right w:val="single" w:color="auto" w:sz="4" w:space="0"/>
            </w:tcBorders>
            <w:vAlign w:val="center"/>
          </w:tcPr>
          <w:p w14:paraId="4691AF33">
            <w:pPr>
              <w:pStyle w:val="235"/>
              <w:rPr>
                <w:color w:val="auto"/>
              </w:rPr>
            </w:pPr>
            <w:r>
              <w:rPr>
                <w:rFonts w:hint="eastAsia"/>
                <w:color w:val="auto"/>
              </w:rPr>
              <w:t>≤</w:t>
            </w:r>
            <w:r>
              <w:rPr>
                <w:color w:val="auto"/>
              </w:rPr>
              <w:t>0.45</w:t>
            </w:r>
          </w:p>
        </w:tc>
        <w:tc>
          <w:tcPr>
            <w:tcW w:w="1316" w:type="dxa"/>
            <w:tcBorders>
              <w:top w:val="single" w:color="auto" w:sz="4" w:space="0"/>
              <w:left w:val="single" w:color="auto" w:sz="4" w:space="0"/>
              <w:bottom w:val="single" w:color="auto" w:sz="4" w:space="0"/>
              <w:right w:val="single" w:color="auto" w:sz="4" w:space="0"/>
            </w:tcBorders>
            <w:vAlign w:val="center"/>
          </w:tcPr>
          <w:p w14:paraId="5DFB22D3">
            <w:pPr>
              <w:pStyle w:val="235"/>
              <w:rPr>
                <w:color w:val="auto"/>
              </w:rPr>
            </w:pPr>
            <w:r>
              <w:rPr>
                <w:rFonts w:hint="eastAsia"/>
                <w:color w:val="auto"/>
              </w:rPr>
              <w:t>≤</w:t>
            </w:r>
            <w:r>
              <w:rPr>
                <w:color w:val="auto"/>
              </w:rPr>
              <w:t>0.4</w:t>
            </w:r>
          </w:p>
        </w:tc>
        <w:tc>
          <w:tcPr>
            <w:tcW w:w="1314" w:type="dxa"/>
            <w:tcBorders>
              <w:top w:val="single" w:color="auto" w:sz="4" w:space="0"/>
              <w:left w:val="single" w:color="auto" w:sz="4" w:space="0"/>
              <w:bottom w:val="single" w:color="auto" w:sz="4" w:space="0"/>
              <w:right w:val="single" w:color="auto" w:sz="4" w:space="0"/>
            </w:tcBorders>
            <w:vAlign w:val="center"/>
          </w:tcPr>
          <w:p w14:paraId="0673D6B1">
            <w:pPr>
              <w:pStyle w:val="235"/>
              <w:rPr>
                <w:color w:val="auto"/>
              </w:rPr>
            </w:pPr>
            <w:r>
              <w:rPr>
                <w:rFonts w:hint="eastAsia"/>
                <w:color w:val="auto"/>
              </w:rPr>
              <w:t>≤</w:t>
            </w:r>
            <w:r>
              <w:rPr>
                <w:color w:val="auto"/>
              </w:rPr>
              <w:t>0.27</w:t>
            </w:r>
          </w:p>
        </w:tc>
      </w:tr>
      <w:tr w14:paraId="1828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7" w:type="dxa"/>
            <w:tcBorders>
              <w:top w:val="single" w:color="auto" w:sz="4" w:space="0"/>
              <w:left w:val="single" w:color="auto" w:sz="4" w:space="0"/>
              <w:bottom w:val="single" w:color="auto" w:sz="4" w:space="0"/>
              <w:right w:val="single" w:color="auto" w:sz="4" w:space="0"/>
            </w:tcBorders>
            <w:vAlign w:val="center"/>
          </w:tcPr>
          <w:p w14:paraId="0A9501AF">
            <w:pPr>
              <w:pStyle w:val="235"/>
              <w:rPr>
                <w:color w:val="auto"/>
              </w:rPr>
            </w:pPr>
            <w:r>
              <w:rPr>
                <w:rFonts w:hint="eastAsia"/>
                <w:color w:val="auto"/>
              </w:rPr>
              <w:t>密闭性车体</w:t>
            </w:r>
          </w:p>
        </w:tc>
        <w:tc>
          <w:tcPr>
            <w:tcW w:w="1316" w:type="dxa"/>
            <w:tcBorders>
              <w:top w:val="single" w:color="auto" w:sz="4" w:space="0"/>
              <w:left w:val="single" w:color="auto" w:sz="4" w:space="0"/>
              <w:bottom w:val="single" w:color="auto" w:sz="4" w:space="0"/>
              <w:right w:val="single" w:color="auto" w:sz="4" w:space="0"/>
            </w:tcBorders>
            <w:vAlign w:val="center"/>
          </w:tcPr>
          <w:p w14:paraId="116E536B">
            <w:pPr>
              <w:pStyle w:val="235"/>
              <w:rPr>
                <w:color w:val="auto"/>
              </w:rPr>
            </w:pPr>
            <w:r>
              <w:rPr>
                <w:color w:val="auto"/>
              </w:rPr>
              <w:t>--</w:t>
            </w:r>
          </w:p>
        </w:tc>
        <w:tc>
          <w:tcPr>
            <w:tcW w:w="1316" w:type="dxa"/>
            <w:tcBorders>
              <w:top w:val="single" w:color="auto" w:sz="4" w:space="0"/>
              <w:left w:val="single" w:color="auto" w:sz="4" w:space="0"/>
              <w:bottom w:val="single" w:color="auto" w:sz="4" w:space="0"/>
              <w:right w:val="single" w:color="auto" w:sz="4" w:space="0"/>
            </w:tcBorders>
            <w:vAlign w:val="center"/>
          </w:tcPr>
          <w:p w14:paraId="5082F63A">
            <w:pPr>
              <w:pStyle w:val="235"/>
              <w:rPr>
                <w:color w:val="auto"/>
              </w:rPr>
            </w:pPr>
            <w:r>
              <w:rPr>
                <w:color w:val="auto"/>
              </w:rPr>
              <w:t>--</w:t>
            </w:r>
          </w:p>
        </w:tc>
        <w:tc>
          <w:tcPr>
            <w:tcW w:w="1314" w:type="dxa"/>
            <w:tcBorders>
              <w:top w:val="single" w:color="auto" w:sz="4" w:space="0"/>
              <w:left w:val="single" w:color="auto" w:sz="4" w:space="0"/>
              <w:bottom w:val="single" w:color="auto" w:sz="4" w:space="0"/>
              <w:right w:val="single" w:color="auto" w:sz="4" w:space="0"/>
            </w:tcBorders>
            <w:vAlign w:val="center"/>
          </w:tcPr>
          <w:p w14:paraId="4B2CFE6A">
            <w:pPr>
              <w:pStyle w:val="235"/>
              <w:rPr>
                <w:color w:val="auto"/>
              </w:rPr>
            </w:pPr>
            <w:r>
              <w:rPr>
                <w:rFonts w:hint="eastAsia"/>
                <w:color w:val="auto"/>
              </w:rPr>
              <w:t>≤</w:t>
            </w:r>
            <w:r>
              <w:rPr>
                <w:color w:val="auto"/>
              </w:rPr>
              <w:t>0.35</w:t>
            </w:r>
          </w:p>
        </w:tc>
      </w:tr>
    </w:tbl>
    <w:p w14:paraId="77D3276F">
      <w:pPr>
        <w:numPr>
          <w:ilvl w:val="1"/>
          <w:numId w:val="1"/>
        </w:numPr>
        <w:tabs>
          <w:tab w:val="left" w:pos="794"/>
        </w:tabs>
        <w:snapToGrid w:val="0"/>
        <w:spacing w:before="156" w:after="156" w:line="240" w:lineRule="auto"/>
        <w:jc w:val="center"/>
        <w:outlineLvl w:val="1"/>
        <w:rPr>
          <w:rFonts w:eastAsia="黑体"/>
          <w:bCs/>
          <w:szCs w:val="28"/>
        </w:rPr>
      </w:pPr>
      <w:bookmarkStart w:id="240" w:name="_Toc183765068"/>
      <w:bookmarkStart w:id="241" w:name="_Toc183790498"/>
      <w:bookmarkStart w:id="242" w:name="_Toc183888111"/>
      <w:bookmarkStart w:id="243" w:name="_Toc183888473"/>
      <w:bookmarkStart w:id="244" w:name="_Toc183882421"/>
      <w:bookmarkStart w:id="245" w:name="_Toc183882059"/>
      <w:bookmarkStart w:id="246" w:name="_Toc357929316"/>
      <w:r>
        <w:rPr>
          <w:rFonts w:hint="eastAsia" w:eastAsia="黑体"/>
          <w:bCs/>
          <w:szCs w:val="28"/>
        </w:rPr>
        <w:t>建</w:t>
      </w:r>
      <w:r>
        <w:rPr>
          <w:rFonts w:eastAsia="黑体"/>
          <w:bCs/>
          <w:szCs w:val="28"/>
        </w:rPr>
        <w:t xml:space="preserve"> </w:t>
      </w:r>
      <w:r>
        <w:rPr>
          <w:rFonts w:hint="eastAsia" w:eastAsia="黑体"/>
          <w:bCs/>
          <w:szCs w:val="28"/>
        </w:rPr>
        <w:t>筑</w:t>
      </w:r>
      <w:r>
        <w:rPr>
          <w:rFonts w:eastAsia="黑体"/>
          <w:bCs/>
          <w:szCs w:val="28"/>
        </w:rPr>
        <w:t xml:space="preserve"> </w:t>
      </w:r>
      <w:r>
        <w:rPr>
          <w:rFonts w:hint="eastAsia" w:eastAsia="黑体"/>
          <w:bCs/>
          <w:szCs w:val="28"/>
        </w:rPr>
        <w:t>限</w:t>
      </w:r>
      <w:r>
        <w:rPr>
          <w:rFonts w:eastAsia="黑体"/>
          <w:bCs/>
          <w:szCs w:val="28"/>
        </w:rPr>
        <w:t xml:space="preserve"> </w:t>
      </w:r>
      <w:r>
        <w:rPr>
          <w:rFonts w:hint="eastAsia" w:eastAsia="黑体"/>
          <w:bCs/>
          <w:szCs w:val="28"/>
        </w:rPr>
        <w:t>界</w:t>
      </w:r>
      <w:bookmarkEnd w:id="240"/>
      <w:bookmarkEnd w:id="241"/>
      <w:bookmarkEnd w:id="242"/>
      <w:bookmarkEnd w:id="243"/>
      <w:bookmarkEnd w:id="244"/>
      <w:bookmarkEnd w:id="245"/>
      <w:bookmarkEnd w:id="246"/>
    </w:p>
    <w:p w14:paraId="7A9CBA57">
      <w:pPr>
        <w:pStyle w:val="5"/>
      </w:pPr>
      <w:r>
        <w:rPr>
          <w:rFonts w:hint="eastAsia"/>
        </w:rPr>
        <w:t>矩形隧道建筑限界应符合下列规定：</w:t>
      </w:r>
    </w:p>
    <w:p w14:paraId="69A5A6E5">
      <w:pPr>
        <w:pStyle w:val="7"/>
        <w:ind w:firstLine="420"/>
      </w:pPr>
      <w:r>
        <w:rPr>
          <w:rFonts w:hint="eastAsia"/>
        </w:rPr>
        <w:t>直线地段单线矩形隧道建筑限界宽度应符合表</w:t>
      </w:r>
      <w:r>
        <w:t>6.3.1</w:t>
      </w:r>
      <w:r>
        <w:rPr>
          <w:rFonts w:hint="eastAsia"/>
        </w:rPr>
        <w:t>的规定；</w:t>
      </w:r>
    </w:p>
    <w:p w14:paraId="130092CF">
      <w:pPr>
        <w:pStyle w:val="7"/>
        <w:ind w:firstLine="420"/>
      </w:pPr>
      <w:r>
        <w:rPr>
          <w:rFonts w:hint="eastAsia"/>
        </w:rPr>
        <w:t>平面曲线地段矩形隧道建筑限界，应在直线地段建筑限界基础上加宽；</w:t>
      </w:r>
    </w:p>
    <w:p w14:paraId="180CCD18"/>
    <w:p w14:paraId="3E24C68B"/>
    <w:p w14:paraId="23E19E83"/>
    <w:p w14:paraId="218ABD2A">
      <w:pPr>
        <w:pStyle w:val="198"/>
      </w:pPr>
      <w:r>
        <w:rPr>
          <w:rFonts w:hint="eastAsia"/>
        </w:rPr>
        <w:t>表</w:t>
      </w:r>
      <w:r>
        <w:t xml:space="preserve">6.3.1  </w:t>
      </w:r>
      <w:r>
        <w:rPr>
          <w:rFonts w:hint="eastAsia"/>
        </w:rPr>
        <w:t>直线地段单线矩形隧道建筑限界宽度（</w:t>
      </w:r>
      <w:r>
        <w:t>mm</w:t>
      </w:r>
      <w:r>
        <w:rPr>
          <w:rFonts w:hint="eastAsia"/>
        </w:rPr>
        <w:t>）</w:t>
      </w:r>
    </w:p>
    <w:tbl>
      <w:tblPr>
        <w:tblStyle w:val="88"/>
        <w:tblW w:w="65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68"/>
        <w:gridCol w:w="1360"/>
        <w:gridCol w:w="906"/>
        <w:gridCol w:w="907"/>
      </w:tblGrid>
      <w:tr w14:paraId="10126C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3368" w:type="dxa"/>
            <w:vMerge w:val="restart"/>
            <w:tcBorders>
              <w:top w:val="single" w:color="auto" w:sz="8" w:space="0"/>
              <w:left w:val="single" w:color="auto" w:sz="8" w:space="0"/>
              <w:bottom w:val="single" w:color="auto" w:sz="8" w:space="0"/>
              <w:right w:val="single" w:color="auto" w:sz="4" w:space="0"/>
            </w:tcBorders>
            <w:vAlign w:val="center"/>
          </w:tcPr>
          <w:p w14:paraId="6287C93A">
            <w:pPr>
              <w:autoSpaceDE w:val="0"/>
              <w:autoSpaceDN w:val="0"/>
              <w:spacing w:line="240" w:lineRule="auto"/>
              <w:jc w:val="center"/>
              <w:rPr>
                <w:kern w:val="0"/>
                <w:sz w:val="15"/>
                <w:szCs w:val="15"/>
              </w:rPr>
            </w:pPr>
          </w:p>
        </w:tc>
        <w:tc>
          <w:tcPr>
            <w:tcW w:w="1360" w:type="dxa"/>
            <w:vMerge w:val="restart"/>
            <w:tcBorders>
              <w:top w:val="single" w:color="auto" w:sz="8" w:space="0"/>
              <w:left w:val="single" w:color="auto" w:sz="4" w:space="0"/>
              <w:bottom w:val="single" w:color="auto" w:sz="8" w:space="0"/>
              <w:right w:val="single" w:color="auto" w:sz="4" w:space="0"/>
            </w:tcBorders>
            <w:vAlign w:val="center"/>
          </w:tcPr>
          <w:p w14:paraId="0E3F8F2A">
            <w:pPr>
              <w:autoSpaceDE w:val="0"/>
              <w:autoSpaceDN w:val="0"/>
              <w:spacing w:line="240" w:lineRule="auto"/>
              <w:jc w:val="center"/>
              <w:rPr>
                <w:kern w:val="0"/>
                <w:sz w:val="15"/>
                <w:szCs w:val="15"/>
              </w:rPr>
            </w:pPr>
            <w:r>
              <w:rPr>
                <w:kern w:val="0"/>
                <w:sz w:val="15"/>
                <w:szCs w:val="15"/>
              </w:rPr>
              <w:t>A</w:t>
            </w:r>
            <w:r>
              <w:rPr>
                <w:rFonts w:hint="eastAsia"/>
                <w:kern w:val="0"/>
                <w:sz w:val="15"/>
                <w:szCs w:val="15"/>
              </w:rPr>
              <w:t>型车</w:t>
            </w:r>
          </w:p>
        </w:tc>
        <w:tc>
          <w:tcPr>
            <w:tcW w:w="1813" w:type="dxa"/>
            <w:gridSpan w:val="2"/>
            <w:tcBorders>
              <w:top w:val="single" w:color="auto" w:sz="8" w:space="0"/>
              <w:left w:val="single" w:color="auto" w:sz="4" w:space="0"/>
              <w:bottom w:val="single" w:color="auto" w:sz="4" w:space="0"/>
              <w:right w:val="single" w:color="auto" w:sz="8" w:space="0"/>
            </w:tcBorders>
            <w:vAlign w:val="center"/>
          </w:tcPr>
          <w:p w14:paraId="3763F09C">
            <w:pPr>
              <w:autoSpaceDE w:val="0"/>
              <w:autoSpaceDN w:val="0"/>
              <w:spacing w:line="240" w:lineRule="auto"/>
              <w:jc w:val="center"/>
              <w:rPr>
                <w:kern w:val="0"/>
                <w:sz w:val="15"/>
                <w:szCs w:val="15"/>
              </w:rPr>
            </w:pPr>
            <w:r>
              <w:rPr>
                <w:kern w:val="0"/>
                <w:sz w:val="15"/>
                <w:szCs w:val="15"/>
              </w:rPr>
              <w:t>B</w:t>
            </w:r>
            <w:r>
              <w:rPr>
                <w:rFonts w:hint="eastAsia"/>
                <w:kern w:val="0"/>
                <w:sz w:val="15"/>
                <w:szCs w:val="15"/>
              </w:rPr>
              <w:t>型车</w:t>
            </w:r>
          </w:p>
        </w:tc>
      </w:tr>
      <w:tr w14:paraId="79732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3368" w:type="dxa"/>
            <w:vMerge w:val="continue"/>
            <w:tcBorders>
              <w:top w:val="single" w:color="auto" w:sz="8" w:space="0"/>
              <w:left w:val="single" w:color="auto" w:sz="8" w:space="0"/>
              <w:bottom w:val="single" w:color="auto" w:sz="8" w:space="0"/>
              <w:right w:val="single" w:color="auto" w:sz="4" w:space="0"/>
            </w:tcBorders>
            <w:vAlign w:val="center"/>
          </w:tcPr>
          <w:p w14:paraId="2DE8F120">
            <w:pPr>
              <w:widowControl/>
              <w:spacing w:line="240" w:lineRule="auto"/>
              <w:jc w:val="left"/>
              <w:rPr>
                <w:kern w:val="0"/>
                <w:sz w:val="15"/>
                <w:szCs w:val="15"/>
              </w:rPr>
            </w:pPr>
          </w:p>
        </w:tc>
        <w:tc>
          <w:tcPr>
            <w:tcW w:w="1360" w:type="dxa"/>
            <w:vMerge w:val="continue"/>
            <w:tcBorders>
              <w:top w:val="single" w:color="auto" w:sz="8" w:space="0"/>
              <w:left w:val="single" w:color="auto" w:sz="4" w:space="0"/>
              <w:bottom w:val="single" w:color="auto" w:sz="8" w:space="0"/>
              <w:right w:val="single" w:color="auto" w:sz="4" w:space="0"/>
            </w:tcBorders>
            <w:vAlign w:val="center"/>
          </w:tcPr>
          <w:p w14:paraId="5C77213B">
            <w:pPr>
              <w:widowControl/>
              <w:spacing w:line="240" w:lineRule="auto"/>
              <w:jc w:val="left"/>
              <w:rPr>
                <w:kern w:val="0"/>
                <w:sz w:val="15"/>
                <w:szCs w:val="15"/>
              </w:rPr>
            </w:pPr>
          </w:p>
        </w:tc>
        <w:tc>
          <w:tcPr>
            <w:tcW w:w="906" w:type="dxa"/>
            <w:tcBorders>
              <w:top w:val="single" w:color="auto" w:sz="4" w:space="0"/>
              <w:left w:val="single" w:color="auto" w:sz="4" w:space="0"/>
              <w:bottom w:val="single" w:color="auto" w:sz="8" w:space="0"/>
              <w:right w:val="single" w:color="auto" w:sz="4" w:space="0"/>
            </w:tcBorders>
            <w:vAlign w:val="center"/>
          </w:tcPr>
          <w:p w14:paraId="6142AEA5">
            <w:pPr>
              <w:autoSpaceDE w:val="0"/>
              <w:autoSpaceDN w:val="0"/>
              <w:spacing w:line="240" w:lineRule="auto"/>
              <w:jc w:val="center"/>
              <w:rPr>
                <w:kern w:val="0"/>
                <w:sz w:val="15"/>
                <w:szCs w:val="15"/>
              </w:rPr>
            </w:pPr>
            <w:r>
              <w:rPr>
                <w:kern w:val="0"/>
                <w:sz w:val="15"/>
                <w:szCs w:val="15"/>
              </w:rPr>
              <w:t>B1</w:t>
            </w:r>
          </w:p>
        </w:tc>
        <w:tc>
          <w:tcPr>
            <w:tcW w:w="907" w:type="dxa"/>
            <w:tcBorders>
              <w:top w:val="single" w:color="auto" w:sz="4" w:space="0"/>
              <w:left w:val="single" w:color="auto" w:sz="4" w:space="0"/>
              <w:bottom w:val="single" w:color="auto" w:sz="8" w:space="0"/>
              <w:right w:val="single" w:color="auto" w:sz="8" w:space="0"/>
            </w:tcBorders>
            <w:vAlign w:val="center"/>
          </w:tcPr>
          <w:p w14:paraId="5632E474">
            <w:pPr>
              <w:autoSpaceDE w:val="0"/>
              <w:autoSpaceDN w:val="0"/>
              <w:spacing w:line="240" w:lineRule="auto"/>
              <w:jc w:val="center"/>
              <w:rPr>
                <w:kern w:val="0"/>
                <w:sz w:val="15"/>
                <w:szCs w:val="15"/>
              </w:rPr>
            </w:pPr>
            <w:r>
              <w:rPr>
                <w:kern w:val="0"/>
                <w:sz w:val="15"/>
                <w:szCs w:val="15"/>
              </w:rPr>
              <w:t>B2</w:t>
            </w:r>
          </w:p>
        </w:tc>
      </w:tr>
      <w:tr w14:paraId="3BCAC3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368" w:type="dxa"/>
            <w:tcBorders>
              <w:top w:val="single" w:color="auto" w:sz="8" w:space="0"/>
              <w:left w:val="single" w:color="auto" w:sz="8" w:space="0"/>
              <w:bottom w:val="single" w:color="auto" w:sz="4" w:space="0"/>
              <w:right w:val="single" w:color="auto" w:sz="4" w:space="0"/>
            </w:tcBorders>
            <w:vAlign w:val="center"/>
          </w:tcPr>
          <w:p w14:paraId="50D0E3FB">
            <w:pPr>
              <w:autoSpaceDE w:val="0"/>
              <w:autoSpaceDN w:val="0"/>
              <w:spacing w:line="240" w:lineRule="auto"/>
              <w:jc w:val="center"/>
              <w:rPr>
                <w:kern w:val="0"/>
                <w:sz w:val="15"/>
                <w:szCs w:val="15"/>
              </w:rPr>
            </w:pPr>
            <w:r>
              <w:rPr>
                <w:rFonts w:hint="eastAsia"/>
                <w:kern w:val="0"/>
                <w:sz w:val="15"/>
                <w:szCs w:val="15"/>
              </w:rPr>
              <w:t>行车方向右侧限界至线路中心线距离</w:t>
            </w:r>
          </w:p>
        </w:tc>
        <w:tc>
          <w:tcPr>
            <w:tcW w:w="1360" w:type="dxa"/>
            <w:tcBorders>
              <w:top w:val="single" w:color="auto" w:sz="8" w:space="0"/>
              <w:left w:val="single" w:color="auto" w:sz="4" w:space="0"/>
              <w:bottom w:val="single" w:color="auto" w:sz="4" w:space="0"/>
              <w:right w:val="single" w:color="auto" w:sz="4" w:space="0"/>
            </w:tcBorders>
            <w:vAlign w:val="center"/>
          </w:tcPr>
          <w:p w14:paraId="78C6F4C3">
            <w:pPr>
              <w:autoSpaceDE w:val="0"/>
              <w:autoSpaceDN w:val="0"/>
              <w:spacing w:line="240" w:lineRule="auto"/>
              <w:jc w:val="center"/>
              <w:rPr>
                <w:kern w:val="0"/>
                <w:sz w:val="15"/>
                <w:szCs w:val="15"/>
              </w:rPr>
            </w:pPr>
            <w:r>
              <w:rPr>
                <w:kern w:val="0"/>
                <w:sz w:val="15"/>
                <w:szCs w:val="15"/>
              </w:rPr>
              <w:t>2200</w:t>
            </w:r>
          </w:p>
        </w:tc>
        <w:tc>
          <w:tcPr>
            <w:tcW w:w="906" w:type="dxa"/>
            <w:tcBorders>
              <w:top w:val="single" w:color="auto" w:sz="8" w:space="0"/>
              <w:left w:val="single" w:color="auto" w:sz="4" w:space="0"/>
              <w:bottom w:val="single" w:color="auto" w:sz="4" w:space="0"/>
              <w:right w:val="single" w:color="auto" w:sz="4" w:space="0"/>
            </w:tcBorders>
            <w:vAlign w:val="center"/>
          </w:tcPr>
          <w:p w14:paraId="03A8E237">
            <w:pPr>
              <w:autoSpaceDE w:val="0"/>
              <w:autoSpaceDN w:val="0"/>
              <w:spacing w:line="240" w:lineRule="auto"/>
              <w:jc w:val="center"/>
              <w:rPr>
                <w:kern w:val="0"/>
                <w:sz w:val="15"/>
                <w:szCs w:val="15"/>
              </w:rPr>
            </w:pPr>
            <w:r>
              <w:rPr>
                <w:kern w:val="0"/>
                <w:sz w:val="15"/>
                <w:szCs w:val="15"/>
              </w:rPr>
              <w:t>2100</w:t>
            </w:r>
          </w:p>
        </w:tc>
        <w:tc>
          <w:tcPr>
            <w:tcW w:w="907" w:type="dxa"/>
            <w:tcBorders>
              <w:top w:val="single" w:color="auto" w:sz="8" w:space="0"/>
              <w:left w:val="single" w:color="auto" w:sz="4" w:space="0"/>
              <w:bottom w:val="single" w:color="auto" w:sz="4" w:space="0"/>
              <w:right w:val="single" w:color="auto" w:sz="8" w:space="0"/>
            </w:tcBorders>
            <w:vAlign w:val="center"/>
          </w:tcPr>
          <w:p w14:paraId="00FB17C0">
            <w:pPr>
              <w:autoSpaceDE w:val="0"/>
              <w:autoSpaceDN w:val="0"/>
              <w:spacing w:line="240" w:lineRule="auto"/>
              <w:jc w:val="center"/>
              <w:rPr>
                <w:kern w:val="0"/>
                <w:sz w:val="15"/>
                <w:szCs w:val="15"/>
              </w:rPr>
            </w:pPr>
            <w:r>
              <w:rPr>
                <w:kern w:val="0"/>
                <w:sz w:val="15"/>
                <w:szCs w:val="15"/>
              </w:rPr>
              <w:t>2100</w:t>
            </w:r>
          </w:p>
        </w:tc>
      </w:tr>
      <w:tr w14:paraId="2D9CA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368" w:type="dxa"/>
            <w:tcBorders>
              <w:top w:val="single" w:color="auto" w:sz="4" w:space="0"/>
              <w:left w:val="single" w:color="auto" w:sz="8" w:space="0"/>
              <w:bottom w:val="single" w:color="auto" w:sz="4" w:space="0"/>
              <w:right w:val="single" w:color="auto" w:sz="4" w:space="0"/>
            </w:tcBorders>
            <w:vAlign w:val="center"/>
          </w:tcPr>
          <w:p w14:paraId="6CCCC2CE">
            <w:pPr>
              <w:autoSpaceDE w:val="0"/>
              <w:autoSpaceDN w:val="0"/>
              <w:spacing w:line="240" w:lineRule="auto"/>
              <w:jc w:val="center"/>
              <w:rPr>
                <w:kern w:val="0"/>
                <w:sz w:val="15"/>
                <w:szCs w:val="15"/>
              </w:rPr>
            </w:pPr>
            <w:r>
              <w:rPr>
                <w:rFonts w:hint="eastAsia"/>
                <w:kern w:val="0"/>
                <w:sz w:val="15"/>
                <w:szCs w:val="15"/>
              </w:rPr>
              <w:t>行车方向左侧限界至线路中心线距离（设纵向辅助疏散平台）</w:t>
            </w:r>
          </w:p>
        </w:tc>
        <w:tc>
          <w:tcPr>
            <w:tcW w:w="1360" w:type="dxa"/>
            <w:tcBorders>
              <w:top w:val="single" w:color="auto" w:sz="4" w:space="0"/>
              <w:left w:val="single" w:color="auto" w:sz="4" w:space="0"/>
              <w:bottom w:val="single" w:color="auto" w:sz="4" w:space="0"/>
              <w:right w:val="single" w:color="auto" w:sz="4" w:space="0"/>
            </w:tcBorders>
            <w:vAlign w:val="center"/>
          </w:tcPr>
          <w:p w14:paraId="065A499B">
            <w:pPr>
              <w:autoSpaceDE w:val="0"/>
              <w:autoSpaceDN w:val="0"/>
              <w:spacing w:line="240" w:lineRule="auto"/>
              <w:jc w:val="center"/>
              <w:rPr>
                <w:kern w:val="0"/>
                <w:sz w:val="15"/>
                <w:szCs w:val="15"/>
              </w:rPr>
            </w:pPr>
            <w:r>
              <w:rPr>
                <w:kern w:val="0"/>
                <w:sz w:val="15"/>
                <w:szCs w:val="15"/>
              </w:rPr>
              <w:t>2500</w:t>
            </w:r>
          </w:p>
        </w:tc>
        <w:tc>
          <w:tcPr>
            <w:tcW w:w="906" w:type="dxa"/>
            <w:tcBorders>
              <w:top w:val="single" w:color="auto" w:sz="4" w:space="0"/>
              <w:left w:val="single" w:color="auto" w:sz="4" w:space="0"/>
              <w:bottom w:val="single" w:color="auto" w:sz="4" w:space="0"/>
              <w:right w:val="single" w:color="auto" w:sz="4" w:space="0"/>
            </w:tcBorders>
            <w:vAlign w:val="center"/>
          </w:tcPr>
          <w:p w14:paraId="50C68105">
            <w:pPr>
              <w:autoSpaceDE w:val="0"/>
              <w:autoSpaceDN w:val="0"/>
              <w:spacing w:line="240" w:lineRule="auto"/>
              <w:jc w:val="center"/>
              <w:rPr>
                <w:kern w:val="0"/>
                <w:sz w:val="15"/>
                <w:szCs w:val="15"/>
              </w:rPr>
            </w:pPr>
            <w:r>
              <w:rPr>
                <w:kern w:val="0"/>
                <w:sz w:val="15"/>
                <w:szCs w:val="15"/>
              </w:rPr>
              <w:t>2400</w:t>
            </w:r>
          </w:p>
        </w:tc>
        <w:tc>
          <w:tcPr>
            <w:tcW w:w="907" w:type="dxa"/>
            <w:tcBorders>
              <w:top w:val="single" w:color="auto" w:sz="4" w:space="0"/>
              <w:left w:val="single" w:color="auto" w:sz="4" w:space="0"/>
              <w:bottom w:val="single" w:color="auto" w:sz="4" w:space="0"/>
              <w:right w:val="single" w:color="auto" w:sz="8" w:space="0"/>
            </w:tcBorders>
            <w:vAlign w:val="center"/>
          </w:tcPr>
          <w:p w14:paraId="6A50821E">
            <w:pPr>
              <w:autoSpaceDE w:val="0"/>
              <w:autoSpaceDN w:val="0"/>
              <w:spacing w:line="240" w:lineRule="auto"/>
              <w:jc w:val="center"/>
              <w:rPr>
                <w:kern w:val="0"/>
                <w:sz w:val="15"/>
                <w:szCs w:val="15"/>
              </w:rPr>
            </w:pPr>
            <w:r>
              <w:rPr>
                <w:kern w:val="0"/>
                <w:sz w:val="15"/>
                <w:szCs w:val="15"/>
              </w:rPr>
              <w:t>2400</w:t>
            </w:r>
          </w:p>
        </w:tc>
      </w:tr>
      <w:tr w14:paraId="710F40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368" w:type="dxa"/>
            <w:tcBorders>
              <w:top w:val="single" w:color="auto" w:sz="4" w:space="0"/>
              <w:left w:val="single" w:color="auto" w:sz="8" w:space="0"/>
              <w:bottom w:val="single" w:color="auto" w:sz="8" w:space="0"/>
              <w:right w:val="single" w:color="auto" w:sz="4" w:space="0"/>
            </w:tcBorders>
            <w:vAlign w:val="center"/>
          </w:tcPr>
          <w:p w14:paraId="6E09080D">
            <w:pPr>
              <w:autoSpaceDE w:val="0"/>
              <w:autoSpaceDN w:val="0"/>
              <w:spacing w:line="240" w:lineRule="auto"/>
              <w:jc w:val="center"/>
              <w:rPr>
                <w:kern w:val="0"/>
                <w:sz w:val="15"/>
                <w:szCs w:val="15"/>
              </w:rPr>
            </w:pPr>
            <w:r>
              <w:rPr>
                <w:rFonts w:hint="eastAsia"/>
                <w:kern w:val="0"/>
                <w:sz w:val="15"/>
                <w:szCs w:val="15"/>
              </w:rPr>
              <w:t>行车方向左侧限界至线路中心线距离（无纵向辅助疏散平台）</w:t>
            </w:r>
          </w:p>
        </w:tc>
        <w:tc>
          <w:tcPr>
            <w:tcW w:w="1360" w:type="dxa"/>
            <w:tcBorders>
              <w:top w:val="single" w:color="auto" w:sz="4" w:space="0"/>
              <w:left w:val="single" w:color="auto" w:sz="4" w:space="0"/>
              <w:bottom w:val="single" w:color="auto" w:sz="8" w:space="0"/>
              <w:right w:val="single" w:color="auto" w:sz="4" w:space="0"/>
            </w:tcBorders>
            <w:vAlign w:val="center"/>
          </w:tcPr>
          <w:p w14:paraId="6B86BBE7">
            <w:pPr>
              <w:autoSpaceDE w:val="0"/>
              <w:autoSpaceDN w:val="0"/>
              <w:spacing w:line="240" w:lineRule="auto"/>
              <w:jc w:val="center"/>
              <w:rPr>
                <w:kern w:val="0"/>
                <w:sz w:val="15"/>
                <w:szCs w:val="15"/>
              </w:rPr>
            </w:pPr>
            <w:r>
              <w:rPr>
                <w:kern w:val="0"/>
                <w:sz w:val="15"/>
                <w:szCs w:val="15"/>
              </w:rPr>
              <w:t>2100</w:t>
            </w:r>
          </w:p>
        </w:tc>
        <w:tc>
          <w:tcPr>
            <w:tcW w:w="906" w:type="dxa"/>
            <w:tcBorders>
              <w:top w:val="single" w:color="auto" w:sz="4" w:space="0"/>
              <w:left w:val="single" w:color="auto" w:sz="4" w:space="0"/>
              <w:bottom w:val="single" w:color="auto" w:sz="8" w:space="0"/>
              <w:right w:val="single" w:color="auto" w:sz="4" w:space="0"/>
            </w:tcBorders>
            <w:vAlign w:val="center"/>
          </w:tcPr>
          <w:p w14:paraId="2AE37D63">
            <w:pPr>
              <w:autoSpaceDE w:val="0"/>
              <w:autoSpaceDN w:val="0"/>
              <w:spacing w:line="240" w:lineRule="auto"/>
              <w:jc w:val="center"/>
              <w:rPr>
                <w:kern w:val="0"/>
                <w:sz w:val="15"/>
                <w:szCs w:val="15"/>
              </w:rPr>
            </w:pPr>
            <w:r>
              <w:rPr>
                <w:kern w:val="0"/>
                <w:sz w:val="15"/>
                <w:szCs w:val="15"/>
              </w:rPr>
              <w:t>2000</w:t>
            </w:r>
          </w:p>
        </w:tc>
        <w:tc>
          <w:tcPr>
            <w:tcW w:w="907" w:type="dxa"/>
            <w:tcBorders>
              <w:top w:val="single" w:color="auto" w:sz="4" w:space="0"/>
              <w:left w:val="single" w:color="auto" w:sz="4" w:space="0"/>
              <w:bottom w:val="single" w:color="auto" w:sz="8" w:space="0"/>
              <w:right w:val="single" w:color="auto" w:sz="8" w:space="0"/>
            </w:tcBorders>
            <w:vAlign w:val="center"/>
          </w:tcPr>
          <w:p w14:paraId="744E0B2A">
            <w:pPr>
              <w:autoSpaceDE w:val="0"/>
              <w:autoSpaceDN w:val="0"/>
              <w:spacing w:line="240" w:lineRule="auto"/>
              <w:jc w:val="center"/>
              <w:rPr>
                <w:kern w:val="0"/>
                <w:sz w:val="15"/>
                <w:szCs w:val="15"/>
              </w:rPr>
            </w:pPr>
            <w:r>
              <w:rPr>
                <w:kern w:val="0"/>
                <w:sz w:val="15"/>
                <w:szCs w:val="15"/>
              </w:rPr>
              <w:t>2000</w:t>
            </w:r>
          </w:p>
        </w:tc>
      </w:tr>
    </w:tbl>
    <w:p w14:paraId="7118D483">
      <w:pPr>
        <w:pStyle w:val="5"/>
      </w:pPr>
      <w:r>
        <w:rPr>
          <w:rFonts w:hint="eastAsia"/>
        </w:rPr>
        <w:t>速度不高于</w:t>
      </w:r>
      <w:r>
        <w:t>100km/h</w:t>
      </w:r>
      <w:r>
        <w:rPr>
          <w:rFonts w:hint="eastAsia"/>
        </w:rPr>
        <w:t>的单线圆形隧道建筑限界，</w:t>
      </w:r>
      <w:r>
        <w:t> A</w:t>
      </w:r>
      <w:r>
        <w:rPr>
          <w:rFonts w:hint="eastAsia"/>
        </w:rPr>
        <w:t>型、</w:t>
      </w:r>
      <w:r>
        <w:t> B2</w:t>
      </w:r>
      <w:r>
        <w:rPr>
          <w:rFonts w:hint="eastAsia"/>
        </w:rPr>
        <w:t>型车的限界圆直径宜为</w:t>
      </w:r>
      <w:r>
        <w:t>5400mm</w:t>
      </w:r>
      <w:r>
        <w:rPr>
          <w:rFonts w:hint="eastAsia"/>
        </w:rPr>
        <w:t>，</w:t>
      </w:r>
      <w:r>
        <w:t> B1</w:t>
      </w:r>
      <w:r>
        <w:rPr>
          <w:rFonts w:hint="eastAsia"/>
        </w:rPr>
        <w:t>型车限界圆直径宜为</w:t>
      </w:r>
      <w:r>
        <w:t>5200mm</w:t>
      </w:r>
      <w:r>
        <w:rPr>
          <w:rFonts w:hint="eastAsia"/>
          <w:bCs/>
        </w:rPr>
        <w:t>。速度为120km/h的单线圆形隧道建限界，</w:t>
      </w:r>
      <w:r>
        <w:t>A </w:t>
      </w:r>
      <w:r>
        <w:rPr>
          <w:rFonts w:hint="eastAsia"/>
        </w:rPr>
        <w:t>、</w:t>
      </w:r>
      <w:r>
        <w:t> B2</w:t>
      </w:r>
      <w:r>
        <w:rPr>
          <w:rFonts w:hint="eastAsia"/>
        </w:rPr>
        <w:t>型车的限界圆直径宜为</w:t>
      </w:r>
      <w:r>
        <w:t>5</w:t>
      </w:r>
      <w:r>
        <w:rPr>
          <w:rFonts w:hint="eastAsia"/>
        </w:rPr>
        <w:t>9</w:t>
      </w:r>
      <w:r>
        <w:t>00mm</w:t>
      </w:r>
      <w:r>
        <w:rPr>
          <w:rFonts w:hint="eastAsia"/>
        </w:rPr>
        <w:t>。</w:t>
      </w:r>
      <w:r>
        <w:rPr>
          <w:rFonts w:hint="eastAsia"/>
          <w:bCs/>
        </w:rPr>
        <w:t>速度为140km/h的单线圆形隧道建限界，A</w:t>
      </w:r>
      <w:r>
        <w:rPr>
          <w:rFonts w:hint="eastAsia"/>
        </w:rPr>
        <w:t>型、</w:t>
      </w:r>
      <w:r>
        <w:t> B2</w:t>
      </w:r>
      <w:r>
        <w:rPr>
          <w:rFonts w:hint="eastAsia"/>
        </w:rPr>
        <w:t>型车的限界圆直径宜为65</w:t>
      </w:r>
      <w:r>
        <w:t>00mm</w:t>
      </w:r>
      <w:r>
        <w:rPr>
          <w:rFonts w:hint="eastAsia"/>
        </w:rPr>
        <w:t>（密闭性车体）或7300mm（非密闭性车体）。</w:t>
      </w:r>
    </w:p>
    <w:p w14:paraId="609DA2CB">
      <w:pPr>
        <w:pStyle w:val="5"/>
      </w:pPr>
      <w:r>
        <w:rPr>
          <w:rFonts w:hint="eastAsia"/>
        </w:rPr>
        <w:t>马蹄形隧道建筑限界应结合地质条件、管线设备布置位置综合确定。在距走行轨轨顶面</w:t>
      </w:r>
      <w:r>
        <w:t>3600mm</w:t>
      </w:r>
      <w:r>
        <w:rPr>
          <w:rFonts w:hint="eastAsia"/>
        </w:rPr>
        <w:t>高度处，建筑限界与设备限界最小间隙，当侧墙上有设备或管线时不宜小于</w:t>
      </w:r>
      <w:r>
        <w:t>300mm</w:t>
      </w:r>
      <w:r>
        <w:rPr>
          <w:rFonts w:hint="eastAsia"/>
        </w:rPr>
        <w:t>，当侧墙上无设备或管线时不宜小于</w:t>
      </w:r>
      <w:r>
        <w:t>200mm</w:t>
      </w:r>
      <w:r>
        <w:rPr>
          <w:rFonts w:hint="eastAsia"/>
        </w:rPr>
        <w:t>，困难地段不得小于</w:t>
      </w:r>
      <w:r>
        <w:t>100mm</w:t>
      </w:r>
      <w:r>
        <w:rPr>
          <w:rFonts w:hint="eastAsia"/>
        </w:rPr>
        <w:t>；轨面高度以下在距线路中心</w:t>
      </w:r>
      <w:r>
        <w:t>1100mm</w:t>
      </w:r>
      <w:r>
        <w:rPr>
          <w:rFonts w:hint="eastAsia"/>
        </w:rPr>
        <w:t>范围内，单洞双线马蹄形隧道轨面至下部建筑限界高度值不应小于轨道结构高度规定值。</w:t>
      </w:r>
    </w:p>
    <w:p w14:paraId="1A7B33AB">
      <w:pPr>
        <w:pStyle w:val="5"/>
      </w:pPr>
      <w:r>
        <w:rPr>
          <w:rFonts w:hint="eastAsia"/>
        </w:rPr>
        <w:t>在无管线和设备等敷设的范围内，行车速度在</w:t>
      </w:r>
      <w:r>
        <w:t>80~120km/h</w:t>
      </w:r>
      <w:r>
        <w:rPr>
          <w:rFonts w:hint="eastAsia"/>
        </w:rPr>
        <w:t>时，建筑限界与设备限界之间的最小间距不宜小于</w:t>
      </w:r>
      <w:r>
        <w:t>200mm</w:t>
      </w:r>
      <w:r>
        <w:rPr>
          <w:rFonts w:hint="eastAsia"/>
        </w:rPr>
        <w:t>，困难条件下不应小于</w:t>
      </w:r>
      <w:r>
        <w:t>100mm</w:t>
      </w:r>
      <w:r>
        <w:rPr>
          <w:rFonts w:hint="eastAsia"/>
        </w:rPr>
        <w:t>；行车速度在</w:t>
      </w:r>
      <w:r>
        <w:t>120km/h~140km/h</w:t>
      </w:r>
      <w:r>
        <w:rPr>
          <w:rFonts w:hint="eastAsia"/>
        </w:rPr>
        <w:t>时，建筑限界与设备限界之间的最小间距不宜小于</w:t>
      </w:r>
      <w:r>
        <w:t>300mm</w:t>
      </w:r>
      <w:r>
        <w:rPr>
          <w:rFonts w:hint="eastAsia"/>
        </w:rPr>
        <w:t>，困难条件下不应小于</w:t>
      </w:r>
      <w:r>
        <w:t>200mm</w:t>
      </w:r>
      <w:r>
        <w:rPr>
          <w:rFonts w:hint="eastAsia"/>
        </w:rPr>
        <w:t>。</w:t>
      </w:r>
    </w:p>
    <w:p w14:paraId="0379EC82">
      <w:pPr>
        <w:pStyle w:val="5"/>
      </w:pPr>
      <w:r>
        <w:rPr>
          <w:rFonts w:hint="eastAsia"/>
        </w:rPr>
        <w:t>单线圆形、马蹄形隧道在曲线超高地段，应采用隧道中心向线路中心线内侧偏移的方法。位移量应符合下列规定：</w:t>
      </w:r>
    </w:p>
    <w:p w14:paraId="7772F258">
      <w:pPr>
        <w:pStyle w:val="7"/>
        <w:ind w:firstLine="420"/>
      </w:pPr>
      <w:r>
        <w:rPr>
          <w:rFonts w:hint="eastAsia"/>
        </w:rPr>
        <w:t>圆曲线地段的位移量应按下列公式计算：</w:t>
      </w:r>
    </w:p>
    <w:p w14:paraId="0FC7FFE0">
      <w:pPr>
        <w:spacing w:line="240" w:lineRule="auto"/>
        <w:ind w:firstLine="416" w:firstLineChars="200"/>
        <w:rPr>
          <w:spacing w:val="4"/>
          <w:sz w:val="20"/>
          <w:szCs w:val="18"/>
        </w:rPr>
      </w:pPr>
      <w:r>
        <w:rPr>
          <w:rFonts w:hint="eastAsia"/>
          <w:spacing w:val="4"/>
          <w:sz w:val="20"/>
          <w:szCs w:val="18"/>
        </w:rPr>
        <w:t>水平移动量：</w:t>
      </w:r>
      <w:r>
        <w:rPr>
          <w:spacing w:val="4"/>
          <w:sz w:val="20"/>
          <w:szCs w:val="18"/>
        </w:rPr>
        <w:t xml:space="preserve"> </w:t>
      </w:r>
    </w:p>
    <w:p w14:paraId="06AFE90E">
      <w:pPr>
        <w:spacing w:line="240" w:lineRule="auto"/>
        <w:ind w:firstLine="416" w:firstLineChars="200"/>
        <w:jc w:val="center"/>
        <w:rPr>
          <w:spacing w:val="4"/>
          <w:sz w:val="20"/>
          <w:szCs w:val="18"/>
        </w:rPr>
      </w:pPr>
      <w:r>
        <w:rPr>
          <w:spacing w:val="4"/>
          <w:position w:val="-12"/>
          <w:sz w:val="20"/>
          <w:szCs w:val="18"/>
        </w:rPr>
        <w:object>
          <v:shape id="_x0000_i1028" o:spt="75" type="#_x0000_t75" style="height:16.05pt;width:52.55pt;" o:ole="t" filled="f" o:preferrelative="t" stroked="f" coordsize="21600,21600">
            <v:path/>
            <v:fill on="f" focussize="0,0"/>
            <v:stroke on="f" joinstyle="miter"/>
            <v:imagedata r:id="rId63" o:title=""/>
            <o:lock v:ext="edit" aspectratio="t"/>
            <w10:wrap type="none"/>
            <w10:anchorlock/>
          </v:shape>
          <o:OLEObject Type="Embed" ProgID="Equation.3" ShapeID="_x0000_i1028" DrawAspect="Content" ObjectID="_1468075728" r:id="rId62">
            <o:LockedField>false</o:LockedField>
          </o:OLEObject>
        </w:object>
      </w:r>
      <w:r>
        <w:rPr>
          <w:rFonts w:hint="eastAsia"/>
          <w:spacing w:val="4"/>
          <w:sz w:val="20"/>
          <w:szCs w:val="18"/>
        </w:rPr>
        <w:t xml:space="preserve">         （</w:t>
      </w:r>
      <w:r>
        <w:rPr>
          <w:spacing w:val="4"/>
          <w:sz w:val="20"/>
          <w:szCs w:val="18"/>
        </w:rPr>
        <w:t>6.3.6-1</w:t>
      </w:r>
      <w:r>
        <w:rPr>
          <w:rFonts w:hint="eastAsia"/>
          <w:spacing w:val="4"/>
          <w:sz w:val="20"/>
          <w:szCs w:val="18"/>
        </w:rPr>
        <w:t>）</w:t>
      </w:r>
    </w:p>
    <w:p w14:paraId="258C65CD">
      <w:pPr>
        <w:spacing w:line="240" w:lineRule="auto"/>
        <w:ind w:firstLine="416" w:firstLineChars="200"/>
        <w:rPr>
          <w:spacing w:val="4"/>
          <w:sz w:val="20"/>
          <w:szCs w:val="18"/>
        </w:rPr>
      </w:pPr>
      <w:r>
        <w:rPr>
          <w:rFonts w:hint="eastAsia"/>
          <w:spacing w:val="4"/>
          <w:sz w:val="20"/>
          <w:szCs w:val="18"/>
        </w:rPr>
        <w:t>垂直移动量：</w:t>
      </w:r>
      <w:r>
        <w:rPr>
          <w:spacing w:val="4"/>
          <w:sz w:val="20"/>
          <w:szCs w:val="18"/>
        </w:rPr>
        <w:t xml:space="preserve"> </w:t>
      </w:r>
    </w:p>
    <w:p w14:paraId="162A274B">
      <w:pPr>
        <w:spacing w:line="240" w:lineRule="auto"/>
        <w:ind w:firstLine="416" w:firstLineChars="200"/>
        <w:jc w:val="center"/>
        <w:rPr>
          <w:spacing w:val="4"/>
          <w:sz w:val="20"/>
          <w:szCs w:val="18"/>
        </w:rPr>
      </w:pPr>
      <w:r>
        <w:rPr>
          <w:spacing w:val="4"/>
          <w:position w:val="-12"/>
          <w:sz w:val="20"/>
          <w:szCs w:val="18"/>
        </w:rPr>
        <w:object>
          <v:shape id="_x0000_i1029" o:spt="75" type="#_x0000_t75" style="height:16.05pt;width:78.1pt;" o:ole="t" filled="f" o:preferrelative="t" stroked="f" coordsize="21600,21600">
            <v:path/>
            <v:fill on="f" focussize="0,0"/>
            <v:stroke on="f" joinstyle="miter"/>
            <v:imagedata r:id="rId65" o:title=""/>
            <o:lock v:ext="edit" aspectratio="t"/>
            <w10:wrap type="none"/>
            <w10:anchorlock/>
          </v:shape>
          <o:OLEObject Type="Embed" ProgID="Equation.3" ShapeID="_x0000_i1029" DrawAspect="Content" ObjectID="_1468075729" r:id="rId64">
            <o:LockedField>false</o:LockedField>
          </o:OLEObject>
        </w:object>
      </w:r>
      <w:r>
        <w:rPr>
          <w:rFonts w:hint="eastAsia"/>
          <w:spacing w:val="4"/>
          <w:sz w:val="20"/>
          <w:szCs w:val="18"/>
        </w:rPr>
        <w:t xml:space="preserve">     （</w:t>
      </w:r>
      <w:r>
        <w:rPr>
          <w:spacing w:val="4"/>
          <w:sz w:val="20"/>
          <w:szCs w:val="18"/>
        </w:rPr>
        <w:t>6.3.6-2</w:t>
      </w:r>
      <w:r>
        <w:rPr>
          <w:rFonts w:hint="eastAsia"/>
          <w:spacing w:val="4"/>
          <w:sz w:val="20"/>
          <w:szCs w:val="18"/>
        </w:rPr>
        <w:t>）</w:t>
      </w:r>
    </w:p>
    <w:p w14:paraId="6A32161A">
      <w:pPr>
        <w:spacing w:line="240" w:lineRule="auto"/>
        <w:rPr>
          <w:spacing w:val="4"/>
          <w:sz w:val="20"/>
        </w:rPr>
      </w:pPr>
      <w:r>
        <w:rPr>
          <w:rFonts w:hint="eastAsia"/>
          <w:spacing w:val="4"/>
          <w:sz w:val="20"/>
          <w:szCs w:val="18"/>
        </w:rPr>
        <w:t>式中：</w:t>
      </w:r>
      <w:r>
        <w:rPr>
          <w:spacing w:val="4"/>
          <w:position w:val="-6"/>
          <w:sz w:val="20"/>
        </w:rPr>
        <w:object>
          <v:shape id="_x0000_i1030" o:spt="75" type="#_x0000_t75" style="height:12.35pt;width:67.55pt;" o:ole="t" filled="f" o:preferrelative="t" stroked="f" coordsize="21600,21600">
            <v:path/>
            <v:fill on="f" focussize="0,0"/>
            <v:stroke on="f" joinstyle="miter"/>
            <v:imagedata r:id="rId67" o:title=""/>
            <o:lock v:ext="edit" aspectratio="t"/>
            <w10:wrap type="none"/>
            <w10:anchorlock/>
          </v:shape>
          <o:OLEObject Type="Embed" ProgID="Equation.3" ShapeID="_x0000_i1030" DrawAspect="Content" ObjectID="_1468075730" r:id="rId66">
            <o:LockedField>false</o:LockedField>
          </o:OLEObject>
        </w:object>
      </w:r>
      <w:r>
        <w:rPr>
          <w:rFonts w:hint="eastAsia"/>
          <w:spacing w:val="4"/>
          <w:sz w:val="20"/>
        </w:rPr>
        <w:t>；</w:t>
      </w:r>
    </w:p>
    <w:p w14:paraId="1E86C395">
      <w:pPr>
        <w:spacing w:line="240" w:lineRule="auto"/>
        <w:ind w:firstLine="416" w:firstLineChars="200"/>
        <w:rPr>
          <w:spacing w:val="4"/>
          <w:sz w:val="20"/>
          <w:szCs w:val="18"/>
        </w:rPr>
      </w:pPr>
      <w:r>
        <w:rPr>
          <w:i/>
          <w:iCs/>
          <w:spacing w:val="4"/>
          <w:sz w:val="20"/>
          <w:szCs w:val="18"/>
        </w:rPr>
        <w:t>h</w:t>
      </w:r>
      <w:r>
        <w:rPr>
          <w:rFonts w:hint="eastAsia" w:ascii="Times" w:hAnsi="Times"/>
          <w:sz w:val="20"/>
          <w:szCs w:val="18"/>
        </w:rPr>
        <w:t>——</w:t>
      </w:r>
      <w:r>
        <w:rPr>
          <w:rFonts w:hint="eastAsia"/>
          <w:spacing w:val="4"/>
          <w:sz w:val="20"/>
          <w:szCs w:val="18"/>
        </w:rPr>
        <w:t>轨道超高实设值（</w:t>
      </w:r>
      <w:r>
        <w:rPr>
          <w:spacing w:val="4"/>
          <w:sz w:val="20"/>
          <w:szCs w:val="18"/>
        </w:rPr>
        <w:t>mm</w:t>
      </w:r>
      <w:r>
        <w:rPr>
          <w:rFonts w:hint="eastAsia"/>
          <w:spacing w:val="4"/>
          <w:sz w:val="20"/>
          <w:szCs w:val="18"/>
        </w:rPr>
        <w:t>）；</w:t>
      </w:r>
    </w:p>
    <w:p w14:paraId="3309E054">
      <w:pPr>
        <w:spacing w:line="240" w:lineRule="auto"/>
        <w:ind w:firstLine="416" w:firstLineChars="200"/>
        <w:rPr>
          <w:rFonts w:ascii="Arial" w:hAnsi="Arial" w:cs="Arial"/>
          <w:spacing w:val="4"/>
          <w:sz w:val="20"/>
          <w:szCs w:val="20"/>
        </w:rPr>
      </w:pPr>
      <w:r>
        <w:rPr>
          <w:i/>
          <w:iCs/>
          <w:spacing w:val="4"/>
          <w:sz w:val="20"/>
          <w:szCs w:val="20"/>
        </w:rPr>
        <w:t>h</w:t>
      </w:r>
      <w:r>
        <w:rPr>
          <w:spacing w:val="4"/>
          <w:sz w:val="20"/>
          <w:szCs w:val="20"/>
          <w:vertAlign w:val="subscript"/>
        </w:rPr>
        <w:t>0</w:t>
      </w:r>
      <w:r>
        <w:rPr>
          <w:rFonts w:hint="eastAsia" w:ascii="Times" w:hAnsi="Times"/>
          <w:sz w:val="20"/>
          <w:szCs w:val="20"/>
        </w:rPr>
        <w:t>——</w:t>
      </w:r>
      <w:r>
        <w:rPr>
          <w:rFonts w:hint="eastAsia"/>
          <w:spacing w:val="4"/>
          <w:sz w:val="20"/>
          <w:szCs w:val="20"/>
        </w:rPr>
        <w:t>圆心距走行轨轨顶面高度（</w:t>
      </w:r>
      <w:r>
        <w:rPr>
          <w:spacing w:val="4"/>
          <w:sz w:val="20"/>
          <w:szCs w:val="20"/>
        </w:rPr>
        <w:t>mm</w:t>
      </w:r>
      <w:r>
        <w:rPr>
          <w:rFonts w:hint="eastAsia"/>
          <w:spacing w:val="4"/>
          <w:sz w:val="20"/>
          <w:szCs w:val="20"/>
        </w:rPr>
        <w:t>）。</w:t>
      </w:r>
    </w:p>
    <w:p w14:paraId="1CEFCF02">
      <w:pPr>
        <w:pStyle w:val="7"/>
        <w:ind w:firstLine="420"/>
      </w:pPr>
      <w:r>
        <w:rPr>
          <w:rFonts w:hint="eastAsia"/>
        </w:rPr>
        <w:t>缓和曲线地段的偏移量在直缓（缓直）点应为零，在缓圆（圆缓）点应为圆曲线地段的偏移量，在缓和曲线范围内偏移量应线性渐变。</w:t>
      </w:r>
    </w:p>
    <w:p w14:paraId="36E5470F">
      <w:pPr>
        <w:pStyle w:val="5"/>
      </w:pPr>
      <w:r>
        <w:rPr>
          <w:rFonts w:hint="eastAsia"/>
        </w:rPr>
        <w:t>地上线、</w:t>
      </w:r>
      <w:r>
        <w:t>U</w:t>
      </w:r>
      <w:r>
        <w:rPr>
          <w:rFonts w:hint="eastAsia"/>
        </w:rPr>
        <w:t>形槽区间建筑限界确定应符合下列规定：</w:t>
      </w:r>
    </w:p>
    <w:p w14:paraId="14E3E14B">
      <w:pPr>
        <w:pStyle w:val="7"/>
        <w:ind w:firstLine="420"/>
      </w:pPr>
      <w:r>
        <w:rPr>
          <w:rFonts w:hint="eastAsia"/>
        </w:rPr>
        <w:t>高架线、</w:t>
      </w:r>
      <w:r>
        <w:t>U</w:t>
      </w:r>
      <w:r>
        <w:rPr>
          <w:rFonts w:hint="eastAsia"/>
        </w:rPr>
        <w:t>形槽的区间建筑限界，应按高架或</w:t>
      </w:r>
      <w:r>
        <w:t>U</w:t>
      </w:r>
      <w:r>
        <w:rPr>
          <w:rFonts w:hint="eastAsia"/>
        </w:rPr>
        <w:t>形槽段设备限界及设备安装尺寸或疏散通道宽度计算确定；</w:t>
      </w:r>
    </w:p>
    <w:p w14:paraId="0546C1BB">
      <w:pPr>
        <w:pStyle w:val="7"/>
        <w:ind w:firstLine="420"/>
      </w:pPr>
      <w:r>
        <w:rPr>
          <w:rFonts w:hint="eastAsia"/>
        </w:rPr>
        <w:t>地面线建筑限界应按路基宽度，两侧排水沟以及管线布置方式等确定；</w:t>
      </w:r>
    </w:p>
    <w:p w14:paraId="0682E15A">
      <w:pPr>
        <w:pStyle w:val="7"/>
        <w:ind w:firstLine="420"/>
        <w:rPr>
          <w:bCs w:val="0"/>
        </w:rPr>
      </w:pPr>
      <w:r>
        <w:rPr>
          <w:rFonts w:hint="eastAsia"/>
          <w:bCs w:val="0"/>
        </w:rPr>
        <w:t>地上线采用半封闭弧形声屏障时，其上部与设备限界的安全间隙不宜小于</w:t>
      </w:r>
      <w:r>
        <w:rPr>
          <w:bCs w:val="0"/>
        </w:rPr>
        <w:t>200mm</w:t>
      </w:r>
      <w:r>
        <w:rPr>
          <w:rFonts w:hint="eastAsia"/>
          <w:bCs w:val="0"/>
        </w:rPr>
        <w:t>；</w:t>
      </w:r>
    </w:p>
    <w:p w14:paraId="660BF8EF">
      <w:pPr>
        <w:pStyle w:val="7"/>
        <w:ind w:firstLine="420"/>
        <w:rPr>
          <w:bCs w:val="0"/>
        </w:rPr>
      </w:pPr>
      <w:r>
        <w:rPr>
          <w:rFonts w:hint="eastAsia"/>
          <w:bCs w:val="0"/>
        </w:rPr>
        <w:t>线路一侧设置</w:t>
      </w:r>
      <w:r>
        <w:rPr>
          <w:rFonts w:hint="eastAsia"/>
        </w:rPr>
        <w:t>接触网</w:t>
      </w:r>
      <w:r>
        <w:rPr>
          <w:rFonts w:hint="eastAsia"/>
          <w:bCs w:val="0"/>
        </w:rPr>
        <w:t>支柱时，接触网系统最大突出点与设备限界之间的安全间隙不应小于</w:t>
      </w:r>
      <w:r>
        <w:rPr>
          <w:bCs w:val="0"/>
        </w:rPr>
        <w:t>100mm</w:t>
      </w:r>
      <w:r>
        <w:rPr>
          <w:rFonts w:hint="eastAsia"/>
          <w:bCs w:val="0"/>
        </w:rPr>
        <w:t>；</w:t>
      </w:r>
    </w:p>
    <w:p w14:paraId="7459CE59">
      <w:pPr>
        <w:pStyle w:val="7"/>
        <w:ind w:firstLine="420"/>
        <w:rPr>
          <w:bCs w:val="0"/>
        </w:rPr>
      </w:pPr>
      <w:r>
        <w:rPr>
          <w:rFonts w:hint="eastAsia"/>
          <w:bCs w:val="0"/>
        </w:rPr>
        <w:t>当采用顶部</w:t>
      </w:r>
      <w:r>
        <w:rPr>
          <w:rFonts w:hint="eastAsia"/>
        </w:rPr>
        <w:t>架空接触网</w:t>
      </w:r>
      <w:r>
        <w:rPr>
          <w:rFonts w:hint="eastAsia"/>
          <w:bCs w:val="0"/>
        </w:rPr>
        <w:t>授电时，建筑限界高度应按受电弓工作高度和接触网系统结构高度计算确定；当采用侧向接触轨授电时，建筑限界高度应按设备限界高度加不小于</w:t>
      </w:r>
      <w:r>
        <w:rPr>
          <w:bCs w:val="0"/>
        </w:rPr>
        <w:t>200mm</w:t>
      </w:r>
      <w:r>
        <w:rPr>
          <w:rFonts w:hint="eastAsia"/>
          <w:bCs w:val="0"/>
        </w:rPr>
        <w:t>的安全间隙计算确定。</w:t>
      </w:r>
    </w:p>
    <w:p w14:paraId="344E3142">
      <w:pPr>
        <w:pStyle w:val="5"/>
      </w:pPr>
      <w:r>
        <w:rPr>
          <w:rFonts w:hint="eastAsia"/>
        </w:rPr>
        <w:t>道岔区的建筑限界，应在直线地段建筑限界的基础上进行加宽或加高。</w:t>
      </w:r>
    </w:p>
    <w:p w14:paraId="36C46D72">
      <w:pPr>
        <w:pStyle w:val="5"/>
      </w:pPr>
      <w:r>
        <w:rPr>
          <w:rFonts w:hint="eastAsia"/>
        </w:rPr>
        <w:t>直线车站建筑限界应符合下列规定：</w:t>
      </w:r>
    </w:p>
    <w:p w14:paraId="28A7784C">
      <w:pPr>
        <w:pStyle w:val="7"/>
        <w:ind w:firstLine="420"/>
        <w:rPr>
          <w:bCs w:val="0"/>
        </w:rPr>
      </w:pPr>
      <w:r>
        <w:rPr>
          <w:rFonts w:hint="eastAsia"/>
          <w:bCs w:val="0"/>
        </w:rPr>
        <w:t>站台面不应高于车厢地板面，站台面距走行轨轨顶面高度应为，</w:t>
      </w:r>
      <w:r>
        <w:rPr>
          <w:bCs w:val="0"/>
        </w:rPr>
        <w:t>A</w:t>
      </w:r>
      <w:r>
        <w:rPr>
          <w:rFonts w:hint="eastAsia"/>
          <w:bCs w:val="0"/>
        </w:rPr>
        <w:t>型车</w:t>
      </w:r>
      <w:r>
        <w:rPr>
          <w:bCs w:val="0"/>
        </w:rPr>
        <w:t>1080mm</w:t>
      </w:r>
      <w:r>
        <w:rPr>
          <w:rFonts w:hint="eastAsia"/>
          <w:bCs w:val="0"/>
        </w:rPr>
        <w:t>±</w:t>
      </w:r>
      <w:r>
        <w:rPr>
          <w:bCs w:val="0"/>
        </w:rPr>
        <w:t>5mm</w:t>
      </w:r>
      <w:r>
        <w:rPr>
          <w:rFonts w:hint="eastAsia"/>
          <w:bCs w:val="0"/>
        </w:rPr>
        <w:t>、</w:t>
      </w:r>
      <w:r>
        <w:rPr>
          <w:bCs w:val="0"/>
        </w:rPr>
        <w:t>B</w:t>
      </w:r>
      <w:r>
        <w:rPr>
          <w:bCs w:val="0"/>
          <w:vertAlign w:val="subscript"/>
        </w:rPr>
        <w:t>1</w:t>
      </w:r>
      <w:r>
        <w:rPr>
          <w:rFonts w:hint="eastAsia"/>
          <w:bCs w:val="0"/>
        </w:rPr>
        <w:t>及</w:t>
      </w:r>
      <w:r>
        <w:rPr>
          <w:bCs w:val="0"/>
        </w:rPr>
        <w:t>B</w:t>
      </w:r>
      <w:r>
        <w:rPr>
          <w:bCs w:val="0"/>
          <w:vertAlign w:val="subscript"/>
        </w:rPr>
        <w:t>2</w:t>
      </w:r>
      <w:r>
        <w:rPr>
          <w:rFonts w:hint="eastAsia"/>
          <w:bCs w:val="0"/>
        </w:rPr>
        <w:t>型车</w:t>
      </w:r>
      <w:r>
        <w:rPr>
          <w:bCs w:val="0"/>
        </w:rPr>
        <w:t>1050mm</w:t>
      </w:r>
      <w:r>
        <w:rPr>
          <w:rFonts w:hint="eastAsia"/>
          <w:bCs w:val="0"/>
        </w:rPr>
        <w:t>±</w:t>
      </w:r>
      <w:r>
        <w:rPr>
          <w:bCs w:val="0"/>
        </w:rPr>
        <w:t>5mm</w:t>
      </w:r>
      <w:r>
        <w:rPr>
          <w:rFonts w:hint="eastAsia"/>
          <w:bCs w:val="0"/>
        </w:rPr>
        <w:t>；</w:t>
      </w:r>
    </w:p>
    <w:p w14:paraId="3BBEB2D5">
      <w:pPr>
        <w:pStyle w:val="7"/>
        <w:ind w:firstLine="420"/>
        <w:rPr>
          <w:bCs w:val="0"/>
        </w:rPr>
      </w:pPr>
      <w:r>
        <w:rPr>
          <w:rFonts w:hint="eastAsia"/>
          <w:bCs w:val="0"/>
        </w:rPr>
        <w:t>站台</w:t>
      </w:r>
      <w:r>
        <w:rPr>
          <w:rFonts w:hint="eastAsia"/>
        </w:rPr>
        <w:t>计算长度</w:t>
      </w:r>
      <w:r>
        <w:rPr>
          <w:rFonts w:hint="eastAsia"/>
          <w:bCs w:val="0"/>
        </w:rPr>
        <w:t>内的站台边缘至轨道中心线的距离应为，</w:t>
      </w:r>
      <w:r>
        <w:rPr>
          <w:bCs w:val="0"/>
        </w:rPr>
        <w:t>A</w:t>
      </w:r>
      <w:r>
        <w:rPr>
          <w:rFonts w:hint="eastAsia"/>
          <w:bCs w:val="0"/>
        </w:rPr>
        <w:t>型车</w:t>
      </w:r>
      <w:r>
        <w:rPr>
          <w:bCs w:val="0"/>
        </w:rPr>
        <w:t>1600mm</w:t>
      </w:r>
      <w:r>
        <w:rPr>
          <w:bCs w:val="0"/>
          <w:position w:val="-10"/>
        </w:rPr>
        <w:object>
          <v:shape id="_x0000_i1031" o:spt="75" type="#_x0000_t75" style="height:16.8pt;width:15pt;" o:ole="t" filled="f" o:preferrelative="t" stroked="f" coordsize="21600,21600">
            <v:path/>
            <v:fill on="f" focussize="0,0"/>
            <v:stroke on="f" joinstyle="miter"/>
            <v:imagedata r:id="rId69" o:title=""/>
            <o:lock v:ext="edit" aspectratio="t"/>
            <w10:wrap type="none"/>
            <w10:anchorlock/>
          </v:shape>
          <o:OLEObject Type="Embed" ProgID="Visio.Drawing.15" ShapeID="_x0000_i1031" DrawAspect="Content" ObjectID="_1468075731" r:id="rId68">
            <o:LockedField>false</o:LockedField>
          </o:OLEObject>
        </w:object>
      </w:r>
      <w:r>
        <w:rPr>
          <w:bCs w:val="0"/>
        </w:rPr>
        <w:t>mm</w:t>
      </w:r>
      <w:r>
        <w:rPr>
          <w:rFonts w:hint="eastAsia"/>
          <w:bCs w:val="0"/>
        </w:rPr>
        <w:t>、</w:t>
      </w:r>
      <w:r>
        <w:rPr>
          <w:bCs w:val="0"/>
        </w:rPr>
        <w:t>B</w:t>
      </w:r>
      <w:r>
        <w:rPr>
          <w:rFonts w:hint="eastAsia"/>
          <w:bCs w:val="0"/>
        </w:rPr>
        <w:t>型车</w:t>
      </w:r>
      <w:r>
        <w:rPr>
          <w:bCs w:val="0"/>
        </w:rPr>
        <w:t>1500mm</w:t>
      </w:r>
      <w:r>
        <w:rPr>
          <w:bCs w:val="0"/>
          <w:position w:val="-10"/>
        </w:rPr>
        <w:object>
          <v:shape id="_x0000_i1032" o:spt="75" type="#_x0000_t75" style="height:16.8pt;width:15pt;" o:ole="t" filled="f" o:preferrelative="t" stroked="f" coordsize="21600,21600">
            <v:path/>
            <v:fill on="f" focussize="0,0"/>
            <v:stroke on="f" joinstyle="miter"/>
            <v:imagedata r:id="rId69" o:title=""/>
            <o:lock v:ext="edit" aspectratio="t"/>
            <w10:wrap type="none"/>
            <w10:anchorlock/>
          </v:shape>
          <o:OLEObject Type="Embed" ProgID="Visio.Drawing.15" ShapeID="_x0000_i1032" DrawAspect="Content" ObjectID="_1468075732" r:id="rId70">
            <o:LockedField>false</o:LockedField>
          </o:OLEObject>
        </w:object>
      </w:r>
      <w:r>
        <w:rPr>
          <w:bCs w:val="0"/>
        </w:rPr>
        <w:t>mm</w:t>
      </w:r>
      <w:r>
        <w:rPr>
          <w:rFonts w:hint="eastAsia"/>
          <w:bCs w:val="0"/>
        </w:rPr>
        <w:t>；</w:t>
      </w:r>
    </w:p>
    <w:p w14:paraId="1DDF6A33">
      <w:pPr>
        <w:pStyle w:val="7"/>
        <w:ind w:firstLine="420"/>
        <w:rPr>
          <w:bCs w:val="0"/>
        </w:rPr>
      </w:pPr>
      <w:r>
        <w:rPr>
          <w:rFonts w:hint="eastAsia"/>
          <w:bCs w:val="0"/>
        </w:rPr>
        <w:t>站台屏蔽门与车站车辆限界之间的安全间隙不应小于</w:t>
      </w:r>
      <w:r>
        <w:rPr>
          <w:bCs w:val="0"/>
        </w:rPr>
        <w:t>25mm</w:t>
      </w:r>
      <w:r>
        <w:rPr>
          <w:rFonts w:hint="eastAsia"/>
          <w:bCs w:val="0"/>
        </w:rPr>
        <w:t>；</w:t>
      </w:r>
    </w:p>
    <w:p w14:paraId="1EF9F1AF">
      <w:pPr>
        <w:pStyle w:val="7"/>
        <w:ind w:firstLine="420"/>
        <w:rPr>
          <w:bCs w:val="0"/>
        </w:rPr>
      </w:pPr>
      <w:r>
        <w:rPr>
          <w:rFonts w:hint="eastAsia"/>
          <w:bCs w:val="0"/>
        </w:rPr>
        <w:t>站台</w:t>
      </w:r>
      <w:r>
        <w:rPr>
          <w:rFonts w:hint="eastAsia"/>
        </w:rPr>
        <w:t>计算长度</w:t>
      </w:r>
      <w:r>
        <w:rPr>
          <w:rFonts w:hint="eastAsia"/>
          <w:bCs w:val="0"/>
        </w:rPr>
        <w:t>外的站台边缘至轨道中心线距离</w:t>
      </w:r>
      <w:r>
        <w:rPr>
          <w:bCs w:val="0"/>
        </w:rPr>
        <w:t>A</w:t>
      </w:r>
      <w:r>
        <w:rPr>
          <w:rFonts w:hint="eastAsia"/>
          <w:bCs w:val="0"/>
        </w:rPr>
        <w:t>型车宜为</w:t>
      </w:r>
      <w:r>
        <w:rPr>
          <w:bCs w:val="0"/>
        </w:rPr>
        <w:t>1800mm</w:t>
      </w:r>
      <w:r>
        <w:rPr>
          <w:rFonts w:hint="eastAsia"/>
          <w:bCs w:val="0"/>
        </w:rPr>
        <w:t>、</w:t>
      </w:r>
      <w:r>
        <w:rPr>
          <w:bCs w:val="0"/>
        </w:rPr>
        <w:t>B</w:t>
      </w:r>
      <w:r>
        <w:rPr>
          <w:rFonts w:hint="eastAsia"/>
          <w:bCs w:val="0"/>
        </w:rPr>
        <w:t>型车宜为</w:t>
      </w:r>
      <w:r>
        <w:rPr>
          <w:bCs w:val="0"/>
        </w:rPr>
        <w:t>1700mm</w:t>
      </w:r>
      <w:r>
        <w:rPr>
          <w:rFonts w:hint="eastAsia"/>
          <w:bCs w:val="0"/>
        </w:rPr>
        <w:t>；</w:t>
      </w:r>
    </w:p>
    <w:p w14:paraId="75B9812A">
      <w:pPr>
        <w:pStyle w:val="7"/>
        <w:ind w:firstLine="420"/>
        <w:rPr>
          <w:bCs w:val="0"/>
        </w:rPr>
      </w:pPr>
      <w:r>
        <w:rPr>
          <w:rFonts w:hint="eastAsia"/>
          <w:bCs w:val="0"/>
        </w:rPr>
        <w:t>站端设有道岔的车站与盾构区间相接时，</w:t>
      </w:r>
      <w:r>
        <w:rPr>
          <w:bCs w:val="0"/>
        </w:rPr>
        <w:t>9</w:t>
      </w:r>
      <w:r>
        <w:rPr>
          <w:rFonts w:hint="eastAsia"/>
          <w:bCs w:val="0"/>
        </w:rPr>
        <w:t>号道岔的岔心至盾构管片起点的最小距离不宜小于</w:t>
      </w:r>
      <w:r>
        <w:rPr>
          <w:bCs w:val="0"/>
        </w:rPr>
        <w:t>18m</w:t>
      </w:r>
      <w:r>
        <w:rPr>
          <w:rFonts w:hint="eastAsia"/>
          <w:bCs w:val="0"/>
        </w:rPr>
        <w:t>，困难情况下不得小于</w:t>
      </w:r>
      <w:r>
        <w:rPr>
          <w:bCs w:val="0"/>
        </w:rPr>
        <w:t>15m</w:t>
      </w:r>
      <w:r>
        <w:rPr>
          <w:rFonts w:hint="eastAsia"/>
          <w:bCs w:val="0"/>
        </w:rPr>
        <w:t>；</w:t>
      </w:r>
      <w:r>
        <w:rPr>
          <w:bCs w:val="0"/>
        </w:rPr>
        <w:t>12</w:t>
      </w:r>
      <w:r>
        <w:rPr>
          <w:rFonts w:hint="eastAsia"/>
          <w:bCs w:val="0"/>
        </w:rPr>
        <w:t>号道岔的岔心至盾构管片起点的最小距离不宜小于</w:t>
      </w:r>
      <w:r>
        <w:rPr>
          <w:bCs w:val="0"/>
        </w:rPr>
        <w:t>21m</w:t>
      </w:r>
      <w:r>
        <w:rPr>
          <w:rFonts w:hint="eastAsia"/>
          <w:bCs w:val="0"/>
        </w:rPr>
        <w:t>，困难情况下不宜小于</w:t>
      </w:r>
      <w:r>
        <w:rPr>
          <w:bCs w:val="0"/>
        </w:rPr>
        <w:t>16m</w:t>
      </w:r>
      <w:r>
        <w:rPr>
          <w:rFonts w:hint="eastAsia"/>
          <w:bCs w:val="0"/>
        </w:rPr>
        <w:t>；</w:t>
      </w:r>
    </w:p>
    <w:p w14:paraId="689D2A1B">
      <w:pPr>
        <w:pStyle w:val="7"/>
        <w:ind w:firstLine="420"/>
        <w:rPr>
          <w:bCs w:val="0"/>
        </w:rPr>
      </w:pPr>
      <w:r>
        <w:rPr>
          <w:rFonts w:hint="eastAsia"/>
          <w:bCs w:val="0"/>
        </w:rPr>
        <w:t>车站</w:t>
      </w:r>
      <w:r>
        <w:rPr>
          <w:rFonts w:hint="eastAsia"/>
        </w:rPr>
        <w:t>范围</w:t>
      </w:r>
      <w:r>
        <w:rPr>
          <w:rFonts w:hint="eastAsia"/>
          <w:bCs w:val="0"/>
        </w:rPr>
        <w:t>内其余部位建筑限界，应按区间建筑限界的规定执行。</w:t>
      </w:r>
    </w:p>
    <w:p w14:paraId="706545C4">
      <w:pPr>
        <w:pStyle w:val="5"/>
      </w:pPr>
      <w:r>
        <w:rPr>
          <w:rFonts w:hint="eastAsia"/>
        </w:rPr>
        <w:t>曲线车站站台边缘与车辆轮廓线之间的间隙不应大于</w:t>
      </w:r>
      <w:r>
        <w:t>180mm</w:t>
      </w:r>
      <w:r>
        <w:rPr>
          <w:rFonts w:hint="eastAsia"/>
        </w:rPr>
        <w:t>。</w:t>
      </w:r>
    </w:p>
    <w:p w14:paraId="783268FC">
      <w:pPr>
        <w:numPr>
          <w:ilvl w:val="2"/>
          <w:numId w:val="1"/>
        </w:numPr>
        <w:tabs>
          <w:tab w:val="left" w:pos="709"/>
          <w:tab w:val="left" w:pos="794"/>
        </w:tabs>
        <w:jc w:val="left"/>
        <w:outlineLvl w:val="2"/>
        <w:rPr>
          <w:bCs/>
        </w:rPr>
      </w:pPr>
      <w:r>
        <w:rPr>
          <w:rFonts w:hint="eastAsia"/>
          <w:bCs/>
        </w:rPr>
        <w:t>直线地段人防隔断门（或防淹门）门框建筑限界应符合下列规定：</w:t>
      </w:r>
    </w:p>
    <w:p w14:paraId="40F28442">
      <w:pPr>
        <w:pStyle w:val="7"/>
        <w:ind w:firstLine="420"/>
        <w:rPr>
          <w:bCs w:val="0"/>
        </w:rPr>
      </w:pPr>
      <w:r>
        <w:rPr>
          <w:rFonts w:hint="eastAsia"/>
          <w:szCs w:val="18"/>
        </w:rPr>
        <w:t>防隔断门、防淹门的建筑限界，在车辆静止状态下应满足宽度方向的安全间隙，且不应小于</w:t>
      </w:r>
      <w:r>
        <w:rPr>
          <w:szCs w:val="18"/>
        </w:rPr>
        <w:t> 600mm</w:t>
      </w:r>
      <w:r>
        <w:rPr>
          <w:rFonts w:hint="eastAsia"/>
          <w:bCs w:val="0"/>
        </w:rPr>
        <w:t>；</w:t>
      </w:r>
    </w:p>
    <w:p w14:paraId="32C8A36E">
      <w:pPr>
        <w:pStyle w:val="7"/>
        <w:ind w:firstLine="420"/>
        <w:rPr>
          <w:bCs w:val="0"/>
        </w:rPr>
      </w:pPr>
      <w:r>
        <w:rPr>
          <w:rFonts w:hint="eastAsia"/>
          <w:bCs w:val="0"/>
        </w:rPr>
        <w:t>人防隔断门（或防淹门）门框顶部距走行轨轨顶面的限界高度应与区间矩形隧道一致；</w:t>
      </w:r>
    </w:p>
    <w:p w14:paraId="5632896D">
      <w:pPr>
        <w:pStyle w:val="7"/>
        <w:ind w:firstLine="420"/>
        <w:rPr>
          <w:bCs w:val="0"/>
        </w:rPr>
      </w:pPr>
      <w:r>
        <w:rPr>
          <w:rFonts w:hint="eastAsia"/>
          <w:bCs w:val="0"/>
        </w:rPr>
        <w:t>曲线</w:t>
      </w:r>
      <w:r>
        <w:rPr>
          <w:rFonts w:hint="eastAsia"/>
        </w:rPr>
        <w:t>地段</w:t>
      </w:r>
      <w:r>
        <w:rPr>
          <w:rFonts w:hint="eastAsia"/>
          <w:bCs w:val="0"/>
        </w:rPr>
        <w:t>的建筑限界应在直线地段建筑限界的基础上加宽。</w:t>
      </w:r>
    </w:p>
    <w:p w14:paraId="6BCF0BF6">
      <w:pPr>
        <w:numPr>
          <w:ilvl w:val="2"/>
          <w:numId w:val="1"/>
        </w:numPr>
        <w:tabs>
          <w:tab w:val="left" w:pos="709"/>
          <w:tab w:val="left" w:pos="794"/>
        </w:tabs>
        <w:jc w:val="left"/>
        <w:outlineLvl w:val="2"/>
        <w:rPr>
          <w:bCs/>
        </w:rPr>
      </w:pPr>
      <w:r>
        <w:rPr>
          <w:rFonts w:hint="eastAsia"/>
          <w:bCs/>
        </w:rPr>
        <w:t>在安装射流风机、风管、配电柜、控制箱、接触网隔离开关道岔转辙机等设备地段，应按设备安装位置及尺寸检算建筑限界，必要时应采取局部加宽、加高措施。</w:t>
      </w:r>
    </w:p>
    <w:p w14:paraId="010AD5C1">
      <w:pPr>
        <w:numPr>
          <w:ilvl w:val="2"/>
          <w:numId w:val="1"/>
        </w:numPr>
        <w:tabs>
          <w:tab w:val="left" w:pos="709"/>
          <w:tab w:val="left" w:pos="794"/>
        </w:tabs>
        <w:jc w:val="left"/>
        <w:outlineLvl w:val="2"/>
        <w:rPr>
          <w:bCs/>
        </w:rPr>
      </w:pPr>
      <w:r>
        <w:rPr>
          <w:rFonts w:hint="eastAsia"/>
          <w:bCs/>
        </w:rPr>
        <w:t>车辆综合基地内轨行区周边的建筑限界应符合下列规定：</w:t>
      </w:r>
    </w:p>
    <w:p w14:paraId="17B70A7B">
      <w:pPr>
        <w:pStyle w:val="7"/>
        <w:ind w:firstLine="420"/>
        <w:rPr>
          <w:bCs w:val="0"/>
        </w:rPr>
      </w:pPr>
      <w:r>
        <w:rPr>
          <w:rFonts w:hint="eastAsia"/>
          <w:szCs w:val="18"/>
        </w:rPr>
        <w:t>车辆基地库内检修高平台及安全栅栏距车辆轮廓之间的间隙应限定在</w:t>
      </w:r>
      <w:r>
        <w:rPr>
          <w:szCs w:val="18"/>
        </w:rPr>
        <w:t>80mm~120mm</w:t>
      </w:r>
      <w:r>
        <w:rPr>
          <w:rFonts w:hint="eastAsia"/>
          <w:bCs w:val="0"/>
        </w:rPr>
        <w:t>；</w:t>
      </w:r>
    </w:p>
    <w:p w14:paraId="6419E175">
      <w:pPr>
        <w:pStyle w:val="7"/>
        <w:ind w:firstLine="420"/>
        <w:rPr>
          <w:bCs w:val="0"/>
        </w:rPr>
      </w:pPr>
      <w:r>
        <w:rPr>
          <w:rFonts w:hint="eastAsia"/>
          <w:bCs w:val="0"/>
        </w:rPr>
        <w:t>库内作业平台的低平台及司机登车平台应采用车站站台限界；司机登车平台安全栅栏按设备限界确定；</w:t>
      </w:r>
    </w:p>
    <w:p w14:paraId="4FEB2380">
      <w:pPr>
        <w:pStyle w:val="7"/>
        <w:ind w:firstLine="420"/>
        <w:rPr>
          <w:bCs w:val="0"/>
        </w:rPr>
      </w:pPr>
      <w:r>
        <w:rPr>
          <w:rFonts w:hint="eastAsia"/>
          <w:bCs w:val="0"/>
        </w:rPr>
        <w:t>当列车升弓进库时，车库大门高度应按接触网安装高度限界确定；</w:t>
      </w:r>
    </w:p>
    <w:p w14:paraId="0ABDCD81">
      <w:pPr>
        <w:pStyle w:val="7"/>
        <w:ind w:firstLine="420"/>
        <w:rPr>
          <w:bCs w:val="0"/>
        </w:rPr>
      </w:pPr>
      <w:r>
        <w:rPr>
          <w:rFonts w:hint="eastAsia"/>
          <w:bCs w:val="0"/>
        </w:rPr>
        <w:t>线路直线地段信号设备至设备限界的净距不得小于</w:t>
      </w:r>
      <w:r>
        <w:rPr>
          <w:bCs w:val="0"/>
        </w:rPr>
        <w:t>200mm</w:t>
      </w:r>
      <w:r>
        <w:rPr>
          <w:rFonts w:hint="eastAsia"/>
          <w:bCs w:val="0"/>
        </w:rPr>
        <w:t>。曲线段及道岔区限界应加宽；</w:t>
      </w:r>
    </w:p>
    <w:p w14:paraId="2E8185D6">
      <w:pPr>
        <w:pStyle w:val="7"/>
        <w:ind w:firstLine="420"/>
        <w:rPr>
          <w:bCs w:val="0"/>
        </w:rPr>
      </w:pPr>
      <w:r>
        <w:rPr>
          <w:rFonts w:hint="eastAsia"/>
          <w:bCs w:val="0"/>
        </w:rPr>
        <w:t>设有人行便道的连续</w:t>
      </w:r>
      <w:r>
        <w:rPr>
          <w:rFonts w:hint="eastAsia"/>
        </w:rPr>
        <w:t>建筑物</w:t>
      </w:r>
      <w:r>
        <w:rPr>
          <w:rFonts w:hint="eastAsia"/>
          <w:bCs w:val="0"/>
        </w:rPr>
        <w:t>至设备限界的净距不宜小于</w:t>
      </w:r>
      <w:r>
        <w:rPr>
          <w:bCs w:val="0"/>
        </w:rPr>
        <w:t>1000mm</w:t>
      </w:r>
      <w:r>
        <w:rPr>
          <w:rFonts w:hint="eastAsia"/>
          <w:bCs w:val="0"/>
        </w:rPr>
        <w:t>；</w:t>
      </w:r>
    </w:p>
    <w:p w14:paraId="39F83085">
      <w:pPr>
        <w:pStyle w:val="7"/>
        <w:ind w:firstLine="420"/>
        <w:rPr>
          <w:bCs w:val="0"/>
        </w:rPr>
      </w:pPr>
      <w:r>
        <w:rPr>
          <w:rFonts w:hint="eastAsia"/>
          <w:bCs w:val="0"/>
        </w:rPr>
        <w:t>设有人行便道的非连续建筑物长度不大于</w:t>
      </w:r>
      <w:r>
        <w:rPr>
          <w:bCs w:val="0"/>
        </w:rPr>
        <w:t>2m</w:t>
      </w:r>
      <w:r>
        <w:rPr>
          <w:rFonts w:hint="eastAsia"/>
          <w:bCs w:val="0"/>
        </w:rPr>
        <w:t>时，建筑物至设备限界净距不得小于</w:t>
      </w:r>
      <w:r>
        <w:rPr>
          <w:bCs w:val="0"/>
        </w:rPr>
        <w:t>600mm</w:t>
      </w:r>
      <w:r>
        <w:rPr>
          <w:rFonts w:hint="eastAsia"/>
          <w:bCs w:val="0"/>
        </w:rPr>
        <w:t>；</w:t>
      </w:r>
    </w:p>
    <w:p w14:paraId="016A26A0">
      <w:pPr>
        <w:pStyle w:val="7"/>
        <w:ind w:firstLine="420"/>
        <w:rPr>
          <w:bCs w:val="0"/>
        </w:rPr>
      </w:pPr>
      <w:r>
        <w:rPr>
          <w:rFonts w:hint="eastAsia"/>
          <w:bCs w:val="0"/>
        </w:rPr>
        <w:t>线路直线地段库外接触网立柱边缘距离轨道中心线距离不应小于</w:t>
      </w:r>
      <w:r>
        <w:rPr>
          <w:bCs w:val="0"/>
        </w:rPr>
        <w:t>1900mm</w:t>
      </w:r>
      <w:r>
        <w:rPr>
          <w:rFonts w:hint="eastAsia"/>
          <w:bCs w:val="0"/>
        </w:rPr>
        <w:t>，曲线段及道岔区应适当加宽；</w:t>
      </w:r>
    </w:p>
    <w:p w14:paraId="60588677">
      <w:pPr>
        <w:pStyle w:val="7"/>
        <w:ind w:firstLine="420"/>
        <w:rPr>
          <w:bCs w:val="0"/>
        </w:rPr>
      </w:pPr>
      <w:r>
        <w:rPr>
          <w:rFonts w:hint="eastAsia"/>
          <w:bCs w:val="0"/>
        </w:rPr>
        <w:t>车辆段、停车场库内各种建筑物至设备限界净距及库门限界，应符合现行国家标准《地铁设计规范》</w:t>
      </w:r>
      <w:r>
        <w:rPr>
          <w:bCs w:val="0"/>
        </w:rPr>
        <w:t>GB 50157</w:t>
      </w:r>
      <w:r>
        <w:rPr>
          <w:rFonts w:hint="eastAsia"/>
          <w:bCs w:val="0"/>
        </w:rPr>
        <w:t>的有关规定；</w:t>
      </w:r>
    </w:p>
    <w:p w14:paraId="3F2B61DE">
      <w:pPr>
        <w:numPr>
          <w:ilvl w:val="2"/>
          <w:numId w:val="1"/>
        </w:numPr>
        <w:tabs>
          <w:tab w:val="left" w:pos="709"/>
          <w:tab w:val="left" w:pos="794"/>
        </w:tabs>
        <w:jc w:val="left"/>
        <w:outlineLvl w:val="2"/>
        <w:rPr>
          <w:bCs/>
        </w:rPr>
      </w:pPr>
      <w:r>
        <w:rPr>
          <w:rFonts w:hint="eastAsia"/>
          <w:bCs/>
        </w:rPr>
        <w:t>道岔警冲标至相邻两线的垂直距离，应满足相邻两线设备限界的要求。</w:t>
      </w:r>
    </w:p>
    <w:p w14:paraId="7E565065">
      <w:pPr>
        <w:numPr>
          <w:ilvl w:val="1"/>
          <w:numId w:val="1"/>
        </w:numPr>
        <w:tabs>
          <w:tab w:val="left" w:pos="794"/>
        </w:tabs>
        <w:snapToGrid w:val="0"/>
        <w:spacing w:before="156" w:after="156" w:line="240" w:lineRule="auto"/>
        <w:jc w:val="center"/>
        <w:outlineLvl w:val="1"/>
        <w:rPr>
          <w:rFonts w:eastAsia="黑体"/>
          <w:bCs/>
          <w:szCs w:val="28"/>
        </w:rPr>
      </w:pPr>
      <w:bookmarkStart w:id="247" w:name="_Toc183888474"/>
      <w:bookmarkStart w:id="248" w:name="_Toc183888112"/>
      <w:bookmarkStart w:id="249" w:name="_Toc183882422"/>
      <w:bookmarkStart w:id="250" w:name="_Toc183790499"/>
      <w:bookmarkStart w:id="251" w:name="_Toc357929317"/>
      <w:bookmarkStart w:id="252" w:name="_Toc183882060"/>
      <w:bookmarkStart w:id="253" w:name="_Toc183765069"/>
      <w:r>
        <w:rPr>
          <w:rFonts w:hint="eastAsia" w:eastAsia="黑体"/>
          <w:bCs/>
          <w:szCs w:val="28"/>
        </w:rPr>
        <w:t>轨行区管线设备布置原则</w:t>
      </w:r>
      <w:bookmarkEnd w:id="247"/>
      <w:bookmarkEnd w:id="248"/>
      <w:bookmarkEnd w:id="249"/>
      <w:bookmarkEnd w:id="250"/>
      <w:bookmarkEnd w:id="251"/>
      <w:bookmarkEnd w:id="252"/>
      <w:bookmarkEnd w:id="253"/>
    </w:p>
    <w:p w14:paraId="50572F39">
      <w:pPr>
        <w:pStyle w:val="5"/>
      </w:pPr>
      <w:r>
        <w:rPr>
          <w:rFonts w:hint="eastAsia"/>
        </w:rPr>
        <w:t>除接触网和接触轨外，轨行区内安装的设备及管线（含支架）与设备限界的安全间隙不应小于</w:t>
      </w:r>
      <w:r>
        <w:t>50mm</w:t>
      </w:r>
      <w:r>
        <w:rPr>
          <w:rFonts w:hint="eastAsia"/>
        </w:rPr>
        <w:t>。</w:t>
      </w:r>
    </w:p>
    <w:p w14:paraId="3BBB735A">
      <w:pPr>
        <w:pStyle w:val="5"/>
      </w:pPr>
      <w:r>
        <w:rPr>
          <w:rFonts w:hint="eastAsia"/>
        </w:rPr>
        <w:t>强、弱电设备宜分别布置在线路两侧。各种管线的路由宜顺畅，不宜频繁过轨或交叉。</w:t>
      </w:r>
    </w:p>
    <w:p w14:paraId="21450EC7">
      <w:pPr>
        <w:pStyle w:val="5"/>
      </w:pPr>
      <w:r>
        <w:rPr>
          <w:rFonts w:hint="eastAsia"/>
        </w:rPr>
        <w:t>信号机宜安装在行车方向的右侧，道岔区信号机的安装位置应根据信号专业布置确定。</w:t>
      </w:r>
    </w:p>
    <w:p w14:paraId="71549BEA">
      <w:pPr>
        <w:pStyle w:val="5"/>
      </w:pPr>
      <w:r>
        <w:rPr>
          <w:rFonts w:hint="eastAsia"/>
        </w:rPr>
        <w:t>区间隧道内管线设备布置应符合下列规定：</w:t>
      </w:r>
    </w:p>
    <w:p w14:paraId="55EE65FB">
      <w:pPr>
        <w:pStyle w:val="7"/>
        <w:ind w:firstLine="420"/>
        <w:rPr>
          <w:bCs w:val="0"/>
        </w:rPr>
      </w:pPr>
      <w:r>
        <w:rPr>
          <w:rFonts w:hint="eastAsia"/>
          <w:bCs w:val="0"/>
        </w:rPr>
        <w:t>行车方向</w:t>
      </w:r>
      <w:r>
        <w:rPr>
          <w:rFonts w:hint="eastAsia"/>
        </w:rPr>
        <w:t>右侧</w:t>
      </w:r>
      <w:r>
        <w:rPr>
          <w:rFonts w:hint="eastAsia"/>
          <w:bCs w:val="0"/>
        </w:rPr>
        <w:t>宜布置弱电设备（含各种箱、盒）、消防水管和管线，行车方向左侧宜布置强电设备（含各种箱、盒）和管线；</w:t>
      </w:r>
    </w:p>
    <w:p w14:paraId="35CB1F55">
      <w:pPr>
        <w:pStyle w:val="7"/>
        <w:ind w:firstLine="420"/>
        <w:rPr>
          <w:bCs w:val="0"/>
        </w:rPr>
      </w:pPr>
      <w:r>
        <w:rPr>
          <w:rFonts w:hint="eastAsia"/>
          <w:szCs w:val="18"/>
        </w:rPr>
        <w:t>纵向辅助疏散平台面上方的净高不应小于</w:t>
      </w:r>
      <w:r>
        <w:rPr>
          <w:szCs w:val="18"/>
        </w:rPr>
        <w:t> 2000mm</w:t>
      </w:r>
      <w:r>
        <w:rPr>
          <w:rFonts w:hint="eastAsia"/>
          <w:bCs w:val="0"/>
        </w:rPr>
        <w:t>；</w:t>
      </w:r>
    </w:p>
    <w:p w14:paraId="4C7DCEDA">
      <w:pPr>
        <w:pStyle w:val="7"/>
        <w:ind w:firstLine="420"/>
        <w:rPr>
          <w:bCs w:val="0"/>
        </w:rPr>
      </w:pPr>
      <w:r>
        <w:rPr>
          <w:rFonts w:hint="eastAsia"/>
          <w:bCs w:val="0"/>
        </w:rPr>
        <w:t>射流风</w:t>
      </w:r>
      <w:r>
        <w:rPr>
          <w:rFonts w:hint="eastAsia"/>
        </w:rPr>
        <w:t>机宜</w:t>
      </w:r>
      <w:r>
        <w:rPr>
          <w:rFonts w:hint="eastAsia"/>
          <w:bCs w:val="0"/>
        </w:rPr>
        <w:t>布置在隧道顶部，条件允许时射流风机可设置在行车方向右侧；</w:t>
      </w:r>
    </w:p>
    <w:p w14:paraId="11756C45">
      <w:pPr>
        <w:pStyle w:val="7"/>
        <w:ind w:firstLine="420"/>
        <w:rPr>
          <w:bCs w:val="0"/>
        </w:rPr>
      </w:pPr>
      <w:r>
        <w:rPr>
          <w:rFonts w:hint="eastAsia"/>
          <w:bCs w:val="0"/>
        </w:rPr>
        <w:t>当接触网（轨）隔离开关安装在轨行区时，不得侵入设备限界。</w:t>
      </w:r>
    </w:p>
    <w:p w14:paraId="60C75C32">
      <w:pPr>
        <w:pStyle w:val="5"/>
      </w:pPr>
      <w:r>
        <w:rPr>
          <w:rFonts w:hint="eastAsia"/>
        </w:rPr>
        <w:t>高架区间管线设备布置应符合下列规定：</w:t>
      </w:r>
    </w:p>
    <w:p w14:paraId="5B28CECB">
      <w:pPr>
        <w:pStyle w:val="7"/>
        <w:ind w:firstLine="420"/>
        <w:rPr>
          <w:bCs w:val="0"/>
        </w:rPr>
      </w:pPr>
      <w:r>
        <w:rPr>
          <w:rFonts w:hint="eastAsia"/>
          <w:bCs w:val="0"/>
        </w:rPr>
        <w:t>双线高架区间弱电和强电设备宜分开布置在两线之间或两线外侧；</w:t>
      </w:r>
    </w:p>
    <w:p w14:paraId="47921969">
      <w:pPr>
        <w:pStyle w:val="7"/>
        <w:ind w:firstLine="420"/>
        <w:rPr>
          <w:bCs w:val="0"/>
        </w:rPr>
      </w:pPr>
      <w:r>
        <w:rPr>
          <w:rFonts w:hint="eastAsia"/>
          <w:bCs w:val="0"/>
        </w:rPr>
        <w:t>信号机宜安装在两线外侧。</w:t>
      </w:r>
    </w:p>
    <w:p w14:paraId="4AE5BEEA">
      <w:pPr>
        <w:pStyle w:val="5"/>
      </w:pPr>
      <w:r>
        <w:rPr>
          <w:rFonts w:hint="eastAsia"/>
        </w:rPr>
        <w:t>车站范围内管线设备布置应符合下列规定</w:t>
      </w:r>
      <w:r>
        <w:t>:</w:t>
      </w:r>
    </w:p>
    <w:p w14:paraId="6AD9F4D1">
      <w:pPr>
        <w:pStyle w:val="7"/>
        <w:ind w:firstLine="420"/>
        <w:rPr>
          <w:bCs w:val="0"/>
        </w:rPr>
      </w:pPr>
      <w:r>
        <w:rPr>
          <w:rFonts w:hint="eastAsia"/>
          <w:bCs w:val="0"/>
        </w:rPr>
        <w:t>岛式</w:t>
      </w:r>
      <w:r>
        <w:rPr>
          <w:rFonts w:hint="eastAsia"/>
        </w:rPr>
        <w:t>车站</w:t>
      </w:r>
      <w:r>
        <w:rPr>
          <w:rFonts w:hint="eastAsia"/>
          <w:bCs w:val="0"/>
        </w:rPr>
        <w:t>的广告灯箱、信号机和弱电电缆宜布置在站台对侧，强电电缆宜布置在站台板下电缆通道中；</w:t>
      </w:r>
    </w:p>
    <w:p w14:paraId="4691DFA6">
      <w:pPr>
        <w:pStyle w:val="7"/>
        <w:ind w:firstLine="420"/>
        <w:rPr>
          <w:bCs w:val="0"/>
        </w:rPr>
      </w:pPr>
      <w:r>
        <w:rPr>
          <w:rFonts w:hint="eastAsia"/>
          <w:bCs w:val="0"/>
        </w:rPr>
        <w:t>侧式车站的广告灯箱宜布置在两线之间，信号机宜布置在靠站台一侧，弱电电缆和强电电缆宜布置在站台内电缆通道中。</w:t>
      </w:r>
    </w:p>
    <w:p w14:paraId="653DC888">
      <w:pPr>
        <w:widowControl/>
        <w:spacing w:line="240" w:lineRule="auto"/>
        <w:jc w:val="left"/>
        <w:rPr>
          <w:szCs w:val="28"/>
        </w:rPr>
        <w:sectPr>
          <w:pgSz w:w="7938" w:h="11510"/>
          <w:pgMar w:top="1247" w:right="907" w:bottom="1247" w:left="907" w:header="737" w:footer="737" w:gutter="0"/>
          <w:cols w:space="720" w:num="1"/>
        </w:sectPr>
      </w:pPr>
    </w:p>
    <w:bookmarkEnd w:id="129"/>
    <w:bookmarkEnd w:id="130"/>
    <w:bookmarkEnd w:id="131"/>
    <w:bookmarkEnd w:id="132"/>
    <w:p w14:paraId="0E42F276">
      <w:pPr>
        <w:numPr>
          <w:ilvl w:val="0"/>
          <w:numId w:val="1"/>
        </w:numPr>
        <w:spacing w:before="320" w:after="312" w:line="240" w:lineRule="auto"/>
        <w:jc w:val="center"/>
        <w:outlineLvl w:val="0"/>
        <w:rPr>
          <w:rFonts w:eastAsia="黑体"/>
          <w:bCs/>
          <w:kern w:val="44"/>
          <w:sz w:val="28"/>
          <w:szCs w:val="44"/>
        </w:rPr>
      </w:pPr>
      <w:bookmarkStart w:id="254" w:name="_Toc183699865"/>
      <w:bookmarkStart w:id="255" w:name="_Toc183683493"/>
      <w:bookmarkStart w:id="256" w:name="_Toc183765070"/>
      <w:bookmarkStart w:id="257" w:name="_Toc183882061"/>
      <w:bookmarkStart w:id="258" w:name="_Toc183888113"/>
      <w:bookmarkStart w:id="259" w:name="_Toc183790500"/>
      <w:bookmarkStart w:id="260" w:name="_Toc183882423"/>
      <w:bookmarkStart w:id="261" w:name="_Toc183888475"/>
      <w:bookmarkStart w:id="262" w:name="_Toc183735409"/>
      <w:bookmarkStart w:id="263" w:name="_Toc181796370"/>
      <w:bookmarkStart w:id="264" w:name="_Toc174462002"/>
      <w:bookmarkStart w:id="265" w:name="_Toc168061676"/>
      <w:bookmarkStart w:id="266" w:name="_Toc168061229"/>
      <w:bookmarkStart w:id="267" w:name="_Toc174462015"/>
      <w:bookmarkStart w:id="268" w:name="_Toc168059421"/>
      <w:r>
        <w:rPr>
          <w:rFonts w:eastAsia="黑体"/>
          <w:bCs/>
          <w:kern w:val="44"/>
          <w:sz w:val="28"/>
          <w:szCs w:val="44"/>
        </w:rPr>
        <w:t>线</w:t>
      </w:r>
      <w:r>
        <w:rPr>
          <w:rFonts w:hint="eastAsia" w:eastAsia="黑体"/>
          <w:bCs/>
          <w:kern w:val="44"/>
          <w:sz w:val="28"/>
          <w:szCs w:val="44"/>
        </w:rPr>
        <w:t xml:space="preserve">    </w:t>
      </w:r>
      <w:r>
        <w:rPr>
          <w:rFonts w:eastAsia="黑体"/>
          <w:bCs/>
          <w:kern w:val="44"/>
          <w:sz w:val="28"/>
          <w:szCs w:val="44"/>
        </w:rPr>
        <w:t>路</w:t>
      </w:r>
      <w:bookmarkEnd w:id="254"/>
      <w:bookmarkEnd w:id="255"/>
      <w:bookmarkEnd w:id="256"/>
      <w:bookmarkEnd w:id="257"/>
      <w:bookmarkEnd w:id="258"/>
      <w:bookmarkEnd w:id="259"/>
      <w:bookmarkEnd w:id="260"/>
      <w:bookmarkEnd w:id="261"/>
      <w:bookmarkEnd w:id="262"/>
    </w:p>
    <w:p w14:paraId="395C3F4E">
      <w:pPr>
        <w:numPr>
          <w:ilvl w:val="1"/>
          <w:numId w:val="1"/>
        </w:numPr>
        <w:tabs>
          <w:tab w:val="left" w:pos="794"/>
        </w:tabs>
        <w:snapToGrid w:val="0"/>
        <w:spacing w:before="156" w:after="156" w:line="240" w:lineRule="auto"/>
        <w:jc w:val="center"/>
        <w:outlineLvl w:val="1"/>
        <w:rPr>
          <w:rFonts w:eastAsia="黑体"/>
          <w:bCs/>
          <w:szCs w:val="28"/>
        </w:rPr>
      </w:pPr>
      <w:bookmarkStart w:id="269" w:name="_Toc183790501"/>
      <w:bookmarkStart w:id="270" w:name="_Toc183888476"/>
      <w:bookmarkStart w:id="271" w:name="_Toc183882062"/>
      <w:bookmarkStart w:id="272" w:name="_Toc183888114"/>
      <w:bookmarkStart w:id="273" w:name="_Toc183882424"/>
      <w:bookmarkStart w:id="274" w:name="_Toc183765071"/>
      <w:r>
        <w:rPr>
          <w:rFonts w:eastAsia="黑体"/>
          <w:bCs/>
          <w:szCs w:val="28"/>
        </w:rPr>
        <w:t>一般规定</w:t>
      </w:r>
      <w:bookmarkEnd w:id="269"/>
      <w:bookmarkEnd w:id="270"/>
      <w:bookmarkEnd w:id="271"/>
      <w:bookmarkEnd w:id="272"/>
      <w:bookmarkEnd w:id="273"/>
      <w:bookmarkEnd w:id="274"/>
    </w:p>
    <w:p w14:paraId="22F57425">
      <w:pPr>
        <w:pStyle w:val="5"/>
      </w:pPr>
      <w:r>
        <w:rPr>
          <w:rFonts w:hint="eastAsia"/>
        </w:rPr>
        <w:t>线路设计</w:t>
      </w:r>
      <w:r>
        <w:t>应符合下列规定：</w:t>
      </w:r>
    </w:p>
    <w:p w14:paraId="3D757CFE">
      <w:pPr>
        <w:pStyle w:val="7"/>
        <w:ind w:firstLine="420"/>
        <w:rPr>
          <w:rFonts w:ascii="宋体" w:hAnsi="宋体" w:cs="宋体"/>
          <w:szCs w:val="20"/>
        </w:rPr>
      </w:pPr>
      <w:r>
        <w:rPr>
          <w:lang w:bidi="ar"/>
        </w:rPr>
        <w:t>线路的平面坐标</w:t>
      </w:r>
      <w:r>
        <w:rPr>
          <w:rFonts w:hint="eastAsia"/>
          <w:lang w:bidi="ar"/>
        </w:rPr>
        <w:t>和</w:t>
      </w:r>
      <w:r>
        <w:rPr>
          <w:lang w:bidi="ar"/>
        </w:rPr>
        <w:t>高程</w:t>
      </w:r>
      <w:r>
        <w:rPr>
          <w:rFonts w:hint="eastAsia"/>
          <w:lang w:bidi="ar"/>
        </w:rPr>
        <w:t>宜</w:t>
      </w:r>
      <w:r>
        <w:rPr>
          <w:lang w:bidi="ar"/>
        </w:rPr>
        <w:t>采用</w:t>
      </w:r>
      <w:r>
        <w:rPr>
          <w:rFonts w:hint="eastAsia"/>
          <w:lang w:bidi="ar"/>
        </w:rPr>
        <w:t>北京</w:t>
      </w:r>
      <w:r>
        <w:rPr>
          <w:lang w:bidi="ar"/>
        </w:rPr>
        <w:t>2000</w:t>
      </w:r>
      <w:r>
        <w:rPr>
          <w:rFonts w:hint="eastAsia"/>
          <w:lang w:bidi="ar"/>
        </w:rPr>
        <w:t>坐标</w:t>
      </w:r>
      <w:r>
        <w:rPr>
          <w:lang w:bidi="ar"/>
        </w:rPr>
        <w:t>系统，与</w:t>
      </w:r>
      <w:r>
        <w:rPr>
          <w:rFonts w:hint="eastAsia"/>
          <w:lang w:bidi="ar"/>
        </w:rPr>
        <w:t>采用其它</w:t>
      </w:r>
      <w:r>
        <w:rPr>
          <w:lang w:bidi="ar"/>
        </w:rPr>
        <w:t>坐标</w:t>
      </w:r>
      <w:r>
        <w:rPr>
          <w:rFonts w:hint="eastAsia"/>
          <w:lang w:bidi="ar"/>
        </w:rPr>
        <w:t>和高程系统的轨道交通、</w:t>
      </w:r>
      <w:r>
        <w:rPr>
          <w:lang w:bidi="ar"/>
        </w:rPr>
        <w:t>铁路等其他工程衔接应进行联测转换；</w:t>
      </w:r>
      <w:r>
        <w:rPr>
          <w:rFonts w:hint="eastAsia"/>
          <w:lang w:bidi="ar"/>
        </w:rPr>
        <w:t xml:space="preserve"> </w:t>
      </w:r>
    </w:p>
    <w:p w14:paraId="5F48F609">
      <w:pPr>
        <w:pStyle w:val="7"/>
        <w:ind w:firstLine="420"/>
      </w:pPr>
      <w:r>
        <w:t>新建线路在可行性研究阶段应依据北京市轨道交通线网规划、建设规划和客流特征，确定线路走向，拟定车站分布和相交线路换乘关系，稳定线路起讫点、接轨点和换乘节点，明确线路性质、运量等级和速度目标，并应注意分段建设及建设时序对运营线路产生的影响；</w:t>
      </w:r>
    </w:p>
    <w:p w14:paraId="0D13A857">
      <w:pPr>
        <w:pStyle w:val="7"/>
        <w:ind w:firstLine="420"/>
        <w:rPr>
          <w:spacing w:val="5"/>
        </w:rPr>
      </w:pPr>
      <w:r>
        <w:t>线路走向和站点位置选择应以支持城市总体规划实施，满足出行需求，保障运营效益为基本原</w:t>
      </w:r>
      <w:r>
        <w:rPr>
          <w:spacing w:val="7"/>
        </w:rPr>
        <w:t>则</w:t>
      </w:r>
      <w:r>
        <w:rPr>
          <w:spacing w:val="5"/>
        </w:rPr>
        <w:t>，与城市客流走廊及主要客流集散点的空间分布相吻合；</w:t>
      </w:r>
    </w:p>
    <w:p w14:paraId="462DC8C1">
      <w:pPr>
        <w:pStyle w:val="7"/>
        <w:ind w:firstLine="420"/>
        <w:rPr>
          <w:rFonts w:ascii="宋体" w:hAnsi="宋体" w:cs="宋体"/>
          <w:szCs w:val="20"/>
        </w:rPr>
      </w:pPr>
      <w:r>
        <w:t>地铁线路应以</w:t>
      </w:r>
      <w:r>
        <w:rPr>
          <w:rFonts w:hint="eastAsia"/>
        </w:rPr>
        <w:t>快速、安全、</w:t>
      </w:r>
      <w:r>
        <w:t xml:space="preserve">独立运行为原则。 </w:t>
      </w:r>
      <w:r>
        <w:rPr>
          <w:rFonts w:hint="eastAsia"/>
        </w:rPr>
        <w:t>当线路间采用跨线或共线运行方式时，两线的交汇点应设在车站，在进站方向宜设置平行进路；且</w:t>
      </w:r>
      <w:r>
        <w:t>不宜靠近客流大断面的车站</w:t>
      </w:r>
      <w:r>
        <w:rPr>
          <w:rFonts w:hint="eastAsia"/>
        </w:rPr>
        <w:t>。当工程条件困难，经技术分析满足运营安全及能力需求时，可选择在区间接轨或不设置进站平行进路，并应设置安全线及做好区间疏散等相应的安全防护措施</w:t>
      </w:r>
      <w:r>
        <w:rPr>
          <w:rFonts w:hint="eastAsia" w:ascii="宋体" w:hAnsi="宋体" w:cs="宋体"/>
          <w:szCs w:val="20"/>
        </w:rPr>
        <w:t>。</w:t>
      </w:r>
    </w:p>
    <w:p w14:paraId="657B61F6">
      <w:pPr>
        <w:pStyle w:val="7"/>
        <w:ind w:firstLine="420"/>
      </w:pPr>
      <w:r>
        <w:t>线路选线应根据城市规划、地形、道路、地下管线、敏感建筑、文物保护、环境景观、工程地</w:t>
      </w:r>
      <w:r>
        <w:rPr>
          <w:spacing w:val="4"/>
        </w:rPr>
        <w:t>质及水</w:t>
      </w:r>
      <w:r>
        <w:rPr>
          <w:spacing w:val="3"/>
        </w:rPr>
        <w:t>文</w:t>
      </w:r>
      <w:r>
        <w:rPr>
          <w:spacing w:val="2"/>
        </w:rPr>
        <w:t>地质条件、施工方法与交通疏解等条件综合确定，并应注意减少振动及噪声对沿线环境的影响，</w:t>
      </w:r>
      <w:r>
        <w:t>减</w:t>
      </w:r>
      <w:r>
        <w:rPr>
          <w:spacing w:val="7"/>
        </w:rPr>
        <w:t>少</w:t>
      </w:r>
      <w:r>
        <w:rPr>
          <w:spacing w:val="4"/>
        </w:rPr>
        <w:t>房屋拆迁、管线改移，注意节约用地；</w:t>
      </w:r>
    </w:p>
    <w:p w14:paraId="496A1001">
      <w:pPr>
        <w:pStyle w:val="7"/>
        <w:ind w:firstLine="420"/>
        <w:rPr>
          <w:spacing w:val="1"/>
        </w:rPr>
      </w:pPr>
      <w:r>
        <w:t>位于待建区</w:t>
      </w:r>
      <w:r>
        <w:rPr>
          <w:rFonts w:hint="eastAsia"/>
        </w:rPr>
        <w:t>、城市更新区</w:t>
      </w:r>
      <w:r>
        <w:t>的线路和车站，宜结合周边地区开发，实施一体化设计，进行同步规划、同步建设</w:t>
      </w:r>
      <w:r>
        <w:rPr>
          <w:spacing w:val="2"/>
        </w:rPr>
        <w:t>或预</w:t>
      </w:r>
      <w:r>
        <w:rPr>
          <w:spacing w:val="1"/>
        </w:rPr>
        <w:t xml:space="preserve">留土建接口条件； </w:t>
      </w:r>
    </w:p>
    <w:p w14:paraId="04F4D6F3">
      <w:pPr>
        <w:pStyle w:val="7"/>
        <w:ind w:firstLine="420"/>
      </w:pPr>
      <w:r>
        <w:t>线路分期建设时，初期建设</w:t>
      </w:r>
      <w:r>
        <w:rPr>
          <w:rFonts w:hint="eastAsia"/>
        </w:rPr>
        <w:t>范围应综合考虑城市发展需求、客流效益、轨网衔接关系等因素专题论证</w:t>
      </w:r>
      <w:r>
        <w:t xml:space="preserve">； </w:t>
      </w:r>
    </w:p>
    <w:p w14:paraId="3FE6E0EC">
      <w:pPr>
        <w:pStyle w:val="7"/>
        <w:ind w:firstLine="420"/>
      </w:pPr>
      <w:r>
        <w:t>支线与正线贯通运行时，其长度不宜过长。当支线长度大于</w:t>
      </w:r>
      <w:r>
        <w:rPr>
          <w:rFonts w:eastAsia="Times New Roman"/>
          <w:spacing w:val="1"/>
        </w:rPr>
        <w:t>15</w:t>
      </w:r>
      <w:r>
        <w:rPr>
          <w:rFonts w:eastAsia="Times New Roman"/>
        </w:rPr>
        <w:t>km</w:t>
      </w:r>
      <w:r>
        <w:rPr>
          <w:spacing w:val="1"/>
        </w:rPr>
        <w:t>时，宜按独立运行线路设</w:t>
      </w:r>
      <w:r>
        <w:t>计</w:t>
      </w:r>
      <w:r>
        <w:rPr>
          <w:spacing w:val="5"/>
        </w:rPr>
        <w:t>，并核算正线对支线客流的承受能力。</w:t>
      </w:r>
    </w:p>
    <w:p w14:paraId="174FA3DD">
      <w:pPr>
        <w:pStyle w:val="5"/>
      </w:pPr>
      <w:r>
        <w:t xml:space="preserve">车站设置应符合下列规定： </w:t>
      </w:r>
    </w:p>
    <w:p w14:paraId="654E1EDD">
      <w:pPr>
        <w:pStyle w:val="7"/>
        <w:ind w:firstLine="420"/>
      </w:pPr>
      <w:r>
        <w:t>车站分布应根据线网规划的换乘节点、城市交通枢纽点为基本站点，并结合城市道路布局和客</w:t>
      </w:r>
      <w:r>
        <w:rPr>
          <w:spacing w:val="1"/>
        </w:rPr>
        <w:t>流集散点分</w:t>
      </w:r>
      <w:r>
        <w:t>布确定；</w:t>
      </w:r>
    </w:p>
    <w:p w14:paraId="0102EC5D">
      <w:pPr>
        <w:pStyle w:val="7"/>
        <w:ind w:firstLine="420"/>
      </w:pPr>
      <w:r>
        <w:t>车站宜与城市用地规划相结合，线路起、终点在中心城外围的车站应预留公交、小汽车等城市</w:t>
      </w:r>
      <w:r>
        <w:rPr>
          <w:spacing w:val="5"/>
        </w:rPr>
        <w:t>交通接驳配套用地，方便多种交通方式的接驳换乘</w:t>
      </w:r>
      <w:r>
        <w:t>；</w:t>
      </w:r>
    </w:p>
    <w:p w14:paraId="68326AB9">
      <w:pPr>
        <w:pStyle w:val="7"/>
        <w:ind w:firstLine="420"/>
      </w:pPr>
      <w:r>
        <w:t>车站间距应根据城市布局、线路功能定位、客流特征、</w:t>
      </w:r>
      <w:r>
        <w:rPr>
          <w:rFonts w:hint="eastAsia"/>
          <w:szCs w:val="24"/>
        </w:rPr>
        <w:t>最高速度</w:t>
      </w:r>
      <w:r>
        <w:t>目标</w:t>
      </w:r>
      <w:r>
        <w:rPr>
          <w:rFonts w:hint="eastAsia"/>
          <w:szCs w:val="24"/>
        </w:rPr>
        <w:t>、快慢车及站站停运营模式</w:t>
      </w:r>
      <w:r>
        <w:t>等要求确定，</w:t>
      </w:r>
      <w:r>
        <w:rPr>
          <w:rFonts w:hint="eastAsia"/>
        </w:rPr>
        <w:t>对普速轨道交通线路</w:t>
      </w:r>
      <w:r>
        <w:t>在中心城</w:t>
      </w:r>
      <w:r>
        <w:rPr>
          <w:spacing w:val="1"/>
        </w:rPr>
        <w:t>、</w:t>
      </w:r>
      <w:r>
        <w:rPr>
          <w:spacing w:val="4"/>
        </w:rPr>
        <w:t>近郊新城和外围重要功能区内宜为</w:t>
      </w:r>
      <w:r>
        <w:rPr>
          <w:rFonts w:eastAsia="Times New Roman"/>
          <w:spacing w:val="4"/>
        </w:rPr>
        <w:t>1</w:t>
      </w:r>
      <w:r>
        <w:rPr>
          <w:spacing w:val="4"/>
        </w:rPr>
        <w:t>~</w:t>
      </w:r>
      <w:r>
        <w:rPr>
          <w:rFonts w:eastAsia="Times New Roman"/>
          <w:spacing w:val="4"/>
        </w:rPr>
        <w:t>2</w:t>
      </w:r>
      <w:r>
        <w:rPr>
          <w:rFonts w:eastAsia="Times New Roman"/>
        </w:rPr>
        <w:t>km</w:t>
      </w:r>
      <w:r>
        <w:rPr>
          <w:spacing w:val="4"/>
        </w:rPr>
        <w:t>，在城市外围区宜为</w:t>
      </w:r>
      <w:r>
        <w:rPr>
          <w:rFonts w:eastAsia="Times New Roman"/>
          <w:spacing w:val="4"/>
        </w:rPr>
        <w:t>2</w:t>
      </w:r>
      <w:r>
        <w:rPr>
          <w:spacing w:val="4"/>
        </w:rPr>
        <w:t>~</w:t>
      </w:r>
      <w:r>
        <w:rPr>
          <w:rFonts w:eastAsia="Times New Roman"/>
          <w:spacing w:val="4"/>
        </w:rPr>
        <w:t>3</w:t>
      </w:r>
      <w:r>
        <w:rPr>
          <w:rFonts w:eastAsia="Times New Roman"/>
        </w:rPr>
        <w:t>km</w:t>
      </w:r>
      <w:r>
        <w:rPr>
          <w:rFonts w:hint="eastAsia"/>
          <w:spacing w:val="4"/>
        </w:rPr>
        <w:t>；</w:t>
      </w:r>
      <w:r>
        <w:rPr>
          <w:spacing w:val="4"/>
        </w:rPr>
        <w:t>对</w:t>
      </w:r>
      <w:r>
        <w:rPr>
          <w:rFonts w:hint="eastAsia"/>
          <w:spacing w:val="4"/>
        </w:rPr>
        <w:t>快速轨道交通</w:t>
      </w:r>
      <w:r>
        <w:rPr>
          <w:spacing w:val="4"/>
        </w:rPr>
        <w:t>线路，</w:t>
      </w:r>
      <w:r>
        <w:rPr>
          <w:rFonts w:hint="eastAsia"/>
          <w:spacing w:val="4"/>
        </w:rPr>
        <w:t>宜根据</w:t>
      </w:r>
      <w:r>
        <w:rPr>
          <w:rFonts w:hint="eastAsia"/>
          <w:szCs w:val="24"/>
        </w:rPr>
        <w:t>不同的速度效率适当</w:t>
      </w:r>
      <w:r>
        <w:rPr>
          <w:spacing w:val="4"/>
        </w:rPr>
        <w:t>加大车站间距</w:t>
      </w:r>
      <w:r>
        <w:t>；</w:t>
      </w:r>
    </w:p>
    <w:p w14:paraId="71352B39">
      <w:pPr>
        <w:pStyle w:val="7"/>
        <w:ind w:firstLine="420"/>
      </w:pPr>
      <w:r>
        <w:t>站位选择应注意车站出入口、风亭位置，并满足结构施工、用地规划、客流</w:t>
      </w:r>
      <w:r>
        <w:rPr>
          <w:rFonts w:hint="eastAsia"/>
        </w:rPr>
        <w:t>集散</w:t>
      </w:r>
      <w:r>
        <w:t>、交通接驳和</w:t>
      </w:r>
      <w:r>
        <w:rPr>
          <w:spacing w:val="-6"/>
        </w:rPr>
        <w:t>环</w:t>
      </w:r>
      <w:r>
        <w:rPr>
          <w:spacing w:val="-4"/>
        </w:rPr>
        <w:t>境</w:t>
      </w:r>
      <w:r>
        <w:rPr>
          <w:spacing w:val="-3"/>
        </w:rPr>
        <w:t>要求；</w:t>
      </w:r>
    </w:p>
    <w:p w14:paraId="1FC82438">
      <w:pPr>
        <w:pStyle w:val="7"/>
        <w:ind w:firstLine="420"/>
      </w:pPr>
      <w:r>
        <w:t>纳入同期建设规划的换乘站，应同步实施或预留换乘节点，远期规划线路应预留换乘条件；换</w:t>
      </w:r>
      <w:r>
        <w:rPr>
          <w:spacing w:val="5"/>
        </w:rPr>
        <w:t>乘车站</w:t>
      </w:r>
      <w:r>
        <w:rPr>
          <w:rFonts w:hint="eastAsia"/>
          <w:spacing w:val="5"/>
        </w:rPr>
        <w:t>的布局应避免换乘客流过度集聚，保障运营安全</w:t>
      </w:r>
      <w:r>
        <w:rPr>
          <w:spacing w:val="1"/>
        </w:rPr>
        <w:t>；</w:t>
      </w:r>
    </w:p>
    <w:p w14:paraId="5C222B38">
      <w:pPr>
        <w:pStyle w:val="7"/>
        <w:ind w:firstLine="420"/>
      </w:pPr>
      <w:r>
        <w:t>线网规划中的换乘车站，应对前后相邻一站一区间线路进行同步设计，拟定规划线的线位、站</w:t>
      </w:r>
      <w:r>
        <w:rPr>
          <w:spacing w:val="6"/>
        </w:rPr>
        <w:t>点、线</w:t>
      </w:r>
      <w:r>
        <w:rPr>
          <w:spacing w:val="3"/>
        </w:rPr>
        <w:t>间距、线路坡度和轨面高程等；</w:t>
      </w:r>
    </w:p>
    <w:p w14:paraId="25E0E9FF">
      <w:pPr>
        <w:pStyle w:val="7"/>
        <w:ind w:firstLine="440"/>
      </w:pPr>
      <w:r>
        <w:rPr>
          <w:spacing w:val="5"/>
        </w:rPr>
        <w:t>线路经过</w:t>
      </w:r>
      <w:r>
        <w:t>市郊铁路</w:t>
      </w:r>
      <w:r>
        <w:rPr>
          <w:spacing w:val="5"/>
        </w:rPr>
        <w:t>车站时，应设站换乘，在制式兼容的前提下，宜预留接轨联运条件；</w:t>
      </w:r>
    </w:p>
    <w:p w14:paraId="407DAFA2">
      <w:pPr>
        <w:pStyle w:val="7"/>
        <w:ind w:firstLine="420"/>
      </w:pPr>
      <w:r>
        <w:t>两条平行线路采用同站台换乘方式时，应以主要换乘客流方向实现同站台换乘为原则确定线路相对位置；</w:t>
      </w:r>
    </w:p>
    <w:p w14:paraId="30C7A515">
      <w:pPr>
        <w:pStyle w:val="7"/>
        <w:ind w:firstLine="420"/>
      </w:pPr>
      <w:r>
        <w:rPr>
          <w:rFonts w:hint="eastAsia"/>
        </w:rPr>
        <w:t>快速轨道交通</w:t>
      </w:r>
      <w:r>
        <w:t>设站应从线网规划整体分析，以枢纽站点为主，在保证主要客源和运营效益的基础上，加大站距，提高旅行速度，必要时可在部分站点设置越行</w:t>
      </w:r>
      <w:r>
        <w:rPr>
          <w:rFonts w:hint="eastAsia"/>
        </w:rPr>
        <w:t>线</w:t>
      </w:r>
      <w:r>
        <w:t>。</w:t>
      </w:r>
    </w:p>
    <w:p w14:paraId="7614D830">
      <w:pPr>
        <w:pStyle w:val="5"/>
      </w:pPr>
      <w:r>
        <w:t>线路敷设应符合下列规定：</w:t>
      </w:r>
    </w:p>
    <w:p w14:paraId="18B6A72B">
      <w:pPr>
        <w:pStyle w:val="7"/>
        <w:ind w:firstLine="420"/>
      </w:pPr>
      <w:r>
        <w:t>线路敷设方式应根据城市总体规划、地理条件和环境条件，因地制宜地选定；市区以地下为主，车站宜布置在浅层地下空间，市区外围宜采用地上方式；</w:t>
      </w:r>
    </w:p>
    <w:p w14:paraId="3237EEAB">
      <w:pPr>
        <w:pStyle w:val="7"/>
        <w:ind w:firstLine="420"/>
      </w:pPr>
      <w:r>
        <w:t>地下线路纵断面选线应符合工程实施安全原则，结合北京市的地质条件、地下水位、施工方法、结构形式以及城市市政设施和构筑物的关系，规避不良地层；</w:t>
      </w:r>
    </w:p>
    <w:p w14:paraId="26CBEBFE">
      <w:pPr>
        <w:pStyle w:val="7"/>
        <w:ind w:firstLine="420"/>
      </w:pPr>
      <w:r>
        <w:t>地下线至高架线的过渡段应按全封闭设计，在地面应设置安全挡墙设施，并应具有防侵入、防淹、防洪功能，与周边环境协调，处理好与城市道路红线及其道路断面的关系；</w:t>
      </w:r>
    </w:p>
    <w:p w14:paraId="782928E4">
      <w:pPr>
        <w:pStyle w:val="7"/>
        <w:ind w:firstLine="420"/>
        <w:rPr>
          <w:sz w:val="20"/>
          <w:szCs w:val="18"/>
        </w:rPr>
      </w:pPr>
      <w:r>
        <w:rPr>
          <w:rFonts w:hint="eastAsia"/>
          <w:szCs w:val="18"/>
        </w:rPr>
        <w:t>高架线路</w:t>
      </w:r>
      <w:r>
        <w:rPr>
          <w:rFonts w:hint="eastAsia"/>
          <w:sz w:val="20"/>
          <w:szCs w:val="18"/>
        </w:rPr>
        <w:t>应注重结构造型，控制规模体量，注意高度、跨度、宽度的和谐比例，其结构外缘距建筑物的距离应符合现行国家标准</w:t>
      </w:r>
      <w:r>
        <w:rPr>
          <w:sz w:val="20"/>
          <w:szCs w:val="18"/>
        </w:rPr>
        <w:t>《</w:t>
      </w:r>
      <w:r>
        <w:fldChar w:fldCharType="begin"/>
      </w:r>
      <w:r>
        <w:instrText xml:space="preserve"> HYPERLINK "https://baike.baidu.com/item/%E5%BB%BA%E7%AD%91%E9%98%B2%E7%81%AB%E9%80%9A%E7%94%A8%E8%A7%84%E8%8C%83/62602720?fromModule=lemma_inlink" \t "_blank" </w:instrText>
      </w:r>
      <w:r>
        <w:fldChar w:fldCharType="separate"/>
      </w:r>
      <w:r>
        <w:t>建筑防火通用规范</w:t>
      </w:r>
      <w:r>
        <w:fldChar w:fldCharType="end"/>
      </w:r>
      <w:r>
        <w:rPr>
          <w:sz w:val="20"/>
          <w:szCs w:val="18"/>
        </w:rPr>
        <w:t>》（GB 55037-2022）</w:t>
      </w:r>
      <w:r>
        <w:rPr>
          <w:rFonts w:hint="eastAsia"/>
          <w:sz w:val="20"/>
          <w:szCs w:val="18"/>
        </w:rPr>
        <w:t>和《建筑设计防火规范》</w:t>
      </w:r>
      <w:r>
        <w:rPr>
          <w:sz w:val="20"/>
          <w:szCs w:val="18"/>
        </w:rPr>
        <w:t>GB50016的规定，同时应维护地面道路的交通功能，并应注意环境保护和景观效果，应</w:t>
      </w:r>
      <w:r>
        <w:rPr>
          <w:rFonts w:hint="eastAsia"/>
          <w:sz w:val="20"/>
          <w:szCs w:val="18"/>
        </w:rPr>
        <w:t>满足相关区域的</w:t>
      </w:r>
      <w:r>
        <w:rPr>
          <w:sz w:val="20"/>
          <w:szCs w:val="18"/>
        </w:rPr>
        <w:t>限高设计。</w:t>
      </w:r>
    </w:p>
    <w:p w14:paraId="5E12A6D1">
      <w:pPr>
        <w:pStyle w:val="5"/>
      </w:pPr>
      <w:r>
        <w:t>选线控制应符合下列规定：</w:t>
      </w:r>
    </w:p>
    <w:p w14:paraId="0C9680A9">
      <w:pPr>
        <w:pStyle w:val="7"/>
        <w:ind w:firstLine="452"/>
      </w:pPr>
      <w:r>
        <w:rPr>
          <w:spacing w:val="8"/>
        </w:rPr>
        <w:t>高架线桥下净空应满足铁路、道路限界要求并预留结构沉降量、铁路抬道量或公路路面翻修高</w:t>
      </w:r>
      <w:r>
        <w:rPr>
          <w:spacing w:val="1"/>
        </w:rPr>
        <w:t>度余</w:t>
      </w:r>
      <w:r>
        <w:t>量，对于铁路，应根据机车类型、设计速度等确定净空限值，对于公路和城市通行机动车的道路，</w:t>
      </w:r>
      <w:r>
        <w:rPr>
          <w:spacing w:val="4"/>
        </w:rPr>
        <w:t>桥</w:t>
      </w:r>
      <w:r>
        <w:rPr>
          <w:spacing w:val="3"/>
        </w:rPr>
        <w:t>下</w:t>
      </w:r>
      <w:r>
        <w:rPr>
          <w:spacing w:val="2"/>
        </w:rPr>
        <w:t>最小净空不宜小于</w:t>
      </w:r>
      <w:r>
        <w:rPr>
          <w:rFonts w:eastAsia="Times New Roman"/>
          <w:spacing w:val="2"/>
        </w:rPr>
        <w:t>5.0</w:t>
      </w:r>
      <w:r>
        <w:rPr>
          <w:rFonts w:eastAsia="Times New Roman"/>
        </w:rPr>
        <w:t>m</w:t>
      </w:r>
      <w:r>
        <w:rPr>
          <w:spacing w:val="2"/>
        </w:rPr>
        <w:t>；</w:t>
      </w:r>
    </w:p>
    <w:p w14:paraId="04D299FB">
      <w:pPr>
        <w:pStyle w:val="7"/>
        <w:ind w:firstLine="452"/>
      </w:pPr>
      <w:r>
        <w:rPr>
          <w:spacing w:val="8"/>
        </w:rPr>
        <w:t>高架线跨越</w:t>
      </w:r>
      <w:r>
        <w:t>排洪</w:t>
      </w:r>
      <w:r>
        <w:rPr>
          <w:spacing w:val="8"/>
        </w:rPr>
        <w:t>河流时，桥下净空应根据计算水位或最高流冰水位加安全高度确定，跨越通航</w:t>
      </w:r>
      <w:r>
        <w:rPr>
          <w:spacing w:val="6"/>
        </w:rPr>
        <w:t>河流时，其桥下净空应</w:t>
      </w:r>
      <w:r>
        <w:rPr>
          <w:spacing w:val="3"/>
        </w:rPr>
        <w:t>根据航道等级，</w:t>
      </w:r>
      <w:r>
        <w:rPr>
          <w:rFonts w:hint="eastAsia"/>
          <w:spacing w:val="3"/>
        </w:rPr>
        <w:t>应符合</w:t>
      </w:r>
      <w:r>
        <w:rPr>
          <w:spacing w:val="3"/>
        </w:rPr>
        <w:t>现行国家标准《内河通航标准》</w:t>
      </w:r>
      <w:r>
        <w:rPr>
          <w:rFonts w:eastAsia="Times New Roman"/>
        </w:rPr>
        <w:t>GB</w:t>
      </w:r>
      <w:r>
        <w:rPr>
          <w:rFonts w:eastAsia="Times New Roman"/>
          <w:spacing w:val="3"/>
        </w:rPr>
        <w:t>50139</w:t>
      </w:r>
      <w:r>
        <w:rPr>
          <w:spacing w:val="3"/>
        </w:rPr>
        <w:t>的</w:t>
      </w:r>
      <w:r>
        <w:rPr>
          <w:rFonts w:hint="eastAsia"/>
          <w:spacing w:val="3"/>
        </w:rPr>
        <w:t>规定</w:t>
      </w:r>
      <w:r>
        <w:rPr>
          <w:spacing w:val="3"/>
        </w:rPr>
        <w:t>；</w:t>
      </w:r>
    </w:p>
    <w:p w14:paraId="1E69E9B5">
      <w:pPr>
        <w:pStyle w:val="7"/>
        <w:ind w:firstLine="420"/>
        <w:rPr>
          <w:rFonts w:ascii="宋体" w:hAnsi="宋体" w:cs="宋体"/>
          <w:spacing w:val="-2"/>
          <w:szCs w:val="20"/>
        </w:rPr>
      </w:pPr>
      <w:r>
        <w:rPr>
          <w:rFonts w:hint="eastAsia"/>
        </w:rPr>
        <w:t>高架线桥墩与道路路侧的距离，</w:t>
      </w:r>
      <w:r>
        <w:rPr>
          <w:rFonts w:hint="eastAsia"/>
          <w:sz w:val="20"/>
          <w:szCs w:val="18"/>
        </w:rPr>
        <w:t>应符合现行行业标准</w:t>
      </w:r>
      <w:r>
        <w:rPr>
          <w:rFonts w:hint="eastAsia"/>
        </w:rPr>
        <w:t>《城市道路工程设计规范》</w:t>
      </w:r>
      <w:r>
        <w:t>CJJ37和《公路路线设计规范》JTGD20</w:t>
      </w:r>
      <w:r>
        <w:rPr>
          <w:rFonts w:hint="eastAsia"/>
        </w:rPr>
        <w:t>的规定</w:t>
      </w:r>
      <w:r>
        <w:t>；</w:t>
      </w:r>
    </w:p>
    <w:p w14:paraId="60378F15">
      <w:pPr>
        <w:pStyle w:val="7"/>
        <w:ind w:firstLine="420"/>
        <w:rPr>
          <w:lang w:bidi="ar"/>
        </w:rPr>
      </w:pPr>
      <w:r>
        <w:rPr>
          <w:rFonts w:hint="eastAsia"/>
        </w:rPr>
        <w:t>高架线桥梁及车站建筑</w:t>
      </w:r>
      <w:r>
        <w:rPr>
          <w:rFonts w:hint="eastAsia"/>
          <w:sz w:val="20"/>
          <w:szCs w:val="18"/>
        </w:rPr>
        <w:t>与架空电力管线之间的最小水平和垂直距离，应符合现行行业标准《架空输电线路运行规程》</w:t>
      </w:r>
      <w:r>
        <w:rPr>
          <w:sz w:val="20"/>
          <w:szCs w:val="18"/>
        </w:rPr>
        <w:t>DL/T741</w:t>
      </w:r>
      <w:r>
        <w:rPr>
          <w:rFonts w:hint="eastAsia"/>
          <w:sz w:val="20"/>
          <w:szCs w:val="18"/>
        </w:rPr>
        <w:t>的规定</w:t>
      </w:r>
      <w:r>
        <w:rPr>
          <w:lang w:bidi="ar"/>
        </w:rPr>
        <w:t>。</w:t>
      </w:r>
    </w:p>
    <w:p w14:paraId="4E78F9A9">
      <w:pPr>
        <w:numPr>
          <w:ilvl w:val="1"/>
          <w:numId w:val="1"/>
        </w:numPr>
        <w:tabs>
          <w:tab w:val="left" w:pos="794"/>
        </w:tabs>
        <w:snapToGrid w:val="0"/>
        <w:spacing w:before="156" w:after="156" w:line="240" w:lineRule="auto"/>
        <w:jc w:val="center"/>
        <w:outlineLvl w:val="1"/>
        <w:rPr>
          <w:rFonts w:eastAsia="黑体"/>
          <w:bCs/>
          <w:szCs w:val="28"/>
        </w:rPr>
      </w:pPr>
      <w:bookmarkStart w:id="275" w:name="_Toc183882063"/>
      <w:bookmarkStart w:id="276" w:name="_Toc183882425"/>
      <w:bookmarkStart w:id="277" w:name="_Toc183765072"/>
      <w:bookmarkStart w:id="278" w:name="_Toc183888115"/>
      <w:bookmarkStart w:id="279" w:name="_Toc183888477"/>
      <w:bookmarkStart w:id="280" w:name="_Toc183790502"/>
      <w:r>
        <w:rPr>
          <w:rFonts w:eastAsia="黑体"/>
          <w:bCs/>
          <w:szCs w:val="28"/>
        </w:rPr>
        <w:t>线路平面</w:t>
      </w:r>
      <w:bookmarkEnd w:id="275"/>
      <w:bookmarkEnd w:id="276"/>
      <w:bookmarkEnd w:id="277"/>
      <w:bookmarkEnd w:id="278"/>
      <w:bookmarkEnd w:id="279"/>
      <w:bookmarkEnd w:id="280"/>
    </w:p>
    <w:p w14:paraId="120EAADA">
      <w:pPr>
        <w:pStyle w:val="5"/>
      </w:pPr>
      <w:r>
        <w:t>平面曲线设计应符合下列规定：</w:t>
      </w:r>
    </w:p>
    <w:p w14:paraId="57BD3A98">
      <w:pPr>
        <w:pStyle w:val="7"/>
        <w:ind w:firstLine="420"/>
      </w:pPr>
      <w:r>
        <w:t>线路平面圆曲线半径应根据车辆类型、地形条件，运行速度、环境要求等综合因素比选确定。</w:t>
      </w:r>
      <w:r>
        <w:rPr>
          <w:spacing w:val="-4"/>
        </w:rPr>
        <w:t>最小曲线半</w:t>
      </w:r>
      <w:r>
        <w:rPr>
          <w:spacing w:val="-2"/>
        </w:rPr>
        <w:t>径不应小于表</w:t>
      </w:r>
      <w:r>
        <w:rPr>
          <w:rFonts w:hint="eastAsia"/>
          <w:spacing w:val="-2"/>
        </w:rPr>
        <w:t>7</w:t>
      </w:r>
      <w:r>
        <w:rPr>
          <w:rFonts w:eastAsia="Times New Roman"/>
          <w:spacing w:val="-2"/>
        </w:rPr>
        <w:t>.2.1-1</w:t>
      </w:r>
      <w:r>
        <w:rPr>
          <w:spacing w:val="-2"/>
        </w:rPr>
        <w:t>规定；</w:t>
      </w:r>
    </w:p>
    <w:p w14:paraId="117DCB6A">
      <w:pPr>
        <w:pStyle w:val="198"/>
      </w:pPr>
      <w:r>
        <w:t>表</w:t>
      </w:r>
      <w:r>
        <w:rPr>
          <w:rFonts w:hint="eastAsia"/>
        </w:rPr>
        <w:t>7</w:t>
      </w:r>
      <w:r>
        <w:t>.2.1-1</w:t>
      </w:r>
      <w:r>
        <w:rPr>
          <w:rFonts w:hint="eastAsia"/>
        </w:rPr>
        <w:t xml:space="preserve">  </w:t>
      </w:r>
      <w:r>
        <w:t>最小曲线半径(m)</w:t>
      </w:r>
    </w:p>
    <w:tbl>
      <w:tblPr>
        <w:tblStyle w:val="88"/>
        <w:tblW w:w="61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2"/>
        <w:gridCol w:w="1224"/>
        <w:gridCol w:w="1227"/>
        <w:gridCol w:w="1224"/>
        <w:gridCol w:w="1233"/>
      </w:tblGrid>
      <w:tr w14:paraId="4B3EA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jc w:val="center"/>
        </w:trPr>
        <w:tc>
          <w:tcPr>
            <w:tcW w:w="1232" w:type="dxa"/>
            <w:vMerge w:val="restart"/>
            <w:tcBorders>
              <w:left w:val="single" w:color="000000" w:sz="6" w:space="0"/>
              <w:bottom w:val="nil"/>
              <w:tl2br w:val="single" w:color="000000" w:sz="2" w:space="0"/>
            </w:tcBorders>
            <w:vAlign w:val="center"/>
          </w:tcPr>
          <w:p w14:paraId="21F14E18">
            <w:pPr>
              <w:autoSpaceDE w:val="0"/>
              <w:autoSpaceDN w:val="0"/>
              <w:spacing w:line="240" w:lineRule="auto"/>
              <w:jc w:val="center"/>
              <w:rPr>
                <w:kern w:val="0"/>
                <w:sz w:val="15"/>
                <w:szCs w:val="15"/>
              </w:rPr>
            </w:pPr>
            <w:r>
              <w:rPr>
                <w:kern w:val="0"/>
                <w:sz w:val="15"/>
                <w:szCs w:val="15"/>
              </w:rPr>
              <w:t>车型</w:t>
            </w:r>
          </w:p>
          <w:p w14:paraId="414DA51E">
            <w:pPr>
              <w:autoSpaceDE w:val="0"/>
              <w:autoSpaceDN w:val="0"/>
              <w:spacing w:line="240" w:lineRule="auto"/>
              <w:jc w:val="center"/>
              <w:rPr>
                <w:kern w:val="0"/>
                <w:sz w:val="15"/>
                <w:szCs w:val="15"/>
              </w:rPr>
            </w:pPr>
            <w:r>
              <w:rPr>
                <w:kern w:val="0"/>
                <w:sz w:val="15"/>
                <w:szCs w:val="15"/>
              </w:rPr>
              <w:t>线路</w:t>
            </w:r>
          </w:p>
        </w:tc>
        <w:tc>
          <w:tcPr>
            <w:tcW w:w="2451" w:type="dxa"/>
            <w:gridSpan w:val="2"/>
            <w:vAlign w:val="center"/>
          </w:tcPr>
          <w:p w14:paraId="5AC444CA">
            <w:pPr>
              <w:autoSpaceDE w:val="0"/>
              <w:autoSpaceDN w:val="0"/>
              <w:spacing w:line="240" w:lineRule="auto"/>
              <w:jc w:val="center"/>
              <w:rPr>
                <w:kern w:val="0"/>
                <w:sz w:val="15"/>
                <w:szCs w:val="15"/>
              </w:rPr>
            </w:pPr>
            <w:r>
              <w:rPr>
                <w:kern w:val="0"/>
                <w:sz w:val="15"/>
                <w:szCs w:val="15"/>
              </w:rPr>
              <w:t>A型车</w:t>
            </w:r>
          </w:p>
        </w:tc>
        <w:tc>
          <w:tcPr>
            <w:tcW w:w="2457" w:type="dxa"/>
            <w:gridSpan w:val="2"/>
            <w:tcBorders>
              <w:right w:val="single" w:color="000000" w:sz="6" w:space="0"/>
            </w:tcBorders>
            <w:vAlign w:val="center"/>
          </w:tcPr>
          <w:p w14:paraId="368FF1DE">
            <w:pPr>
              <w:autoSpaceDE w:val="0"/>
              <w:autoSpaceDN w:val="0"/>
              <w:spacing w:line="240" w:lineRule="auto"/>
              <w:jc w:val="center"/>
              <w:rPr>
                <w:kern w:val="0"/>
                <w:sz w:val="15"/>
                <w:szCs w:val="15"/>
              </w:rPr>
            </w:pPr>
            <w:r>
              <w:rPr>
                <w:kern w:val="0"/>
                <w:sz w:val="15"/>
                <w:szCs w:val="15"/>
              </w:rPr>
              <w:t>B型车</w:t>
            </w:r>
          </w:p>
        </w:tc>
      </w:tr>
      <w:tr w14:paraId="5F793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1232" w:type="dxa"/>
            <w:vMerge w:val="continue"/>
            <w:tcBorders>
              <w:top w:val="nil"/>
              <w:left w:val="single" w:color="000000" w:sz="6" w:space="0"/>
              <w:tl2br w:val="single" w:color="000000" w:sz="2" w:space="0"/>
            </w:tcBorders>
            <w:vAlign w:val="center"/>
          </w:tcPr>
          <w:p w14:paraId="3EB8A6E9">
            <w:pPr>
              <w:autoSpaceDE w:val="0"/>
              <w:autoSpaceDN w:val="0"/>
              <w:spacing w:line="240" w:lineRule="auto"/>
              <w:jc w:val="center"/>
              <w:rPr>
                <w:kern w:val="0"/>
                <w:sz w:val="15"/>
                <w:szCs w:val="15"/>
              </w:rPr>
            </w:pPr>
          </w:p>
        </w:tc>
        <w:tc>
          <w:tcPr>
            <w:tcW w:w="1224" w:type="dxa"/>
            <w:vAlign w:val="center"/>
          </w:tcPr>
          <w:p w14:paraId="4CE806A5">
            <w:pPr>
              <w:autoSpaceDE w:val="0"/>
              <w:autoSpaceDN w:val="0"/>
              <w:spacing w:line="240" w:lineRule="auto"/>
              <w:jc w:val="center"/>
              <w:rPr>
                <w:kern w:val="0"/>
                <w:sz w:val="15"/>
                <w:szCs w:val="15"/>
              </w:rPr>
            </w:pPr>
            <w:r>
              <w:rPr>
                <w:kern w:val="0"/>
                <w:sz w:val="15"/>
                <w:szCs w:val="15"/>
              </w:rPr>
              <w:t>一般地段</w:t>
            </w:r>
          </w:p>
        </w:tc>
        <w:tc>
          <w:tcPr>
            <w:tcW w:w="1227" w:type="dxa"/>
            <w:vAlign w:val="center"/>
          </w:tcPr>
          <w:p w14:paraId="7C53C526">
            <w:pPr>
              <w:autoSpaceDE w:val="0"/>
              <w:autoSpaceDN w:val="0"/>
              <w:spacing w:line="240" w:lineRule="auto"/>
              <w:jc w:val="center"/>
              <w:rPr>
                <w:kern w:val="0"/>
                <w:sz w:val="15"/>
                <w:szCs w:val="15"/>
              </w:rPr>
            </w:pPr>
            <w:r>
              <w:rPr>
                <w:kern w:val="0"/>
                <w:sz w:val="15"/>
                <w:szCs w:val="15"/>
              </w:rPr>
              <w:t>困难地段</w:t>
            </w:r>
          </w:p>
        </w:tc>
        <w:tc>
          <w:tcPr>
            <w:tcW w:w="1224" w:type="dxa"/>
            <w:vAlign w:val="center"/>
          </w:tcPr>
          <w:p w14:paraId="34BF4182">
            <w:pPr>
              <w:autoSpaceDE w:val="0"/>
              <w:autoSpaceDN w:val="0"/>
              <w:spacing w:line="240" w:lineRule="auto"/>
              <w:jc w:val="center"/>
              <w:rPr>
                <w:kern w:val="0"/>
                <w:sz w:val="15"/>
                <w:szCs w:val="15"/>
              </w:rPr>
            </w:pPr>
            <w:r>
              <w:rPr>
                <w:kern w:val="0"/>
                <w:sz w:val="15"/>
                <w:szCs w:val="15"/>
              </w:rPr>
              <w:t>一般地段</w:t>
            </w:r>
          </w:p>
        </w:tc>
        <w:tc>
          <w:tcPr>
            <w:tcW w:w="1233" w:type="dxa"/>
            <w:tcBorders>
              <w:right w:val="single" w:color="000000" w:sz="6" w:space="0"/>
            </w:tcBorders>
            <w:vAlign w:val="center"/>
          </w:tcPr>
          <w:p w14:paraId="2840F810">
            <w:pPr>
              <w:autoSpaceDE w:val="0"/>
              <w:autoSpaceDN w:val="0"/>
              <w:spacing w:line="240" w:lineRule="auto"/>
              <w:jc w:val="center"/>
              <w:rPr>
                <w:kern w:val="0"/>
                <w:sz w:val="15"/>
                <w:szCs w:val="15"/>
              </w:rPr>
            </w:pPr>
            <w:r>
              <w:rPr>
                <w:kern w:val="0"/>
                <w:sz w:val="15"/>
                <w:szCs w:val="15"/>
              </w:rPr>
              <w:t>困难地段</w:t>
            </w:r>
          </w:p>
        </w:tc>
      </w:tr>
      <w:tr w14:paraId="685D5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jc w:val="center"/>
        </w:trPr>
        <w:tc>
          <w:tcPr>
            <w:tcW w:w="1232" w:type="dxa"/>
            <w:tcBorders>
              <w:left w:val="single" w:color="000000" w:sz="6" w:space="0"/>
            </w:tcBorders>
            <w:vAlign w:val="center"/>
          </w:tcPr>
          <w:p w14:paraId="49394079">
            <w:pPr>
              <w:autoSpaceDE w:val="0"/>
              <w:autoSpaceDN w:val="0"/>
              <w:spacing w:line="240" w:lineRule="auto"/>
              <w:jc w:val="center"/>
              <w:rPr>
                <w:kern w:val="0"/>
                <w:sz w:val="15"/>
                <w:szCs w:val="15"/>
              </w:rPr>
            </w:pPr>
            <w:r>
              <w:rPr>
                <w:kern w:val="0"/>
                <w:sz w:val="15"/>
                <w:szCs w:val="15"/>
              </w:rPr>
              <w:t>正线</w:t>
            </w:r>
          </w:p>
        </w:tc>
        <w:tc>
          <w:tcPr>
            <w:tcW w:w="1224" w:type="dxa"/>
            <w:vAlign w:val="center"/>
          </w:tcPr>
          <w:p w14:paraId="346B4E28">
            <w:pPr>
              <w:autoSpaceDE w:val="0"/>
              <w:autoSpaceDN w:val="0"/>
              <w:spacing w:line="240" w:lineRule="auto"/>
              <w:jc w:val="center"/>
              <w:rPr>
                <w:kern w:val="0"/>
                <w:sz w:val="15"/>
                <w:szCs w:val="15"/>
              </w:rPr>
            </w:pPr>
            <w:r>
              <w:rPr>
                <w:kern w:val="0"/>
                <w:sz w:val="15"/>
                <w:szCs w:val="15"/>
              </w:rPr>
              <w:t>350</w:t>
            </w:r>
          </w:p>
        </w:tc>
        <w:tc>
          <w:tcPr>
            <w:tcW w:w="1227" w:type="dxa"/>
            <w:vAlign w:val="center"/>
          </w:tcPr>
          <w:p w14:paraId="13A21319">
            <w:pPr>
              <w:autoSpaceDE w:val="0"/>
              <w:autoSpaceDN w:val="0"/>
              <w:spacing w:line="240" w:lineRule="auto"/>
              <w:jc w:val="center"/>
              <w:rPr>
                <w:kern w:val="0"/>
                <w:sz w:val="15"/>
                <w:szCs w:val="15"/>
              </w:rPr>
            </w:pPr>
            <w:r>
              <w:rPr>
                <w:kern w:val="0"/>
                <w:sz w:val="15"/>
                <w:szCs w:val="15"/>
              </w:rPr>
              <w:t>300</w:t>
            </w:r>
          </w:p>
        </w:tc>
        <w:tc>
          <w:tcPr>
            <w:tcW w:w="1224" w:type="dxa"/>
            <w:vAlign w:val="center"/>
          </w:tcPr>
          <w:p w14:paraId="4BC37342">
            <w:pPr>
              <w:autoSpaceDE w:val="0"/>
              <w:autoSpaceDN w:val="0"/>
              <w:spacing w:line="240" w:lineRule="auto"/>
              <w:jc w:val="center"/>
              <w:rPr>
                <w:kern w:val="0"/>
                <w:sz w:val="15"/>
                <w:szCs w:val="15"/>
              </w:rPr>
            </w:pPr>
            <w:r>
              <w:rPr>
                <w:kern w:val="0"/>
                <w:sz w:val="15"/>
                <w:szCs w:val="15"/>
              </w:rPr>
              <w:t>300</w:t>
            </w:r>
          </w:p>
        </w:tc>
        <w:tc>
          <w:tcPr>
            <w:tcW w:w="1233" w:type="dxa"/>
            <w:tcBorders>
              <w:right w:val="single" w:color="000000" w:sz="6" w:space="0"/>
            </w:tcBorders>
            <w:vAlign w:val="center"/>
          </w:tcPr>
          <w:p w14:paraId="24298844">
            <w:pPr>
              <w:autoSpaceDE w:val="0"/>
              <w:autoSpaceDN w:val="0"/>
              <w:spacing w:line="240" w:lineRule="auto"/>
              <w:jc w:val="center"/>
              <w:rPr>
                <w:kern w:val="0"/>
                <w:sz w:val="15"/>
                <w:szCs w:val="15"/>
              </w:rPr>
            </w:pPr>
            <w:r>
              <w:rPr>
                <w:kern w:val="0"/>
                <w:sz w:val="15"/>
                <w:szCs w:val="15"/>
              </w:rPr>
              <w:t>250</w:t>
            </w:r>
          </w:p>
        </w:tc>
      </w:tr>
      <w:tr w14:paraId="7FA5A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1232" w:type="dxa"/>
            <w:tcBorders>
              <w:left w:val="single" w:color="000000" w:sz="6" w:space="0"/>
            </w:tcBorders>
            <w:vAlign w:val="center"/>
          </w:tcPr>
          <w:p w14:paraId="5F1228F1">
            <w:pPr>
              <w:autoSpaceDE w:val="0"/>
              <w:autoSpaceDN w:val="0"/>
              <w:spacing w:line="240" w:lineRule="auto"/>
              <w:jc w:val="center"/>
              <w:rPr>
                <w:kern w:val="0"/>
                <w:sz w:val="15"/>
                <w:szCs w:val="15"/>
              </w:rPr>
            </w:pPr>
            <w:r>
              <w:rPr>
                <w:kern w:val="0"/>
                <w:sz w:val="15"/>
                <w:szCs w:val="15"/>
              </w:rPr>
              <w:t>出入线</w:t>
            </w:r>
          </w:p>
        </w:tc>
        <w:tc>
          <w:tcPr>
            <w:tcW w:w="1224" w:type="dxa"/>
            <w:vAlign w:val="center"/>
          </w:tcPr>
          <w:p w14:paraId="56B98502">
            <w:pPr>
              <w:autoSpaceDE w:val="0"/>
              <w:autoSpaceDN w:val="0"/>
              <w:spacing w:line="240" w:lineRule="auto"/>
              <w:jc w:val="center"/>
              <w:rPr>
                <w:kern w:val="0"/>
                <w:sz w:val="15"/>
                <w:szCs w:val="15"/>
              </w:rPr>
            </w:pPr>
            <w:r>
              <w:rPr>
                <w:kern w:val="0"/>
                <w:sz w:val="15"/>
                <w:szCs w:val="15"/>
              </w:rPr>
              <w:t>300</w:t>
            </w:r>
          </w:p>
        </w:tc>
        <w:tc>
          <w:tcPr>
            <w:tcW w:w="1227" w:type="dxa"/>
            <w:vAlign w:val="center"/>
          </w:tcPr>
          <w:p w14:paraId="2630874D">
            <w:pPr>
              <w:autoSpaceDE w:val="0"/>
              <w:autoSpaceDN w:val="0"/>
              <w:spacing w:line="240" w:lineRule="auto"/>
              <w:jc w:val="center"/>
              <w:rPr>
                <w:kern w:val="0"/>
                <w:sz w:val="15"/>
                <w:szCs w:val="15"/>
              </w:rPr>
            </w:pPr>
            <w:r>
              <w:rPr>
                <w:kern w:val="0"/>
                <w:sz w:val="15"/>
                <w:szCs w:val="15"/>
              </w:rPr>
              <w:t>250</w:t>
            </w:r>
          </w:p>
        </w:tc>
        <w:tc>
          <w:tcPr>
            <w:tcW w:w="1224" w:type="dxa"/>
            <w:vAlign w:val="center"/>
          </w:tcPr>
          <w:p w14:paraId="2EC36C31">
            <w:pPr>
              <w:autoSpaceDE w:val="0"/>
              <w:autoSpaceDN w:val="0"/>
              <w:spacing w:line="240" w:lineRule="auto"/>
              <w:jc w:val="center"/>
              <w:rPr>
                <w:kern w:val="0"/>
                <w:sz w:val="15"/>
                <w:szCs w:val="15"/>
              </w:rPr>
            </w:pPr>
            <w:r>
              <w:rPr>
                <w:kern w:val="0"/>
                <w:sz w:val="15"/>
                <w:szCs w:val="15"/>
              </w:rPr>
              <w:t>250</w:t>
            </w:r>
          </w:p>
        </w:tc>
        <w:tc>
          <w:tcPr>
            <w:tcW w:w="1233" w:type="dxa"/>
            <w:tcBorders>
              <w:right w:val="single" w:color="000000" w:sz="6" w:space="0"/>
            </w:tcBorders>
            <w:vAlign w:val="center"/>
          </w:tcPr>
          <w:p w14:paraId="1A1A57C3">
            <w:pPr>
              <w:autoSpaceDE w:val="0"/>
              <w:autoSpaceDN w:val="0"/>
              <w:spacing w:line="240" w:lineRule="auto"/>
              <w:jc w:val="center"/>
              <w:rPr>
                <w:kern w:val="0"/>
                <w:sz w:val="15"/>
                <w:szCs w:val="15"/>
              </w:rPr>
            </w:pPr>
            <w:r>
              <w:rPr>
                <w:kern w:val="0"/>
                <w:sz w:val="15"/>
                <w:szCs w:val="15"/>
              </w:rPr>
              <w:t>200</w:t>
            </w:r>
          </w:p>
        </w:tc>
      </w:tr>
      <w:tr w14:paraId="24B06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jc w:val="center"/>
        </w:trPr>
        <w:tc>
          <w:tcPr>
            <w:tcW w:w="1232" w:type="dxa"/>
            <w:tcBorders>
              <w:left w:val="single" w:color="000000" w:sz="6" w:space="0"/>
            </w:tcBorders>
            <w:vAlign w:val="center"/>
          </w:tcPr>
          <w:p w14:paraId="1091EE92">
            <w:pPr>
              <w:autoSpaceDE w:val="0"/>
              <w:autoSpaceDN w:val="0"/>
              <w:spacing w:line="240" w:lineRule="auto"/>
              <w:jc w:val="center"/>
              <w:rPr>
                <w:kern w:val="0"/>
                <w:sz w:val="15"/>
                <w:szCs w:val="15"/>
              </w:rPr>
            </w:pPr>
            <w:r>
              <w:rPr>
                <w:kern w:val="0"/>
                <w:sz w:val="15"/>
                <w:szCs w:val="15"/>
              </w:rPr>
              <w:t>联络线(单线)</w:t>
            </w:r>
          </w:p>
        </w:tc>
        <w:tc>
          <w:tcPr>
            <w:tcW w:w="1224" w:type="dxa"/>
            <w:vAlign w:val="center"/>
          </w:tcPr>
          <w:p w14:paraId="497A04AC">
            <w:pPr>
              <w:autoSpaceDE w:val="0"/>
              <w:autoSpaceDN w:val="0"/>
              <w:spacing w:line="240" w:lineRule="auto"/>
              <w:jc w:val="center"/>
              <w:rPr>
                <w:kern w:val="0"/>
                <w:sz w:val="15"/>
                <w:szCs w:val="15"/>
              </w:rPr>
            </w:pPr>
            <w:r>
              <w:rPr>
                <w:kern w:val="0"/>
                <w:sz w:val="15"/>
                <w:szCs w:val="15"/>
              </w:rPr>
              <w:t>250</w:t>
            </w:r>
          </w:p>
        </w:tc>
        <w:tc>
          <w:tcPr>
            <w:tcW w:w="1227" w:type="dxa"/>
            <w:vAlign w:val="center"/>
          </w:tcPr>
          <w:p w14:paraId="691205B6">
            <w:pPr>
              <w:autoSpaceDE w:val="0"/>
              <w:autoSpaceDN w:val="0"/>
              <w:spacing w:line="240" w:lineRule="auto"/>
              <w:jc w:val="center"/>
              <w:rPr>
                <w:kern w:val="0"/>
                <w:sz w:val="15"/>
                <w:szCs w:val="15"/>
              </w:rPr>
            </w:pPr>
            <w:r>
              <w:rPr>
                <w:kern w:val="0"/>
                <w:sz w:val="15"/>
                <w:szCs w:val="15"/>
              </w:rPr>
              <w:t>200</w:t>
            </w:r>
          </w:p>
        </w:tc>
        <w:tc>
          <w:tcPr>
            <w:tcW w:w="1224" w:type="dxa"/>
            <w:vAlign w:val="center"/>
          </w:tcPr>
          <w:p w14:paraId="7371FF0A">
            <w:pPr>
              <w:autoSpaceDE w:val="0"/>
              <w:autoSpaceDN w:val="0"/>
              <w:spacing w:line="240" w:lineRule="auto"/>
              <w:jc w:val="center"/>
              <w:rPr>
                <w:kern w:val="0"/>
                <w:sz w:val="15"/>
                <w:szCs w:val="15"/>
              </w:rPr>
            </w:pPr>
            <w:r>
              <w:rPr>
                <w:kern w:val="0"/>
                <w:sz w:val="15"/>
                <w:szCs w:val="15"/>
              </w:rPr>
              <w:t>200</w:t>
            </w:r>
          </w:p>
        </w:tc>
        <w:tc>
          <w:tcPr>
            <w:tcW w:w="1233" w:type="dxa"/>
            <w:tcBorders>
              <w:right w:val="single" w:color="000000" w:sz="6" w:space="0"/>
            </w:tcBorders>
            <w:vAlign w:val="center"/>
          </w:tcPr>
          <w:p w14:paraId="7752205C">
            <w:pPr>
              <w:autoSpaceDE w:val="0"/>
              <w:autoSpaceDN w:val="0"/>
              <w:spacing w:line="240" w:lineRule="auto"/>
              <w:jc w:val="center"/>
              <w:rPr>
                <w:kern w:val="0"/>
                <w:sz w:val="15"/>
                <w:szCs w:val="15"/>
              </w:rPr>
            </w:pPr>
            <w:r>
              <w:rPr>
                <w:kern w:val="0"/>
                <w:sz w:val="15"/>
                <w:szCs w:val="15"/>
              </w:rPr>
              <w:t>150</w:t>
            </w:r>
          </w:p>
        </w:tc>
      </w:tr>
    </w:tbl>
    <w:p w14:paraId="1DA5FE53">
      <w:pPr>
        <w:pStyle w:val="7"/>
        <w:ind w:firstLine="436"/>
      </w:pPr>
      <w:r>
        <w:rPr>
          <w:rFonts w:hint="eastAsia"/>
          <w:spacing w:val="4"/>
        </w:rPr>
        <w:t>限速地段的</w:t>
      </w:r>
      <w:r>
        <w:rPr>
          <w:spacing w:val="4"/>
        </w:rPr>
        <w:t>圆曲</w:t>
      </w:r>
      <w:r>
        <w:t>线半径应适当加大，并宜以</w:t>
      </w:r>
      <w:r>
        <w:rPr>
          <w:rFonts w:eastAsia="Times New Roman"/>
        </w:rPr>
        <w:t>10m</w:t>
      </w:r>
      <w:r>
        <w:t>的倍数取值；</w:t>
      </w:r>
    </w:p>
    <w:p w14:paraId="041A76BF">
      <w:pPr>
        <w:pStyle w:val="7"/>
        <w:ind w:firstLine="420"/>
      </w:pPr>
      <w:r>
        <w:t>车站站台宜设在直线上。若设在曲线上，其站台有效长度范围的线路曲线最小半径应符合</w:t>
      </w:r>
      <w:r>
        <w:rPr>
          <w:spacing w:val="6"/>
        </w:rPr>
        <w:t>表7</w:t>
      </w:r>
      <w:r>
        <w:rPr>
          <w:rFonts w:eastAsia="Times New Roman"/>
          <w:spacing w:val="-6"/>
        </w:rPr>
        <w:t>.2</w:t>
      </w:r>
      <w:r>
        <w:rPr>
          <w:rFonts w:eastAsia="Times New Roman"/>
          <w:spacing w:val="-3"/>
        </w:rPr>
        <w:t>.1-2</w:t>
      </w:r>
      <w:r>
        <w:rPr>
          <w:spacing w:val="-3"/>
        </w:rPr>
        <w:t>规定；</w:t>
      </w:r>
      <w:r>
        <w:rPr>
          <w:rFonts w:hint="eastAsia"/>
          <w:spacing w:val="-3"/>
        </w:rPr>
        <w:t xml:space="preserve"> </w:t>
      </w:r>
    </w:p>
    <w:p w14:paraId="064A2088">
      <w:pPr>
        <w:pStyle w:val="198"/>
      </w:pPr>
      <w:r>
        <w:t>表7.2.1-2</w:t>
      </w:r>
      <w:r>
        <w:rPr>
          <w:rFonts w:hint="eastAsia"/>
        </w:rPr>
        <w:t xml:space="preserve">  </w:t>
      </w:r>
      <w:r>
        <w:t>车站曲线最小半径(m)</w:t>
      </w:r>
    </w:p>
    <w:tbl>
      <w:tblPr>
        <w:tblStyle w:val="88"/>
        <w:tblW w:w="61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6"/>
        <w:gridCol w:w="1531"/>
        <w:gridCol w:w="1533"/>
        <w:gridCol w:w="1540"/>
      </w:tblGrid>
      <w:tr w14:paraId="39B7B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3067" w:type="dxa"/>
            <w:gridSpan w:val="2"/>
            <w:tcBorders>
              <w:left w:val="single" w:color="000000" w:sz="6" w:space="0"/>
            </w:tcBorders>
            <w:vAlign w:val="center"/>
          </w:tcPr>
          <w:p w14:paraId="64CEBC26">
            <w:pPr>
              <w:pStyle w:val="174"/>
              <w:rPr>
                <w:color w:val="auto"/>
              </w:rPr>
            </w:pPr>
            <w:r>
              <w:rPr>
                <w:color w:val="auto"/>
              </w:rPr>
              <w:t>车型</w:t>
            </w:r>
          </w:p>
        </w:tc>
        <w:tc>
          <w:tcPr>
            <w:tcW w:w="1533" w:type="dxa"/>
            <w:vAlign w:val="center"/>
          </w:tcPr>
          <w:p w14:paraId="6A14E73A">
            <w:pPr>
              <w:pStyle w:val="174"/>
              <w:rPr>
                <w:color w:val="auto"/>
              </w:rPr>
            </w:pPr>
            <w:r>
              <w:rPr>
                <w:color w:val="auto"/>
              </w:rPr>
              <w:t>A型车</w:t>
            </w:r>
          </w:p>
        </w:tc>
        <w:tc>
          <w:tcPr>
            <w:tcW w:w="1540" w:type="dxa"/>
            <w:tcBorders>
              <w:right w:val="single" w:color="000000" w:sz="6" w:space="0"/>
            </w:tcBorders>
            <w:vAlign w:val="center"/>
          </w:tcPr>
          <w:p w14:paraId="3EF78BB7">
            <w:pPr>
              <w:pStyle w:val="174"/>
              <w:rPr>
                <w:color w:val="auto"/>
              </w:rPr>
            </w:pPr>
            <w:r>
              <w:rPr>
                <w:color w:val="auto"/>
              </w:rPr>
              <w:t>B型车</w:t>
            </w:r>
          </w:p>
        </w:tc>
      </w:tr>
      <w:tr w14:paraId="386E4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1536" w:type="dxa"/>
            <w:vMerge w:val="restart"/>
            <w:tcBorders>
              <w:left w:val="single" w:color="000000" w:sz="6" w:space="0"/>
              <w:bottom w:val="nil"/>
            </w:tcBorders>
            <w:vAlign w:val="center"/>
          </w:tcPr>
          <w:p w14:paraId="580E83FF">
            <w:pPr>
              <w:pStyle w:val="174"/>
              <w:rPr>
                <w:color w:val="auto"/>
              </w:rPr>
            </w:pPr>
            <w:r>
              <w:rPr>
                <w:color w:val="auto"/>
              </w:rPr>
              <w:t>曲线半径</w:t>
            </w:r>
          </w:p>
        </w:tc>
        <w:tc>
          <w:tcPr>
            <w:tcW w:w="1531" w:type="dxa"/>
            <w:vAlign w:val="center"/>
          </w:tcPr>
          <w:p w14:paraId="3FEABC28">
            <w:pPr>
              <w:pStyle w:val="174"/>
              <w:rPr>
                <w:color w:val="auto"/>
              </w:rPr>
            </w:pPr>
            <w:r>
              <w:rPr>
                <w:color w:val="auto"/>
              </w:rPr>
              <w:t>一般情况</w:t>
            </w:r>
          </w:p>
        </w:tc>
        <w:tc>
          <w:tcPr>
            <w:tcW w:w="1533" w:type="dxa"/>
            <w:vAlign w:val="center"/>
          </w:tcPr>
          <w:p w14:paraId="2B41214D">
            <w:pPr>
              <w:pStyle w:val="174"/>
              <w:rPr>
                <w:color w:val="auto"/>
              </w:rPr>
            </w:pPr>
            <w:r>
              <w:rPr>
                <w:color w:val="auto"/>
              </w:rPr>
              <w:t>1000</w:t>
            </w:r>
          </w:p>
        </w:tc>
        <w:tc>
          <w:tcPr>
            <w:tcW w:w="1540" w:type="dxa"/>
            <w:tcBorders>
              <w:right w:val="single" w:color="000000" w:sz="6" w:space="0"/>
            </w:tcBorders>
            <w:vAlign w:val="center"/>
          </w:tcPr>
          <w:p w14:paraId="7CA7477C">
            <w:pPr>
              <w:pStyle w:val="174"/>
              <w:rPr>
                <w:color w:val="auto"/>
              </w:rPr>
            </w:pPr>
            <w:r>
              <w:rPr>
                <w:color w:val="auto"/>
              </w:rPr>
              <w:t>1000</w:t>
            </w:r>
          </w:p>
        </w:tc>
      </w:tr>
      <w:tr w14:paraId="3E0B9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jc w:val="center"/>
        </w:trPr>
        <w:tc>
          <w:tcPr>
            <w:tcW w:w="1536" w:type="dxa"/>
            <w:vMerge w:val="continue"/>
            <w:tcBorders>
              <w:top w:val="nil"/>
              <w:left w:val="single" w:color="000000" w:sz="6" w:space="0"/>
            </w:tcBorders>
            <w:vAlign w:val="center"/>
          </w:tcPr>
          <w:p w14:paraId="79F15124">
            <w:pPr>
              <w:pStyle w:val="174"/>
              <w:rPr>
                <w:color w:val="auto"/>
              </w:rPr>
            </w:pPr>
          </w:p>
        </w:tc>
        <w:tc>
          <w:tcPr>
            <w:tcW w:w="1531" w:type="dxa"/>
            <w:vAlign w:val="center"/>
          </w:tcPr>
          <w:p w14:paraId="39C2BB21">
            <w:pPr>
              <w:pStyle w:val="174"/>
              <w:rPr>
                <w:color w:val="auto"/>
              </w:rPr>
            </w:pPr>
            <w:r>
              <w:rPr>
                <w:color w:val="auto"/>
              </w:rPr>
              <w:t>困难情况</w:t>
            </w:r>
          </w:p>
        </w:tc>
        <w:tc>
          <w:tcPr>
            <w:tcW w:w="1533" w:type="dxa"/>
            <w:vAlign w:val="center"/>
          </w:tcPr>
          <w:p w14:paraId="7E91ADF0">
            <w:pPr>
              <w:pStyle w:val="174"/>
              <w:rPr>
                <w:color w:val="auto"/>
              </w:rPr>
            </w:pPr>
            <w:r>
              <w:rPr>
                <w:color w:val="auto"/>
              </w:rPr>
              <w:t>800</w:t>
            </w:r>
          </w:p>
        </w:tc>
        <w:tc>
          <w:tcPr>
            <w:tcW w:w="1540" w:type="dxa"/>
            <w:tcBorders>
              <w:right w:val="single" w:color="000000" w:sz="6" w:space="0"/>
            </w:tcBorders>
            <w:vAlign w:val="center"/>
          </w:tcPr>
          <w:p w14:paraId="35CABEEF">
            <w:pPr>
              <w:pStyle w:val="174"/>
              <w:rPr>
                <w:color w:val="auto"/>
              </w:rPr>
            </w:pPr>
            <w:r>
              <w:rPr>
                <w:color w:val="auto"/>
              </w:rPr>
              <w:t>800</w:t>
            </w:r>
          </w:p>
        </w:tc>
      </w:tr>
    </w:tbl>
    <w:p w14:paraId="5E775E9B">
      <w:pPr>
        <w:pStyle w:val="7"/>
        <w:ind w:firstLine="420"/>
      </w:pPr>
      <w:r>
        <w:t>折返线、停车线等宜设在直线上。困难情况下，除道岔区外，可设在曲线上，并可不设缓和曲</w:t>
      </w:r>
      <w:r>
        <w:rPr>
          <w:spacing w:val="2"/>
        </w:rPr>
        <w:t>线，但在车挡前宜保持不少于</w:t>
      </w:r>
      <w:r>
        <w:rPr>
          <w:rFonts w:eastAsia="Times New Roman"/>
          <w:spacing w:val="2"/>
        </w:rPr>
        <w:t>20</w:t>
      </w:r>
      <w:r>
        <w:rPr>
          <w:rFonts w:eastAsia="Times New Roman"/>
        </w:rPr>
        <w:t>m</w:t>
      </w:r>
      <w:r>
        <w:rPr>
          <w:spacing w:val="2"/>
        </w:rPr>
        <w:t>的直线段；</w:t>
      </w:r>
    </w:p>
    <w:p w14:paraId="24754218">
      <w:pPr>
        <w:pStyle w:val="7"/>
        <w:ind w:firstLine="424"/>
        <w:rPr>
          <w:spacing w:val="2"/>
        </w:rPr>
      </w:pPr>
      <w:r>
        <w:rPr>
          <w:spacing w:val="1"/>
        </w:rPr>
        <w:t>圆曲</w:t>
      </w:r>
      <w:r>
        <w:t>线最小长度，在正线、联络线及车辆综合基地出入线上，</w:t>
      </w:r>
      <w:r>
        <w:rPr>
          <w:rFonts w:eastAsia="Times New Roman"/>
        </w:rPr>
        <w:t>A</w:t>
      </w:r>
      <w:r>
        <w:t>型车不宜小于</w:t>
      </w:r>
      <w:r>
        <w:rPr>
          <w:rFonts w:eastAsia="Times New Roman"/>
        </w:rPr>
        <w:t>25m</w:t>
      </w:r>
      <w:r>
        <w:t>，</w:t>
      </w:r>
      <w:r>
        <w:rPr>
          <w:rFonts w:eastAsia="Times New Roman"/>
        </w:rPr>
        <w:t>B</w:t>
      </w:r>
      <w:r>
        <w:t>型车不</w:t>
      </w:r>
      <w:r>
        <w:rPr>
          <w:spacing w:val="4"/>
        </w:rPr>
        <w:t>宜小于</w:t>
      </w:r>
      <w:r>
        <w:rPr>
          <w:rFonts w:eastAsia="Times New Roman"/>
          <w:spacing w:val="4"/>
        </w:rPr>
        <w:t>20</w:t>
      </w:r>
      <w:r>
        <w:rPr>
          <w:rFonts w:eastAsia="Times New Roman"/>
        </w:rPr>
        <w:t>m</w:t>
      </w:r>
      <w:r>
        <w:rPr>
          <w:spacing w:val="4"/>
        </w:rPr>
        <w:t>，在困</w:t>
      </w:r>
      <w:r>
        <w:rPr>
          <w:spacing w:val="3"/>
        </w:rPr>
        <w:t>难</w:t>
      </w:r>
      <w:r>
        <w:rPr>
          <w:spacing w:val="2"/>
        </w:rPr>
        <w:t>情况下不得小于一节车辆的全轴距；</w:t>
      </w:r>
    </w:p>
    <w:p w14:paraId="417547C5">
      <w:pPr>
        <w:pStyle w:val="5"/>
        <w:rPr>
          <w:bCs/>
        </w:rPr>
      </w:pPr>
      <w:r>
        <w:t>新建线路不宜采用复曲线，在困难地段应经技术经济比较后再采用，复曲线间应设置中间缓和</w:t>
      </w:r>
      <w:r>
        <w:rPr>
          <w:spacing w:val="2"/>
        </w:rPr>
        <w:t>曲线，其长度不应小于</w:t>
      </w:r>
      <w:r>
        <w:rPr>
          <w:rFonts w:eastAsia="Times New Roman"/>
          <w:spacing w:val="2"/>
        </w:rPr>
        <w:t>20</w:t>
      </w:r>
      <w:r>
        <w:rPr>
          <w:rFonts w:eastAsia="Times New Roman"/>
        </w:rPr>
        <w:t>m</w:t>
      </w:r>
      <w:r>
        <w:rPr>
          <w:spacing w:val="2"/>
        </w:rPr>
        <w:t>，并应</w:t>
      </w:r>
      <w:r>
        <w:rPr>
          <w:spacing w:val="1"/>
        </w:rPr>
        <w:t>满足超高顺坡率不大于</w:t>
      </w:r>
      <w:r>
        <w:rPr>
          <w:rFonts w:eastAsia="Times New Roman"/>
          <w:spacing w:val="1"/>
        </w:rPr>
        <w:t>2</w:t>
      </w:r>
      <w:r>
        <w:rPr>
          <w:spacing w:val="1"/>
        </w:rPr>
        <w:t>‰。</w:t>
      </w:r>
      <w:r>
        <w:rPr>
          <w:bCs/>
        </w:rPr>
        <w:t>缓和曲线设计应符合下列规定：</w:t>
      </w:r>
    </w:p>
    <w:p w14:paraId="4B4F1B1F">
      <w:pPr>
        <w:pStyle w:val="7"/>
        <w:ind w:firstLine="420"/>
      </w:pPr>
      <w:r>
        <w:t>线路平面圆曲线与直线之间应设置三次抛物线型的缓和曲线；</w:t>
      </w:r>
    </w:p>
    <w:p w14:paraId="34D043D6">
      <w:pPr>
        <w:pStyle w:val="7"/>
        <w:ind w:firstLine="420"/>
      </w:pPr>
      <w:r>
        <w:t>缓和曲线长度内应完成直线至圆曲线的曲率变化，应包括轨距加宽过渡和超高递变；</w:t>
      </w:r>
    </w:p>
    <w:p w14:paraId="34C73ED6">
      <w:pPr>
        <w:pStyle w:val="7"/>
        <w:ind w:firstLine="420"/>
      </w:pPr>
      <w:r>
        <w:t>缓和曲线长度应根据曲线半径、列车通过速度及曲线超高设置等因素，其</w:t>
      </w:r>
      <w:r>
        <w:rPr>
          <w:spacing w:val="1"/>
        </w:rPr>
        <w:t>长</w:t>
      </w:r>
      <w:r>
        <w:rPr>
          <w:spacing w:val="-1"/>
        </w:rPr>
        <w:t>度</w:t>
      </w:r>
      <w:r>
        <w:t>按表7.2.2的规定选用；</w:t>
      </w:r>
    </w:p>
    <w:p w14:paraId="5AC26644">
      <w:pPr>
        <w:pStyle w:val="7"/>
        <w:ind w:firstLine="420"/>
      </w:pPr>
      <w:r>
        <w:t>一般情况下，圆曲线半径和缓和曲线长度的选择宜满足每条线信号最高限制速度要求；</w:t>
      </w:r>
    </w:p>
    <w:p w14:paraId="6EDA2654">
      <w:pPr>
        <w:pStyle w:val="7"/>
        <w:ind w:firstLine="420"/>
      </w:pPr>
      <w:r>
        <w:t>缓和曲线长度内应完成直线至圆曲线的曲率变化，包括轨距加宽过渡和超高递变；</w:t>
      </w:r>
    </w:p>
    <w:p w14:paraId="41FD465F">
      <w:pPr>
        <w:pStyle w:val="7"/>
        <w:ind w:firstLine="420"/>
        <w:rPr>
          <w:spacing w:val="-4"/>
        </w:rPr>
      </w:pPr>
      <w:r>
        <w:t>当圆曲线较短，计算超高值较小，可不设缓和曲线，但曲线超高应在圆曲线外的直线段内完成</w:t>
      </w:r>
      <w:r>
        <w:rPr>
          <w:spacing w:val="-7"/>
        </w:rPr>
        <w:t>递</w:t>
      </w:r>
      <w:r>
        <w:rPr>
          <w:spacing w:val="-4"/>
        </w:rPr>
        <w:t>变。</w:t>
      </w:r>
    </w:p>
    <w:p w14:paraId="2C818D0B">
      <w:pPr>
        <w:pStyle w:val="198"/>
      </w:pPr>
      <w:r>
        <w:rPr>
          <w:szCs w:val="21"/>
        </w:rPr>
        <w:t xml:space="preserve">表7.2.2 </w:t>
      </w:r>
      <w:r>
        <w:rPr>
          <w:rFonts w:hint="eastAsia"/>
          <w:szCs w:val="21"/>
        </w:rPr>
        <w:t xml:space="preserve"> </w:t>
      </w:r>
      <w:r>
        <w:rPr>
          <w:szCs w:val="21"/>
        </w:rPr>
        <w:t>线路</w:t>
      </w:r>
      <w:r>
        <w:t>缓和曲线</w:t>
      </w:r>
      <w:r>
        <w:rPr>
          <w:szCs w:val="21"/>
        </w:rPr>
        <w:t>长度</w:t>
      </w:r>
    </w:p>
    <w:tbl>
      <w:tblPr>
        <w:tblStyle w:val="88"/>
        <w:tblW w:w="4915" w:type="pct"/>
        <w:tblInd w:w="108" w:type="dxa"/>
        <w:tblLayout w:type="autofit"/>
        <w:tblCellMar>
          <w:top w:w="0" w:type="dxa"/>
          <w:left w:w="108" w:type="dxa"/>
          <w:bottom w:w="0" w:type="dxa"/>
          <w:right w:w="108" w:type="dxa"/>
        </w:tblCellMar>
      </w:tblPr>
      <w:tblGrid>
        <w:gridCol w:w="816"/>
        <w:gridCol w:w="607"/>
        <w:gridCol w:w="603"/>
        <w:gridCol w:w="602"/>
        <w:gridCol w:w="602"/>
        <w:gridCol w:w="602"/>
        <w:gridCol w:w="602"/>
        <w:gridCol w:w="602"/>
        <w:gridCol w:w="602"/>
        <w:gridCol w:w="594"/>
      </w:tblGrid>
      <w:tr w14:paraId="3F4C3E6E">
        <w:tblPrEx>
          <w:tblCellMar>
            <w:top w:w="0" w:type="dxa"/>
            <w:left w:w="108" w:type="dxa"/>
            <w:bottom w:w="0" w:type="dxa"/>
            <w:right w:w="108" w:type="dxa"/>
          </w:tblCellMar>
        </w:tblPrEx>
        <w:trPr>
          <w:cantSplit/>
          <w:trHeight w:val="280" w:hRule="atLeast"/>
          <w:tblHeader/>
        </w:trPr>
        <w:tc>
          <w:tcPr>
            <w:tcW w:w="655" w:type="pct"/>
            <w:vMerge w:val="restart"/>
            <w:tcBorders>
              <w:top w:val="single" w:color="auto" w:sz="4" w:space="0"/>
              <w:left w:val="single" w:color="auto" w:sz="8" w:space="0"/>
              <w:right w:val="single" w:color="auto" w:sz="8" w:space="0"/>
            </w:tcBorders>
            <w:shd w:val="clear" w:color="auto" w:fill="auto"/>
            <w:noWrap/>
            <w:vAlign w:val="center"/>
          </w:tcPr>
          <w:p w14:paraId="010CB35F">
            <w:pPr>
              <w:widowControl/>
              <w:spacing w:line="240" w:lineRule="auto"/>
              <w:jc w:val="center"/>
              <w:rPr>
                <w:rFonts w:eastAsia="等线"/>
                <w:kern w:val="0"/>
                <w:sz w:val="18"/>
                <w:szCs w:val="18"/>
              </w:rPr>
            </w:pPr>
            <w:r>
              <w:rPr>
                <w:szCs w:val="21"/>
              </w:rPr>
              <mc:AlternateContent>
                <mc:Choice Requires="wps">
                  <w:drawing>
                    <wp:anchor distT="0" distB="0" distL="114300" distR="114300" simplePos="0" relativeHeight="251662336" behindDoc="0" locked="0" layoutInCell="1" allowOverlap="1">
                      <wp:simplePos x="0" y="0"/>
                      <wp:positionH relativeFrom="column">
                        <wp:posOffset>148590</wp:posOffset>
                      </wp:positionH>
                      <wp:positionV relativeFrom="paragraph">
                        <wp:posOffset>1270</wp:posOffset>
                      </wp:positionV>
                      <wp:extent cx="308610" cy="557530"/>
                      <wp:effectExtent l="0" t="0" r="34290" b="33020"/>
                      <wp:wrapNone/>
                      <wp:docPr id="22" name="AutoShape 139"/>
                      <wp:cNvGraphicFramePr/>
                      <a:graphic xmlns:a="http://schemas.openxmlformats.org/drawingml/2006/main">
                        <a:graphicData uri="http://schemas.microsoft.com/office/word/2010/wordprocessingShape">
                          <wps:wsp>
                            <wps:cNvCnPr>
                              <a:cxnSpLocks noChangeShapeType="1"/>
                            </wps:cNvCnPr>
                            <wps:spPr bwMode="auto">
                              <a:xfrm flipH="1" flipV="1">
                                <a:off x="0" y="0"/>
                                <a:ext cx="308610" cy="557530"/>
                              </a:xfrm>
                              <a:prstGeom prst="straightConnector1">
                                <a:avLst/>
                              </a:prstGeom>
                              <a:noFill/>
                              <a:ln w="9525">
                                <a:solidFill>
                                  <a:srgbClr val="000000"/>
                                </a:solidFill>
                                <a:round/>
                              </a:ln>
                            </wps:spPr>
                            <wps:bodyPr/>
                          </wps:wsp>
                        </a:graphicData>
                      </a:graphic>
                    </wp:anchor>
                  </w:drawing>
                </mc:Choice>
                <mc:Fallback>
                  <w:pict>
                    <v:shape id="AutoShape 139" o:spid="_x0000_s1026" o:spt="32" type="#_x0000_t32" style="position:absolute;left:0pt;flip:x y;margin-left:11.7pt;margin-top:0.1pt;height:43.9pt;width:24.3pt;z-index:251662336;mso-width-relative:page;mso-height-relative:page;" filled="f" stroked="t" coordsize="21600,21600" o:gfxdata="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u77zdcA&#10;AAAFAQAADwAAAAAAAAABACAAAAAiAAAAZHJzL2Rvd25yZXYueG1sUEsBAhQAFAAAAAgAh07iQOT1&#10;aS3nAQAAzQMAAA4AAAAAAAAAAQAgAAAAJgEAAGRycy9lMm9Eb2MueG1sUEsFBgAAAAAGAAYAWQEA&#10;AH8FAAAAAA==&#10;">
                      <v:fill on="f" focussize="0,0"/>
                      <v:stroke color="#000000" joinstyle="round"/>
                      <v:imagedata o:title=""/>
                      <o:lock v:ext="edit" aspectratio="f"/>
                    </v:shape>
                  </w:pict>
                </mc:Fallback>
              </mc:AlternateContent>
            </w:r>
            <w:r>
              <w:rPr>
                <w:rFonts w:hint="eastAsia" w:eastAsia="等线"/>
                <w:kern w:val="0"/>
                <w:sz w:val="18"/>
                <w:szCs w:val="18"/>
              </w:rPr>
              <w:t xml:space="preserve">    </w:t>
            </w:r>
            <w:r>
              <w:rPr>
                <w:rFonts w:eastAsia="等线"/>
                <w:kern w:val="0"/>
                <w:sz w:val="18"/>
                <w:szCs w:val="18"/>
              </w:rPr>
              <w:t>v</w:t>
            </w:r>
          </w:p>
          <w:p w14:paraId="5F49E4DA">
            <w:pPr>
              <w:widowControl/>
              <w:spacing w:line="240" w:lineRule="auto"/>
              <w:ind w:firstLine="210" w:firstLineChars="100"/>
              <w:jc w:val="left"/>
              <w:rPr>
                <w:rFonts w:eastAsia="等线"/>
                <w:kern w:val="0"/>
                <w:sz w:val="18"/>
                <w:szCs w:val="18"/>
              </w:rPr>
            </w:pPr>
            <w:r>
              <w:rPr>
                <w:szCs w:val="21"/>
              </w:rPr>
              <mc:AlternateContent>
                <mc:Choice Requires="wps">
                  <w:drawing>
                    <wp:anchor distT="0" distB="0" distL="114300" distR="114300" simplePos="0" relativeHeight="251663360" behindDoc="0" locked="0" layoutInCell="1" allowOverlap="1">
                      <wp:simplePos x="0" y="0"/>
                      <wp:positionH relativeFrom="column">
                        <wp:posOffset>-54610</wp:posOffset>
                      </wp:positionH>
                      <wp:positionV relativeFrom="paragraph">
                        <wp:posOffset>100330</wp:posOffset>
                      </wp:positionV>
                      <wp:extent cx="506095" cy="311150"/>
                      <wp:effectExtent l="0" t="0" r="27305" b="31750"/>
                      <wp:wrapNone/>
                      <wp:docPr id="21" name="AutoShape 140"/>
                      <wp:cNvGraphicFramePr/>
                      <a:graphic xmlns:a="http://schemas.openxmlformats.org/drawingml/2006/main">
                        <a:graphicData uri="http://schemas.microsoft.com/office/word/2010/wordprocessingShape">
                          <wps:wsp>
                            <wps:cNvCnPr>
                              <a:cxnSpLocks noChangeShapeType="1"/>
                            </wps:cNvCnPr>
                            <wps:spPr bwMode="auto">
                              <a:xfrm flipH="1" flipV="1">
                                <a:off x="0" y="0"/>
                                <a:ext cx="506095" cy="311150"/>
                              </a:xfrm>
                              <a:prstGeom prst="straightConnector1">
                                <a:avLst/>
                              </a:prstGeom>
                              <a:noFill/>
                              <a:ln w="9525">
                                <a:solidFill>
                                  <a:srgbClr val="000000"/>
                                </a:solidFill>
                                <a:round/>
                              </a:ln>
                            </wps:spPr>
                            <wps:bodyPr/>
                          </wps:wsp>
                        </a:graphicData>
                      </a:graphic>
                    </wp:anchor>
                  </w:drawing>
                </mc:Choice>
                <mc:Fallback>
                  <w:pict>
                    <v:shape id="AutoShape 140" o:spid="_x0000_s1026" o:spt="32" type="#_x0000_t32" style="position:absolute;left:0pt;flip:x y;margin-left:-4.3pt;margin-top:7.9pt;height:24.5pt;width:39.85pt;z-index:251663360;mso-width-relative:page;mso-height-relative:page;" filled="f" stroked="t" coordsize="21600,21600" o:gfxdata="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TcK9cA&#10;AAAHAQAADwAAAAAAAAABACAAAAAiAAAAZHJzL2Rvd25yZXYueG1sUEsBAhQAFAAAAAgAh07iQH6+&#10;B7PnAQAAzQMAAA4AAAAAAAAAAQAgAAAAJgEAAGRycy9lMm9Eb2MueG1sUEsFBgAAAAAGAAYAWQEA&#10;AH8FAAAAAA==&#10;">
                      <v:fill on="f" focussize="0,0"/>
                      <v:stroke color="#000000" joinstyle="round"/>
                      <v:imagedata o:title=""/>
                      <o:lock v:ext="edit" aspectratio="f"/>
                    </v:shape>
                  </w:pict>
                </mc:Fallback>
              </mc:AlternateContent>
            </w:r>
            <w:r>
              <w:rPr>
                <w:rFonts w:eastAsia="等线"/>
                <w:kern w:val="0"/>
                <w:sz w:val="18"/>
                <w:szCs w:val="18"/>
              </w:rPr>
              <w:t>l</w:t>
            </w:r>
            <w:r>
              <w:rPr>
                <w:rFonts w:hint="eastAsia" w:eastAsia="等线"/>
                <w:kern w:val="0"/>
                <w:sz w:val="18"/>
                <w:szCs w:val="18"/>
              </w:rPr>
              <w:t xml:space="preserve">  </w:t>
            </w:r>
          </w:p>
          <w:p w14:paraId="30DD78E2">
            <w:pPr>
              <w:widowControl/>
              <w:spacing w:line="240" w:lineRule="auto"/>
              <w:jc w:val="center"/>
              <w:rPr>
                <w:rFonts w:eastAsia="等线"/>
                <w:kern w:val="0"/>
                <w:sz w:val="18"/>
                <w:szCs w:val="18"/>
              </w:rPr>
            </w:pPr>
          </w:p>
          <w:p w14:paraId="3B733471">
            <w:pPr>
              <w:spacing w:line="240" w:lineRule="auto"/>
              <w:jc w:val="left"/>
              <w:rPr>
                <w:rFonts w:eastAsia="等线"/>
                <w:kern w:val="0"/>
                <w:sz w:val="18"/>
                <w:szCs w:val="18"/>
              </w:rPr>
            </w:pPr>
            <w:r>
              <w:rPr>
                <w:rFonts w:eastAsia="等线"/>
                <w:kern w:val="0"/>
                <w:sz w:val="18"/>
                <w:szCs w:val="18"/>
              </w:rPr>
              <w:t>R</w:t>
            </w:r>
            <w:r>
              <w:rPr>
                <w:rFonts w:hint="eastAsia" w:eastAsia="等线"/>
                <w:kern w:val="0"/>
                <w:sz w:val="18"/>
                <w:szCs w:val="18"/>
              </w:rPr>
              <w:t xml:space="preserve">   </w:t>
            </w:r>
          </w:p>
        </w:tc>
        <w:tc>
          <w:tcPr>
            <w:tcW w:w="487" w:type="pct"/>
            <w:tcBorders>
              <w:top w:val="single" w:color="auto" w:sz="8" w:space="0"/>
              <w:left w:val="nil"/>
              <w:bottom w:val="nil"/>
              <w:right w:val="single" w:color="auto" w:sz="8" w:space="0"/>
            </w:tcBorders>
            <w:shd w:val="clear" w:color="auto" w:fill="auto"/>
            <w:vAlign w:val="center"/>
          </w:tcPr>
          <w:p w14:paraId="4DAFB1AF">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4" w:type="pct"/>
            <w:tcBorders>
              <w:top w:val="single" w:color="auto" w:sz="8" w:space="0"/>
              <w:left w:val="nil"/>
              <w:bottom w:val="nil"/>
              <w:right w:val="single" w:color="auto" w:sz="8" w:space="0"/>
            </w:tcBorders>
            <w:shd w:val="clear" w:color="auto" w:fill="auto"/>
            <w:vAlign w:val="center"/>
          </w:tcPr>
          <w:p w14:paraId="68407039">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single" w:color="auto" w:sz="8" w:space="0"/>
              <w:left w:val="nil"/>
              <w:bottom w:val="nil"/>
              <w:right w:val="single" w:color="auto" w:sz="8" w:space="0"/>
            </w:tcBorders>
            <w:shd w:val="clear" w:color="auto" w:fill="auto"/>
            <w:vAlign w:val="center"/>
          </w:tcPr>
          <w:p w14:paraId="0B1E18E5">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single" w:color="auto" w:sz="8" w:space="0"/>
              <w:left w:val="nil"/>
              <w:bottom w:val="nil"/>
              <w:right w:val="single" w:color="auto" w:sz="8" w:space="0"/>
            </w:tcBorders>
            <w:shd w:val="clear" w:color="auto" w:fill="auto"/>
            <w:vAlign w:val="center"/>
          </w:tcPr>
          <w:p w14:paraId="1CADC908">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single" w:color="auto" w:sz="8" w:space="0"/>
              <w:left w:val="nil"/>
              <w:bottom w:val="nil"/>
              <w:right w:val="single" w:color="auto" w:sz="8" w:space="0"/>
            </w:tcBorders>
            <w:shd w:val="clear" w:color="auto" w:fill="auto"/>
            <w:vAlign w:val="center"/>
          </w:tcPr>
          <w:p w14:paraId="52060874">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single" w:color="auto" w:sz="8" w:space="0"/>
              <w:left w:val="nil"/>
              <w:bottom w:val="nil"/>
              <w:right w:val="single" w:color="auto" w:sz="8" w:space="0"/>
            </w:tcBorders>
            <w:shd w:val="clear" w:color="auto" w:fill="auto"/>
            <w:vAlign w:val="center"/>
          </w:tcPr>
          <w:p w14:paraId="4C7F2E18">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single" w:color="auto" w:sz="8" w:space="0"/>
              <w:left w:val="nil"/>
              <w:bottom w:val="nil"/>
              <w:right w:val="single" w:color="auto" w:sz="8" w:space="0"/>
            </w:tcBorders>
            <w:shd w:val="clear" w:color="auto" w:fill="auto"/>
            <w:vAlign w:val="center"/>
          </w:tcPr>
          <w:p w14:paraId="46183465">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single" w:color="auto" w:sz="8" w:space="0"/>
              <w:left w:val="nil"/>
              <w:bottom w:val="nil"/>
              <w:right w:val="single" w:color="auto" w:sz="8" w:space="0"/>
            </w:tcBorders>
            <w:shd w:val="clear" w:color="auto" w:fill="auto"/>
            <w:vAlign w:val="center"/>
          </w:tcPr>
          <w:p w14:paraId="299EF330">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76" w:type="pct"/>
            <w:tcBorders>
              <w:top w:val="single" w:color="auto" w:sz="8" w:space="0"/>
              <w:left w:val="nil"/>
              <w:bottom w:val="nil"/>
              <w:right w:val="single" w:color="auto" w:sz="8" w:space="0"/>
            </w:tcBorders>
            <w:shd w:val="clear" w:color="auto" w:fill="auto"/>
            <w:vAlign w:val="center"/>
          </w:tcPr>
          <w:p w14:paraId="51E452E0">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14:paraId="12D0FB54">
        <w:tblPrEx>
          <w:tblCellMar>
            <w:top w:w="0" w:type="dxa"/>
            <w:left w:w="108" w:type="dxa"/>
            <w:bottom w:w="0" w:type="dxa"/>
            <w:right w:w="108" w:type="dxa"/>
          </w:tblCellMar>
        </w:tblPrEx>
        <w:trPr>
          <w:cantSplit/>
          <w:trHeight w:val="280" w:hRule="atLeast"/>
          <w:tblHeader/>
        </w:trPr>
        <w:tc>
          <w:tcPr>
            <w:tcW w:w="655" w:type="pct"/>
            <w:vMerge w:val="continue"/>
            <w:tcBorders>
              <w:left w:val="single" w:color="auto" w:sz="8" w:space="0"/>
              <w:right w:val="single" w:color="auto" w:sz="8" w:space="0"/>
              <w:tl2br w:val="single" w:color="auto" w:sz="4" w:space="0"/>
            </w:tcBorders>
            <w:shd w:val="clear" w:color="auto" w:fill="auto"/>
            <w:noWrap/>
            <w:vAlign w:val="center"/>
          </w:tcPr>
          <w:p w14:paraId="6B03E0BE">
            <w:pPr>
              <w:spacing w:line="240" w:lineRule="auto"/>
              <w:jc w:val="center"/>
              <w:rPr>
                <w:rFonts w:eastAsia="等线"/>
                <w:kern w:val="0"/>
                <w:sz w:val="18"/>
                <w:szCs w:val="18"/>
              </w:rPr>
            </w:pPr>
          </w:p>
        </w:tc>
        <w:tc>
          <w:tcPr>
            <w:tcW w:w="487" w:type="pct"/>
            <w:tcBorders>
              <w:top w:val="nil"/>
              <w:left w:val="nil"/>
              <w:bottom w:val="nil"/>
              <w:right w:val="single" w:color="auto" w:sz="8" w:space="0"/>
            </w:tcBorders>
            <w:shd w:val="clear" w:color="auto" w:fill="auto"/>
            <w:vAlign w:val="center"/>
          </w:tcPr>
          <w:p w14:paraId="0ED1D09D">
            <w:pPr>
              <w:widowControl/>
              <w:spacing w:line="240" w:lineRule="auto"/>
              <w:jc w:val="center"/>
              <w:rPr>
                <w:rFonts w:eastAsia="等线"/>
                <w:kern w:val="0"/>
                <w:sz w:val="18"/>
                <w:szCs w:val="18"/>
              </w:rPr>
            </w:pPr>
            <w:r>
              <w:rPr>
                <w:rFonts w:eastAsia="等线"/>
                <w:kern w:val="0"/>
                <w:sz w:val="18"/>
                <w:szCs w:val="18"/>
              </w:rPr>
              <w:t>155</w:t>
            </w:r>
          </w:p>
        </w:tc>
        <w:tc>
          <w:tcPr>
            <w:tcW w:w="484" w:type="pct"/>
            <w:tcBorders>
              <w:top w:val="nil"/>
              <w:left w:val="nil"/>
              <w:bottom w:val="nil"/>
              <w:right w:val="single" w:color="auto" w:sz="8" w:space="0"/>
            </w:tcBorders>
            <w:shd w:val="clear" w:color="auto" w:fill="auto"/>
            <w:vAlign w:val="center"/>
          </w:tcPr>
          <w:p w14:paraId="223CC69E">
            <w:pPr>
              <w:widowControl/>
              <w:spacing w:line="240" w:lineRule="auto"/>
              <w:jc w:val="center"/>
              <w:rPr>
                <w:rFonts w:eastAsia="等线"/>
                <w:kern w:val="0"/>
                <w:sz w:val="18"/>
                <w:szCs w:val="18"/>
              </w:rPr>
            </w:pPr>
            <w:r>
              <w:rPr>
                <w:rFonts w:eastAsia="等线"/>
                <w:kern w:val="0"/>
                <w:sz w:val="18"/>
                <w:szCs w:val="18"/>
              </w:rPr>
              <w:t>150</w:t>
            </w:r>
          </w:p>
        </w:tc>
        <w:tc>
          <w:tcPr>
            <w:tcW w:w="483" w:type="pct"/>
            <w:tcBorders>
              <w:top w:val="nil"/>
              <w:left w:val="nil"/>
              <w:bottom w:val="nil"/>
              <w:right w:val="single" w:color="auto" w:sz="8" w:space="0"/>
            </w:tcBorders>
            <w:shd w:val="clear" w:color="auto" w:fill="auto"/>
            <w:vAlign w:val="center"/>
          </w:tcPr>
          <w:p w14:paraId="109C5BFD">
            <w:pPr>
              <w:widowControl/>
              <w:spacing w:line="240" w:lineRule="auto"/>
              <w:jc w:val="center"/>
              <w:rPr>
                <w:rFonts w:eastAsia="等线"/>
                <w:kern w:val="0"/>
                <w:sz w:val="18"/>
                <w:szCs w:val="18"/>
              </w:rPr>
            </w:pPr>
            <w:r>
              <w:rPr>
                <w:rFonts w:eastAsia="等线"/>
                <w:kern w:val="0"/>
                <w:sz w:val="18"/>
                <w:szCs w:val="18"/>
              </w:rPr>
              <w:t>145</w:t>
            </w:r>
          </w:p>
        </w:tc>
        <w:tc>
          <w:tcPr>
            <w:tcW w:w="483" w:type="pct"/>
            <w:tcBorders>
              <w:top w:val="nil"/>
              <w:left w:val="nil"/>
              <w:bottom w:val="nil"/>
              <w:right w:val="single" w:color="auto" w:sz="8" w:space="0"/>
            </w:tcBorders>
            <w:shd w:val="clear" w:color="auto" w:fill="auto"/>
            <w:vAlign w:val="center"/>
          </w:tcPr>
          <w:p w14:paraId="5981C26A">
            <w:pPr>
              <w:widowControl/>
              <w:spacing w:line="240" w:lineRule="auto"/>
              <w:jc w:val="center"/>
              <w:rPr>
                <w:rFonts w:eastAsia="等线"/>
                <w:kern w:val="0"/>
                <w:sz w:val="18"/>
                <w:szCs w:val="18"/>
              </w:rPr>
            </w:pPr>
            <w:r>
              <w:rPr>
                <w:rFonts w:eastAsia="等线"/>
                <w:kern w:val="0"/>
                <w:sz w:val="18"/>
                <w:szCs w:val="18"/>
              </w:rPr>
              <w:t>140</w:t>
            </w:r>
          </w:p>
        </w:tc>
        <w:tc>
          <w:tcPr>
            <w:tcW w:w="483" w:type="pct"/>
            <w:tcBorders>
              <w:top w:val="nil"/>
              <w:left w:val="nil"/>
              <w:bottom w:val="nil"/>
              <w:right w:val="single" w:color="auto" w:sz="8" w:space="0"/>
            </w:tcBorders>
            <w:shd w:val="clear" w:color="auto" w:fill="auto"/>
            <w:vAlign w:val="center"/>
          </w:tcPr>
          <w:p w14:paraId="620C3D9D">
            <w:pPr>
              <w:widowControl/>
              <w:spacing w:line="240" w:lineRule="auto"/>
              <w:jc w:val="center"/>
              <w:rPr>
                <w:rFonts w:eastAsia="等线"/>
                <w:kern w:val="0"/>
                <w:sz w:val="18"/>
                <w:szCs w:val="18"/>
              </w:rPr>
            </w:pPr>
            <w:r>
              <w:rPr>
                <w:rFonts w:eastAsia="等线"/>
                <w:kern w:val="0"/>
                <w:sz w:val="18"/>
                <w:szCs w:val="18"/>
              </w:rPr>
              <w:t>135</w:t>
            </w:r>
          </w:p>
        </w:tc>
        <w:tc>
          <w:tcPr>
            <w:tcW w:w="483" w:type="pct"/>
            <w:tcBorders>
              <w:top w:val="nil"/>
              <w:left w:val="nil"/>
              <w:bottom w:val="nil"/>
              <w:right w:val="single" w:color="auto" w:sz="8" w:space="0"/>
            </w:tcBorders>
            <w:shd w:val="clear" w:color="auto" w:fill="auto"/>
            <w:vAlign w:val="center"/>
          </w:tcPr>
          <w:p w14:paraId="0AA49976">
            <w:pPr>
              <w:widowControl/>
              <w:spacing w:line="240" w:lineRule="auto"/>
              <w:jc w:val="center"/>
              <w:rPr>
                <w:rFonts w:eastAsia="等线"/>
                <w:kern w:val="0"/>
                <w:sz w:val="18"/>
                <w:szCs w:val="18"/>
              </w:rPr>
            </w:pPr>
            <w:r>
              <w:rPr>
                <w:rFonts w:eastAsia="等线"/>
                <w:kern w:val="0"/>
                <w:sz w:val="18"/>
                <w:szCs w:val="18"/>
              </w:rPr>
              <w:t>130</w:t>
            </w:r>
          </w:p>
        </w:tc>
        <w:tc>
          <w:tcPr>
            <w:tcW w:w="483" w:type="pct"/>
            <w:tcBorders>
              <w:top w:val="nil"/>
              <w:left w:val="nil"/>
              <w:bottom w:val="nil"/>
              <w:right w:val="single" w:color="auto" w:sz="8" w:space="0"/>
            </w:tcBorders>
            <w:shd w:val="clear" w:color="auto" w:fill="auto"/>
            <w:vAlign w:val="center"/>
          </w:tcPr>
          <w:p w14:paraId="67A00D25">
            <w:pPr>
              <w:widowControl/>
              <w:spacing w:line="240" w:lineRule="auto"/>
              <w:jc w:val="center"/>
              <w:rPr>
                <w:rFonts w:eastAsia="等线"/>
                <w:kern w:val="0"/>
                <w:sz w:val="18"/>
                <w:szCs w:val="18"/>
              </w:rPr>
            </w:pPr>
            <w:r>
              <w:rPr>
                <w:rFonts w:eastAsia="等线"/>
                <w:kern w:val="0"/>
                <w:sz w:val="18"/>
                <w:szCs w:val="18"/>
              </w:rPr>
              <w:t>125</w:t>
            </w:r>
          </w:p>
        </w:tc>
        <w:tc>
          <w:tcPr>
            <w:tcW w:w="483" w:type="pct"/>
            <w:tcBorders>
              <w:top w:val="nil"/>
              <w:left w:val="nil"/>
              <w:bottom w:val="nil"/>
              <w:right w:val="single" w:color="auto" w:sz="8" w:space="0"/>
            </w:tcBorders>
            <w:shd w:val="clear" w:color="auto" w:fill="auto"/>
            <w:vAlign w:val="center"/>
          </w:tcPr>
          <w:p w14:paraId="02253703">
            <w:pPr>
              <w:widowControl/>
              <w:spacing w:line="240" w:lineRule="auto"/>
              <w:jc w:val="center"/>
              <w:rPr>
                <w:rFonts w:eastAsia="等线"/>
                <w:kern w:val="0"/>
                <w:sz w:val="18"/>
                <w:szCs w:val="18"/>
              </w:rPr>
            </w:pPr>
            <w:r>
              <w:rPr>
                <w:rFonts w:eastAsia="等线"/>
                <w:kern w:val="0"/>
                <w:sz w:val="18"/>
                <w:szCs w:val="18"/>
              </w:rPr>
              <w:t>120</w:t>
            </w:r>
          </w:p>
        </w:tc>
        <w:tc>
          <w:tcPr>
            <w:tcW w:w="476" w:type="pct"/>
            <w:tcBorders>
              <w:top w:val="nil"/>
              <w:left w:val="nil"/>
              <w:bottom w:val="nil"/>
              <w:right w:val="single" w:color="auto" w:sz="8" w:space="0"/>
            </w:tcBorders>
            <w:shd w:val="clear" w:color="auto" w:fill="auto"/>
            <w:vAlign w:val="center"/>
          </w:tcPr>
          <w:p w14:paraId="68BC1726">
            <w:pPr>
              <w:widowControl/>
              <w:spacing w:line="240" w:lineRule="auto"/>
              <w:jc w:val="center"/>
              <w:rPr>
                <w:rFonts w:eastAsia="等线"/>
                <w:kern w:val="0"/>
                <w:sz w:val="18"/>
                <w:szCs w:val="18"/>
              </w:rPr>
            </w:pPr>
            <w:r>
              <w:rPr>
                <w:rFonts w:eastAsia="等线"/>
                <w:kern w:val="0"/>
                <w:sz w:val="18"/>
                <w:szCs w:val="18"/>
              </w:rPr>
              <w:t>115</w:t>
            </w:r>
          </w:p>
        </w:tc>
      </w:tr>
      <w:tr w14:paraId="68916085">
        <w:tblPrEx>
          <w:tblCellMar>
            <w:top w:w="0" w:type="dxa"/>
            <w:left w:w="108" w:type="dxa"/>
            <w:bottom w:w="0" w:type="dxa"/>
            <w:right w:w="108" w:type="dxa"/>
          </w:tblCellMar>
        </w:tblPrEx>
        <w:trPr>
          <w:cantSplit/>
          <w:trHeight w:val="290" w:hRule="atLeast"/>
          <w:tblHeader/>
        </w:trPr>
        <w:tc>
          <w:tcPr>
            <w:tcW w:w="655" w:type="pct"/>
            <w:vMerge w:val="continue"/>
            <w:tcBorders>
              <w:left w:val="single" w:color="auto" w:sz="8" w:space="0"/>
              <w:bottom w:val="single" w:color="auto" w:sz="8" w:space="0"/>
              <w:right w:val="single" w:color="auto" w:sz="8" w:space="0"/>
              <w:tl2br w:val="single" w:color="auto" w:sz="4" w:space="0"/>
            </w:tcBorders>
            <w:shd w:val="clear" w:color="auto" w:fill="auto"/>
            <w:noWrap/>
            <w:vAlign w:val="center"/>
          </w:tcPr>
          <w:p w14:paraId="76468CEB">
            <w:pPr>
              <w:widowControl/>
              <w:spacing w:line="240" w:lineRule="auto"/>
              <w:jc w:val="center"/>
              <w:rPr>
                <w:rFonts w:eastAsia="等线"/>
                <w:kern w:val="0"/>
                <w:sz w:val="18"/>
                <w:szCs w:val="18"/>
              </w:rPr>
            </w:pPr>
          </w:p>
        </w:tc>
        <w:tc>
          <w:tcPr>
            <w:tcW w:w="487" w:type="pct"/>
            <w:tcBorders>
              <w:top w:val="nil"/>
              <w:left w:val="nil"/>
              <w:bottom w:val="single" w:color="auto" w:sz="8" w:space="0"/>
              <w:right w:val="single" w:color="auto" w:sz="8" w:space="0"/>
            </w:tcBorders>
            <w:shd w:val="clear" w:color="auto" w:fill="auto"/>
            <w:vAlign w:val="center"/>
          </w:tcPr>
          <w:p w14:paraId="0B99178C">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4" w:type="pct"/>
            <w:tcBorders>
              <w:top w:val="nil"/>
              <w:left w:val="nil"/>
              <w:bottom w:val="single" w:color="auto" w:sz="8" w:space="0"/>
              <w:right w:val="single" w:color="auto" w:sz="8" w:space="0"/>
            </w:tcBorders>
            <w:shd w:val="clear" w:color="auto" w:fill="auto"/>
            <w:vAlign w:val="center"/>
          </w:tcPr>
          <w:p w14:paraId="0B291939">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nil"/>
              <w:left w:val="nil"/>
              <w:bottom w:val="single" w:color="auto" w:sz="8" w:space="0"/>
              <w:right w:val="single" w:color="auto" w:sz="8" w:space="0"/>
            </w:tcBorders>
            <w:shd w:val="clear" w:color="auto" w:fill="auto"/>
            <w:vAlign w:val="center"/>
          </w:tcPr>
          <w:p w14:paraId="42B95E7F">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nil"/>
              <w:left w:val="nil"/>
              <w:bottom w:val="single" w:color="auto" w:sz="8" w:space="0"/>
              <w:right w:val="single" w:color="auto" w:sz="8" w:space="0"/>
            </w:tcBorders>
            <w:shd w:val="clear" w:color="auto" w:fill="auto"/>
            <w:vAlign w:val="center"/>
          </w:tcPr>
          <w:p w14:paraId="5C6B1037">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nil"/>
              <w:left w:val="nil"/>
              <w:bottom w:val="single" w:color="auto" w:sz="8" w:space="0"/>
              <w:right w:val="single" w:color="auto" w:sz="8" w:space="0"/>
            </w:tcBorders>
            <w:shd w:val="clear" w:color="auto" w:fill="auto"/>
            <w:vAlign w:val="center"/>
          </w:tcPr>
          <w:p w14:paraId="125A0545">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nil"/>
              <w:left w:val="nil"/>
              <w:bottom w:val="single" w:color="auto" w:sz="8" w:space="0"/>
              <w:right w:val="single" w:color="auto" w:sz="8" w:space="0"/>
            </w:tcBorders>
            <w:shd w:val="clear" w:color="auto" w:fill="auto"/>
            <w:vAlign w:val="center"/>
          </w:tcPr>
          <w:p w14:paraId="2288E223">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nil"/>
              <w:left w:val="nil"/>
              <w:bottom w:val="single" w:color="auto" w:sz="8" w:space="0"/>
              <w:right w:val="single" w:color="auto" w:sz="8" w:space="0"/>
            </w:tcBorders>
            <w:shd w:val="clear" w:color="auto" w:fill="auto"/>
            <w:vAlign w:val="center"/>
          </w:tcPr>
          <w:p w14:paraId="785829C9">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nil"/>
              <w:left w:val="nil"/>
              <w:bottom w:val="single" w:color="auto" w:sz="8" w:space="0"/>
              <w:right w:val="single" w:color="auto" w:sz="8" w:space="0"/>
            </w:tcBorders>
            <w:shd w:val="clear" w:color="auto" w:fill="auto"/>
            <w:vAlign w:val="center"/>
          </w:tcPr>
          <w:p w14:paraId="6947F263">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76" w:type="pct"/>
            <w:tcBorders>
              <w:top w:val="nil"/>
              <w:left w:val="nil"/>
              <w:bottom w:val="single" w:color="auto" w:sz="8" w:space="0"/>
              <w:right w:val="single" w:color="auto" w:sz="8" w:space="0"/>
            </w:tcBorders>
            <w:shd w:val="clear" w:color="auto" w:fill="auto"/>
            <w:vAlign w:val="center"/>
          </w:tcPr>
          <w:p w14:paraId="082AAF3D">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14:paraId="3E3C6764">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2C30B259">
            <w:pPr>
              <w:widowControl/>
              <w:spacing w:line="240" w:lineRule="auto"/>
              <w:jc w:val="center"/>
              <w:rPr>
                <w:rFonts w:eastAsia="等线"/>
                <w:kern w:val="0"/>
                <w:sz w:val="18"/>
                <w:szCs w:val="18"/>
              </w:rPr>
            </w:pPr>
            <w:r>
              <w:rPr>
                <w:rFonts w:eastAsia="等线"/>
                <w:kern w:val="0"/>
                <w:sz w:val="18"/>
                <w:szCs w:val="18"/>
              </w:rPr>
              <w:t>10000</w:t>
            </w:r>
          </w:p>
        </w:tc>
        <w:tc>
          <w:tcPr>
            <w:tcW w:w="487" w:type="pct"/>
            <w:tcBorders>
              <w:top w:val="nil"/>
              <w:left w:val="nil"/>
              <w:bottom w:val="single" w:color="auto" w:sz="8" w:space="0"/>
              <w:right w:val="single" w:color="auto" w:sz="8" w:space="0"/>
            </w:tcBorders>
            <w:shd w:val="clear" w:color="auto" w:fill="auto"/>
            <w:vAlign w:val="center"/>
          </w:tcPr>
          <w:p w14:paraId="6336C69D">
            <w:pPr>
              <w:widowControl/>
              <w:spacing w:line="240" w:lineRule="auto"/>
              <w:jc w:val="center"/>
              <w:rPr>
                <w:rFonts w:eastAsia="等线"/>
                <w:kern w:val="0"/>
                <w:sz w:val="18"/>
                <w:szCs w:val="18"/>
              </w:rPr>
            </w:pPr>
            <w:r>
              <w:rPr>
                <w:rFonts w:eastAsia="等线"/>
                <w:kern w:val="0"/>
                <w:sz w:val="18"/>
                <w:szCs w:val="18"/>
              </w:rPr>
              <w:t>35</w:t>
            </w:r>
          </w:p>
        </w:tc>
        <w:tc>
          <w:tcPr>
            <w:tcW w:w="484" w:type="pct"/>
            <w:tcBorders>
              <w:top w:val="nil"/>
              <w:left w:val="nil"/>
              <w:bottom w:val="single" w:color="auto" w:sz="8" w:space="0"/>
              <w:right w:val="single" w:color="auto" w:sz="8" w:space="0"/>
            </w:tcBorders>
            <w:shd w:val="clear" w:color="auto" w:fill="auto"/>
            <w:vAlign w:val="center"/>
          </w:tcPr>
          <w:p w14:paraId="476E5D69">
            <w:pPr>
              <w:widowControl/>
              <w:spacing w:line="240" w:lineRule="auto"/>
              <w:jc w:val="center"/>
              <w:rPr>
                <w:rFonts w:eastAsia="等线"/>
                <w:kern w:val="0"/>
                <w:sz w:val="18"/>
                <w:szCs w:val="18"/>
              </w:rPr>
            </w:pPr>
            <w:r>
              <w:rPr>
                <w:rFonts w:eastAsia="等线"/>
                <w:kern w:val="0"/>
                <w:sz w:val="18"/>
                <w:szCs w:val="18"/>
              </w:rPr>
              <w:t>35</w:t>
            </w:r>
          </w:p>
        </w:tc>
        <w:tc>
          <w:tcPr>
            <w:tcW w:w="483" w:type="pct"/>
            <w:tcBorders>
              <w:top w:val="nil"/>
              <w:left w:val="nil"/>
              <w:bottom w:val="single" w:color="auto" w:sz="8" w:space="0"/>
              <w:right w:val="single" w:color="auto" w:sz="8" w:space="0"/>
            </w:tcBorders>
            <w:shd w:val="clear" w:color="auto" w:fill="auto"/>
            <w:vAlign w:val="center"/>
          </w:tcPr>
          <w:p w14:paraId="70025FF4">
            <w:pPr>
              <w:widowControl/>
              <w:spacing w:line="240" w:lineRule="auto"/>
              <w:jc w:val="center"/>
              <w:rPr>
                <w:rFonts w:eastAsia="等线"/>
                <w:kern w:val="0"/>
                <w:sz w:val="18"/>
                <w:szCs w:val="18"/>
              </w:rPr>
            </w:pPr>
            <w:r>
              <w:rPr>
                <w:rFonts w:eastAsia="等线"/>
                <w:kern w:val="0"/>
                <w:sz w:val="18"/>
                <w:szCs w:val="18"/>
              </w:rPr>
              <w:t>30</w:t>
            </w:r>
          </w:p>
        </w:tc>
        <w:tc>
          <w:tcPr>
            <w:tcW w:w="483" w:type="pct"/>
            <w:tcBorders>
              <w:top w:val="nil"/>
              <w:left w:val="nil"/>
              <w:bottom w:val="single" w:color="auto" w:sz="8" w:space="0"/>
              <w:right w:val="single" w:color="auto" w:sz="8" w:space="0"/>
            </w:tcBorders>
            <w:shd w:val="clear" w:color="auto" w:fill="auto"/>
            <w:vAlign w:val="center"/>
          </w:tcPr>
          <w:p w14:paraId="2628198A">
            <w:pPr>
              <w:widowControl/>
              <w:spacing w:line="240" w:lineRule="auto"/>
              <w:jc w:val="center"/>
              <w:rPr>
                <w:rFonts w:eastAsia="等线"/>
                <w:kern w:val="0"/>
                <w:sz w:val="18"/>
                <w:szCs w:val="18"/>
              </w:rPr>
            </w:pPr>
            <w:r>
              <w:rPr>
                <w:rFonts w:eastAsia="等线"/>
                <w:kern w:val="0"/>
                <w:sz w:val="18"/>
                <w:szCs w:val="18"/>
              </w:rPr>
              <w:t>25</w:t>
            </w:r>
          </w:p>
        </w:tc>
        <w:tc>
          <w:tcPr>
            <w:tcW w:w="483" w:type="pct"/>
            <w:tcBorders>
              <w:top w:val="nil"/>
              <w:left w:val="nil"/>
              <w:bottom w:val="single" w:color="auto" w:sz="8" w:space="0"/>
              <w:right w:val="single" w:color="auto" w:sz="8" w:space="0"/>
            </w:tcBorders>
            <w:shd w:val="clear" w:color="auto" w:fill="auto"/>
            <w:vAlign w:val="center"/>
          </w:tcPr>
          <w:p w14:paraId="6B688D62">
            <w:pPr>
              <w:widowControl/>
              <w:spacing w:line="240" w:lineRule="auto"/>
              <w:jc w:val="center"/>
              <w:rPr>
                <w:rFonts w:eastAsia="等线"/>
                <w:kern w:val="0"/>
                <w:sz w:val="18"/>
                <w:szCs w:val="18"/>
              </w:rPr>
            </w:pPr>
            <w:r>
              <w:rPr>
                <w:rFonts w:eastAsia="等线"/>
                <w:kern w:val="0"/>
                <w:sz w:val="18"/>
                <w:szCs w:val="18"/>
              </w:rPr>
              <w:t>20</w:t>
            </w:r>
          </w:p>
        </w:tc>
        <w:tc>
          <w:tcPr>
            <w:tcW w:w="483" w:type="pct"/>
            <w:tcBorders>
              <w:top w:val="nil"/>
              <w:left w:val="nil"/>
              <w:bottom w:val="single" w:color="auto" w:sz="8" w:space="0"/>
              <w:right w:val="single" w:color="auto" w:sz="8" w:space="0"/>
            </w:tcBorders>
            <w:shd w:val="clear" w:color="auto" w:fill="auto"/>
            <w:vAlign w:val="center"/>
          </w:tcPr>
          <w:p w14:paraId="2504E908">
            <w:pPr>
              <w:widowControl/>
              <w:spacing w:line="240" w:lineRule="auto"/>
              <w:jc w:val="center"/>
              <w:rPr>
                <w:rFonts w:eastAsia="等线"/>
                <w:kern w:val="0"/>
                <w:sz w:val="18"/>
                <w:szCs w:val="18"/>
              </w:rPr>
            </w:pPr>
            <w:r>
              <w:rPr>
                <w:rFonts w:eastAsia="等线"/>
                <w:kern w:val="0"/>
                <w:sz w:val="18"/>
                <w:szCs w:val="18"/>
              </w:rPr>
              <w:t>20</w:t>
            </w:r>
          </w:p>
        </w:tc>
        <w:tc>
          <w:tcPr>
            <w:tcW w:w="483" w:type="pct"/>
            <w:tcBorders>
              <w:top w:val="nil"/>
              <w:left w:val="nil"/>
              <w:bottom w:val="single" w:color="auto" w:sz="8" w:space="0"/>
              <w:right w:val="single" w:color="auto" w:sz="8" w:space="0"/>
            </w:tcBorders>
            <w:shd w:val="clear" w:color="auto" w:fill="auto"/>
            <w:vAlign w:val="center"/>
          </w:tcPr>
          <w:p w14:paraId="486C9845">
            <w:pPr>
              <w:widowControl/>
              <w:spacing w:line="240" w:lineRule="auto"/>
              <w:jc w:val="center"/>
              <w:rPr>
                <w:rFonts w:eastAsia="等线"/>
                <w:kern w:val="0"/>
                <w:sz w:val="18"/>
                <w:szCs w:val="18"/>
              </w:rPr>
            </w:pPr>
            <w:r>
              <w:rPr>
                <w:rFonts w:eastAsia="等线"/>
                <w:kern w:val="0"/>
                <w:sz w:val="18"/>
                <w:szCs w:val="18"/>
              </w:rPr>
              <w:t>20</w:t>
            </w:r>
          </w:p>
        </w:tc>
        <w:tc>
          <w:tcPr>
            <w:tcW w:w="483" w:type="pct"/>
            <w:tcBorders>
              <w:top w:val="nil"/>
              <w:left w:val="nil"/>
              <w:bottom w:val="single" w:color="auto" w:sz="8" w:space="0"/>
              <w:right w:val="single" w:color="auto" w:sz="8" w:space="0"/>
            </w:tcBorders>
            <w:shd w:val="clear" w:color="auto" w:fill="auto"/>
            <w:vAlign w:val="center"/>
          </w:tcPr>
          <w:p w14:paraId="091A6A08">
            <w:pPr>
              <w:widowControl/>
              <w:spacing w:line="240" w:lineRule="auto"/>
              <w:jc w:val="center"/>
              <w:rPr>
                <w:rFonts w:eastAsia="等线"/>
                <w:kern w:val="0"/>
                <w:sz w:val="18"/>
                <w:szCs w:val="18"/>
              </w:rPr>
            </w:pPr>
            <w:r>
              <w:rPr>
                <w:rFonts w:eastAsia="等线"/>
                <w:kern w:val="0"/>
                <w:sz w:val="18"/>
                <w:szCs w:val="18"/>
              </w:rPr>
              <w:t>20</w:t>
            </w:r>
          </w:p>
        </w:tc>
        <w:tc>
          <w:tcPr>
            <w:tcW w:w="476" w:type="pct"/>
            <w:tcBorders>
              <w:top w:val="nil"/>
              <w:left w:val="nil"/>
              <w:bottom w:val="single" w:color="auto" w:sz="8" w:space="0"/>
              <w:right w:val="single" w:color="auto" w:sz="8" w:space="0"/>
            </w:tcBorders>
            <w:shd w:val="clear" w:color="auto" w:fill="auto"/>
            <w:vAlign w:val="center"/>
          </w:tcPr>
          <w:p w14:paraId="55627C03">
            <w:pPr>
              <w:widowControl/>
              <w:spacing w:line="240" w:lineRule="auto"/>
              <w:jc w:val="center"/>
              <w:rPr>
                <w:rFonts w:eastAsia="等线"/>
                <w:kern w:val="0"/>
                <w:sz w:val="18"/>
                <w:szCs w:val="18"/>
              </w:rPr>
            </w:pPr>
            <w:r>
              <w:rPr>
                <w:rFonts w:eastAsia="等线"/>
                <w:kern w:val="0"/>
                <w:sz w:val="18"/>
                <w:szCs w:val="18"/>
              </w:rPr>
              <w:t>20</w:t>
            </w:r>
          </w:p>
        </w:tc>
      </w:tr>
      <w:tr w14:paraId="63115642">
        <w:tblPrEx>
          <w:tblCellMar>
            <w:top w:w="0" w:type="dxa"/>
            <w:left w:w="108" w:type="dxa"/>
            <w:bottom w:w="0" w:type="dxa"/>
            <w:right w:w="108" w:type="dxa"/>
          </w:tblCellMar>
        </w:tblPrEx>
        <w:trPr>
          <w:trHeight w:val="288"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2E573B2D">
            <w:pPr>
              <w:widowControl/>
              <w:spacing w:line="240" w:lineRule="auto"/>
              <w:jc w:val="center"/>
              <w:rPr>
                <w:rFonts w:eastAsia="等线"/>
                <w:kern w:val="0"/>
                <w:sz w:val="18"/>
                <w:szCs w:val="18"/>
              </w:rPr>
            </w:pPr>
            <w:r>
              <w:rPr>
                <w:rFonts w:eastAsia="等线"/>
                <w:kern w:val="0"/>
                <w:sz w:val="18"/>
                <w:szCs w:val="18"/>
              </w:rPr>
              <w:t>9000</w:t>
            </w:r>
          </w:p>
        </w:tc>
        <w:tc>
          <w:tcPr>
            <w:tcW w:w="487" w:type="pct"/>
            <w:tcBorders>
              <w:top w:val="nil"/>
              <w:left w:val="nil"/>
              <w:bottom w:val="single" w:color="auto" w:sz="8" w:space="0"/>
              <w:right w:val="single" w:color="auto" w:sz="8" w:space="0"/>
            </w:tcBorders>
            <w:shd w:val="clear" w:color="auto" w:fill="auto"/>
            <w:vAlign w:val="center"/>
          </w:tcPr>
          <w:p w14:paraId="6385EAA3">
            <w:pPr>
              <w:widowControl/>
              <w:spacing w:line="240" w:lineRule="auto"/>
              <w:jc w:val="center"/>
              <w:rPr>
                <w:rFonts w:eastAsia="等线"/>
                <w:kern w:val="0"/>
                <w:sz w:val="18"/>
                <w:szCs w:val="18"/>
              </w:rPr>
            </w:pPr>
            <w:r>
              <w:rPr>
                <w:rFonts w:eastAsia="等线"/>
                <w:kern w:val="0"/>
                <w:sz w:val="18"/>
                <w:szCs w:val="18"/>
              </w:rPr>
              <w:t>35</w:t>
            </w:r>
          </w:p>
        </w:tc>
        <w:tc>
          <w:tcPr>
            <w:tcW w:w="484" w:type="pct"/>
            <w:tcBorders>
              <w:top w:val="nil"/>
              <w:left w:val="nil"/>
              <w:bottom w:val="single" w:color="auto" w:sz="8" w:space="0"/>
              <w:right w:val="single" w:color="auto" w:sz="8" w:space="0"/>
            </w:tcBorders>
            <w:shd w:val="clear" w:color="auto" w:fill="auto"/>
            <w:vAlign w:val="center"/>
          </w:tcPr>
          <w:p w14:paraId="23875F62">
            <w:pPr>
              <w:widowControl/>
              <w:spacing w:line="240" w:lineRule="auto"/>
              <w:jc w:val="center"/>
              <w:rPr>
                <w:rFonts w:eastAsia="等线"/>
                <w:kern w:val="0"/>
                <w:sz w:val="18"/>
                <w:szCs w:val="18"/>
              </w:rPr>
            </w:pPr>
            <w:r>
              <w:rPr>
                <w:rFonts w:eastAsia="等线"/>
                <w:kern w:val="0"/>
                <w:sz w:val="18"/>
                <w:szCs w:val="18"/>
              </w:rPr>
              <w:t>35</w:t>
            </w:r>
          </w:p>
        </w:tc>
        <w:tc>
          <w:tcPr>
            <w:tcW w:w="483" w:type="pct"/>
            <w:tcBorders>
              <w:top w:val="nil"/>
              <w:left w:val="nil"/>
              <w:bottom w:val="single" w:color="auto" w:sz="8" w:space="0"/>
              <w:right w:val="single" w:color="auto" w:sz="8" w:space="0"/>
            </w:tcBorders>
            <w:shd w:val="clear" w:color="auto" w:fill="auto"/>
            <w:vAlign w:val="center"/>
          </w:tcPr>
          <w:p w14:paraId="1B630939">
            <w:pPr>
              <w:widowControl/>
              <w:spacing w:line="240" w:lineRule="auto"/>
              <w:jc w:val="center"/>
              <w:rPr>
                <w:rFonts w:eastAsia="等线"/>
                <w:kern w:val="0"/>
                <w:sz w:val="18"/>
                <w:szCs w:val="18"/>
              </w:rPr>
            </w:pPr>
            <w:r>
              <w:rPr>
                <w:rFonts w:eastAsia="等线"/>
                <w:kern w:val="0"/>
                <w:sz w:val="18"/>
                <w:szCs w:val="18"/>
              </w:rPr>
              <w:t>35</w:t>
            </w:r>
          </w:p>
        </w:tc>
        <w:tc>
          <w:tcPr>
            <w:tcW w:w="483" w:type="pct"/>
            <w:tcBorders>
              <w:top w:val="nil"/>
              <w:left w:val="nil"/>
              <w:bottom w:val="single" w:color="auto" w:sz="8" w:space="0"/>
              <w:right w:val="single" w:color="auto" w:sz="8" w:space="0"/>
            </w:tcBorders>
            <w:shd w:val="clear" w:color="auto" w:fill="auto"/>
            <w:vAlign w:val="center"/>
          </w:tcPr>
          <w:p w14:paraId="41658249">
            <w:pPr>
              <w:widowControl/>
              <w:spacing w:line="240" w:lineRule="auto"/>
              <w:jc w:val="center"/>
              <w:rPr>
                <w:rFonts w:eastAsia="等线"/>
                <w:kern w:val="0"/>
                <w:sz w:val="18"/>
                <w:szCs w:val="18"/>
              </w:rPr>
            </w:pPr>
            <w:r>
              <w:rPr>
                <w:rFonts w:eastAsia="等线"/>
                <w:kern w:val="0"/>
                <w:sz w:val="18"/>
                <w:szCs w:val="18"/>
              </w:rPr>
              <w:t>25</w:t>
            </w:r>
          </w:p>
        </w:tc>
        <w:tc>
          <w:tcPr>
            <w:tcW w:w="483" w:type="pct"/>
            <w:tcBorders>
              <w:top w:val="nil"/>
              <w:left w:val="nil"/>
              <w:bottom w:val="single" w:color="auto" w:sz="8" w:space="0"/>
              <w:right w:val="single" w:color="auto" w:sz="8" w:space="0"/>
            </w:tcBorders>
            <w:shd w:val="clear" w:color="auto" w:fill="auto"/>
            <w:vAlign w:val="center"/>
          </w:tcPr>
          <w:p w14:paraId="6E43F54C">
            <w:pPr>
              <w:widowControl/>
              <w:spacing w:line="240" w:lineRule="auto"/>
              <w:jc w:val="center"/>
              <w:rPr>
                <w:rFonts w:eastAsia="等线"/>
                <w:kern w:val="0"/>
                <w:sz w:val="18"/>
                <w:szCs w:val="18"/>
              </w:rPr>
            </w:pPr>
            <w:r>
              <w:rPr>
                <w:rFonts w:eastAsia="等线"/>
                <w:kern w:val="0"/>
                <w:sz w:val="18"/>
                <w:szCs w:val="18"/>
              </w:rPr>
              <w:t>25</w:t>
            </w:r>
          </w:p>
        </w:tc>
        <w:tc>
          <w:tcPr>
            <w:tcW w:w="483" w:type="pct"/>
            <w:tcBorders>
              <w:top w:val="nil"/>
              <w:left w:val="nil"/>
              <w:bottom w:val="single" w:color="auto" w:sz="8" w:space="0"/>
              <w:right w:val="single" w:color="auto" w:sz="8" w:space="0"/>
            </w:tcBorders>
            <w:shd w:val="clear" w:color="auto" w:fill="auto"/>
            <w:vAlign w:val="center"/>
          </w:tcPr>
          <w:p w14:paraId="40264917">
            <w:pPr>
              <w:widowControl/>
              <w:spacing w:line="240" w:lineRule="auto"/>
              <w:jc w:val="center"/>
              <w:rPr>
                <w:rFonts w:eastAsia="等线"/>
                <w:kern w:val="0"/>
                <w:sz w:val="18"/>
                <w:szCs w:val="18"/>
              </w:rPr>
            </w:pPr>
            <w:r>
              <w:rPr>
                <w:rFonts w:eastAsia="等线"/>
                <w:kern w:val="0"/>
                <w:sz w:val="18"/>
                <w:szCs w:val="18"/>
              </w:rPr>
              <w:t>25</w:t>
            </w:r>
          </w:p>
        </w:tc>
        <w:tc>
          <w:tcPr>
            <w:tcW w:w="483" w:type="pct"/>
            <w:tcBorders>
              <w:top w:val="nil"/>
              <w:left w:val="nil"/>
              <w:bottom w:val="single" w:color="auto" w:sz="8" w:space="0"/>
              <w:right w:val="single" w:color="auto" w:sz="8" w:space="0"/>
            </w:tcBorders>
            <w:shd w:val="clear" w:color="auto" w:fill="auto"/>
            <w:vAlign w:val="center"/>
          </w:tcPr>
          <w:p w14:paraId="17CEC12A">
            <w:pPr>
              <w:widowControl/>
              <w:spacing w:line="240" w:lineRule="auto"/>
              <w:jc w:val="center"/>
              <w:rPr>
                <w:rFonts w:eastAsia="等线"/>
                <w:kern w:val="0"/>
                <w:sz w:val="18"/>
                <w:szCs w:val="18"/>
              </w:rPr>
            </w:pPr>
            <w:r>
              <w:rPr>
                <w:rFonts w:eastAsia="等线"/>
                <w:kern w:val="0"/>
                <w:sz w:val="18"/>
                <w:szCs w:val="18"/>
              </w:rPr>
              <w:t>20</w:t>
            </w:r>
          </w:p>
        </w:tc>
        <w:tc>
          <w:tcPr>
            <w:tcW w:w="483" w:type="pct"/>
            <w:tcBorders>
              <w:top w:val="nil"/>
              <w:left w:val="nil"/>
              <w:bottom w:val="single" w:color="auto" w:sz="8" w:space="0"/>
              <w:right w:val="single" w:color="auto" w:sz="8" w:space="0"/>
            </w:tcBorders>
            <w:shd w:val="clear" w:color="auto" w:fill="auto"/>
            <w:vAlign w:val="center"/>
          </w:tcPr>
          <w:p w14:paraId="71D51882">
            <w:pPr>
              <w:widowControl/>
              <w:spacing w:line="240" w:lineRule="auto"/>
              <w:jc w:val="center"/>
              <w:rPr>
                <w:rFonts w:eastAsia="等线"/>
                <w:kern w:val="0"/>
                <w:sz w:val="18"/>
                <w:szCs w:val="18"/>
              </w:rPr>
            </w:pPr>
            <w:r>
              <w:rPr>
                <w:rFonts w:eastAsia="等线"/>
                <w:kern w:val="0"/>
                <w:sz w:val="18"/>
                <w:szCs w:val="18"/>
              </w:rPr>
              <w:t>20</w:t>
            </w:r>
          </w:p>
        </w:tc>
        <w:tc>
          <w:tcPr>
            <w:tcW w:w="476" w:type="pct"/>
            <w:tcBorders>
              <w:top w:val="nil"/>
              <w:left w:val="nil"/>
              <w:bottom w:val="single" w:color="auto" w:sz="8" w:space="0"/>
              <w:right w:val="single" w:color="auto" w:sz="8" w:space="0"/>
            </w:tcBorders>
            <w:shd w:val="clear" w:color="auto" w:fill="auto"/>
            <w:vAlign w:val="center"/>
          </w:tcPr>
          <w:p w14:paraId="171A3288">
            <w:pPr>
              <w:widowControl/>
              <w:spacing w:line="240" w:lineRule="auto"/>
              <w:jc w:val="center"/>
              <w:rPr>
                <w:rFonts w:eastAsia="等线"/>
                <w:kern w:val="0"/>
                <w:sz w:val="18"/>
                <w:szCs w:val="18"/>
              </w:rPr>
            </w:pPr>
            <w:r>
              <w:rPr>
                <w:rFonts w:eastAsia="等线"/>
                <w:kern w:val="0"/>
                <w:sz w:val="18"/>
                <w:szCs w:val="18"/>
              </w:rPr>
              <w:t>20</w:t>
            </w:r>
          </w:p>
        </w:tc>
      </w:tr>
      <w:tr w14:paraId="4751C537">
        <w:tblPrEx>
          <w:tblCellMar>
            <w:top w:w="0" w:type="dxa"/>
            <w:left w:w="108" w:type="dxa"/>
            <w:bottom w:w="0" w:type="dxa"/>
            <w:right w:w="108" w:type="dxa"/>
          </w:tblCellMar>
        </w:tblPrEx>
        <w:trPr>
          <w:trHeight w:val="288"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2B270D6D">
            <w:pPr>
              <w:widowControl/>
              <w:spacing w:line="240" w:lineRule="auto"/>
              <w:jc w:val="center"/>
              <w:rPr>
                <w:rFonts w:eastAsia="等线"/>
                <w:kern w:val="0"/>
                <w:sz w:val="18"/>
                <w:szCs w:val="18"/>
              </w:rPr>
            </w:pPr>
            <w:r>
              <w:rPr>
                <w:rFonts w:eastAsia="等线"/>
                <w:kern w:val="0"/>
                <w:sz w:val="18"/>
                <w:szCs w:val="18"/>
              </w:rPr>
              <w:t>8500</w:t>
            </w:r>
          </w:p>
        </w:tc>
        <w:tc>
          <w:tcPr>
            <w:tcW w:w="487" w:type="pct"/>
            <w:tcBorders>
              <w:top w:val="nil"/>
              <w:left w:val="nil"/>
              <w:bottom w:val="single" w:color="auto" w:sz="8" w:space="0"/>
              <w:right w:val="single" w:color="auto" w:sz="8" w:space="0"/>
            </w:tcBorders>
            <w:shd w:val="clear" w:color="auto" w:fill="auto"/>
            <w:vAlign w:val="center"/>
          </w:tcPr>
          <w:p w14:paraId="143AD436">
            <w:pPr>
              <w:widowControl/>
              <w:spacing w:line="240" w:lineRule="auto"/>
              <w:jc w:val="center"/>
              <w:rPr>
                <w:rFonts w:eastAsia="等线"/>
                <w:kern w:val="0"/>
                <w:sz w:val="18"/>
                <w:szCs w:val="18"/>
              </w:rPr>
            </w:pPr>
            <w:r>
              <w:rPr>
                <w:rFonts w:eastAsia="等线"/>
                <w:kern w:val="0"/>
                <w:sz w:val="18"/>
                <w:szCs w:val="18"/>
              </w:rPr>
              <w:t>40</w:t>
            </w:r>
          </w:p>
        </w:tc>
        <w:tc>
          <w:tcPr>
            <w:tcW w:w="484" w:type="pct"/>
            <w:tcBorders>
              <w:top w:val="nil"/>
              <w:left w:val="nil"/>
              <w:bottom w:val="single" w:color="auto" w:sz="8" w:space="0"/>
              <w:right w:val="single" w:color="auto" w:sz="8" w:space="0"/>
            </w:tcBorders>
            <w:shd w:val="clear" w:color="auto" w:fill="auto"/>
            <w:vAlign w:val="center"/>
          </w:tcPr>
          <w:p w14:paraId="2FEBC547">
            <w:pPr>
              <w:widowControl/>
              <w:spacing w:line="240" w:lineRule="auto"/>
              <w:jc w:val="center"/>
              <w:rPr>
                <w:rFonts w:eastAsia="等线"/>
                <w:kern w:val="0"/>
                <w:sz w:val="18"/>
                <w:szCs w:val="18"/>
              </w:rPr>
            </w:pPr>
            <w:r>
              <w:rPr>
                <w:rFonts w:eastAsia="等线"/>
                <w:kern w:val="0"/>
                <w:sz w:val="18"/>
                <w:szCs w:val="18"/>
              </w:rPr>
              <w:t>35</w:t>
            </w:r>
          </w:p>
        </w:tc>
        <w:tc>
          <w:tcPr>
            <w:tcW w:w="483" w:type="pct"/>
            <w:tcBorders>
              <w:top w:val="nil"/>
              <w:left w:val="nil"/>
              <w:bottom w:val="single" w:color="auto" w:sz="8" w:space="0"/>
              <w:right w:val="single" w:color="auto" w:sz="8" w:space="0"/>
            </w:tcBorders>
            <w:shd w:val="clear" w:color="auto" w:fill="auto"/>
            <w:vAlign w:val="center"/>
          </w:tcPr>
          <w:p w14:paraId="02FC0E56">
            <w:pPr>
              <w:widowControl/>
              <w:spacing w:line="240" w:lineRule="auto"/>
              <w:jc w:val="center"/>
              <w:rPr>
                <w:rFonts w:eastAsia="等线"/>
                <w:kern w:val="0"/>
                <w:sz w:val="18"/>
                <w:szCs w:val="18"/>
              </w:rPr>
            </w:pPr>
            <w:r>
              <w:rPr>
                <w:rFonts w:eastAsia="等线"/>
                <w:kern w:val="0"/>
                <w:sz w:val="18"/>
                <w:szCs w:val="18"/>
              </w:rPr>
              <w:t>35</w:t>
            </w:r>
          </w:p>
        </w:tc>
        <w:tc>
          <w:tcPr>
            <w:tcW w:w="483" w:type="pct"/>
            <w:tcBorders>
              <w:top w:val="nil"/>
              <w:left w:val="nil"/>
              <w:bottom w:val="single" w:color="auto" w:sz="8" w:space="0"/>
              <w:right w:val="single" w:color="auto" w:sz="8" w:space="0"/>
            </w:tcBorders>
            <w:shd w:val="clear" w:color="auto" w:fill="auto"/>
            <w:vAlign w:val="center"/>
          </w:tcPr>
          <w:p w14:paraId="1ABEAF0B">
            <w:pPr>
              <w:widowControl/>
              <w:spacing w:line="240" w:lineRule="auto"/>
              <w:jc w:val="center"/>
              <w:rPr>
                <w:rFonts w:eastAsia="等线"/>
                <w:kern w:val="0"/>
                <w:sz w:val="18"/>
                <w:szCs w:val="18"/>
              </w:rPr>
            </w:pPr>
            <w:r>
              <w:rPr>
                <w:rFonts w:eastAsia="等线"/>
                <w:kern w:val="0"/>
                <w:sz w:val="18"/>
                <w:szCs w:val="18"/>
              </w:rPr>
              <w:t>30</w:t>
            </w:r>
          </w:p>
        </w:tc>
        <w:tc>
          <w:tcPr>
            <w:tcW w:w="483" w:type="pct"/>
            <w:tcBorders>
              <w:top w:val="nil"/>
              <w:left w:val="nil"/>
              <w:bottom w:val="single" w:color="auto" w:sz="8" w:space="0"/>
              <w:right w:val="single" w:color="auto" w:sz="8" w:space="0"/>
            </w:tcBorders>
            <w:shd w:val="clear" w:color="auto" w:fill="auto"/>
            <w:vAlign w:val="center"/>
          </w:tcPr>
          <w:p w14:paraId="204DFC83">
            <w:pPr>
              <w:widowControl/>
              <w:spacing w:line="240" w:lineRule="auto"/>
              <w:jc w:val="center"/>
              <w:rPr>
                <w:rFonts w:eastAsia="等线"/>
                <w:kern w:val="0"/>
                <w:sz w:val="18"/>
                <w:szCs w:val="18"/>
              </w:rPr>
            </w:pPr>
            <w:r>
              <w:rPr>
                <w:rFonts w:eastAsia="等线"/>
                <w:kern w:val="0"/>
                <w:sz w:val="18"/>
                <w:szCs w:val="18"/>
              </w:rPr>
              <w:t>25</w:t>
            </w:r>
          </w:p>
        </w:tc>
        <w:tc>
          <w:tcPr>
            <w:tcW w:w="483" w:type="pct"/>
            <w:tcBorders>
              <w:top w:val="nil"/>
              <w:left w:val="nil"/>
              <w:bottom w:val="single" w:color="auto" w:sz="8" w:space="0"/>
              <w:right w:val="single" w:color="auto" w:sz="8" w:space="0"/>
            </w:tcBorders>
            <w:shd w:val="clear" w:color="auto" w:fill="auto"/>
            <w:vAlign w:val="center"/>
          </w:tcPr>
          <w:p w14:paraId="6ADCEAF4">
            <w:pPr>
              <w:widowControl/>
              <w:spacing w:line="240" w:lineRule="auto"/>
              <w:jc w:val="center"/>
              <w:rPr>
                <w:rFonts w:eastAsia="等线"/>
                <w:kern w:val="0"/>
                <w:sz w:val="18"/>
                <w:szCs w:val="18"/>
              </w:rPr>
            </w:pPr>
            <w:r>
              <w:rPr>
                <w:rFonts w:eastAsia="等线"/>
                <w:kern w:val="0"/>
                <w:sz w:val="18"/>
                <w:szCs w:val="18"/>
              </w:rPr>
              <w:t>25</w:t>
            </w:r>
          </w:p>
        </w:tc>
        <w:tc>
          <w:tcPr>
            <w:tcW w:w="483" w:type="pct"/>
            <w:tcBorders>
              <w:top w:val="nil"/>
              <w:left w:val="nil"/>
              <w:bottom w:val="single" w:color="auto" w:sz="8" w:space="0"/>
              <w:right w:val="single" w:color="auto" w:sz="8" w:space="0"/>
            </w:tcBorders>
            <w:shd w:val="clear" w:color="auto" w:fill="auto"/>
            <w:vAlign w:val="center"/>
          </w:tcPr>
          <w:p w14:paraId="382E89C7">
            <w:pPr>
              <w:widowControl/>
              <w:spacing w:line="240" w:lineRule="auto"/>
              <w:jc w:val="center"/>
              <w:rPr>
                <w:rFonts w:eastAsia="等线"/>
                <w:kern w:val="0"/>
                <w:sz w:val="18"/>
                <w:szCs w:val="18"/>
              </w:rPr>
            </w:pPr>
            <w:r>
              <w:rPr>
                <w:rFonts w:eastAsia="等线"/>
                <w:kern w:val="0"/>
                <w:sz w:val="18"/>
                <w:szCs w:val="18"/>
              </w:rPr>
              <w:t>20</w:t>
            </w:r>
          </w:p>
        </w:tc>
        <w:tc>
          <w:tcPr>
            <w:tcW w:w="483" w:type="pct"/>
            <w:tcBorders>
              <w:top w:val="nil"/>
              <w:left w:val="nil"/>
              <w:bottom w:val="single" w:color="auto" w:sz="8" w:space="0"/>
              <w:right w:val="single" w:color="auto" w:sz="8" w:space="0"/>
            </w:tcBorders>
            <w:shd w:val="clear" w:color="auto" w:fill="auto"/>
            <w:vAlign w:val="center"/>
          </w:tcPr>
          <w:p w14:paraId="6C6869F0">
            <w:pPr>
              <w:widowControl/>
              <w:spacing w:line="240" w:lineRule="auto"/>
              <w:jc w:val="center"/>
              <w:rPr>
                <w:rFonts w:eastAsia="等线"/>
                <w:kern w:val="0"/>
                <w:sz w:val="18"/>
                <w:szCs w:val="18"/>
              </w:rPr>
            </w:pPr>
            <w:r>
              <w:rPr>
                <w:rFonts w:eastAsia="等线"/>
                <w:kern w:val="0"/>
                <w:sz w:val="18"/>
                <w:szCs w:val="18"/>
              </w:rPr>
              <w:t>20</w:t>
            </w:r>
          </w:p>
        </w:tc>
        <w:tc>
          <w:tcPr>
            <w:tcW w:w="476" w:type="pct"/>
            <w:tcBorders>
              <w:top w:val="nil"/>
              <w:left w:val="nil"/>
              <w:bottom w:val="single" w:color="auto" w:sz="8" w:space="0"/>
              <w:right w:val="single" w:color="auto" w:sz="8" w:space="0"/>
            </w:tcBorders>
            <w:shd w:val="clear" w:color="auto" w:fill="auto"/>
            <w:vAlign w:val="center"/>
          </w:tcPr>
          <w:p w14:paraId="7CB5036F">
            <w:pPr>
              <w:widowControl/>
              <w:spacing w:line="240" w:lineRule="auto"/>
              <w:jc w:val="center"/>
              <w:rPr>
                <w:rFonts w:eastAsia="等线"/>
                <w:kern w:val="0"/>
                <w:sz w:val="18"/>
                <w:szCs w:val="18"/>
              </w:rPr>
            </w:pPr>
            <w:r>
              <w:rPr>
                <w:rFonts w:eastAsia="等线"/>
                <w:kern w:val="0"/>
                <w:sz w:val="18"/>
                <w:szCs w:val="18"/>
              </w:rPr>
              <w:t>20</w:t>
            </w:r>
          </w:p>
        </w:tc>
      </w:tr>
      <w:tr w14:paraId="1D3DA3A8">
        <w:tblPrEx>
          <w:tblCellMar>
            <w:top w:w="0" w:type="dxa"/>
            <w:left w:w="108" w:type="dxa"/>
            <w:bottom w:w="0" w:type="dxa"/>
            <w:right w:w="108" w:type="dxa"/>
          </w:tblCellMar>
        </w:tblPrEx>
        <w:trPr>
          <w:trHeight w:val="288"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2707AD9E">
            <w:pPr>
              <w:widowControl/>
              <w:spacing w:line="240" w:lineRule="auto"/>
              <w:jc w:val="center"/>
              <w:rPr>
                <w:rFonts w:eastAsia="等线"/>
                <w:kern w:val="0"/>
                <w:sz w:val="18"/>
                <w:szCs w:val="18"/>
              </w:rPr>
            </w:pPr>
            <w:r>
              <w:rPr>
                <w:rFonts w:eastAsia="等线"/>
                <w:kern w:val="0"/>
                <w:sz w:val="18"/>
                <w:szCs w:val="18"/>
              </w:rPr>
              <w:t>8000</w:t>
            </w:r>
          </w:p>
        </w:tc>
        <w:tc>
          <w:tcPr>
            <w:tcW w:w="487" w:type="pct"/>
            <w:tcBorders>
              <w:top w:val="nil"/>
              <w:left w:val="nil"/>
              <w:bottom w:val="single" w:color="auto" w:sz="8" w:space="0"/>
              <w:right w:val="single" w:color="auto" w:sz="8" w:space="0"/>
            </w:tcBorders>
            <w:shd w:val="clear" w:color="auto" w:fill="auto"/>
            <w:vAlign w:val="center"/>
          </w:tcPr>
          <w:p w14:paraId="6C9C49AF">
            <w:pPr>
              <w:widowControl/>
              <w:spacing w:line="240" w:lineRule="auto"/>
              <w:jc w:val="center"/>
              <w:rPr>
                <w:rFonts w:eastAsia="等线"/>
                <w:kern w:val="0"/>
                <w:sz w:val="18"/>
                <w:szCs w:val="18"/>
              </w:rPr>
            </w:pPr>
            <w:r>
              <w:rPr>
                <w:rFonts w:eastAsia="等线"/>
                <w:kern w:val="0"/>
                <w:sz w:val="18"/>
                <w:szCs w:val="18"/>
              </w:rPr>
              <w:t>40</w:t>
            </w:r>
          </w:p>
        </w:tc>
        <w:tc>
          <w:tcPr>
            <w:tcW w:w="484" w:type="pct"/>
            <w:tcBorders>
              <w:top w:val="nil"/>
              <w:left w:val="nil"/>
              <w:bottom w:val="single" w:color="auto" w:sz="8" w:space="0"/>
              <w:right w:val="single" w:color="auto" w:sz="8" w:space="0"/>
            </w:tcBorders>
            <w:shd w:val="clear" w:color="auto" w:fill="auto"/>
            <w:vAlign w:val="center"/>
          </w:tcPr>
          <w:p w14:paraId="42C39CC2">
            <w:pPr>
              <w:widowControl/>
              <w:spacing w:line="240" w:lineRule="auto"/>
              <w:jc w:val="center"/>
              <w:rPr>
                <w:rFonts w:eastAsia="等线"/>
                <w:kern w:val="0"/>
                <w:sz w:val="18"/>
                <w:szCs w:val="18"/>
              </w:rPr>
            </w:pPr>
            <w:r>
              <w:rPr>
                <w:rFonts w:eastAsia="等线"/>
                <w:kern w:val="0"/>
                <w:sz w:val="18"/>
                <w:szCs w:val="18"/>
              </w:rPr>
              <w:t>40</w:t>
            </w:r>
          </w:p>
        </w:tc>
        <w:tc>
          <w:tcPr>
            <w:tcW w:w="483" w:type="pct"/>
            <w:tcBorders>
              <w:top w:val="nil"/>
              <w:left w:val="nil"/>
              <w:bottom w:val="single" w:color="auto" w:sz="8" w:space="0"/>
              <w:right w:val="single" w:color="auto" w:sz="8" w:space="0"/>
            </w:tcBorders>
            <w:shd w:val="clear" w:color="auto" w:fill="auto"/>
            <w:vAlign w:val="center"/>
          </w:tcPr>
          <w:p w14:paraId="6561A4C0">
            <w:pPr>
              <w:widowControl/>
              <w:spacing w:line="240" w:lineRule="auto"/>
              <w:jc w:val="center"/>
              <w:rPr>
                <w:rFonts w:eastAsia="等线"/>
                <w:kern w:val="0"/>
                <w:sz w:val="18"/>
                <w:szCs w:val="18"/>
              </w:rPr>
            </w:pPr>
            <w:r>
              <w:rPr>
                <w:rFonts w:eastAsia="等线"/>
                <w:kern w:val="0"/>
                <w:sz w:val="18"/>
                <w:szCs w:val="18"/>
              </w:rPr>
              <w:t>35</w:t>
            </w:r>
          </w:p>
        </w:tc>
        <w:tc>
          <w:tcPr>
            <w:tcW w:w="483" w:type="pct"/>
            <w:tcBorders>
              <w:top w:val="nil"/>
              <w:left w:val="nil"/>
              <w:bottom w:val="single" w:color="auto" w:sz="8" w:space="0"/>
              <w:right w:val="single" w:color="auto" w:sz="8" w:space="0"/>
            </w:tcBorders>
            <w:shd w:val="clear" w:color="auto" w:fill="auto"/>
            <w:vAlign w:val="center"/>
          </w:tcPr>
          <w:p w14:paraId="6DFA57A1">
            <w:pPr>
              <w:widowControl/>
              <w:spacing w:line="240" w:lineRule="auto"/>
              <w:jc w:val="center"/>
              <w:rPr>
                <w:rFonts w:eastAsia="等线"/>
                <w:kern w:val="0"/>
                <w:sz w:val="18"/>
                <w:szCs w:val="18"/>
              </w:rPr>
            </w:pPr>
            <w:r>
              <w:rPr>
                <w:rFonts w:eastAsia="等线"/>
                <w:kern w:val="0"/>
                <w:sz w:val="18"/>
                <w:szCs w:val="18"/>
              </w:rPr>
              <w:t>30</w:t>
            </w:r>
          </w:p>
        </w:tc>
        <w:tc>
          <w:tcPr>
            <w:tcW w:w="483" w:type="pct"/>
            <w:tcBorders>
              <w:top w:val="nil"/>
              <w:left w:val="nil"/>
              <w:bottom w:val="single" w:color="auto" w:sz="8" w:space="0"/>
              <w:right w:val="single" w:color="auto" w:sz="8" w:space="0"/>
            </w:tcBorders>
            <w:shd w:val="clear" w:color="auto" w:fill="auto"/>
            <w:vAlign w:val="center"/>
          </w:tcPr>
          <w:p w14:paraId="38009B53">
            <w:pPr>
              <w:widowControl/>
              <w:spacing w:line="240" w:lineRule="auto"/>
              <w:jc w:val="center"/>
              <w:rPr>
                <w:rFonts w:eastAsia="等线"/>
                <w:kern w:val="0"/>
                <w:sz w:val="18"/>
                <w:szCs w:val="18"/>
              </w:rPr>
            </w:pPr>
            <w:r>
              <w:rPr>
                <w:rFonts w:eastAsia="等线"/>
                <w:kern w:val="0"/>
                <w:sz w:val="18"/>
                <w:szCs w:val="18"/>
              </w:rPr>
              <w:t>30</w:t>
            </w:r>
          </w:p>
        </w:tc>
        <w:tc>
          <w:tcPr>
            <w:tcW w:w="483" w:type="pct"/>
            <w:tcBorders>
              <w:top w:val="nil"/>
              <w:left w:val="nil"/>
              <w:bottom w:val="single" w:color="auto" w:sz="8" w:space="0"/>
              <w:right w:val="single" w:color="auto" w:sz="8" w:space="0"/>
            </w:tcBorders>
            <w:shd w:val="clear" w:color="auto" w:fill="auto"/>
            <w:vAlign w:val="center"/>
          </w:tcPr>
          <w:p w14:paraId="0A537EEC">
            <w:pPr>
              <w:widowControl/>
              <w:spacing w:line="240" w:lineRule="auto"/>
              <w:jc w:val="center"/>
              <w:rPr>
                <w:rFonts w:eastAsia="等线"/>
                <w:kern w:val="0"/>
                <w:sz w:val="18"/>
                <w:szCs w:val="18"/>
              </w:rPr>
            </w:pPr>
            <w:r>
              <w:rPr>
                <w:rFonts w:eastAsia="等线"/>
                <w:kern w:val="0"/>
                <w:sz w:val="18"/>
                <w:szCs w:val="18"/>
              </w:rPr>
              <w:t>25</w:t>
            </w:r>
          </w:p>
        </w:tc>
        <w:tc>
          <w:tcPr>
            <w:tcW w:w="483" w:type="pct"/>
            <w:tcBorders>
              <w:top w:val="nil"/>
              <w:left w:val="nil"/>
              <w:bottom w:val="single" w:color="auto" w:sz="8" w:space="0"/>
              <w:right w:val="single" w:color="auto" w:sz="8" w:space="0"/>
            </w:tcBorders>
            <w:shd w:val="clear" w:color="auto" w:fill="auto"/>
            <w:vAlign w:val="center"/>
          </w:tcPr>
          <w:p w14:paraId="4038C6F3">
            <w:pPr>
              <w:widowControl/>
              <w:spacing w:line="240" w:lineRule="auto"/>
              <w:jc w:val="center"/>
              <w:rPr>
                <w:rFonts w:eastAsia="等线"/>
                <w:kern w:val="0"/>
                <w:sz w:val="18"/>
                <w:szCs w:val="18"/>
              </w:rPr>
            </w:pPr>
            <w:r>
              <w:rPr>
                <w:rFonts w:eastAsia="等线"/>
                <w:kern w:val="0"/>
                <w:sz w:val="18"/>
                <w:szCs w:val="18"/>
              </w:rPr>
              <w:t>25</w:t>
            </w:r>
          </w:p>
        </w:tc>
        <w:tc>
          <w:tcPr>
            <w:tcW w:w="483" w:type="pct"/>
            <w:tcBorders>
              <w:top w:val="nil"/>
              <w:left w:val="nil"/>
              <w:bottom w:val="single" w:color="auto" w:sz="8" w:space="0"/>
              <w:right w:val="single" w:color="auto" w:sz="8" w:space="0"/>
            </w:tcBorders>
            <w:shd w:val="clear" w:color="auto" w:fill="auto"/>
            <w:vAlign w:val="center"/>
          </w:tcPr>
          <w:p w14:paraId="5D35405A">
            <w:pPr>
              <w:widowControl/>
              <w:spacing w:line="240" w:lineRule="auto"/>
              <w:jc w:val="center"/>
              <w:rPr>
                <w:rFonts w:eastAsia="等线"/>
                <w:kern w:val="0"/>
                <w:sz w:val="18"/>
                <w:szCs w:val="18"/>
              </w:rPr>
            </w:pPr>
            <w:r>
              <w:rPr>
                <w:rFonts w:eastAsia="等线"/>
                <w:kern w:val="0"/>
                <w:sz w:val="18"/>
                <w:szCs w:val="18"/>
              </w:rPr>
              <w:t>20</w:t>
            </w:r>
          </w:p>
        </w:tc>
        <w:tc>
          <w:tcPr>
            <w:tcW w:w="476" w:type="pct"/>
            <w:tcBorders>
              <w:top w:val="nil"/>
              <w:left w:val="nil"/>
              <w:bottom w:val="single" w:color="auto" w:sz="8" w:space="0"/>
              <w:right w:val="single" w:color="auto" w:sz="8" w:space="0"/>
            </w:tcBorders>
            <w:shd w:val="clear" w:color="auto" w:fill="auto"/>
            <w:vAlign w:val="center"/>
          </w:tcPr>
          <w:p w14:paraId="5EF2A1FF">
            <w:pPr>
              <w:widowControl/>
              <w:spacing w:line="240" w:lineRule="auto"/>
              <w:jc w:val="center"/>
              <w:rPr>
                <w:rFonts w:eastAsia="等线"/>
                <w:kern w:val="0"/>
                <w:sz w:val="18"/>
                <w:szCs w:val="18"/>
              </w:rPr>
            </w:pPr>
            <w:r>
              <w:rPr>
                <w:rFonts w:eastAsia="等线"/>
                <w:kern w:val="0"/>
                <w:sz w:val="18"/>
                <w:szCs w:val="18"/>
              </w:rPr>
              <w:t>20</w:t>
            </w:r>
          </w:p>
        </w:tc>
      </w:tr>
      <w:tr w14:paraId="53AD9143">
        <w:tblPrEx>
          <w:tblCellMar>
            <w:top w:w="0" w:type="dxa"/>
            <w:left w:w="108" w:type="dxa"/>
            <w:bottom w:w="0" w:type="dxa"/>
            <w:right w:w="108" w:type="dxa"/>
          </w:tblCellMar>
        </w:tblPrEx>
        <w:trPr>
          <w:trHeight w:val="288"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60BC2CB6">
            <w:pPr>
              <w:widowControl/>
              <w:spacing w:line="240" w:lineRule="auto"/>
              <w:jc w:val="center"/>
              <w:rPr>
                <w:rFonts w:eastAsia="等线"/>
                <w:kern w:val="0"/>
                <w:sz w:val="18"/>
                <w:szCs w:val="18"/>
              </w:rPr>
            </w:pPr>
            <w:r>
              <w:rPr>
                <w:rFonts w:eastAsia="等线"/>
                <w:kern w:val="0"/>
                <w:sz w:val="18"/>
                <w:szCs w:val="18"/>
              </w:rPr>
              <w:t>7500</w:t>
            </w:r>
          </w:p>
        </w:tc>
        <w:tc>
          <w:tcPr>
            <w:tcW w:w="487" w:type="pct"/>
            <w:tcBorders>
              <w:top w:val="nil"/>
              <w:left w:val="nil"/>
              <w:bottom w:val="single" w:color="auto" w:sz="8" w:space="0"/>
              <w:right w:val="single" w:color="auto" w:sz="8" w:space="0"/>
            </w:tcBorders>
            <w:shd w:val="clear" w:color="auto" w:fill="auto"/>
            <w:vAlign w:val="center"/>
          </w:tcPr>
          <w:p w14:paraId="2E0C234D">
            <w:pPr>
              <w:widowControl/>
              <w:spacing w:line="240" w:lineRule="auto"/>
              <w:jc w:val="center"/>
              <w:rPr>
                <w:rFonts w:eastAsia="等线"/>
                <w:kern w:val="0"/>
                <w:sz w:val="18"/>
                <w:szCs w:val="18"/>
              </w:rPr>
            </w:pPr>
            <w:r>
              <w:rPr>
                <w:rFonts w:eastAsia="等线"/>
                <w:kern w:val="0"/>
                <w:sz w:val="18"/>
                <w:szCs w:val="18"/>
              </w:rPr>
              <w:t>45</w:t>
            </w:r>
          </w:p>
        </w:tc>
        <w:tc>
          <w:tcPr>
            <w:tcW w:w="484" w:type="pct"/>
            <w:tcBorders>
              <w:top w:val="nil"/>
              <w:left w:val="nil"/>
              <w:bottom w:val="single" w:color="auto" w:sz="8" w:space="0"/>
              <w:right w:val="single" w:color="auto" w:sz="8" w:space="0"/>
            </w:tcBorders>
            <w:shd w:val="clear" w:color="auto" w:fill="auto"/>
            <w:vAlign w:val="center"/>
          </w:tcPr>
          <w:p w14:paraId="22B30B01">
            <w:pPr>
              <w:widowControl/>
              <w:spacing w:line="240" w:lineRule="auto"/>
              <w:jc w:val="center"/>
              <w:rPr>
                <w:rFonts w:eastAsia="等线"/>
                <w:kern w:val="0"/>
                <w:sz w:val="18"/>
                <w:szCs w:val="18"/>
              </w:rPr>
            </w:pPr>
            <w:r>
              <w:rPr>
                <w:rFonts w:eastAsia="等线"/>
                <w:kern w:val="0"/>
                <w:sz w:val="18"/>
                <w:szCs w:val="18"/>
              </w:rPr>
              <w:t>40</w:t>
            </w:r>
          </w:p>
        </w:tc>
        <w:tc>
          <w:tcPr>
            <w:tcW w:w="483" w:type="pct"/>
            <w:tcBorders>
              <w:top w:val="nil"/>
              <w:left w:val="nil"/>
              <w:bottom w:val="single" w:color="auto" w:sz="8" w:space="0"/>
              <w:right w:val="single" w:color="auto" w:sz="8" w:space="0"/>
            </w:tcBorders>
            <w:shd w:val="clear" w:color="auto" w:fill="auto"/>
            <w:vAlign w:val="center"/>
          </w:tcPr>
          <w:p w14:paraId="49B9EA86">
            <w:pPr>
              <w:widowControl/>
              <w:spacing w:line="240" w:lineRule="auto"/>
              <w:jc w:val="center"/>
              <w:rPr>
                <w:rFonts w:eastAsia="等线"/>
                <w:kern w:val="0"/>
                <w:sz w:val="18"/>
                <w:szCs w:val="18"/>
              </w:rPr>
            </w:pPr>
            <w:r>
              <w:rPr>
                <w:rFonts w:eastAsia="等线"/>
                <w:kern w:val="0"/>
                <w:sz w:val="18"/>
                <w:szCs w:val="18"/>
              </w:rPr>
              <w:t>40</w:t>
            </w:r>
          </w:p>
        </w:tc>
        <w:tc>
          <w:tcPr>
            <w:tcW w:w="483" w:type="pct"/>
            <w:tcBorders>
              <w:top w:val="nil"/>
              <w:left w:val="nil"/>
              <w:bottom w:val="single" w:color="auto" w:sz="8" w:space="0"/>
              <w:right w:val="single" w:color="auto" w:sz="8" w:space="0"/>
            </w:tcBorders>
            <w:shd w:val="clear" w:color="auto" w:fill="auto"/>
            <w:vAlign w:val="center"/>
          </w:tcPr>
          <w:p w14:paraId="7C66E341">
            <w:pPr>
              <w:widowControl/>
              <w:spacing w:line="240" w:lineRule="auto"/>
              <w:jc w:val="center"/>
              <w:rPr>
                <w:rFonts w:eastAsia="等线"/>
                <w:kern w:val="0"/>
                <w:sz w:val="18"/>
                <w:szCs w:val="18"/>
              </w:rPr>
            </w:pPr>
            <w:r>
              <w:rPr>
                <w:rFonts w:eastAsia="等线"/>
                <w:kern w:val="0"/>
                <w:sz w:val="18"/>
                <w:szCs w:val="18"/>
              </w:rPr>
              <w:t>30</w:t>
            </w:r>
          </w:p>
        </w:tc>
        <w:tc>
          <w:tcPr>
            <w:tcW w:w="483" w:type="pct"/>
            <w:tcBorders>
              <w:top w:val="nil"/>
              <w:left w:val="nil"/>
              <w:bottom w:val="single" w:color="auto" w:sz="8" w:space="0"/>
              <w:right w:val="single" w:color="auto" w:sz="8" w:space="0"/>
            </w:tcBorders>
            <w:shd w:val="clear" w:color="auto" w:fill="auto"/>
            <w:vAlign w:val="center"/>
          </w:tcPr>
          <w:p w14:paraId="122926E2">
            <w:pPr>
              <w:widowControl/>
              <w:spacing w:line="240" w:lineRule="auto"/>
              <w:jc w:val="center"/>
              <w:rPr>
                <w:rFonts w:eastAsia="等线"/>
                <w:kern w:val="0"/>
                <w:sz w:val="18"/>
                <w:szCs w:val="18"/>
              </w:rPr>
            </w:pPr>
            <w:r>
              <w:rPr>
                <w:rFonts w:eastAsia="等线"/>
                <w:kern w:val="0"/>
                <w:sz w:val="18"/>
                <w:szCs w:val="18"/>
              </w:rPr>
              <w:t>30</w:t>
            </w:r>
          </w:p>
        </w:tc>
        <w:tc>
          <w:tcPr>
            <w:tcW w:w="483" w:type="pct"/>
            <w:tcBorders>
              <w:top w:val="nil"/>
              <w:left w:val="nil"/>
              <w:bottom w:val="single" w:color="auto" w:sz="8" w:space="0"/>
              <w:right w:val="single" w:color="auto" w:sz="8" w:space="0"/>
            </w:tcBorders>
            <w:shd w:val="clear" w:color="auto" w:fill="auto"/>
            <w:vAlign w:val="center"/>
          </w:tcPr>
          <w:p w14:paraId="4FC55FBA">
            <w:pPr>
              <w:widowControl/>
              <w:spacing w:line="240" w:lineRule="auto"/>
              <w:jc w:val="center"/>
              <w:rPr>
                <w:rFonts w:eastAsia="等线"/>
                <w:kern w:val="0"/>
                <w:sz w:val="18"/>
                <w:szCs w:val="18"/>
              </w:rPr>
            </w:pPr>
            <w:r>
              <w:rPr>
                <w:rFonts w:eastAsia="等线"/>
                <w:kern w:val="0"/>
                <w:sz w:val="18"/>
                <w:szCs w:val="18"/>
              </w:rPr>
              <w:t>25</w:t>
            </w:r>
          </w:p>
        </w:tc>
        <w:tc>
          <w:tcPr>
            <w:tcW w:w="483" w:type="pct"/>
            <w:tcBorders>
              <w:top w:val="nil"/>
              <w:left w:val="nil"/>
              <w:bottom w:val="single" w:color="auto" w:sz="8" w:space="0"/>
              <w:right w:val="single" w:color="auto" w:sz="8" w:space="0"/>
            </w:tcBorders>
            <w:shd w:val="clear" w:color="auto" w:fill="auto"/>
            <w:vAlign w:val="center"/>
          </w:tcPr>
          <w:p w14:paraId="61F6422D">
            <w:pPr>
              <w:widowControl/>
              <w:spacing w:line="240" w:lineRule="auto"/>
              <w:jc w:val="center"/>
              <w:rPr>
                <w:rFonts w:eastAsia="等线"/>
                <w:kern w:val="0"/>
                <w:sz w:val="18"/>
                <w:szCs w:val="18"/>
              </w:rPr>
            </w:pPr>
            <w:r>
              <w:rPr>
                <w:rFonts w:eastAsia="等线"/>
                <w:kern w:val="0"/>
                <w:sz w:val="18"/>
                <w:szCs w:val="18"/>
              </w:rPr>
              <w:t>25</w:t>
            </w:r>
          </w:p>
        </w:tc>
        <w:tc>
          <w:tcPr>
            <w:tcW w:w="483" w:type="pct"/>
            <w:tcBorders>
              <w:top w:val="nil"/>
              <w:left w:val="nil"/>
              <w:bottom w:val="single" w:color="auto" w:sz="8" w:space="0"/>
              <w:right w:val="single" w:color="auto" w:sz="8" w:space="0"/>
            </w:tcBorders>
            <w:shd w:val="clear" w:color="auto" w:fill="auto"/>
            <w:vAlign w:val="center"/>
          </w:tcPr>
          <w:p w14:paraId="3F55AFDC">
            <w:pPr>
              <w:widowControl/>
              <w:spacing w:line="240" w:lineRule="auto"/>
              <w:jc w:val="center"/>
              <w:rPr>
                <w:rFonts w:eastAsia="等线"/>
                <w:kern w:val="0"/>
                <w:sz w:val="18"/>
                <w:szCs w:val="18"/>
              </w:rPr>
            </w:pPr>
            <w:r>
              <w:rPr>
                <w:rFonts w:eastAsia="等线"/>
                <w:kern w:val="0"/>
                <w:sz w:val="18"/>
                <w:szCs w:val="18"/>
              </w:rPr>
              <w:t>25</w:t>
            </w:r>
          </w:p>
        </w:tc>
        <w:tc>
          <w:tcPr>
            <w:tcW w:w="476" w:type="pct"/>
            <w:tcBorders>
              <w:top w:val="nil"/>
              <w:left w:val="nil"/>
              <w:bottom w:val="single" w:color="auto" w:sz="8" w:space="0"/>
              <w:right w:val="single" w:color="auto" w:sz="8" w:space="0"/>
            </w:tcBorders>
            <w:shd w:val="clear" w:color="auto" w:fill="auto"/>
            <w:vAlign w:val="center"/>
          </w:tcPr>
          <w:p w14:paraId="554859E5">
            <w:pPr>
              <w:widowControl/>
              <w:spacing w:line="240" w:lineRule="auto"/>
              <w:jc w:val="center"/>
              <w:rPr>
                <w:rFonts w:eastAsia="等线"/>
                <w:kern w:val="0"/>
                <w:sz w:val="18"/>
                <w:szCs w:val="18"/>
              </w:rPr>
            </w:pPr>
            <w:r>
              <w:rPr>
                <w:rFonts w:eastAsia="等线"/>
                <w:kern w:val="0"/>
                <w:sz w:val="18"/>
                <w:szCs w:val="18"/>
              </w:rPr>
              <w:t>20</w:t>
            </w:r>
          </w:p>
        </w:tc>
      </w:tr>
    </w:tbl>
    <w:p w14:paraId="44AAA6D5">
      <w:pPr>
        <w:pStyle w:val="198"/>
        <w:rPr>
          <w:szCs w:val="21"/>
        </w:rPr>
      </w:pPr>
    </w:p>
    <w:p w14:paraId="61CF1E02">
      <w:pPr>
        <w:pStyle w:val="198"/>
        <w:rPr>
          <w:szCs w:val="21"/>
        </w:rPr>
      </w:pPr>
      <w:r>
        <w:rPr>
          <w:szCs w:val="21"/>
        </w:rPr>
        <w:t xml:space="preserve">表7.2.2 </w:t>
      </w:r>
      <w:r>
        <w:rPr>
          <w:rFonts w:hint="eastAsia"/>
          <w:szCs w:val="21"/>
        </w:rPr>
        <w:t xml:space="preserve"> </w:t>
      </w:r>
      <w:r>
        <w:rPr>
          <w:szCs w:val="21"/>
        </w:rPr>
        <w:t>线路缓和曲线长</w:t>
      </w:r>
      <w:r>
        <w:rPr>
          <w:rFonts w:hint="eastAsia"/>
          <w:szCs w:val="21"/>
        </w:rPr>
        <w:t>度（续表）</w:t>
      </w:r>
    </w:p>
    <w:tbl>
      <w:tblPr>
        <w:tblStyle w:val="88"/>
        <w:tblW w:w="4915" w:type="pct"/>
        <w:tblInd w:w="108" w:type="dxa"/>
        <w:tblLayout w:type="autofit"/>
        <w:tblCellMar>
          <w:top w:w="0" w:type="dxa"/>
          <w:left w:w="108" w:type="dxa"/>
          <w:bottom w:w="0" w:type="dxa"/>
          <w:right w:w="108" w:type="dxa"/>
        </w:tblCellMar>
      </w:tblPr>
      <w:tblGrid>
        <w:gridCol w:w="816"/>
        <w:gridCol w:w="607"/>
        <w:gridCol w:w="603"/>
        <w:gridCol w:w="602"/>
        <w:gridCol w:w="602"/>
        <w:gridCol w:w="602"/>
        <w:gridCol w:w="602"/>
        <w:gridCol w:w="602"/>
        <w:gridCol w:w="602"/>
        <w:gridCol w:w="594"/>
      </w:tblGrid>
      <w:tr w14:paraId="10A64034">
        <w:tblPrEx>
          <w:tblCellMar>
            <w:top w:w="0" w:type="dxa"/>
            <w:left w:w="108" w:type="dxa"/>
            <w:bottom w:w="0" w:type="dxa"/>
            <w:right w:w="108" w:type="dxa"/>
          </w:tblCellMar>
        </w:tblPrEx>
        <w:trPr>
          <w:cantSplit/>
          <w:trHeight w:val="280" w:hRule="atLeast"/>
          <w:tblHeader/>
        </w:trPr>
        <w:tc>
          <w:tcPr>
            <w:tcW w:w="655" w:type="pct"/>
            <w:vMerge w:val="restart"/>
            <w:tcBorders>
              <w:top w:val="single" w:color="auto" w:sz="4" w:space="0"/>
              <w:left w:val="single" w:color="auto" w:sz="8" w:space="0"/>
              <w:right w:val="single" w:color="auto" w:sz="8" w:space="0"/>
            </w:tcBorders>
            <w:shd w:val="clear" w:color="auto" w:fill="auto"/>
            <w:noWrap/>
            <w:vAlign w:val="center"/>
          </w:tcPr>
          <w:p w14:paraId="61BF0A64">
            <w:pPr>
              <w:widowControl/>
              <w:spacing w:line="240" w:lineRule="auto"/>
              <w:jc w:val="center"/>
              <w:rPr>
                <w:rFonts w:eastAsia="等线"/>
                <w:kern w:val="0"/>
                <w:sz w:val="18"/>
                <w:szCs w:val="18"/>
              </w:rPr>
            </w:pPr>
            <w:r>
              <w:rPr>
                <w:szCs w:val="21"/>
              </w:rPr>
              <mc:AlternateContent>
                <mc:Choice Requires="wps">
                  <w:drawing>
                    <wp:anchor distT="0" distB="0" distL="114300" distR="114300" simplePos="0" relativeHeight="251677696" behindDoc="0" locked="0" layoutInCell="1" allowOverlap="1">
                      <wp:simplePos x="0" y="0"/>
                      <wp:positionH relativeFrom="column">
                        <wp:posOffset>144145</wp:posOffset>
                      </wp:positionH>
                      <wp:positionV relativeFrom="paragraph">
                        <wp:posOffset>-20955</wp:posOffset>
                      </wp:positionV>
                      <wp:extent cx="308610" cy="557530"/>
                      <wp:effectExtent l="0" t="0" r="34290" b="33020"/>
                      <wp:wrapNone/>
                      <wp:docPr id="23" name="AutoShape 139"/>
                      <wp:cNvGraphicFramePr/>
                      <a:graphic xmlns:a="http://schemas.openxmlformats.org/drawingml/2006/main">
                        <a:graphicData uri="http://schemas.microsoft.com/office/word/2010/wordprocessingShape">
                          <wps:wsp>
                            <wps:cNvCnPr>
                              <a:cxnSpLocks noChangeShapeType="1"/>
                            </wps:cNvCnPr>
                            <wps:spPr bwMode="auto">
                              <a:xfrm flipH="1" flipV="1">
                                <a:off x="0" y="0"/>
                                <a:ext cx="308610" cy="557530"/>
                              </a:xfrm>
                              <a:prstGeom prst="straightConnector1">
                                <a:avLst/>
                              </a:prstGeom>
                              <a:noFill/>
                              <a:ln w="9525">
                                <a:solidFill>
                                  <a:srgbClr val="000000"/>
                                </a:solidFill>
                                <a:round/>
                              </a:ln>
                            </wps:spPr>
                            <wps:bodyPr/>
                          </wps:wsp>
                        </a:graphicData>
                      </a:graphic>
                    </wp:anchor>
                  </w:drawing>
                </mc:Choice>
                <mc:Fallback>
                  <w:pict>
                    <v:shape id="AutoShape 139" o:spid="_x0000_s1026" o:spt="32" type="#_x0000_t32" style="position:absolute;left:0pt;flip:x y;margin-left:11.35pt;margin-top:-1.65pt;height:43.9pt;width:24.3pt;z-index:251677696;mso-width-relative:page;mso-height-relative:page;" filled="f" stroked="t" coordsize="21600,21600" o:gfxdata="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EV5irY&#10;AAAABwEAAA8AAAAAAAAAAQAgAAAAIgAAAGRycy9kb3ducmV2LnhtbFBLAQIUABQAAAAIAIdO4kCe&#10;kMma5wEAAM0DAAAOAAAAAAAAAAEAIAAAACcBAABkcnMvZTJvRG9jLnhtbFBLBQYAAAAABgAGAFkB&#10;AACABQAAAAA=&#10;">
                      <v:fill on="f" focussize="0,0"/>
                      <v:stroke color="#000000" joinstyle="round"/>
                      <v:imagedata o:title=""/>
                      <o:lock v:ext="edit" aspectratio="f"/>
                    </v:shape>
                  </w:pict>
                </mc:Fallback>
              </mc:AlternateContent>
            </w:r>
            <w:r>
              <w:rPr>
                <w:rFonts w:hint="eastAsia" w:eastAsia="等线"/>
                <w:kern w:val="0"/>
                <w:sz w:val="18"/>
                <w:szCs w:val="18"/>
              </w:rPr>
              <w:t xml:space="preserve">    </w:t>
            </w:r>
            <w:r>
              <w:rPr>
                <w:rFonts w:eastAsia="等线"/>
                <w:kern w:val="0"/>
                <w:sz w:val="18"/>
                <w:szCs w:val="18"/>
              </w:rPr>
              <w:t>v</w:t>
            </w:r>
          </w:p>
          <w:p w14:paraId="78FE8C18">
            <w:pPr>
              <w:widowControl/>
              <w:spacing w:line="240" w:lineRule="auto"/>
              <w:ind w:firstLine="210" w:firstLineChars="100"/>
              <w:jc w:val="left"/>
              <w:rPr>
                <w:rFonts w:eastAsia="等线"/>
                <w:kern w:val="0"/>
                <w:sz w:val="18"/>
                <w:szCs w:val="18"/>
              </w:rPr>
            </w:pPr>
            <w:r>
              <w:rPr>
                <w:szCs w:val="21"/>
              </w:rPr>
              <mc:AlternateContent>
                <mc:Choice Requires="wps">
                  <w:drawing>
                    <wp:anchor distT="0" distB="0" distL="114300" distR="114300" simplePos="0" relativeHeight="251676672" behindDoc="0" locked="0" layoutInCell="1" allowOverlap="1">
                      <wp:simplePos x="0" y="0"/>
                      <wp:positionH relativeFrom="column">
                        <wp:posOffset>-54610</wp:posOffset>
                      </wp:positionH>
                      <wp:positionV relativeFrom="paragraph">
                        <wp:posOffset>100330</wp:posOffset>
                      </wp:positionV>
                      <wp:extent cx="506095" cy="311150"/>
                      <wp:effectExtent l="0" t="0" r="27305" b="31750"/>
                      <wp:wrapNone/>
                      <wp:docPr id="16" name="AutoShape 140"/>
                      <wp:cNvGraphicFramePr/>
                      <a:graphic xmlns:a="http://schemas.openxmlformats.org/drawingml/2006/main">
                        <a:graphicData uri="http://schemas.microsoft.com/office/word/2010/wordprocessingShape">
                          <wps:wsp>
                            <wps:cNvCnPr>
                              <a:cxnSpLocks noChangeShapeType="1"/>
                            </wps:cNvCnPr>
                            <wps:spPr bwMode="auto">
                              <a:xfrm flipH="1" flipV="1">
                                <a:off x="0" y="0"/>
                                <a:ext cx="506095" cy="311150"/>
                              </a:xfrm>
                              <a:prstGeom prst="straightConnector1">
                                <a:avLst/>
                              </a:prstGeom>
                              <a:noFill/>
                              <a:ln w="9525">
                                <a:solidFill>
                                  <a:srgbClr val="000000"/>
                                </a:solidFill>
                                <a:round/>
                              </a:ln>
                            </wps:spPr>
                            <wps:bodyPr/>
                          </wps:wsp>
                        </a:graphicData>
                      </a:graphic>
                    </wp:anchor>
                  </w:drawing>
                </mc:Choice>
                <mc:Fallback>
                  <w:pict>
                    <v:shape id="AutoShape 140" o:spid="_x0000_s1026" o:spt="32" type="#_x0000_t32" style="position:absolute;left:0pt;flip:x y;margin-left:-4.3pt;margin-top:7.9pt;height:24.5pt;width:39.85pt;z-index:251676672;mso-width-relative:page;mso-height-relative:page;" filled="f" stroked="t" coordsize="21600,21600" o:gfxdata="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TcK9cA&#10;AAAHAQAADwAAAAAAAAABACAAAAAiAAAAZHJzL2Rvd25yZXYueG1sUEsBAhQAFAAAAAgAh07iQBLG&#10;XAjnAQAAzQMAAA4AAAAAAAAAAQAgAAAAJgEAAGRycy9lMm9Eb2MueG1sUEsFBgAAAAAGAAYAWQEA&#10;AH8FAAAAAA==&#10;">
                      <v:fill on="f" focussize="0,0"/>
                      <v:stroke color="#000000" joinstyle="round"/>
                      <v:imagedata o:title=""/>
                      <o:lock v:ext="edit" aspectratio="f"/>
                    </v:shape>
                  </w:pict>
                </mc:Fallback>
              </mc:AlternateContent>
            </w:r>
            <w:r>
              <w:rPr>
                <w:rFonts w:eastAsia="等线"/>
                <w:kern w:val="0"/>
                <w:sz w:val="18"/>
                <w:szCs w:val="18"/>
              </w:rPr>
              <w:t>l</w:t>
            </w:r>
            <w:r>
              <w:rPr>
                <w:rFonts w:hint="eastAsia" w:eastAsia="等线"/>
                <w:kern w:val="0"/>
                <w:sz w:val="18"/>
                <w:szCs w:val="18"/>
              </w:rPr>
              <w:t xml:space="preserve">  </w:t>
            </w:r>
          </w:p>
          <w:p w14:paraId="585178E4">
            <w:pPr>
              <w:widowControl/>
              <w:spacing w:line="240" w:lineRule="auto"/>
              <w:jc w:val="center"/>
              <w:rPr>
                <w:rFonts w:eastAsia="等线"/>
                <w:kern w:val="0"/>
                <w:sz w:val="18"/>
                <w:szCs w:val="18"/>
              </w:rPr>
            </w:pPr>
          </w:p>
          <w:p w14:paraId="4897AC8D">
            <w:pPr>
              <w:spacing w:line="240" w:lineRule="auto"/>
              <w:jc w:val="left"/>
              <w:rPr>
                <w:rFonts w:eastAsia="等线"/>
                <w:kern w:val="0"/>
                <w:sz w:val="18"/>
                <w:szCs w:val="18"/>
              </w:rPr>
            </w:pPr>
            <w:r>
              <w:rPr>
                <w:rFonts w:eastAsia="等线"/>
                <w:kern w:val="0"/>
                <w:sz w:val="18"/>
                <w:szCs w:val="18"/>
              </w:rPr>
              <w:t>R</w:t>
            </w:r>
            <w:r>
              <w:rPr>
                <w:rFonts w:hint="eastAsia" w:eastAsia="等线"/>
                <w:kern w:val="0"/>
                <w:sz w:val="18"/>
                <w:szCs w:val="18"/>
              </w:rPr>
              <w:t xml:space="preserve">   </w:t>
            </w:r>
          </w:p>
        </w:tc>
        <w:tc>
          <w:tcPr>
            <w:tcW w:w="487" w:type="pct"/>
            <w:tcBorders>
              <w:top w:val="single" w:color="auto" w:sz="8" w:space="0"/>
              <w:left w:val="nil"/>
              <w:bottom w:val="nil"/>
              <w:right w:val="single" w:color="auto" w:sz="8" w:space="0"/>
            </w:tcBorders>
            <w:shd w:val="clear" w:color="auto" w:fill="auto"/>
            <w:vAlign w:val="center"/>
          </w:tcPr>
          <w:p w14:paraId="7DC3825F">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4" w:type="pct"/>
            <w:tcBorders>
              <w:top w:val="single" w:color="auto" w:sz="8" w:space="0"/>
              <w:left w:val="nil"/>
              <w:bottom w:val="nil"/>
              <w:right w:val="single" w:color="auto" w:sz="8" w:space="0"/>
            </w:tcBorders>
            <w:shd w:val="clear" w:color="auto" w:fill="auto"/>
            <w:vAlign w:val="center"/>
          </w:tcPr>
          <w:p w14:paraId="506D7EF5">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single" w:color="auto" w:sz="8" w:space="0"/>
              <w:left w:val="nil"/>
              <w:bottom w:val="nil"/>
              <w:right w:val="single" w:color="auto" w:sz="8" w:space="0"/>
            </w:tcBorders>
            <w:shd w:val="clear" w:color="auto" w:fill="auto"/>
            <w:vAlign w:val="center"/>
          </w:tcPr>
          <w:p w14:paraId="13AC4E01">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single" w:color="auto" w:sz="8" w:space="0"/>
              <w:left w:val="nil"/>
              <w:bottom w:val="nil"/>
              <w:right w:val="single" w:color="auto" w:sz="8" w:space="0"/>
            </w:tcBorders>
            <w:shd w:val="clear" w:color="auto" w:fill="auto"/>
            <w:vAlign w:val="center"/>
          </w:tcPr>
          <w:p w14:paraId="54393D66">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single" w:color="auto" w:sz="8" w:space="0"/>
              <w:left w:val="nil"/>
              <w:bottom w:val="nil"/>
              <w:right w:val="single" w:color="auto" w:sz="8" w:space="0"/>
            </w:tcBorders>
            <w:shd w:val="clear" w:color="auto" w:fill="auto"/>
            <w:vAlign w:val="center"/>
          </w:tcPr>
          <w:p w14:paraId="32F5655F">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single" w:color="auto" w:sz="8" w:space="0"/>
              <w:left w:val="nil"/>
              <w:bottom w:val="nil"/>
              <w:right w:val="single" w:color="auto" w:sz="8" w:space="0"/>
            </w:tcBorders>
            <w:shd w:val="clear" w:color="auto" w:fill="auto"/>
            <w:vAlign w:val="center"/>
          </w:tcPr>
          <w:p w14:paraId="0B3EB5E5">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single" w:color="auto" w:sz="8" w:space="0"/>
              <w:left w:val="nil"/>
              <w:bottom w:val="nil"/>
              <w:right w:val="single" w:color="auto" w:sz="8" w:space="0"/>
            </w:tcBorders>
            <w:shd w:val="clear" w:color="auto" w:fill="auto"/>
            <w:vAlign w:val="center"/>
          </w:tcPr>
          <w:p w14:paraId="7FD4D77F">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single" w:color="auto" w:sz="8" w:space="0"/>
              <w:left w:val="nil"/>
              <w:bottom w:val="nil"/>
              <w:right w:val="single" w:color="auto" w:sz="8" w:space="0"/>
            </w:tcBorders>
            <w:shd w:val="clear" w:color="auto" w:fill="auto"/>
            <w:vAlign w:val="center"/>
          </w:tcPr>
          <w:p w14:paraId="235C2404">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76" w:type="pct"/>
            <w:tcBorders>
              <w:top w:val="single" w:color="auto" w:sz="8" w:space="0"/>
              <w:left w:val="nil"/>
              <w:bottom w:val="nil"/>
              <w:right w:val="single" w:color="auto" w:sz="8" w:space="0"/>
            </w:tcBorders>
            <w:shd w:val="clear" w:color="auto" w:fill="auto"/>
            <w:vAlign w:val="center"/>
          </w:tcPr>
          <w:p w14:paraId="20DE711E">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14:paraId="1B7069DA">
        <w:tblPrEx>
          <w:tblCellMar>
            <w:top w:w="0" w:type="dxa"/>
            <w:left w:w="108" w:type="dxa"/>
            <w:bottom w:w="0" w:type="dxa"/>
            <w:right w:w="108" w:type="dxa"/>
          </w:tblCellMar>
        </w:tblPrEx>
        <w:trPr>
          <w:cantSplit/>
          <w:trHeight w:val="280" w:hRule="atLeast"/>
          <w:tblHeader/>
        </w:trPr>
        <w:tc>
          <w:tcPr>
            <w:tcW w:w="655" w:type="pct"/>
            <w:vMerge w:val="continue"/>
            <w:tcBorders>
              <w:left w:val="single" w:color="auto" w:sz="8" w:space="0"/>
              <w:right w:val="single" w:color="auto" w:sz="8" w:space="0"/>
              <w:tl2br w:val="single" w:color="auto" w:sz="4" w:space="0"/>
            </w:tcBorders>
            <w:shd w:val="clear" w:color="auto" w:fill="auto"/>
            <w:noWrap/>
            <w:vAlign w:val="center"/>
          </w:tcPr>
          <w:p w14:paraId="54F9B620">
            <w:pPr>
              <w:spacing w:line="240" w:lineRule="auto"/>
              <w:jc w:val="center"/>
              <w:rPr>
                <w:rFonts w:eastAsia="等线"/>
                <w:kern w:val="0"/>
                <w:sz w:val="18"/>
                <w:szCs w:val="18"/>
              </w:rPr>
            </w:pPr>
          </w:p>
        </w:tc>
        <w:tc>
          <w:tcPr>
            <w:tcW w:w="487" w:type="pct"/>
            <w:tcBorders>
              <w:top w:val="nil"/>
              <w:left w:val="nil"/>
              <w:bottom w:val="nil"/>
              <w:right w:val="single" w:color="auto" w:sz="8" w:space="0"/>
            </w:tcBorders>
            <w:shd w:val="clear" w:color="auto" w:fill="auto"/>
            <w:vAlign w:val="center"/>
          </w:tcPr>
          <w:p w14:paraId="0ACCBC0D">
            <w:pPr>
              <w:widowControl/>
              <w:spacing w:line="240" w:lineRule="auto"/>
              <w:jc w:val="center"/>
              <w:rPr>
                <w:rFonts w:eastAsia="等线"/>
                <w:kern w:val="0"/>
                <w:sz w:val="18"/>
                <w:szCs w:val="18"/>
              </w:rPr>
            </w:pPr>
            <w:r>
              <w:rPr>
                <w:rFonts w:eastAsia="等线"/>
                <w:kern w:val="0"/>
                <w:sz w:val="18"/>
                <w:szCs w:val="18"/>
              </w:rPr>
              <w:t>155</w:t>
            </w:r>
          </w:p>
        </w:tc>
        <w:tc>
          <w:tcPr>
            <w:tcW w:w="484" w:type="pct"/>
            <w:tcBorders>
              <w:top w:val="nil"/>
              <w:left w:val="nil"/>
              <w:bottom w:val="nil"/>
              <w:right w:val="single" w:color="auto" w:sz="8" w:space="0"/>
            </w:tcBorders>
            <w:shd w:val="clear" w:color="auto" w:fill="auto"/>
            <w:vAlign w:val="center"/>
          </w:tcPr>
          <w:p w14:paraId="6B56EAB4">
            <w:pPr>
              <w:widowControl/>
              <w:spacing w:line="240" w:lineRule="auto"/>
              <w:jc w:val="center"/>
              <w:rPr>
                <w:rFonts w:eastAsia="等线"/>
                <w:kern w:val="0"/>
                <w:sz w:val="18"/>
                <w:szCs w:val="18"/>
              </w:rPr>
            </w:pPr>
            <w:r>
              <w:rPr>
                <w:rFonts w:eastAsia="等线"/>
                <w:kern w:val="0"/>
                <w:sz w:val="18"/>
                <w:szCs w:val="18"/>
              </w:rPr>
              <w:t>150</w:t>
            </w:r>
          </w:p>
        </w:tc>
        <w:tc>
          <w:tcPr>
            <w:tcW w:w="483" w:type="pct"/>
            <w:tcBorders>
              <w:top w:val="nil"/>
              <w:left w:val="nil"/>
              <w:bottom w:val="nil"/>
              <w:right w:val="single" w:color="auto" w:sz="8" w:space="0"/>
            </w:tcBorders>
            <w:shd w:val="clear" w:color="auto" w:fill="auto"/>
            <w:vAlign w:val="center"/>
          </w:tcPr>
          <w:p w14:paraId="0076ED23">
            <w:pPr>
              <w:widowControl/>
              <w:spacing w:line="240" w:lineRule="auto"/>
              <w:jc w:val="center"/>
              <w:rPr>
                <w:rFonts w:eastAsia="等线"/>
                <w:kern w:val="0"/>
                <w:sz w:val="18"/>
                <w:szCs w:val="18"/>
              </w:rPr>
            </w:pPr>
            <w:r>
              <w:rPr>
                <w:rFonts w:eastAsia="等线"/>
                <w:kern w:val="0"/>
                <w:sz w:val="18"/>
                <w:szCs w:val="18"/>
              </w:rPr>
              <w:t>145</w:t>
            </w:r>
          </w:p>
        </w:tc>
        <w:tc>
          <w:tcPr>
            <w:tcW w:w="483" w:type="pct"/>
            <w:tcBorders>
              <w:top w:val="nil"/>
              <w:left w:val="nil"/>
              <w:bottom w:val="nil"/>
              <w:right w:val="single" w:color="auto" w:sz="8" w:space="0"/>
            </w:tcBorders>
            <w:shd w:val="clear" w:color="auto" w:fill="auto"/>
            <w:vAlign w:val="center"/>
          </w:tcPr>
          <w:p w14:paraId="6D7400FF">
            <w:pPr>
              <w:widowControl/>
              <w:spacing w:line="240" w:lineRule="auto"/>
              <w:jc w:val="center"/>
              <w:rPr>
                <w:rFonts w:eastAsia="等线"/>
                <w:kern w:val="0"/>
                <w:sz w:val="18"/>
                <w:szCs w:val="18"/>
              </w:rPr>
            </w:pPr>
            <w:r>
              <w:rPr>
                <w:rFonts w:eastAsia="等线"/>
                <w:kern w:val="0"/>
                <w:sz w:val="18"/>
                <w:szCs w:val="18"/>
              </w:rPr>
              <w:t>140</w:t>
            </w:r>
          </w:p>
        </w:tc>
        <w:tc>
          <w:tcPr>
            <w:tcW w:w="483" w:type="pct"/>
            <w:tcBorders>
              <w:top w:val="nil"/>
              <w:left w:val="nil"/>
              <w:bottom w:val="nil"/>
              <w:right w:val="single" w:color="auto" w:sz="8" w:space="0"/>
            </w:tcBorders>
            <w:shd w:val="clear" w:color="auto" w:fill="auto"/>
            <w:vAlign w:val="center"/>
          </w:tcPr>
          <w:p w14:paraId="16573A11">
            <w:pPr>
              <w:widowControl/>
              <w:spacing w:line="240" w:lineRule="auto"/>
              <w:jc w:val="center"/>
              <w:rPr>
                <w:rFonts w:eastAsia="等线"/>
                <w:kern w:val="0"/>
                <w:sz w:val="18"/>
                <w:szCs w:val="18"/>
              </w:rPr>
            </w:pPr>
            <w:r>
              <w:rPr>
                <w:rFonts w:eastAsia="等线"/>
                <w:kern w:val="0"/>
                <w:sz w:val="18"/>
                <w:szCs w:val="18"/>
              </w:rPr>
              <w:t>135</w:t>
            </w:r>
          </w:p>
        </w:tc>
        <w:tc>
          <w:tcPr>
            <w:tcW w:w="483" w:type="pct"/>
            <w:tcBorders>
              <w:top w:val="nil"/>
              <w:left w:val="nil"/>
              <w:bottom w:val="nil"/>
              <w:right w:val="single" w:color="auto" w:sz="8" w:space="0"/>
            </w:tcBorders>
            <w:shd w:val="clear" w:color="auto" w:fill="auto"/>
            <w:vAlign w:val="center"/>
          </w:tcPr>
          <w:p w14:paraId="2B5B4DC2">
            <w:pPr>
              <w:widowControl/>
              <w:spacing w:line="240" w:lineRule="auto"/>
              <w:jc w:val="center"/>
              <w:rPr>
                <w:rFonts w:eastAsia="等线"/>
                <w:kern w:val="0"/>
                <w:sz w:val="18"/>
                <w:szCs w:val="18"/>
              </w:rPr>
            </w:pPr>
            <w:r>
              <w:rPr>
                <w:rFonts w:eastAsia="等线"/>
                <w:kern w:val="0"/>
                <w:sz w:val="18"/>
                <w:szCs w:val="18"/>
              </w:rPr>
              <w:t>130</w:t>
            </w:r>
          </w:p>
        </w:tc>
        <w:tc>
          <w:tcPr>
            <w:tcW w:w="483" w:type="pct"/>
            <w:tcBorders>
              <w:top w:val="nil"/>
              <w:left w:val="nil"/>
              <w:bottom w:val="nil"/>
              <w:right w:val="single" w:color="auto" w:sz="8" w:space="0"/>
            </w:tcBorders>
            <w:shd w:val="clear" w:color="auto" w:fill="auto"/>
            <w:vAlign w:val="center"/>
          </w:tcPr>
          <w:p w14:paraId="68C2CC10">
            <w:pPr>
              <w:widowControl/>
              <w:spacing w:line="240" w:lineRule="auto"/>
              <w:jc w:val="center"/>
              <w:rPr>
                <w:rFonts w:eastAsia="等线"/>
                <w:kern w:val="0"/>
                <w:sz w:val="18"/>
                <w:szCs w:val="18"/>
              </w:rPr>
            </w:pPr>
            <w:r>
              <w:rPr>
                <w:rFonts w:eastAsia="等线"/>
                <w:kern w:val="0"/>
                <w:sz w:val="18"/>
                <w:szCs w:val="18"/>
              </w:rPr>
              <w:t>125</w:t>
            </w:r>
          </w:p>
        </w:tc>
        <w:tc>
          <w:tcPr>
            <w:tcW w:w="483" w:type="pct"/>
            <w:tcBorders>
              <w:top w:val="nil"/>
              <w:left w:val="nil"/>
              <w:bottom w:val="nil"/>
              <w:right w:val="single" w:color="auto" w:sz="8" w:space="0"/>
            </w:tcBorders>
            <w:shd w:val="clear" w:color="auto" w:fill="auto"/>
            <w:vAlign w:val="center"/>
          </w:tcPr>
          <w:p w14:paraId="141B71AF">
            <w:pPr>
              <w:widowControl/>
              <w:spacing w:line="240" w:lineRule="auto"/>
              <w:jc w:val="center"/>
              <w:rPr>
                <w:rFonts w:eastAsia="等线"/>
                <w:kern w:val="0"/>
                <w:sz w:val="18"/>
                <w:szCs w:val="18"/>
              </w:rPr>
            </w:pPr>
            <w:r>
              <w:rPr>
                <w:rFonts w:eastAsia="等线"/>
                <w:kern w:val="0"/>
                <w:sz w:val="18"/>
                <w:szCs w:val="18"/>
              </w:rPr>
              <w:t>120</w:t>
            </w:r>
          </w:p>
        </w:tc>
        <w:tc>
          <w:tcPr>
            <w:tcW w:w="476" w:type="pct"/>
            <w:tcBorders>
              <w:top w:val="nil"/>
              <w:left w:val="nil"/>
              <w:bottom w:val="nil"/>
              <w:right w:val="single" w:color="auto" w:sz="8" w:space="0"/>
            </w:tcBorders>
            <w:shd w:val="clear" w:color="auto" w:fill="auto"/>
            <w:vAlign w:val="center"/>
          </w:tcPr>
          <w:p w14:paraId="7BE50151">
            <w:pPr>
              <w:widowControl/>
              <w:spacing w:line="240" w:lineRule="auto"/>
              <w:jc w:val="center"/>
              <w:rPr>
                <w:rFonts w:eastAsia="等线"/>
                <w:kern w:val="0"/>
                <w:sz w:val="18"/>
                <w:szCs w:val="18"/>
              </w:rPr>
            </w:pPr>
            <w:r>
              <w:rPr>
                <w:rFonts w:eastAsia="等线"/>
                <w:kern w:val="0"/>
                <w:sz w:val="18"/>
                <w:szCs w:val="18"/>
              </w:rPr>
              <w:t>115</w:t>
            </w:r>
          </w:p>
        </w:tc>
      </w:tr>
      <w:tr w14:paraId="451F5584">
        <w:tblPrEx>
          <w:tblCellMar>
            <w:top w:w="0" w:type="dxa"/>
            <w:left w:w="108" w:type="dxa"/>
            <w:bottom w:w="0" w:type="dxa"/>
            <w:right w:w="108" w:type="dxa"/>
          </w:tblCellMar>
        </w:tblPrEx>
        <w:trPr>
          <w:cantSplit/>
          <w:trHeight w:val="290" w:hRule="atLeast"/>
          <w:tblHeader/>
        </w:trPr>
        <w:tc>
          <w:tcPr>
            <w:tcW w:w="655" w:type="pct"/>
            <w:vMerge w:val="continue"/>
            <w:tcBorders>
              <w:left w:val="single" w:color="auto" w:sz="8" w:space="0"/>
              <w:bottom w:val="single" w:color="auto" w:sz="8" w:space="0"/>
              <w:right w:val="single" w:color="auto" w:sz="8" w:space="0"/>
              <w:tl2br w:val="single" w:color="auto" w:sz="4" w:space="0"/>
            </w:tcBorders>
            <w:shd w:val="clear" w:color="auto" w:fill="auto"/>
            <w:noWrap/>
            <w:vAlign w:val="center"/>
          </w:tcPr>
          <w:p w14:paraId="4299998D">
            <w:pPr>
              <w:widowControl/>
              <w:spacing w:line="240" w:lineRule="auto"/>
              <w:jc w:val="center"/>
              <w:rPr>
                <w:rFonts w:eastAsia="等线"/>
                <w:kern w:val="0"/>
                <w:sz w:val="18"/>
                <w:szCs w:val="18"/>
              </w:rPr>
            </w:pPr>
          </w:p>
        </w:tc>
        <w:tc>
          <w:tcPr>
            <w:tcW w:w="487" w:type="pct"/>
            <w:tcBorders>
              <w:top w:val="nil"/>
              <w:left w:val="nil"/>
              <w:bottom w:val="single" w:color="auto" w:sz="8" w:space="0"/>
              <w:right w:val="single" w:color="auto" w:sz="8" w:space="0"/>
            </w:tcBorders>
            <w:shd w:val="clear" w:color="auto" w:fill="auto"/>
            <w:vAlign w:val="center"/>
          </w:tcPr>
          <w:p w14:paraId="19A48965">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4" w:type="pct"/>
            <w:tcBorders>
              <w:top w:val="nil"/>
              <w:left w:val="nil"/>
              <w:bottom w:val="single" w:color="auto" w:sz="8" w:space="0"/>
              <w:right w:val="single" w:color="auto" w:sz="8" w:space="0"/>
            </w:tcBorders>
            <w:shd w:val="clear" w:color="auto" w:fill="auto"/>
            <w:vAlign w:val="center"/>
          </w:tcPr>
          <w:p w14:paraId="5837B2FE">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nil"/>
              <w:left w:val="nil"/>
              <w:bottom w:val="single" w:color="auto" w:sz="8" w:space="0"/>
              <w:right w:val="single" w:color="auto" w:sz="8" w:space="0"/>
            </w:tcBorders>
            <w:shd w:val="clear" w:color="auto" w:fill="auto"/>
            <w:vAlign w:val="center"/>
          </w:tcPr>
          <w:p w14:paraId="6BDAA92A">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nil"/>
              <w:left w:val="nil"/>
              <w:bottom w:val="single" w:color="auto" w:sz="8" w:space="0"/>
              <w:right w:val="single" w:color="auto" w:sz="8" w:space="0"/>
            </w:tcBorders>
            <w:shd w:val="clear" w:color="auto" w:fill="auto"/>
            <w:vAlign w:val="center"/>
          </w:tcPr>
          <w:p w14:paraId="3E98A9DE">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nil"/>
              <w:left w:val="nil"/>
              <w:bottom w:val="single" w:color="auto" w:sz="8" w:space="0"/>
              <w:right w:val="single" w:color="auto" w:sz="8" w:space="0"/>
            </w:tcBorders>
            <w:shd w:val="clear" w:color="auto" w:fill="auto"/>
            <w:vAlign w:val="center"/>
          </w:tcPr>
          <w:p w14:paraId="01B97C00">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nil"/>
              <w:left w:val="nil"/>
              <w:bottom w:val="single" w:color="auto" w:sz="8" w:space="0"/>
              <w:right w:val="single" w:color="auto" w:sz="8" w:space="0"/>
            </w:tcBorders>
            <w:shd w:val="clear" w:color="auto" w:fill="auto"/>
            <w:vAlign w:val="center"/>
          </w:tcPr>
          <w:p w14:paraId="43D6B104">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nil"/>
              <w:left w:val="nil"/>
              <w:bottom w:val="single" w:color="auto" w:sz="8" w:space="0"/>
              <w:right w:val="single" w:color="auto" w:sz="8" w:space="0"/>
            </w:tcBorders>
            <w:shd w:val="clear" w:color="auto" w:fill="auto"/>
            <w:vAlign w:val="center"/>
          </w:tcPr>
          <w:p w14:paraId="1E51B5F5">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3" w:type="pct"/>
            <w:tcBorders>
              <w:top w:val="nil"/>
              <w:left w:val="nil"/>
              <w:bottom w:val="single" w:color="auto" w:sz="8" w:space="0"/>
              <w:right w:val="single" w:color="auto" w:sz="8" w:space="0"/>
            </w:tcBorders>
            <w:shd w:val="clear" w:color="auto" w:fill="auto"/>
            <w:vAlign w:val="center"/>
          </w:tcPr>
          <w:p w14:paraId="3FBE37C5">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76" w:type="pct"/>
            <w:tcBorders>
              <w:top w:val="nil"/>
              <w:left w:val="nil"/>
              <w:bottom w:val="single" w:color="auto" w:sz="8" w:space="0"/>
              <w:right w:val="single" w:color="auto" w:sz="8" w:space="0"/>
            </w:tcBorders>
            <w:shd w:val="clear" w:color="auto" w:fill="auto"/>
            <w:vAlign w:val="center"/>
          </w:tcPr>
          <w:p w14:paraId="7F6E4A24">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14:paraId="2E8B2C0C">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5E208E54">
            <w:pPr>
              <w:widowControl/>
              <w:spacing w:line="240" w:lineRule="auto"/>
              <w:jc w:val="center"/>
              <w:rPr>
                <w:rFonts w:eastAsia="等线"/>
                <w:kern w:val="0"/>
                <w:sz w:val="18"/>
                <w:szCs w:val="18"/>
              </w:rPr>
            </w:pPr>
            <w:r>
              <w:rPr>
                <w:rFonts w:eastAsia="等线"/>
                <w:kern w:val="0"/>
                <w:sz w:val="18"/>
                <w:szCs w:val="18"/>
              </w:rPr>
              <w:t>7000</w:t>
            </w:r>
          </w:p>
        </w:tc>
        <w:tc>
          <w:tcPr>
            <w:tcW w:w="487" w:type="pct"/>
            <w:tcBorders>
              <w:top w:val="nil"/>
              <w:left w:val="nil"/>
              <w:bottom w:val="single" w:color="auto" w:sz="8" w:space="0"/>
              <w:right w:val="single" w:color="auto" w:sz="8" w:space="0"/>
            </w:tcBorders>
            <w:shd w:val="clear" w:color="auto" w:fill="auto"/>
            <w:vAlign w:val="center"/>
          </w:tcPr>
          <w:p w14:paraId="22012381">
            <w:pPr>
              <w:widowControl/>
              <w:spacing w:line="240" w:lineRule="auto"/>
              <w:jc w:val="center"/>
              <w:rPr>
                <w:rFonts w:eastAsia="等线"/>
                <w:kern w:val="0"/>
                <w:sz w:val="18"/>
                <w:szCs w:val="18"/>
              </w:rPr>
            </w:pPr>
            <w:r>
              <w:rPr>
                <w:rFonts w:eastAsia="等线"/>
                <w:kern w:val="0"/>
                <w:sz w:val="18"/>
                <w:szCs w:val="18"/>
              </w:rPr>
              <w:t>45</w:t>
            </w:r>
          </w:p>
        </w:tc>
        <w:tc>
          <w:tcPr>
            <w:tcW w:w="484" w:type="pct"/>
            <w:tcBorders>
              <w:top w:val="nil"/>
              <w:left w:val="nil"/>
              <w:bottom w:val="single" w:color="auto" w:sz="8" w:space="0"/>
              <w:right w:val="single" w:color="auto" w:sz="8" w:space="0"/>
            </w:tcBorders>
            <w:shd w:val="clear" w:color="auto" w:fill="auto"/>
            <w:vAlign w:val="center"/>
          </w:tcPr>
          <w:p w14:paraId="20BBD06D">
            <w:pPr>
              <w:widowControl/>
              <w:spacing w:line="240" w:lineRule="auto"/>
              <w:jc w:val="center"/>
              <w:rPr>
                <w:rFonts w:eastAsia="等线"/>
                <w:kern w:val="0"/>
                <w:sz w:val="18"/>
                <w:szCs w:val="18"/>
              </w:rPr>
            </w:pPr>
            <w:r>
              <w:rPr>
                <w:rFonts w:eastAsia="等线"/>
                <w:kern w:val="0"/>
                <w:sz w:val="18"/>
                <w:szCs w:val="18"/>
              </w:rPr>
              <w:t>45</w:t>
            </w:r>
          </w:p>
        </w:tc>
        <w:tc>
          <w:tcPr>
            <w:tcW w:w="483" w:type="pct"/>
            <w:tcBorders>
              <w:top w:val="nil"/>
              <w:left w:val="nil"/>
              <w:bottom w:val="single" w:color="auto" w:sz="8" w:space="0"/>
              <w:right w:val="single" w:color="auto" w:sz="8" w:space="0"/>
            </w:tcBorders>
            <w:shd w:val="clear" w:color="auto" w:fill="auto"/>
            <w:vAlign w:val="center"/>
          </w:tcPr>
          <w:p w14:paraId="6037A0CA">
            <w:pPr>
              <w:widowControl/>
              <w:spacing w:line="240" w:lineRule="auto"/>
              <w:jc w:val="center"/>
              <w:rPr>
                <w:rFonts w:eastAsia="等线"/>
                <w:kern w:val="0"/>
                <w:sz w:val="18"/>
                <w:szCs w:val="18"/>
              </w:rPr>
            </w:pPr>
            <w:r>
              <w:rPr>
                <w:rFonts w:eastAsia="等线"/>
                <w:kern w:val="0"/>
                <w:sz w:val="18"/>
                <w:szCs w:val="18"/>
              </w:rPr>
              <w:t>40</w:t>
            </w:r>
          </w:p>
        </w:tc>
        <w:tc>
          <w:tcPr>
            <w:tcW w:w="483" w:type="pct"/>
            <w:tcBorders>
              <w:top w:val="nil"/>
              <w:left w:val="nil"/>
              <w:bottom w:val="single" w:color="auto" w:sz="8" w:space="0"/>
              <w:right w:val="single" w:color="auto" w:sz="8" w:space="0"/>
            </w:tcBorders>
            <w:shd w:val="clear" w:color="auto" w:fill="auto"/>
            <w:vAlign w:val="center"/>
          </w:tcPr>
          <w:p w14:paraId="51205241">
            <w:pPr>
              <w:widowControl/>
              <w:spacing w:line="240" w:lineRule="auto"/>
              <w:jc w:val="center"/>
              <w:rPr>
                <w:rFonts w:eastAsia="等线"/>
                <w:kern w:val="0"/>
                <w:sz w:val="18"/>
                <w:szCs w:val="18"/>
              </w:rPr>
            </w:pPr>
            <w:r>
              <w:rPr>
                <w:rFonts w:eastAsia="等线"/>
                <w:kern w:val="0"/>
                <w:sz w:val="18"/>
                <w:szCs w:val="18"/>
              </w:rPr>
              <w:t>35</w:t>
            </w:r>
          </w:p>
        </w:tc>
        <w:tc>
          <w:tcPr>
            <w:tcW w:w="483" w:type="pct"/>
            <w:tcBorders>
              <w:top w:val="nil"/>
              <w:left w:val="nil"/>
              <w:bottom w:val="single" w:color="auto" w:sz="8" w:space="0"/>
              <w:right w:val="single" w:color="auto" w:sz="8" w:space="0"/>
            </w:tcBorders>
            <w:shd w:val="clear" w:color="auto" w:fill="auto"/>
            <w:vAlign w:val="center"/>
          </w:tcPr>
          <w:p w14:paraId="60005E87">
            <w:pPr>
              <w:widowControl/>
              <w:spacing w:line="240" w:lineRule="auto"/>
              <w:jc w:val="center"/>
              <w:rPr>
                <w:rFonts w:eastAsia="等线"/>
                <w:kern w:val="0"/>
                <w:sz w:val="18"/>
                <w:szCs w:val="18"/>
              </w:rPr>
            </w:pPr>
            <w:r>
              <w:rPr>
                <w:rFonts w:eastAsia="等线"/>
                <w:kern w:val="0"/>
                <w:sz w:val="18"/>
                <w:szCs w:val="18"/>
              </w:rPr>
              <w:t>30</w:t>
            </w:r>
          </w:p>
        </w:tc>
        <w:tc>
          <w:tcPr>
            <w:tcW w:w="483" w:type="pct"/>
            <w:tcBorders>
              <w:top w:val="nil"/>
              <w:left w:val="nil"/>
              <w:bottom w:val="single" w:color="auto" w:sz="8" w:space="0"/>
              <w:right w:val="single" w:color="auto" w:sz="8" w:space="0"/>
            </w:tcBorders>
            <w:shd w:val="clear" w:color="auto" w:fill="auto"/>
            <w:vAlign w:val="center"/>
          </w:tcPr>
          <w:p w14:paraId="093755DC">
            <w:pPr>
              <w:widowControl/>
              <w:spacing w:line="240" w:lineRule="auto"/>
              <w:jc w:val="center"/>
              <w:rPr>
                <w:rFonts w:eastAsia="等线"/>
                <w:kern w:val="0"/>
                <w:sz w:val="18"/>
                <w:szCs w:val="18"/>
              </w:rPr>
            </w:pPr>
            <w:r>
              <w:rPr>
                <w:rFonts w:eastAsia="等线"/>
                <w:kern w:val="0"/>
                <w:sz w:val="18"/>
                <w:szCs w:val="18"/>
              </w:rPr>
              <w:t>30</w:t>
            </w:r>
          </w:p>
        </w:tc>
        <w:tc>
          <w:tcPr>
            <w:tcW w:w="483" w:type="pct"/>
            <w:tcBorders>
              <w:top w:val="nil"/>
              <w:left w:val="nil"/>
              <w:bottom w:val="single" w:color="auto" w:sz="8" w:space="0"/>
              <w:right w:val="single" w:color="auto" w:sz="8" w:space="0"/>
            </w:tcBorders>
            <w:shd w:val="clear" w:color="auto" w:fill="auto"/>
            <w:vAlign w:val="center"/>
          </w:tcPr>
          <w:p w14:paraId="2AE59338">
            <w:pPr>
              <w:widowControl/>
              <w:spacing w:line="240" w:lineRule="auto"/>
              <w:jc w:val="center"/>
              <w:rPr>
                <w:rFonts w:eastAsia="等线"/>
                <w:kern w:val="0"/>
                <w:sz w:val="18"/>
                <w:szCs w:val="18"/>
              </w:rPr>
            </w:pPr>
            <w:r>
              <w:rPr>
                <w:rFonts w:eastAsia="等线"/>
                <w:kern w:val="0"/>
                <w:sz w:val="18"/>
                <w:szCs w:val="18"/>
              </w:rPr>
              <w:t>25</w:t>
            </w:r>
          </w:p>
        </w:tc>
        <w:tc>
          <w:tcPr>
            <w:tcW w:w="483" w:type="pct"/>
            <w:tcBorders>
              <w:top w:val="nil"/>
              <w:left w:val="nil"/>
              <w:bottom w:val="single" w:color="auto" w:sz="8" w:space="0"/>
              <w:right w:val="single" w:color="auto" w:sz="8" w:space="0"/>
            </w:tcBorders>
            <w:shd w:val="clear" w:color="auto" w:fill="auto"/>
            <w:vAlign w:val="center"/>
          </w:tcPr>
          <w:p w14:paraId="444D8AF5">
            <w:pPr>
              <w:widowControl/>
              <w:spacing w:line="240" w:lineRule="auto"/>
              <w:jc w:val="center"/>
              <w:rPr>
                <w:rFonts w:eastAsia="等线"/>
                <w:kern w:val="0"/>
                <w:sz w:val="18"/>
                <w:szCs w:val="18"/>
              </w:rPr>
            </w:pPr>
            <w:r>
              <w:rPr>
                <w:rFonts w:eastAsia="等线"/>
                <w:kern w:val="0"/>
                <w:sz w:val="18"/>
                <w:szCs w:val="18"/>
              </w:rPr>
              <w:t>25</w:t>
            </w:r>
          </w:p>
        </w:tc>
        <w:tc>
          <w:tcPr>
            <w:tcW w:w="476" w:type="pct"/>
            <w:tcBorders>
              <w:top w:val="nil"/>
              <w:left w:val="nil"/>
              <w:bottom w:val="single" w:color="auto" w:sz="8" w:space="0"/>
              <w:right w:val="single" w:color="auto" w:sz="8" w:space="0"/>
            </w:tcBorders>
            <w:shd w:val="clear" w:color="auto" w:fill="auto"/>
            <w:vAlign w:val="center"/>
          </w:tcPr>
          <w:p w14:paraId="6DD8BB02">
            <w:pPr>
              <w:widowControl/>
              <w:spacing w:line="240" w:lineRule="auto"/>
              <w:jc w:val="center"/>
              <w:rPr>
                <w:rFonts w:eastAsia="等线"/>
                <w:kern w:val="0"/>
                <w:sz w:val="18"/>
                <w:szCs w:val="18"/>
              </w:rPr>
            </w:pPr>
            <w:r>
              <w:rPr>
                <w:rFonts w:eastAsia="等线"/>
                <w:kern w:val="0"/>
                <w:sz w:val="18"/>
                <w:szCs w:val="18"/>
              </w:rPr>
              <w:t>25</w:t>
            </w:r>
          </w:p>
        </w:tc>
      </w:tr>
      <w:tr w14:paraId="6CD4B30C">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2C2586A0">
            <w:pPr>
              <w:widowControl/>
              <w:spacing w:line="240" w:lineRule="auto"/>
              <w:jc w:val="center"/>
              <w:rPr>
                <w:rFonts w:eastAsia="等线"/>
                <w:kern w:val="0"/>
                <w:sz w:val="18"/>
                <w:szCs w:val="18"/>
              </w:rPr>
            </w:pPr>
            <w:r>
              <w:rPr>
                <w:rFonts w:eastAsia="等线"/>
                <w:kern w:val="0"/>
                <w:sz w:val="18"/>
                <w:szCs w:val="18"/>
              </w:rPr>
              <w:t>6500</w:t>
            </w:r>
          </w:p>
        </w:tc>
        <w:tc>
          <w:tcPr>
            <w:tcW w:w="487" w:type="pct"/>
            <w:tcBorders>
              <w:top w:val="nil"/>
              <w:left w:val="nil"/>
              <w:bottom w:val="single" w:color="auto" w:sz="8" w:space="0"/>
              <w:right w:val="single" w:color="auto" w:sz="8" w:space="0"/>
            </w:tcBorders>
            <w:shd w:val="clear" w:color="auto" w:fill="auto"/>
            <w:vAlign w:val="center"/>
          </w:tcPr>
          <w:p w14:paraId="36AA7FCB">
            <w:pPr>
              <w:widowControl/>
              <w:spacing w:line="240" w:lineRule="auto"/>
              <w:jc w:val="center"/>
              <w:rPr>
                <w:rFonts w:eastAsia="等线"/>
                <w:kern w:val="0"/>
                <w:sz w:val="18"/>
                <w:szCs w:val="18"/>
              </w:rPr>
            </w:pPr>
            <w:r>
              <w:rPr>
                <w:rFonts w:eastAsia="等线"/>
                <w:kern w:val="0"/>
                <w:sz w:val="18"/>
                <w:szCs w:val="18"/>
              </w:rPr>
              <w:t>50</w:t>
            </w:r>
          </w:p>
        </w:tc>
        <w:tc>
          <w:tcPr>
            <w:tcW w:w="484" w:type="pct"/>
            <w:tcBorders>
              <w:top w:val="nil"/>
              <w:left w:val="nil"/>
              <w:bottom w:val="single" w:color="auto" w:sz="8" w:space="0"/>
              <w:right w:val="single" w:color="auto" w:sz="8" w:space="0"/>
            </w:tcBorders>
            <w:shd w:val="clear" w:color="auto" w:fill="auto"/>
            <w:vAlign w:val="center"/>
          </w:tcPr>
          <w:p w14:paraId="45F55627">
            <w:pPr>
              <w:widowControl/>
              <w:spacing w:line="240" w:lineRule="auto"/>
              <w:jc w:val="center"/>
              <w:rPr>
                <w:rFonts w:eastAsia="等线"/>
                <w:kern w:val="0"/>
                <w:sz w:val="18"/>
                <w:szCs w:val="18"/>
              </w:rPr>
            </w:pPr>
            <w:r>
              <w:rPr>
                <w:rFonts w:eastAsia="等线"/>
                <w:kern w:val="0"/>
                <w:sz w:val="18"/>
                <w:szCs w:val="18"/>
              </w:rPr>
              <w:t>45</w:t>
            </w:r>
          </w:p>
        </w:tc>
        <w:tc>
          <w:tcPr>
            <w:tcW w:w="483" w:type="pct"/>
            <w:tcBorders>
              <w:top w:val="nil"/>
              <w:left w:val="nil"/>
              <w:bottom w:val="single" w:color="auto" w:sz="8" w:space="0"/>
              <w:right w:val="single" w:color="auto" w:sz="8" w:space="0"/>
            </w:tcBorders>
            <w:shd w:val="clear" w:color="auto" w:fill="auto"/>
            <w:vAlign w:val="center"/>
          </w:tcPr>
          <w:p w14:paraId="6FF6F3FA">
            <w:pPr>
              <w:widowControl/>
              <w:spacing w:line="240" w:lineRule="auto"/>
              <w:jc w:val="center"/>
              <w:rPr>
                <w:rFonts w:eastAsia="等线"/>
                <w:kern w:val="0"/>
                <w:sz w:val="18"/>
                <w:szCs w:val="18"/>
              </w:rPr>
            </w:pPr>
            <w:r>
              <w:rPr>
                <w:rFonts w:eastAsia="等线"/>
                <w:kern w:val="0"/>
                <w:sz w:val="18"/>
                <w:szCs w:val="18"/>
              </w:rPr>
              <w:t>45</w:t>
            </w:r>
          </w:p>
        </w:tc>
        <w:tc>
          <w:tcPr>
            <w:tcW w:w="483" w:type="pct"/>
            <w:tcBorders>
              <w:top w:val="nil"/>
              <w:left w:val="nil"/>
              <w:bottom w:val="single" w:color="auto" w:sz="8" w:space="0"/>
              <w:right w:val="single" w:color="auto" w:sz="8" w:space="0"/>
            </w:tcBorders>
            <w:shd w:val="clear" w:color="auto" w:fill="auto"/>
            <w:vAlign w:val="center"/>
          </w:tcPr>
          <w:p w14:paraId="6FFAA78B">
            <w:pPr>
              <w:widowControl/>
              <w:spacing w:line="240" w:lineRule="auto"/>
              <w:jc w:val="center"/>
              <w:rPr>
                <w:rFonts w:eastAsia="等线"/>
                <w:kern w:val="0"/>
                <w:sz w:val="18"/>
                <w:szCs w:val="18"/>
              </w:rPr>
            </w:pPr>
            <w:r>
              <w:rPr>
                <w:rFonts w:eastAsia="等线"/>
                <w:kern w:val="0"/>
                <w:sz w:val="18"/>
                <w:szCs w:val="18"/>
              </w:rPr>
              <w:t>35</w:t>
            </w:r>
          </w:p>
        </w:tc>
        <w:tc>
          <w:tcPr>
            <w:tcW w:w="483" w:type="pct"/>
            <w:tcBorders>
              <w:top w:val="nil"/>
              <w:left w:val="nil"/>
              <w:bottom w:val="single" w:color="auto" w:sz="8" w:space="0"/>
              <w:right w:val="single" w:color="auto" w:sz="8" w:space="0"/>
            </w:tcBorders>
            <w:shd w:val="clear" w:color="auto" w:fill="auto"/>
            <w:vAlign w:val="center"/>
          </w:tcPr>
          <w:p w14:paraId="7DFA64B9">
            <w:pPr>
              <w:widowControl/>
              <w:spacing w:line="240" w:lineRule="auto"/>
              <w:jc w:val="center"/>
              <w:rPr>
                <w:rFonts w:eastAsia="等线"/>
                <w:kern w:val="0"/>
                <w:sz w:val="18"/>
                <w:szCs w:val="18"/>
              </w:rPr>
            </w:pPr>
            <w:r>
              <w:rPr>
                <w:rFonts w:eastAsia="等线"/>
                <w:kern w:val="0"/>
                <w:sz w:val="18"/>
                <w:szCs w:val="18"/>
              </w:rPr>
              <w:t>35</w:t>
            </w:r>
          </w:p>
        </w:tc>
        <w:tc>
          <w:tcPr>
            <w:tcW w:w="483" w:type="pct"/>
            <w:tcBorders>
              <w:top w:val="nil"/>
              <w:left w:val="nil"/>
              <w:bottom w:val="single" w:color="auto" w:sz="8" w:space="0"/>
              <w:right w:val="single" w:color="auto" w:sz="8" w:space="0"/>
            </w:tcBorders>
            <w:shd w:val="clear" w:color="auto" w:fill="auto"/>
            <w:vAlign w:val="center"/>
          </w:tcPr>
          <w:p w14:paraId="09F6F656">
            <w:pPr>
              <w:widowControl/>
              <w:spacing w:line="240" w:lineRule="auto"/>
              <w:jc w:val="center"/>
              <w:rPr>
                <w:rFonts w:eastAsia="等线"/>
                <w:kern w:val="0"/>
                <w:sz w:val="18"/>
                <w:szCs w:val="18"/>
              </w:rPr>
            </w:pPr>
            <w:r>
              <w:rPr>
                <w:rFonts w:eastAsia="等线"/>
                <w:kern w:val="0"/>
                <w:sz w:val="18"/>
                <w:szCs w:val="18"/>
              </w:rPr>
              <w:t>40</w:t>
            </w:r>
          </w:p>
        </w:tc>
        <w:tc>
          <w:tcPr>
            <w:tcW w:w="483" w:type="pct"/>
            <w:tcBorders>
              <w:top w:val="nil"/>
              <w:left w:val="nil"/>
              <w:bottom w:val="single" w:color="auto" w:sz="8" w:space="0"/>
              <w:right w:val="single" w:color="auto" w:sz="8" w:space="0"/>
            </w:tcBorders>
            <w:shd w:val="clear" w:color="auto" w:fill="auto"/>
            <w:vAlign w:val="center"/>
          </w:tcPr>
          <w:p w14:paraId="6254EEB9">
            <w:pPr>
              <w:widowControl/>
              <w:spacing w:line="240" w:lineRule="auto"/>
              <w:jc w:val="center"/>
              <w:rPr>
                <w:rFonts w:eastAsia="等线"/>
                <w:kern w:val="0"/>
                <w:sz w:val="18"/>
                <w:szCs w:val="18"/>
              </w:rPr>
            </w:pPr>
            <w:r>
              <w:rPr>
                <w:rFonts w:eastAsia="等线"/>
                <w:kern w:val="0"/>
                <w:sz w:val="18"/>
                <w:szCs w:val="18"/>
              </w:rPr>
              <w:t>30</w:t>
            </w:r>
          </w:p>
        </w:tc>
        <w:tc>
          <w:tcPr>
            <w:tcW w:w="483" w:type="pct"/>
            <w:tcBorders>
              <w:top w:val="nil"/>
              <w:left w:val="nil"/>
              <w:bottom w:val="single" w:color="auto" w:sz="8" w:space="0"/>
              <w:right w:val="single" w:color="auto" w:sz="8" w:space="0"/>
            </w:tcBorders>
            <w:shd w:val="clear" w:color="auto" w:fill="auto"/>
            <w:vAlign w:val="center"/>
          </w:tcPr>
          <w:p w14:paraId="6F5712DC">
            <w:pPr>
              <w:widowControl/>
              <w:spacing w:line="240" w:lineRule="auto"/>
              <w:jc w:val="center"/>
              <w:rPr>
                <w:rFonts w:eastAsia="等线"/>
                <w:kern w:val="0"/>
                <w:sz w:val="18"/>
                <w:szCs w:val="18"/>
              </w:rPr>
            </w:pPr>
            <w:r>
              <w:rPr>
                <w:rFonts w:eastAsia="等线"/>
                <w:kern w:val="0"/>
                <w:sz w:val="18"/>
                <w:szCs w:val="18"/>
              </w:rPr>
              <w:t>25</w:t>
            </w:r>
          </w:p>
        </w:tc>
        <w:tc>
          <w:tcPr>
            <w:tcW w:w="476" w:type="pct"/>
            <w:tcBorders>
              <w:top w:val="nil"/>
              <w:left w:val="nil"/>
              <w:bottom w:val="single" w:color="auto" w:sz="8" w:space="0"/>
              <w:right w:val="single" w:color="auto" w:sz="8" w:space="0"/>
            </w:tcBorders>
            <w:shd w:val="clear" w:color="auto" w:fill="auto"/>
            <w:vAlign w:val="center"/>
          </w:tcPr>
          <w:p w14:paraId="7A7B7216">
            <w:pPr>
              <w:widowControl/>
              <w:spacing w:line="240" w:lineRule="auto"/>
              <w:jc w:val="center"/>
              <w:rPr>
                <w:rFonts w:eastAsia="等线"/>
                <w:kern w:val="0"/>
                <w:sz w:val="18"/>
                <w:szCs w:val="18"/>
              </w:rPr>
            </w:pPr>
            <w:r>
              <w:rPr>
                <w:rFonts w:eastAsia="等线"/>
                <w:kern w:val="0"/>
                <w:sz w:val="18"/>
                <w:szCs w:val="18"/>
              </w:rPr>
              <w:t>20</w:t>
            </w:r>
          </w:p>
        </w:tc>
      </w:tr>
      <w:tr w14:paraId="60E7FC6F">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36E5B358">
            <w:pPr>
              <w:widowControl/>
              <w:spacing w:line="240" w:lineRule="auto"/>
              <w:jc w:val="center"/>
              <w:rPr>
                <w:rFonts w:eastAsia="等线"/>
                <w:kern w:val="0"/>
                <w:sz w:val="18"/>
                <w:szCs w:val="18"/>
              </w:rPr>
            </w:pPr>
            <w:r>
              <w:rPr>
                <w:rFonts w:eastAsia="等线"/>
                <w:kern w:val="0"/>
                <w:sz w:val="18"/>
                <w:szCs w:val="18"/>
              </w:rPr>
              <w:t>6000</w:t>
            </w:r>
          </w:p>
        </w:tc>
        <w:tc>
          <w:tcPr>
            <w:tcW w:w="487" w:type="pct"/>
            <w:tcBorders>
              <w:top w:val="nil"/>
              <w:left w:val="nil"/>
              <w:bottom w:val="single" w:color="auto" w:sz="8" w:space="0"/>
              <w:right w:val="single" w:color="auto" w:sz="8" w:space="0"/>
            </w:tcBorders>
            <w:shd w:val="clear" w:color="auto" w:fill="auto"/>
            <w:vAlign w:val="center"/>
          </w:tcPr>
          <w:p w14:paraId="251E04AC">
            <w:pPr>
              <w:widowControl/>
              <w:spacing w:line="240" w:lineRule="auto"/>
              <w:jc w:val="center"/>
              <w:rPr>
                <w:rFonts w:eastAsia="等线"/>
                <w:kern w:val="0"/>
                <w:sz w:val="18"/>
                <w:szCs w:val="18"/>
              </w:rPr>
            </w:pPr>
            <w:r>
              <w:rPr>
                <w:rFonts w:eastAsia="等线"/>
                <w:kern w:val="0"/>
                <w:sz w:val="18"/>
                <w:szCs w:val="18"/>
              </w:rPr>
              <w:t>55</w:t>
            </w:r>
          </w:p>
        </w:tc>
        <w:tc>
          <w:tcPr>
            <w:tcW w:w="484" w:type="pct"/>
            <w:tcBorders>
              <w:top w:val="nil"/>
              <w:left w:val="nil"/>
              <w:bottom w:val="single" w:color="auto" w:sz="8" w:space="0"/>
              <w:right w:val="single" w:color="auto" w:sz="8" w:space="0"/>
            </w:tcBorders>
            <w:shd w:val="clear" w:color="auto" w:fill="auto"/>
            <w:vAlign w:val="center"/>
          </w:tcPr>
          <w:p w14:paraId="0BA5FBD3">
            <w:pPr>
              <w:widowControl/>
              <w:spacing w:line="240" w:lineRule="auto"/>
              <w:jc w:val="center"/>
              <w:rPr>
                <w:rFonts w:eastAsia="等线"/>
                <w:kern w:val="0"/>
                <w:sz w:val="18"/>
                <w:szCs w:val="18"/>
              </w:rPr>
            </w:pPr>
            <w:r>
              <w:rPr>
                <w:rFonts w:eastAsia="等线"/>
                <w:kern w:val="0"/>
                <w:sz w:val="18"/>
                <w:szCs w:val="18"/>
              </w:rPr>
              <w:t>50</w:t>
            </w:r>
          </w:p>
        </w:tc>
        <w:tc>
          <w:tcPr>
            <w:tcW w:w="483" w:type="pct"/>
            <w:tcBorders>
              <w:top w:val="nil"/>
              <w:left w:val="nil"/>
              <w:bottom w:val="single" w:color="auto" w:sz="8" w:space="0"/>
              <w:right w:val="single" w:color="auto" w:sz="8" w:space="0"/>
            </w:tcBorders>
            <w:shd w:val="clear" w:color="auto" w:fill="auto"/>
            <w:vAlign w:val="center"/>
          </w:tcPr>
          <w:p w14:paraId="79BA901C">
            <w:pPr>
              <w:widowControl/>
              <w:spacing w:line="240" w:lineRule="auto"/>
              <w:jc w:val="center"/>
              <w:rPr>
                <w:rFonts w:eastAsia="等线"/>
                <w:kern w:val="0"/>
                <w:sz w:val="18"/>
                <w:szCs w:val="18"/>
              </w:rPr>
            </w:pPr>
            <w:r>
              <w:rPr>
                <w:rFonts w:eastAsia="等线"/>
                <w:kern w:val="0"/>
                <w:sz w:val="18"/>
                <w:szCs w:val="18"/>
              </w:rPr>
              <w:t>45</w:t>
            </w:r>
          </w:p>
        </w:tc>
        <w:tc>
          <w:tcPr>
            <w:tcW w:w="483" w:type="pct"/>
            <w:tcBorders>
              <w:top w:val="nil"/>
              <w:left w:val="nil"/>
              <w:bottom w:val="single" w:color="auto" w:sz="8" w:space="0"/>
              <w:right w:val="single" w:color="auto" w:sz="8" w:space="0"/>
            </w:tcBorders>
            <w:shd w:val="clear" w:color="auto" w:fill="auto"/>
            <w:vAlign w:val="center"/>
          </w:tcPr>
          <w:p w14:paraId="053786CD">
            <w:pPr>
              <w:widowControl/>
              <w:spacing w:line="240" w:lineRule="auto"/>
              <w:jc w:val="center"/>
              <w:rPr>
                <w:rFonts w:eastAsia="等线"/>
                <w:kern w:val="0"/>
                <w:sz w:val="18"/>
                <w:szCs w:val="18"/>
              </w:rPr>
            </w:pPr>
            <w:r>
              <w:rPr>
                <w:rFonts w:eastAsia="等线"/>
                <w:kern w:val="0"/>
                <w:sz w:val="18"/>
                <w:szCs w:val="18"/>
              </w:rPr>
              <w:t>40</w:t>
            </w:r>
          </w:p>
        </w:tc>
        <w:tc>
          <w:tcPr>
            <w:tcW w:w="483" w:type="pct"/>
            <w:tcBorders>
              <w:top w:val="nil"/>
              <w:left w:val="nil"/>
              <w:bottom w:val="single" w:color="auto" w:sz="8" w:space="0"/>
              <w:right w:val="single" w:color="auto" w:sz="8" w:space="0"/>
            </w:tcBorders>
            <w:shd w:val="clear" w:color="auto" w:fill="auto"/>
            <w:vAlign w:val="center"/>
          </w:tcPr>
          <w:p w14:paraId="3E3B0711">
            <w:pPr>
              <w:widowControl/>
              <w:spacing w:line="240" w:lineRule="auto"/>
              <w:jc w:val="center"/>
              <w:rPr>
                <w:rFonts w:eastAsia="等线"/>
                <w:kern w:val="0"/>
                <w:sz w:val="18"/>
                <w:szCs w:val="18"/>
              </w:rPr>
            </w:pPr>
            <w:r>
              <w:rPr>
                <w:rFonts w:eastAsia="等线"/>
                <w:kern w:val="0"/>
                <w:sz w:val="18"/>
                <w:szCs w:val="18"/>
              </w:rPr>
              <w:t>35</w:t>
            </w:r>
          </w:p>
        </w:tc>
        <w:tc>
          <w:tcPr>
            <w:tcW w:w="483" w:type="pct"/>
            <w:tcBorders>
              <w:top w:val="nil"/>
              <w:left w:val="nil"/>
              <w:bottom w:val="single" w:color="auto" w:sz="8" w:space="0"/>
              <w:right w:val="single" w:color="auto" w:sz="8" w:space="0"/>
            </w:tcBorders>
            <w:shd w:val="clear" w:color="auto" w:fill="auto"/>
            <w:vAlign w:val="center"/>
          </w:tcPr>
          <w:p w14:paraId="798AF189">
            <w:pPr>
              <w:widowControl/>
              <w:spacing w:line="240" w:lineRule="auto"/>
              <w:jc w:val="center"/>
              <w:rPr>
                <w:rFonts w:eastAsia="等线"/>
                <w:kern w:val="0"/>
                <w:sz w:val="18"/>
                <w:szCs w:val="18"/>
              </w:rPr>
            </w:pPr>
            <w:r>
              <w:rPr>
                <w:rFonts w:eastAsia="等线"/>
                <w:kern w:val="0"/>
                <w:sz w:val="18"/>
                <w:szCs w:val="18"/>
              </w:rPr>
              <w:t>35</w:t>
            </w:r>
          </w:p>
        </w:tc>
        <w:tc>
          <w:tcPr>
            <w:tcW w:w="483" w:type="pct"/>
            <w:tcBorders>
              <w:top w:val="nil"/>
              <w:left w:val="nil"/>
              <w:bottom w:val="single" w:color="auto" w:sz="8" w:space="0"/>
              <w:right w:val="single" w:color="auto" w:sz="8" w:space="0"/>
            </w:tcBorders>
            <w:shd w:val="clear" w:color="auto" w:fill="auto"/>
            <w:vAlign w:val="center"/>
          </w:tcPr>
          <w:p w14:paraId="62611738">
            <w:pPr>
              <w:widowControl/>
              <w:spacing w:line="240" w:lineRule="auto"/>
              <w:jc w:val="center"/>
              <w:rPr>
                <w:rFonts w:eastAsia="等线"/>
                <w:kern w:val="0"/>
                <w:sz w:val="18"/>
                <w:szCs w:val="18"/>
              </w:rPr>
            </w:pPr>
            <w:r>
              <w:rPr>
                <w:rFonts w:eastAsia="等线"/>
                <w:kern w:val="0"/>
                <w:sz w:val="18"/>
                <w:szCs w:val="18"/>
              </w:rPr>
              <w:t>30</w:t>
            </w:r>
          </w:p>
        </w:tc>
        <w:tc>
          <w:tcPr>
            <w:tcW w:w="483" w:type="pct"/>
            <w:tcBorders>
              <w:top w:val="nil"/>
              <w:left w:val="nil"/>
              <w:bottom w:val="single" w:color="auto" w:sz="8" w:space="0"/>
              <w:right w:val="single" w:color="auto" w:sz="8" w:space="0"/>
            </w:tcBorders>
            <w:shd w:val="clear" w:color="auto" w:fill="auto"/>
            <w:vAlign w:val="center"/>
          </w:tcPr>
          <w:p w14:paraId="41C4A253">
            <w:pPr>
              <w:widowControl/>
              <w:spacing w:line="240" w:lineRule="auto"/>
              <w:jc w:val="center"/>
              <w:rPr>
                <w:rFonts w:eastAsia="等线"/>
                <w:kern w:val="0"/>
                <w:sz w:val="18"/>
                <w:szCs w:val="18"/>
              </w:rPr>
            </w:pPr>
            <w:r>
              <w:rPr>
                <w:rFonts w:eastAsia="等线"/>
                <w:kern w:val="0"/>
                <w:sz w:val="18"/>
                <w:szCs w:val="18"/>
              </w:rPr>
              <w:t>30</w:t>
            </w:r>
          </w:p>
        </w:tc>
        <w:tc>
          <w:tcPr>
            <w:tcW w:w="476" w:type="pct"/>
            <w:tcBorders>
              <w:top w:val="nil"/>
              <w:left w:val="nil"/>
              <w:bottom w:val="single" w:color="auto" w:sz="8" w:space="0"/>
              <w:right w:val="single" w:color="auto" w:sz="8" w:space="0"/>
            </w:tcBorders>
            <w:shd w:val="clear" w:color="auto" w:fill="auto"/>
            <w:vAlign w:val="center"/>
          </w:tcPr>
          <w:p w14:paraId="2F9421F8">
            <w:pPr>
              <w:widowControl/>
              <w:spacing w:line="240" w:lineRule="auto"/>
              <w:jc w:val="center"/>
              <w:rPr>
                <w:rFonts w:eastAsia="等线"/>
                <w:kern w:val="0"/>
                <w:sz w:val="18"/>
                <w:szCs w:val="18"/>
              </w:rPr>
            </w:pPr>
            <w:r>
              <w:rPr>
                <w:rFonts w:eastAsia="等线"/>
                <w:kern w:val="0"/>
                <w:sz w:val="18"/>
                <w:szCs w:val="18"/>
              </w:rPr>
              <w:t>25</w:t>
            </w:r>
          </w:p>
        </w:tc>
      </w:tr>
      <w:tr w14:paraId="5545B3DB">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3ECC2A42">
            <w:pPr>
              <w:widowControl/>
              <w:spacing w:line="240" w:lineRule="auto"/>
              <w:jc w:val="center"/>
              <w:rPr>
                <w:rFonts w:eastAsia="等线"/>
                <w:kern w:val="0"/>
                <w:sz w:val="18"/>
                <w:szCs w:val="18"/>
              </w:rPr>
            </w:pPr>
            <w:r>
              <w:rPr>
                <w:rFonts w:eastAsia="等线"/>
                <w:kern w:val="0"/>
                <w:sz w:val="18"/>
                <w:szCs w:val="18"/>
              </w:rPr>
              <w:t>5500</w:t>
            </w:r>
          </w:p>
        </w:tc>
        <w:tc>
          <w:tcPr>
            <w:tcW w:w="487" w:type="pct"/>
            <w:tcBorders>
              <w:top w:val="nil"/>
              <w:left w:val="nil"/>
              <w:bottom w:val="single" w:color="auto" w:sz="8" w:space="0"/>
              <w:right w:val="single" w:color="auto" w:sz="8" w:space="0"/>
            </w:tcBorders>
            <w:shd w:val="clear" w:color="auto" w:fill="auto"/>
            <w:vAlign w:val="center"/>
          </w:tcPr>
          <w:p w14:paraId="397DEA16">
            <w:pPr>
              <w:widowControl/>
              <w:spacing w:line="240" w:lineRule="auto"/>
              <w:jc w:val="center"/>
              <w:rPr>
                <w:rFonts w:eastAsia="等线"/>
                <w:kern w:val="0"/>
                <w:sz w:val="18"/>
                <w:szCs w:val="18"/>
              </w:rPr>
            </w:pPr>
            <w:r>
              <w:rPr>
                <w:rFonts w:eastAsia="等线"/>
                <w:kern w:val="0"/>
                <w:sz w:val="18"/>
                <w:szCs w:val="18"/>
              </w:rPr>
              <w:t>55</w:t>
            </w:r>
          </w:p>
        </w:tc>
        <w:tc>
          <w:tcPr>
            <w:tcW w:w="484" w:type="pct"/>
            <w:tcBorders>
              <w:top w:val="nil"/>
              <w:left w:val="nil"/>
              <w:bottom w:val="single" w:color="auto" w:sz="8" w:space="0"/>
              <w:right w:val="single" w:color="auto" w:sz="8" w:space="0"/>
            </w:tcBorders>
            <w:shd w:val="clear" w:color="auto" w:fill="auto"/>
            <w:vAlign w:val="center"/>
          </w:tcPr>
          <w:p w14:paraId="2E8A2C1A">
            <w:pPr>
              <w:widowControl/>
              <w:spacing w:line="240" w:lineRule="auto"/>
              <w:jc w:val="center"/>
              <w:rPr>
                <w:rFonts w:eastAsia="等线"/>
                <w:kern w:val="0"/>
                <w:sz w:val="18"/>
                <w:szCs w:val="18"/>
              </w:rPr>
            </w:pPr>
            <w:r>
              <w:rPr>
                <w:rFonts w:eastAsia="等线"/>
                <w:kern w:val="0"/>
                <w:sz w:val="18"/>
                <w:szCs w:val="18"/>
              </w:rPr>
              <w:t>55</w:t>
            </w:r>
          </w:p>
        </w:tc>
        <w:tc>
          <w:tcPr>
            <w:tcW w:w="483" w:type="pct"/>
            <w:tcBorders>
              <w:top w:val="nil"/>
              <w:left w:val="nil"/>
              <w:bottom w:val="single" w:color="auto" w:sz="8" w:space="0"/>
              <w:right w:val="single" w:color="auto" w:sz="8" w:space="0"/>
            </w:tcBorders>
            <w:shd w:val="clear" w:color="auto" w:fill="auto"/>
            <w:vAlign w:val="center"/>
          </w:tcPr>
          <w:p w14:paraId="05CAC0AF">
            <w:pPr>
              <w:widowControl/>
              <w:spacing w:line="240" w:lineRule="auto"/>
              <w:jc w:val="center"/>
              <w:rPr>
                <w:rFonts w:eastAsia="等线"/>
                <w:kern w:val="0"/>
                <w:sz w:val="18"/>
                <w:szCs w:val="18"/>
              </w:rPr>
            </w:pPr>
            <w:r>
              <w:rPr>
                <w:rFonts w:eastAsia="等线"/>
                <w:kern w:val="0"/>
                <w:sz w:val="18"/>
                <w:szCs w:val="18"/>
              </w:rPr>
              <w:t>50</w:t>
            </w:r>
          </w:p>
        </w:tc>
        <w:tc>
          <w:tcPr>
            <w:tcW w:w="483" w:type="pct"/>
            <w:tcBorders>
              <w:top w:val="nil"/>
              <w:left w:val="nil"/>
              <w:bottom w:val="single" w:color="auto" w:sz="8" w:space="0"/>
              <w:right w:val="single" w:color="auto" w:sz="8" w:space="0"/>
            </w:tcBorders>
            <w:shd w:val="clear" w:color="auto" w:fill="auto"/>
            <w:vAlign w:val="center"/>
          </w:tcPr>
          <w:p w14:paraId="4E4EA7E1">
            <w:pPr>
              <w:widowControl/>
              <w:spacing w:line="240" w:lineRule="auto"/>
              <w:jc w:val="center"/>
              <w:rPr>
                <w:rFonts w:eastAsia="等线"/>
                <w:kern w:val="0"/>
                <w:sz w:val="18"/>
                <w:szCs w:val="18"/>
              </w:rPr>
            </w:pPr>
            <w:r>
              <w:rPr>
                <w:rFonts w:eastAsia="等线"/>
                <w:kern w:val="0"/>
                <w:sz w:val="18"/>
                <w:szCs w:val="18"/>
              </w:rPr>
              <w:t>45</w:t>
            </w:r>
          </w:p>
        </w:tc>
        <w:tc>
          <w:tcPr>
            <w:tcW w:w="483" w:type="pct"/>
            <w:tcBorders>
              <w:top w:val="nil"/>
              <w:left w:val="nil"/>
              <w:bottom w:val="single" w:color="auto" w:sz="8" w:space="0"/>
              <w:right w:val="single" w:color="auto" w:sz="8" w:space="0"/>
            </w:tcBorders>
            <w:shd w:val="clear" w:color="auto" w:fill="auto"/>
            <w:vAlign w:val="center"/>
          </w:tcPr>
          <w:p w14:paraId="3A8B4652">
            <w:pPr>
              <w:widowControl/>
              <w:spacing w:line="240" w:lineRule="auto"/>
              <w:jc w:val="center"/>
              <w:rPr>
                <w:rFonts w:eastAsia="等线"/>
                <w:kern w:val="0"/>
                <w:sz w:val="18"/>
                <w:szCs w:val="18"/>
              </w:rPr>
            </w:pPr>
            <w:r>
              <w:rPr>
                <w:rFonts w:eastAsia="等线"/>
                <w:kern w:val="0"/>
                <w:sz w:val="18"/>
                <w:szCs w:val="18"/>
              </w:rPr>
              <w:t>40</w:t>
            </w:r>
          </w:p>
        </w:tc>
        <w:tc>
          <w:tcPr>
            <w:tcW w:w="483" w:type="pct"/>
            <w:tcBorders>
              <w:top w:val="nil"/>
              <w:left w:val="nil"/>
              <w:bottom w:val="single" w:color="auto" w:sz="8" w:space="0"/>
              <w:right w:val="single" w:color="auto" w:sz="8" w:space="0"/>
            </w:tcBorders>
            <w:shd w:val="clear" w:color="auto" w:fill="auto"/>
            <w:vAlign w:val="center"/>
          </w:tcPr>
          <w:p w14:paraId="0C157AA1">
            <w:pPr>
              <w:widowControl/>
              <w:spacing w:line="240" w:lineRule="auto"/>
              <w:jc w:val="center"/>
              <w:rPr>
                <w:rFonts w:eastAsia="等线"/>
                <w:kern w:val="0"/>
                <w:sz w:val="18"/>
                <w:szCs w:val="18"/>
              </w:rPr>
            </w:pPr>
            <w:r>
              <w:rPr>
                <w:rFonts w:eastAsia="等线"/>
                <w:kern w:val="0"/>
                <w:sz w:val="18"/>
                <w:szCs w:val="18"/>
              </w:rPr>
              <w:t>40</w:t>
            </w:r>
          </w:p>
        </w:tc>
        <w:tc>
          <w:tcPr>
            <w:tcW w:w="483" w:type="pct"/>
            <w:tcBorders>
              <w:top w:val="nil"/>
              <w:left w:val="nil"/>
              <w:bottom w:val="single" w:color="auto" w:sz="8" w:space="0"/>
              <w:right w:val="single" w:color="auto" w:sz="8" w:space="0"/>
            </w:tcBorders>
            <w:shd w:val="clear" w:color="auto" w:fill="auto"/>
            <w:vAlign w:val="center"/>
          </w:tcPr>
          <w:p w14:paraId="2F0E26DD">
            <w:pPr>
              <w:widowControl/>
              <w:spacing w:line="240" w:lineRule="auto"/>
              <w:jc w:val="center"/>
              <w:rPr>
                <w:rFonts w:eastAsia="等线"/>
                <w:kern w:val="0"/>
                <w:sz w:val="18"/>
                <w:szCs w:val="18"/>
              </w:rPr>
            </w:pPr>
            <w:r>
              <w:rPr>
                <w:rFonts w:eastAsia="等线"/>
                <w:kern w:val="0"/>
                <w:sz w:val="18"/>
                <w:szCs w:val="18"/>
              </w:rPr>
              <w:t>35</w:t>
            </w:r>
          </w:p>
        </w:tc>
        <w:tc>
          <w:tcPr>
            <w:tcW w:w="483" w:type="pct"/>
            <w:tcBorders>
              <w:top w:val="nil"/>
              <w:left w:val="nil"/>
              <w:bottom w:val="single" w:color="auto" w:sz="8" w:space="0"/>
              <w:right w:val="single" w:color="auto" w:sz="8" w:space="0"/>
            </w:tcBorders>
            <w:shd w:val="clear" w:color="auto" w:fill="auto"/>
            <w:vAlign w:val="center"/>
          </w:tcPr>
          <w:p w14:paraId="4CF5C4DA">
            <w:pPr>
              <w:widowControl/>
              <w:spacing w:line="240" w:lineRule="auto"/>
              <w:jc w:val="center"/>
              <w:rPr>
                <w:rFonts w:eastAsia="等线"/>
                <w:kern w:val="0"/>
                <w:sz w:val="18"/>
                <w:szCs w:val="18"/>
              </w:rPr>
            </w:pPr>
            <w:r>
              <w:rPr>
                <w:rFonts w:eastAsia="等线"/>
                <w:kern w:val="0"/>
                <w:sz w:val="18"/>
                <w:szCs w:val="18"/>
              </w:rPr>
              <w:t>30</w:t>
            </w:r>
          </w:p>
        </w:tc>
        <w:tc>
          <w:tcPr>
            <w:tcW w:w="476" w:type="pct"/>
            <w:tcBorders>
              <w:top w:val="nil"/>
              <w:left w:val="nil"/>
              <w:bottom w:val="single" w:color="auto" w:sz="8" w:space="0"/>
              <w:right w:val="single" w:color="auto" w:sz="8" w:space="0"/>
            </w:tcBorders>
            <w:shd w:val="clear" w:color="auto" w:fill="auto"/>
            <w:vAlign w:val="center"/>
          </w:tcPr>
          <w:p w14:paraId="0B8DAD80">
            <w:pPr>
              <w:widowControl/>
              <w:spacing w:line="240" w:lineRule="auto"/>
              <w:jc w:val="center"/>
              <w:rPr>
                <w:rFonts w:eastAsia="等线"/>
                <w:kern w:val="0"/>
                <w:sz w:val="18"/>
                <w:szCs w:val="18"/>
              </w:rPr>
            </w:pPr>
            <w:r>
              <w:rPr>
                <w:rFonts w:eastAsia="等线"/>
                <w:kern w:val="0"/>
                <w:sz w:val="18"/>
                <w:szCs w:val="18"/>
              </w:rPr>
              <w:t>25</w:t>
            </w:r>
          </w:p>
        </w:tc>
      </w:tr>
      <w:tr w14:paraId="7C14A5EF">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6E11C6C7">
            <w:pPr>
              <w:widowControl/>
              <w:spacing w:line="240" w:lineRule="auto"/>
              <w:jc w:val="center"/>
              <w:rPr>
                <w:rFonts w:eastAsia="等线"/>
                <w:kern w:val="0"/>
                <w:sz w:val="18"/>
                <w:szCs w:val="18"/>
              </w:rPr>
            </w:pPr>
            <w:r>
              <w:rPr>
                <w:rFonts w:eastAsia="等线"/>
                <w:kern w:val="0"/>
                <w:sz w:val="18"/>
                <w:szCs w:val="18"/>
              </w:rPr>
              <w:t>5000</w:t>
            </w:r>
          </w:p>
        </w:tc>
        <w:tc>
          <w:tcPr>
            <w:tcW w:w="487" w:type="pct"/>
            <w:tcBorders>
              <w:top w:val="nil"/>
              <w:left w:val="nil"/>
              <w:bottom w:val="single" w:color="auto" w:sz="8" w:space="0"/>
              <w:right w:val="single" w:color="auto" w:sz="8" w:space="0"/>
            </w:tcBorders>
            <w:shd w:val="clear" w:color="auto" w:fill="auto"/>
            <w:vAlign w:val="center"/>
          </w:tcPr>
          <w:p w14:paraId="3B03A18D">
            <w:pPr>
              <w:widowControl/>
              <w:spacing w:line="240" w:lineRule="auto"/>
              <w:jc w:val="center"/>
              <w:rPr>
                <w:rFonts w:eastAsia="等线"/>
                <w:kern w:val="0"/>
                <w:sz w:val="18"/>
                <w:szCs w:val="18"/>
              </w:rPr>
            </w:pPr>
            <w:r>
              <w:rPr>
                <w:rFonts w:eastAsia="等线"/>
                <w:kern w:val="0"/>
                <w:sz w:val="18"/>
                <w:szCs w:val="18"/>
              </w:rPr>
              <w:t>60</w:t>
            </w:r>
          </w:p>
        </w:tc>
        <w:tc>
          <w:tcPr>
            <w:tcW w:w="484" w:type="pct"/>
            <w:tcBorders>
              <w:top w:val="nil"/>
              <w:left w:val="nil"/>
              <w:bottom w:val="single" w:color="auto" w:sz="8" w:space="0"/>
              <w:right w:val="single" w:color="auto" w:sz="8" w:space="0"/>
            </w:tcBorders>
            <w:shd w:val="clear" w:color="auto" w:fill="auto"/>
            <w:vAlign w:val="center"/>
          </w:tcPr>
          <w:p w14:paraId="15596F5F">
            <w:pPr>
              <w:widowControl/>
              <w:spacing w:line="240" w:lineRule="auto"/>
              <w:jc w:val="center"/>
              <w:rPr>
                <w:rFonts w:eastAsia="等线"/>
                <w:kern w:val="0"/>
                <w:sz w:val="18"/>
                <w:szCs w:val="18"/>
              </w:rPr>
            </w:pPr>
            <w:r>
              <w:rPr>
                <w:rFonts w:eastAsia="等线"/>
                <w:kern w:val="0"/>
                <w:sz w:val="18"/>
                <w:szCs w:val="18"/>
              </w:rPr>
              <w:t>60</w:t>
            </w:r>
          </w:p>
        </w:tc>
        <w:tc>
          <w:tcPr>
            <w:tcW w:w="483" w:type="pct"/>
            <w:tcBorders>
              <w:top w:val="nil"/>
              <w:left w:val="nil"/>
              <w:bottom w:val="single" w:color="auto" w:sz="8" w:space="0"/>
              <w:right w:val="single" w:color="auto" w:sz="8" w:space="0"/>
            </w:tcBorders>
            <w:shd w:val="clear" w:color="auto" w:fill="auto"/>
            <w:vAlign w:val="center"/>
          </w:tcPr>
          <w:p w14:paraId="23125E7D">
            <w:pPr>
              <w:widowControl/>
              <w:spacing w:line="240" w:lineRule="auto"/>
              <w:jc w:val="center"/>
              <w:rPr>
                <w:rFonts w:eastAsia="等线"/>
                <w:kern w:val="0"/>
                <w:sz w:val="18"/>
                <w:szCs w:val="18"/>
              </w:rPr>
            </w:pPr>
            <w:r>
              <w:rPr>
                <w:rFonts w:eastAsia="等线"/>
                <w:kern w:val="0"/>
                <w:sz w:val="18"/>
                <w:szCs w:val="18"/>
              </w:rPr>
              <w:t>55</w:t>
            </w:r>
          </w:p>
        </w:tc>
        <w:tc>
          <w:tcPr>
            <w:tcW w:w="483" w:type="pct"/>
            <w:tcBorders>
              <w:top w:val="nil"/>
              <w:left w:val="nil"/>
              <w:bottom w:val="single" w:color="auto" w:sz="8" w:space="0"/>
              <w:right w:val="single" w:color="auto" w:sz="8" w:space="0"/>
            </w:tcBorders>
            <w:shd w:val="clear" w:color="auto" w:fill="auto"/>
            <w:vAlign w:val="center"/>
          </w:tcPr>
          <w:p w14:paraId="12BFA61F">
            <w:pPr>
              <w:widowControl/>
              <w:spacing w:line="240" w:lineRule="auto"/>
              <w:jc w:val="center"/>
              <w:rPr>
                <w:rFonts w:eastAsia="等线"/>
                <w:kern w:val="0"/>
                <w:sz w:val="18"/>
                <w:szCs w:val="18"/>
              </w:rPr>
            </w:pPr>
            <w:r>
              <w:rPr>
                <w:rFonts w:eastAsia="等线"/>
                <w:kern w:val="0"/>
                <w:sz w:val="18"/>
                <w:szCs w:val="18"/>
              </w:rPr>
              <w:t>50</w:t>
            </w:r>
          </w:p>
        </w:tc>
        <w:tc>
          <w:tcPr>
            <w:tcW w:w="483" w:type="pct"/>
            <w:tcBorders>
              <w:top w:val="nil"/>
              <w:left w:val="nil"/>
              <w:bottom w:val="single" w:color="auto" w:sz="8" w:space="0"/>
              <w:right w:val="single" w:color="auto" w:sz="8" w:space="0"/>
            </w:tcBorders>
            <w:shd w:val="clear" w:color="auto" w:fill="auto"/>
            <w:vAlign w:val="center"/>
          </w:tcPr>
          <w:p w14:paraId="5D54BC64">
            <w:pPr>
              <w:widowControl/>
              <w:spacing w:line="240" w:lineRule="auto"/>
              <w:jc w:val="center"/>
              <w:rPr>
                <w:rFonts w:eastAsia="等线"/>
                <w:kern w:val="0"/>
                <w:sz w:val="18"/>
                <w:szCs w:val="18"/>
              </w:rPr>
            </w:pPr>
            <w:r>
              <w:rPr>
                <w:rFonts w:eastAsia="等线"/>
                <w:kern w:val="0"/>
                <w:sz w:val="18"/>
                <w:szCs w:val="18"/>
              </w:rPr>
              <w:t>45</w:t>
            </w:r>
          </w:p>
        </w:tc>
        <w:tc>
          <w:tcPr>
            <w:tcW w:w="483" w:type="pct"/>
            <w:tcBorders>
              <w:top w:val="nil"/>
              <w:left w:val="nil"/>
              <w:bottom w:val="single" w:color="auto" w:sz="8" w:space="0"/>
              <w:right w:val="single" w:color="auto" w:sz="8" w:space="0"/>
            </w:tcBorders>
            <w:shd w:val="clear" w:color="auto" w:fill="auto"/>
            <w:vAlign w:val="center"/>
          </w:tcPr>
          <w:p w14:paraId="16CC2CF6">
            <w:pPr>
              <w:widowControl/>
              <w:spacing w:line="240" w:lineRule="auto"/>
              <w:jc w:val="center"/>
              <w:rPr>
                <w:rFonts w:eastAsia="等线"/>
                <w:kern w:val="0"/>
                <w:sz w:val="18"/>
                <w:szCs w:val="18"/>
              </w:rPr>
            </w:pPr>
            <w:r>
              <w:rPr>
                <w:rFonts w:eastAsia="等线"/>
                <w:kern w:val="0"/>
                <w:sz w:val="18"/>
                <w:szCs w:val="18"/>
              </w:rPr>
              <w:t>40</w:t>
            </w:r>
          </w:p>
        </w:tc>
        <w:tc>
          <w:tcPr>
            <w:tcW w:w="483" w:type="pct"/>
            <w:tcBorders>
              <w:top w:val="nil"/>
              <w:left w:val="nil"/>
              <w:bottom w:val="single" w:color="auto" w:sz="8" w:space="0"/>
              <w:right w:val="single" w:color="auto" w:sz="8" w:space="0"/>
            </w:tcBorders>
            <w:shd w:val="clear" w:color="auto" w:fill="auto"/>
            <w:vAlign w:val="center"/>
          </w:tcPr>
          <w:p w14:paraId="31E58AAC">
            <w:pPr>
              <w:widowControl/>
              <w:spacing w:line="240" w:lineRule="auto"/>
              <w:jc w:val="center"/>
              <w:rPr>
                <w:rFonts w:eastAsia="等线"/>
                <w:kern w:val="0"/>
                <w:sz w:val="18"/>
                <w:szCs w:val="18"/>
              </w:rPr>
            </w:pPr>
            <w:r>
              <w:rPr>
                <w:rFonts w:eastAsia="等线"/>
                <w:kern w:val="0"/>
                <w:sz w:val="18"/>
                <w:szCs w:val="18"/>
              </w:rPr>
              <w:t>35</w:t>
            </w:r>
          </w:p>
        </w:tc>
        <w:tc>
          <w:tcPr>
            <w:tcW w:w="483" w:type="pct"/>
            <w:tcBorders>
              <w:top w:val="nil"/>
              <w:left w:val="nil"/>
              <w:bottom w:val="single" w:color="auto" w:sz="8" w:space="0"/>
              <w:right w:val="single" w:color="auto" w:sz="8" w:space="0"/>
            </w:tcBorders>
            <w:shd w:val="clear" w:color="auto" w:fill="auto"/>
            <w:vAlign w:val="center"/>
          </w:tcPr>
          <w:p w14:paraId="4E05AFE4">
            <w:pPr>
              <w:widowControl/>
              <w:spacing w:line="240" w:lineRule="auto"/>
              <w:jc w:val="center"/>
              <w:rPr>
                <w:rFonts w:eastAsia="等线"/>
                <w:kern w:val="0"/>
                <w:sz w:val="18"/>
                <w:szCs w:val="18"/>
              </w:rPr>
            </w:pPr>
            <w:r>
              <w:rPr>
                <w:rFonts w:eastAsia="等线"/>
                <w:kern w:val="0"/>
                <w:sz w:val="18"/>
                <w:szCs w:val="18"/>
              </w:rPr>
              <w:t>30</w:t>
            </w:r>
          </w:p>
        </w:tc>
        <w:tc>
          <w:tcPr>
            <w:tcW w:w="476" w:type="pct"/>
            <w:tcBorders>
              <w:top w:val="nil"/>
              <w:left w:val="nil"/>
              <w:bottom w:val="single" w:color="auto" w:sz="8" w:space="0"/>
              <w:right w:val="single" w:color="auto" w:sz="8" w:space="0"/>
            </w:tcBorders>
            <w:shd w:val="clear" w:color="auto" w:fill="auto"/>
            <w:vAlign w:val="center"/>
          </w:tcPr>
          <w:p w14:paraId="4B399BA3">
            <w:pPr>
              <w:widowControl/>
              <w:spacing w:line="240" w:lineRule="auto"/>
              <w:jc w:val="center"/>
              <w:rPr>
                <w:rFonts w:eastAsia="等线"/>
                <w:kern w:val="0"/>
                <w:sz w:val="18"/>
                <w:szCs w:val="18"/>
              </w:rPr>
            </w:pPr>
            <w:r>
              <w:rPr>
                <w:rFonts w:eastAsia="等线"/>
                <w:kern w:val="0"/>
                <w:sz w:val="18"/>
                <w:szCs w:val="18"/>
              </w:rPr>
              <w:t>25</w:t>
            </w:r>
          </w:p>
        </w:tc>
      </w:tr>
      <w:tr w14:paraId="548D7538">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3F2ECD57">
            <w:pPr>
              <w:widowControl/>
              <w:spacing w:line="240" w:lineRule="auto"/>
              <w:jc w:val="center"/>
              <w:rPr>
                <w:rFonts w:eastAsia="等线"/>
                <w:kern w:val="0"/>
                <w:sz w:val="18"/>
                <w:szCs w:val="18"/>
              </w:rPr>
            </w:pPr>
            <w:r>
              <w:rPr>
                <w:rFonts w:eastAsia="等线"/>
                <w:kern w:val="0"/>
                <w:sz w:val="18"/>
                <w:szCs w:val="18"/>
              </w:rPr>
              <w:t>4500</w:t>
            </w:r>
          </w:p>
        </w:tc>
        <w:tc>
          <w:tcPr>
            <w:tcW w:w="487" w:type="pct"/>
            <w:tcBorders>
              <w:top w:val="nil"/>
              <w:left w:val="nil"/>
              <w:bottom w:val="single" w:color="auto" w:sz="8" w:space="0"/>
              <w:right w:val="single" w:color="auto" w:sz="8" w:space="0"/>
            </w:tcBorders>
            <w:shd w:val="clear" w:color="auto" w:fill="auto"/>
            <w:vAlign w:val="center"/>
          </w:tcPr>
          <w:p w14:paraId="018864D7">
            <w:pPr>
              <w:widowControl/>
              <w:spacing w:line="240" w:lineRule="auto"/>
              <w:jc w:val="center"/>
              <w:rPr>
                <w:rFonts w:eastAsia="等线"/>
                <w:kern w:val="0"/>
                <w:sz w:val="18"/>
                <w:szCs w:val="18"/>
              </w:rPr>
            </w:pPr>
            <w:r>
              <w:rPr>
                <w:rFonts w:eastAsia="等线"/>
                <w:kern w:val="0"/>
                <w:sz w:val="18"/>
                <w:szCs w:val="18"/>
              </w:rPr>
              <w:t>75</w:t>
            </w:r>
          </w:p>
        </w:tc>
        <w:tc>
          <w:tcPr>
            <w:tcW w:w="484" w:type="pct"/>
            <w:tcBorders>
              <w:top w:val="nil"/>
              <w:left w:val="nil"/>
              <w:bottom w:val="single" w:color="auto" w:sz="8" w:space="0"/>
              <w:right w:val="single" w:color="auto" w:sz="8" w:space="0"/>
            </w:tcBorders>
            <w:shd w:val="clear" w:color="auto" w:fill="auto"/>
            <w:vAlign w:val="center"/>
          </w:tcPr>
          <w:p w14:paraId="68914499">
            <w:pPr>
              <w:widowControl/>
              <w:spacing w:line="240" w:lineRule="auto"/>
              <w:jc w:val="center"/>
              <w:rPr>
                <w:rFonts w:eastAsia="等线"/>
                <w:kern w:val="0"/>
                <w:sz w:val="18"/>
                <w:szCs w:val="18"/>
              </w:rPr>
            </w:pPr>
            <w:r>
              <w:rPr>
                <w:rFonts w:eastAsia="等线"/>
                <w:kern w:val="0"/>
                <w:sz w:val="18"/>
                <w:szCs w:val="18"/>
              </w:rPr>
              <w:t>65</w:t>
            </w:r>
          </w:p>
        </w:tc>
        <w:tc>
          <w:tcPr>
            <w:tcW w:w="483" w:type="pct"/>
            <w:tcBorders>
              <w:top w:val="nil"/>
              <w:left w:val="nil"/>
              <w:bottom w:val="single" w:color="auto" w:sz="8" w:space="0"/>
              <w:right w:val="single" w:color="auto" w:sz="8" w:space="0"/>
            </w:tcBorders>
            <w:shd w:val="clear" w:color="auto" w:fill="auto"/>
            <w:vAlign w:val="center"/>
          </w:tcPr>
          <w:p w14:paraId="2801A024">
            <w:pPr>
              <w:widowControl/>
              <w:spacing w:line="240" w:lineRule="auto"/>
              <w:jc w:val="center"/>
              <w:rPr>
                <w:rFonts w:eastAsia="等线"/>
                <w:kern w:val="0"/>
                <w:sz w:val="18"/>
                <w:szCs w:val="18"/>
              </w:rPr>
            </w:pPr>
            <w:r>
              <w:rPr>
                <w:rFonts w:eastAsia="等线"/>
                <w:kern w:val="0"/>
                <w:sz w:val="18"/>
                <w:szCs w:val="18"/>
              </w:rPr>
              <w:t>60</w:t>
            </w:r>
          </w:p>
        </w:tc>
        <w:tc>
          <w:tcPr>
            <w:tcW w:w="483" w:type="pct"/>
            <w:tcBorders>
              <w:top w:val="nil"/>
              <w:left w:val="nil"/>
              <w:bottom w:val="single" w:color="auto" w:sz="8" w:space="0"/>
              <w:right w:val="single" w:color="auto" w:sz="8" w:space="0"/>
            </w:tcBorders>
            <w:shd w:val="clear" w:color="auto" w:fill="auto"/>
            <w:vAlign w:val="center"/>
          </w:tcPr>
          <w:p w14:paraId="61693C00">
            <w:pPr>
              <w:widowControl/>
              <w:spacing w:line="240" w:lineRule="auto"/>
              <w:jc w:val="center"/>
              <w:rPr>
                <w:rFonts w:eastAsia="等线"/>
                <w:kern w:val="0"/>
                <w:sz w:val="18"/>
                <w:szCs w:val="18"/>
              </w:rPr>
            </w:pPr>
            <w:r>
              <w:rPr>
                <w:rFonts w:eastAsia="等线"/>
                <w:kern w:val="0"/>
                <w:sz w:val="18"/>
                <w:szCs w:val="18"/>
              </w:rPr>
              <w:t>50</w:t>
            </w:r>
          </w:p>
        </w:tc>
        <w:tc>
          <w:tcPr>
            <w:tcW w:w="483" w:type="pct"/>
            <w:tcBorders>
              <w:top w:val="nil"/>
              <w:left w:val="nil"/>
              <w:bottom w:val="single" w:color="auto" w:sz="8" w:space="0"/>
              <w:right w:val="single" w:color="auto" w:sz="8" w:space="0"/>
            </w:tcBorders>
            <w:shd w:val="clear" w:color="auto" w:fill="auto"/>
            <w:vAlign w:val="center"/>
          </w:tcPr>
          <w:p w14:paraId="1D2FAB50">
            <w:pPr>
              <w:widowControl/>
              <w:spacing w:line="240" w:lineRule="auto"/>
              <w:jc w:val="center"/>
              <w:rPr>
                <w:rFonts w:eastAsia="等线"/>
                <w:kern w:val="0"/>
                <w:sz w:val="18"/>
                <w:szCs w:val="18"/>
              </w:rPr>
            </w:pPr>
            <w:r>
              <w:rPr>
                <w:rFonts w:eastAsia="等线"/>
                <w:kern w:val="0"/>
                <w:sz w:val="18"/>
                <w:szCs w:val="18"/>
              </w:rPr>
              <w:t>50</w:t>
            </w:r>
          </w:p>
        </w:tc>
        <w:tc>
          <w:tcPr>
            <w:tcW w:w="483" w:type="pct"/>
            <w:tcBorders>
              <w:top w:val="nil"/>
              <w:left w:val="nil"/>
              <w:bottom w:val="single" w:color="auto" w:sz="8" w:space="0"/>
              <w:right w:val="single" w:color="auto" w:sz="8" w:space="0"/>
            </w:tcBorders>
            <w:shd w:val="clear" w:color="auto" w:fill="auto"/>
            <w:vAlign w:val="center"/>
          </w:tcPr>
          <w:p w14:paraId="48CBD156">
            <w:pPr>
              <w:widowControl/>
              <w:spacing w:line="240" w:lineRule="auto"/>
              <w:jc w:val="center"/>
              <w:rPr>
                <w:rFonts w:eastAsia="等线"/>
                <w:kern w:val="0"/>
                <w:sz w:val="18"/>
                <w:szCs w:val="18"/>
              </w:rPr>
            </w:pPr>
            <w:r>
              <w:rPr>
                <w:rFonts w:eastAsia="等线"/>
                <w:kern w:val="0"/>
                <w:sz w:val="18"/>
                <w:szCs w:val="18"/>
              </w:rPr>
              <w:t>45</w:t>
            </w:r>
          </w:p>
        </w:tc>
        <w:tc>
          <w:tcPr>
            <w:tcW w:w="483" w:type="pct"/>
            <w:tcBorders>
              <w:top w:val="nil"/>
              <w:left w:val="nil"/>
              <w:bottom w:val="single" w:color="auto" w:sz="8" w:space="0"/>
              <w:right w:val="single" w:color="auto" w:sz="8" w:space="0"/>
            </w:tcBorders>
            <w:shd w:val="clear" w:color="auto" w:fill="auto"/>
            <w:vAlign w:val="center"/>
          </w:tcPr>
          <w:p w14:paraId="4E2AAFB3">
            <w:pPr>
              <w:widowControl/>
              <w:spacing w:line="240" w:lineRule="auto"/>
              <w:jc w:val="center"/>
              <w:rPr>
                <w:rFonts w:eastAsia="等线"/>
                <w:kern w:val="0"/>
                <w:sz w:val="18"/>
                <w:szCs w:val="18"/>
              </w:rPr>
            </w:pPr>
            <w:r>
              <w:rPr>
                <w:rFonts w:eastAsia="等线"/>
                <w:kern w:val="0"/>
                <w:sz w:val="18"/>
                <w:szCs w:val="18"/>
              </w:rPr>
              <w:t>35</w:t>
            </w:r>
          </w:p>
        </w:tc>
        <w:tc>
          <w:tcPr>
            <w:tcW w:w="483" w:type="pct"/>
            <w:tcBorders>
              <w:top w:val="nil"/>
              <w:left w:val="nil"/>
              <w:bottom w:val="single" w:color="auto" w:sz="8" w:space="0"/>
              <w:right w:val="single" w:color="auto" w:sz="8" w:space="0"/>
            </w:tcBorders>
            <w:shd w:val="clear" w:color="auto" w:fill="auto"/>
            <w:vAlign w:val="center"/>
          </w:tcPr>
          <w:p w14:paraId="56A34F9A">
            <w:pPr>
              <w:widowControl/>
              <w:spacing w:line="240" w:lineRule="auto"/>
              <w:jc w:val="center"/>
              <w:rPr>
                <w:rFonts w:eastAsia="等线"/>
                <w:kern w:val="0"/>
                <w:sz w:val="18"/>
                <w:szCs w:val="18"/>
              </w:rPr>
            </w:pPr>
            <w:r>
              <w:rPr>
                <w:rFonts w:eastAsia="等线"/>
                <w:kern w:val="0"/>
                <w:sz w:val="18"/>
                <w:szCs w:val="18"/>
              </w:rPr>
              <w:t>35</w:t>
            </w:r>
          </w:p>
        </w:tc>
        <w:tc>
          <w:tcPr>
            <w:tcW w:w="476" w:type="pct"/>
            <w:tcBorders>
              <w:top w:val="nil"/>
              <w:left w:val="nil"/>
              <w:bottom w:val="single" w:color="auto" w:sz="8" w:space="0"/>
              <w:right w:val="single" w:color="auto" w:sz="8" w:space="0"/>
            </w:tcBorders>
            <w:shd w:val="clear" w:color="auto" w:fill="auto"/>
            <w:vAlign w:val="center"/>
          </w:tcPr>
          <w:p w14:paraId="52319E29">
            <w:pPr>
              <w:widowControl/>
              <w:spacing w:line="240" w:lineRule="auto"/>
              <w:jc w:val="center"/>
              <w:rPr>
                <w:rFonts w:eastAsia="等线"/>
                <w:kern w:val="0"/>
                <w:sz w:val="18"/>
                <w:szCs w:val="18"/>
              </w:rPr>
            </w:pPr>
            <w:r>
              <w:rPr>
                <w:rFonts w:eastAsia="等线"/>
                <w:kern w:val="0"/>
                <w:sz w:val="18"/>
                <w:szCs w:val="18"/>
              </w:rPr>
              <w:t>30</w:t>
            </w:r>
          </w:p>
        </w:tc>
      </w:tr>
      <w:tr w14:paraId="21397866">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51D6B584">
            <w:pPr>
              <w:widowControl/>
              <w:spacing w:line="240" w:lineRule="auto"/>
              <w:jc w:val="center"/>
              <w:rPr>
                <w:rFonts w:eastAsia="等线"/>
                <w:kern w:val="0"/>
                <w:sz w:val="18"/>
                <w:szCs w:val="18"/>
              </w:rPr>
            </w:pPr>
            <w:r>
              <w:rPr>
                <w:rFonts w:eastAsia="等线"/>
                <w:kern w:val="0"/>
                <w:sz w:val="18"/>
                <w:szCs w:val="18"/>
              </w:rPr>
              <w:t>4000</w:t>
            </w:r>
          </w:p>
        </w:tc>
        <w:tc>
          <w:tcPr>
            <w:tcW w:w="487" w:type="pct"/>
            <w:tcBorders>
              <w:top w:val="nil"/>
              <w:left w:val="nil"/>
              <w:bottom w:val="single" w:color="auto" w:sz="8" w:space="0"/>
              <w:right w:val="single" w:color="auto" w:sz="8" w:space="0"/>
            </w:tcBorders>
            <w:shd w:val="clear" w:color="auto" w:fill="auto"/>
            <w:vAlign w:val="center"/>
          </w:tcPr>
          <w:p w14:paraId="34FE706E">
            <w:pPr>
              <w:widowControl/>
              <w:spacing w:line="240" w:lineRule="auto"/>
              <w:jc w:val="center"/>
              <w:rPr>
                <w:rFonts w:eastAsia="等线"/>
                <w:kern w:val="0"/>
                <w:sz w:val="18"/>
                <w:szCs w:val="18"/>
              </w:rPr>
            </w:pPr>
            <w:r>
              <w:rPr>
                <w:rFonts w:eastAsia="等线"/>
                <w:kern w:val="0"/>
                <w:sz w:val="18"/>
                <w:szCs w:val="18"/>
              </w:rPr>
              <w:t>80</w:t>
            </w:r>
          </w:p>
        </w:tc>
        <w:tc>
          <w:tcPr>
            <w:tcW w:w="484" w:type="pct"/>
            <w:tcBorders>
              <w:top w:val="nil"/>
              <w:left w:val="nil"/>
              <w:bottom w:val="single" w:color="auto" w:sz="8" w:space="0"/>
              <w:right w:val="single" w:color="auto" w:sz="8" w:space="0"/>
            </w:tcBorders>
            <w:shd w:val="clear" w:color="auto" w:fill="auto"/>
            <w:vAlign w:val="center"/>
          </w:tcPr>
          <w:p w14:paraId="202BFFE2">
            <w:pPr>
              <w:widowControl/>
              <w:spacing w:line="240" w:lineRule="auto"/>
              <w:jc w:val="center"/>
              <w:rPr>
                <w:rFonts w:eastAsia="等线"/>
                <w:kern w:val="0"/>
                <w:sz w:val="18"/>
                <w:szCs w:val="18"/>
              </w:rPr>
            </w:pPr>
            <w:r>
              <w:rPr>
                <w:rFonts w:eastAsia="等线"/>
                <w:kern w:val="0"/>
                <w:sz w:val="18"/>
                <w:szCs w:val="18"/>
              </w:rPr>
              <w:t>75</w:t>
            </w:r>
          </w:p>
        </w:tc>
        <w:tc>
          <w:tcPr>
            <w:tcW w:w="483" w:type="pct"/>
            <w:tcBorders>
              <w:top w:val="nil"/>
              <w:left w:val="nil"/>
              <w:bottom w:val="single" w:color="auto" w:sz="8" w:space="0"/>
              <w:right w:val="single" w:color="auto" w:sz="8" w:space="0"/>
            </w:tcBorders>
            <w:shd w:val="clear" w:color="auto" w:fill="auto"/>
            <w:vAlign w:val="center"/>
          </w:tcPr>
          <w:p w14:paraId="5304455C">
            <w:pPr>
              <w:widowControl/>
              <w:spacing w:line="240" w:lineRule="auto"/>
              <w:jc w:val="center"/>
              <w:rPr>
                <w:rFonts w:eastAsia="等线"/>
                <w:kern w:val="0"/>
                <w:sz w:val="18"/>
                <w:szCs w:val="18"/>
              </w:rPr>
            </w:pPr>
            <w:r>
              <w:rPr>
                <w:rFonts w:eastAsia="等线"/>
                <w:kern w:val="0"/>
                <w:sz w:val="18"/>
                <w:szCs w:val="18"/>
              </w:rPr>
              <w:t>75</w:t>
            </w:r>
          </w:p>
        </w:tc>
        <w:tc>
          <w:tcPr>
            <w:tcW w:w="483" w:type="pct"/>
            <w:tcBorders>
              <w:top w:val="nil"/>
              <w:left w:val="nil"/>
              <w:bottom w:val="single" w:color="auto" w:sz="8" w:space="0"/>
              <w:right w:val="single" w:color="auto" w:sz="8" w:space="0"/>
            </w:tcBorders>
            <w:shd w:val="clear" w:color="auto" w:fill="auto"/>
            <w:vAlign w:val="center"/>
          </w:tcPr>
          <w:p w14:paraId="65E5C677">
            <w:pPr>
              <w:widowControl/>
              <w:spacing w:line="240" w:lineRule="auto"/>
              <w:jc w:val="center"/>
              <w:rPr>
                <w:rFonts w:eastAsia="等线"/>
                <w:kern w:val="0"/>
                <w:sz w:val="18"/>
                <w:szCs w:val="18"/>
              </w:rPr>
            </w:pPr>
            <w:r>
              <w:rPr>
                <w:rFonts w:eastAsia="等线"/>
                <w:kern w:val="0"/>
                <w:sz w:val="18"/>
                <w:szCs w:val="18"/>
              </w:rPr>
              <w:t>60</w:t>
            </w:r>
          </w:p>
        </w:tc>
        <w:tc>
          <w:tcPr>
            <w:tcW w:w="483" w:type="pct"/>
            <w:tcBorders>
              <w:top w:val="nil"/>
              <w:left w:val="nil"/>
              <w:bottom w:val="single" w:color="auto" w:sz="8" w:space="0"/>
              <w:right w:val="single" w:color="auto" w:sz="8" w:space="0"/>
            </w:tcBorders>
            <w:shd w:val="clear" w:color="auto" w:fill="auto"/>
            <w:vAlign w:val="center"/>
          </w:tcPr>
          <w:p w14:paraId="3AFBC096">
            <w:pPr>
              <w:widowControl/>
              <w:spacing w:line="240" w:lineRule="auto"/>
              <w:jc w:val="center"/>
              <w:rPr>
                <w:rFonts w:eastAsia="等线"/>
                <w:kern w:val="0"/>
                <w:sz w:val="18"/>
                <w:szCs w:val="18"/>
              </w:rPr>
            </w:pPr>
            <w:r>
              <w:rPr>
                <w:rFonts w:eastAsia="等线"/>
                <w:kern w:val="0"/>
                <w:sz w:val="18"/>
                <w:szCs w:val="18"/>
              </w:rPr>
              <w:t>55</w:t>
            </w:r>
          </w:p>
        </w:tc>
        <w:tc>
          <w:tcPr>
            <w:tcW w:w="483" w:type="pct"/>
            <w:tcBorders>
              <w:top w:val="nil"/>
              <w:left w:val="nil"/>
              <w:bottom w:val="single" w:color="auto" w:sz="8" w:space="0"/>
              <w:right w:val="single" w:color="auto" w:sz="8" w:space="0"/>
            </w:tcBorders>
            <w:shd w:val="clear" w:color="auto" w:fill="auto"/>
            <w:vAlign w:val="center"/>
          </w:tcPr>
          <w:p w14:paraId="67180FE9">
            <w:pPr>
              <w:widowControl/>
              <w:spacing w:line="240" w:lineRule="auto"/>
              <w:jc w:val="center"/>
              <w:rPr>
                <w:rFonts w:eastAsia="等线"/>
                <w:kern w:val="0"/>
                <w:sz w:val="18"/>
                <w:szCs w:val="18"/>
              </w:rPr>
            </w:pPr>
            <w:r>
              <w:rPr>
                <w:rFonts w:eastAsia="等线"/>
                <w:kern w:val="0"/>
                <w:sz w:val="18"/>
                <w:szCs w:val="18"/>
              </w:rPr>
              <w:t>50</w:t>
            </w:r>
          </w:p>
        </w:tc>
        <w:tc>
          <w:tcPr>
            <w:tcW w:w="483" w:type="pct"/>
            <w:tcBorders>
              <w:top w:val="nil"/>
              <w:left w:val="nil"/>
              <w:bottom w:val="single" w:color="auto" w:sz="8" w:space="0"/>
              <w:right w:val="single" w:color="auto" w:sz="8" w:space="0"/>
            </w:tcBorders>
            <w:shd w:val="clear" w:color="auto" w:fill="auto"/>
            <w:vAlign w:val="center"/>
          </w:tcPr>
          <w:p w14:paraId="21273A2F">
            <w:pPr>
              <w:widowControl/>
              <w:spacing w:line="240" w:lineRule="auto"/>
              <w:jc w:val="center"/>
              <w:rPr>
                <w:rFonts w:eastAsia="等线"/>
                <w:kern w:val="0"/>
                <w:sz w:val="18"/>
                <w:szCs w:val="18"/>
              </w:rPr>
            </w:pPr>
            <w:r>
              <w:rPr>
                <w:rFonts w:eastAsia="等线"/>
                <w:kern w:val="0"/>
                <w:sz w:val="18"/>
                <w:szCs w:val="18"/>
              </w:rPr>
              <w:t>45</w:t>
            </w:r>
          </w:p>
        </w:tc>
        <w:tc>
          <w:tcPr>
            <w:tcW w:w="483" w:type="pct"/>
            <w:tcBorders>
              <w:top w:val="nil"/>
              <w:left w:val="nil"/>
              <w:bottom w:val="single" w:color="auto" w:sz="8" w:space="0"/>
              <w:right w:val="single" w:color="auto" w:sz="8" w:space="0"/>
            </w:tcBorders>
            <w:shd w:val="clear" w:color="auto" w:fill="auto"/>
            <w:vAlign w:val="center"/>
          </w:tcPr>
          <w:p w14:paraId="78EFDD0F">
            <w:pPr>
              <w:widowControl/>
              <w:spacing w:line="240" w:lineRule="auto"/>
              <w:jc w:val="center"/>
              <w:rPr>
                <w:rFonts w:eastAsia="等线"/>
                <w:kern w:val="0"/>
                <w:sz w:val="18"/>
                <w:szCs w:val="18"/>
              </w:rPr>
            </w:pPr>
            <w:r>
              <w:rPr>
                <w:rFonts w:eastAsia="等线"/>
                <w:kern w:val="0"/>
                <w:sz w:val="18"/>
                <w:szCs w:val="18"/>
              </w:rPr>
              <w:t>40</w:t>
            </w:r>
          </w:p>
        </w:tc>
        <w:tc>
          <w:tcPr>
            <w:tcW w:w="476" w:type="pct"/>
            <w:tcBorders>
              <w:top w:val="nil"/>
              <w:left w:val="nil"/>
              <w:bottom w:val="single" w:color="auto" w:sz="8" w:space="0"/>
              <w:right w:val="single" w:color="auto" w:sz="8" w:space="0"/>
            </w:tcBorders>
            <w:shd w:val="clear" w:color="auto" w:fill="auto"/>
            <w:vAlign w:val="center"/>
          </w:tcPr>
          <w:p w14:paraId="25008D4D">
            <w:pPr>
              <w:widowControl/>
              <w:spacing w:line="240" w:lineRule="auto"/>
              <w:jc w:val="center"/>
              <w:rPr>
                <w:rFonts w:eastAsia="等线"/>
                <w:kern w:val="0"/>
                <w:sz w:val="18"/>
                <w:szCs w:val="18"/>
              </w:rPr>
            </w:pPr>
            <w:r>
              <w:rPr>
                <w:rFonts w:eastAsia="等线"/>
                <w:kern w:val="0"/>
                <w:sz w:val="18"/>
                <w:szCs w:val="18"/>
              </w:rPr>
              <w:t>35</w:t>
            </w:r>
          </w:p>
        </w:tc>
      </w:tr>
      <w:tr w14:paraId="15A30D39">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34CCA816">
            <w:pPr>
              <w:widowControl/>
              <w:spacing w:line="240" w:lineRule="auto"/>
              <w:jc w:val="center"/>
              <w:rPr>
                <w:rFonts w:eastAsia="等线"/>
                <w:kern w:val="0"/>
                <w:sz w:val="18"/>
                <w:szCs w:val="18"/>
              </w:rPr>
            </w:pPr>
            <w:r>
              <w:rPr>
                <w:rFonts w:eastAsia="等线"/>
                <w:kern w:val="0"/>
                <w:sz w:val="18"/>
                <w:szCs w:val="18"/>
              </w:rPr>
              <w:t>3500</w:t>
            </w:r>
          </w:p>
        </w:tc>
        <w:tc>
          <w:tcPr>
            <w:tcW w:w="487" w:type="pct"/>
            <w:tcBorders>
              <w:top w:val="nil"/>
              <w:left w:val="nil"/>
              <w:bottom w:val="single" w:color="auto" w:sz="8" w:space="0"/>
              <w:right w:val="single" w:color="auto" w:sz="8" w:space="0"/>
            </w:tcBorders>
            <w:shd w:val="clear" w:color="auto" w:fill="auto"/>
            <w:vAlign w:val="center"/>
          </w:tcPr>
          <w:p w14:paraId="2A593553">
            <w:pPr>
              <w:widowControl/>
              <w:spacing w:line="240" w:lineRule="auto"/>
              <w:jc w:val="center"/>
              <w:rPr>
                <w:rFonts w:eastAsia="等线"/>
                <w:kern w:val="0"/>
                <w:sz w:val="18"/>
                <w:szCs w:val="18"/>
              </w:rPr>
            </w:pPr>
            <w:r>
              <w:rPr>
                <w:rFonts w:eastAsia="等线"/>
                <w:kern w:val="0"/>
                <w:sz w:val="18"/>
                <w:szCs w:val="18"/>
              </w:rPr>
              <w:t>90</w:t>
            </w:r>
          </w:p>
        </w:tc>
        <w:tc>
          <w:tcPr>
            <w:tcW w:w="484" w:type="pct"/>
            <w:tcBorders>
              <w:top w:val="nil"/>
              <w:left w:val="nil"/>
              <w:bottom w:val="single" w:color="auto" w:sz="8" w:space="0"/>
              <w:right w:val="single" w:color="auto" w:sz="8" w:space="0"/>
            </w:tcBorders>
            <w:shd w:val="clear" w:color="auto" w:fill="auto"/>
            <w:vAlign w:val="center"/>
          </w:tcPr>
          <w:p w14:paraId="3B5F891E">
            <w:pPr>
              <w:widowControl/>
              <w:spacing w:line="240" w:lineRule="auto"/>
              <w:jc w:val="center"/>
              <w:rPr>
                <w:rFonts w:eastAsia="等线"/>
                <w:kern w:val="0"/>
                <w:sz w:val="18"/>
                <w:szCs w:val="18"/>
              </w:rPr>
            </w:pPr>
            <w:r>
              <w:rPr>
                <w:rFonts w:eastAsia="等线"/>
                <w:kern w:val="0"/>
                <w:sz w:val="18"/>
                <w:szCs w:val="18"/>
              </w:rPr>
              <w:t>80</w:t>
            </w:r>
          </w:p>
        </w:tc>
        <w:tc>
          <w:tcPr>
            <w:tcW w:w="483" w:type="pct"/>
            <w:tcBorders>
              <w:top w:val="nil"/>
              <w:left w:val="nil"/>
              <w:bottom w:val="single" w:color="auto" w:sz="8" w:space="0"/>
              <w:right w:val="single" w:color="auto" w:sz="8" w:space="0"/>
            </w:tcBorders>
            <w:shd w:val="clear" w:color="auto" w:fill="auto"/>
            <w:vAlign w:val="center"/>
          </w:tcPr>
          <w:p w14:paraId="5B1C272D">
            <w:pPr>
              <w:widowControl/>
              <w:spacing w:line="240" w:lineRule="auto"/>
              <w:jc w:val="center"/>
              <w:rPr>
                <w:rFonts w:eastAsia="等线"/>
                <w:kern w:val="0"/>
                <w:sz w:val="18"/>
                <w:szCs w:val="18"/>
              </w:rPr>
            </w:pPr>
            <w:r>
              <w:rPr>
                <w:rFonts w:eastAsia="等线"/>
                <w:kern w:val="0"/>
                <w:sz w:val="18"/>
                <w:szCs w:val="18"/>
              </w:rPr>
              <w:t>75</w:t>
            </w:r>
          </w:p>
        </w:tc>
        <w:tc>
          <w:tcPr>
            <w:tcW w:w="483" w:type="pct"/>
            <w:tcBorders>
              <w:top w:val="nil"/>
              <w:left w:val="nil"/>
              <w:bottom w:val="single" w:color="auto" w:sz="8" w:space="0"/>
              <w:right w:val="single" w:color="auto" w:sz="8" w:space="0"/>
            </w:tcBorders>
            <w:shd w:val="clear" w:color="auto" w:fill="auto"/>
            <w:vAlign w:val="center"/>
          </w:tcPr>
          <w:p w14:paraId="6217DD09">
            <w:pPr>
              <w:widowControl/>
              <w:spacing w:line="240" w:lineRule="auto"/>
              <w:jc w:val="center"/>
              <w:rPr>
                <w:rFonts w:eastAsia="等线"/>
                <w:kern w:val="0"/>
                <w:sz w:val="18"/>
                <w:szCs w:val="18"/>
              </w:rPr>
            </w:pPr>
            <w:r>
              <w:rPr>
                <w:rFonts w:eastAsia="等线"/>
                <w:kern w:val="0"/>
                <w:sz w:val="18"/>
                <w:szCs w:val="18"/>
              </w:rPr>
              <w:t>65</w:t>
            </w:r>
          </w:p>
        </w:tc>
        <w:tc>
          <w:tcPr>
            <w:tcW w:w="483" w:type="pct"/>
            <w:tcBorders>
              <w:top w:val="nil"/>
              <w:left w:val="nil"/>
              <w:bottom w:val="single" w:color="auto" w:sz="8" w:space="0"/>
              <w:right w:val="single" w:color="auto" w:sz="8" w:space="0"/>
            </w:tcBorders>
            <w:shd w:val="clear" w:color="auto" w:fill="auto"/>
            <w:vAlign w:val="center"/>
          </w:tcPr>
          <w:p w14:paraId="48878D7E">
            <w:pPr>
              <w:widowControl/>
              <w:spacing w:line="240" w:lineRule="auto"/>
              <w:jc w:val="center"/>
              <w:rPr>
                <w:rFonts w:eastAsia="等线"/>
                <w:kern w:val="0"/>
                <w:sz w:val="18"/>
                <w:szCs w:val="18"/>
              </w:rPr>
            </w:pPr>
            <w:r>
              <w:rPr>
                <w:rFonts w:eastAsia="等线"/>
                <w:kern w:val="0"/>
                <w:sz w:val="18"/>
                <w:szCs w:val="18"/>
              </w:rPr>
              <w:t>60</w:t>
            </w:r>
          </w:p>
        </w:tc>
        <w:tc>
          <w:tcPr>
            <w:tcW w:w="483" w:type="pct"/>
            <w:tcBorders>
              <w:top w:val="nil"/>
              <w:left w:val="nil"/>
              <w:bottom w:val="single" w:color="auto" w:sz="8" w:space="0"/>
              <w:right w:val="single" w:color="auto" w:sz="8" w:space="0"/>
            </w:tcBorders>
            <w:shd w:val="clear" w:color="auto" w:fill="auto"/>
            <w:vAlign w:val="center"/>
          </w:tcPr>
          <w:p w14:paraId="134BF1D8">
            <w:pPr>
              <w:widowControl/>
              <w:spacing w:line="240" w:lineRule="auto"/>
              <w:jc w:val="center"/>
              <w:rPr>
                <w:rFonts w:eastAsia="等线"/>
                <w:kern w:val="0"/>
                <w:sz w:val="18"/>
                <w:szCs w:val="18"/>
              </w:rPr>
            </w:pPr>
            <w:r>
              <w:rPr>
                <w:rFonts w:eastAsia="等线"/>
                <w:kern w:val="0"/>
                <w:sz w:val="18"/>
                <w:szCs w:val="18"/>
              </w:rPr>
              <w:t>55</w:t>
            </w:r>
          </w:p>
        </w:tc>
        <w:tc>
          <w:tcPr>
            <w:tcW w:w="483" w:type="pct"/>
            <w:tcBorders>
              <w:top w:val="nil"/>
              <w:left w:val="nil"/>
              <w:bottom w:val="single" w:color="auto" w:sz="8" w:space="0"/>
              <w:right w:val="single" w:color="auto" w:sz="8" w:space="0"/>
            </w:tcBorders>
            <w:shd w:val="clear" w:color="auto" w:fill="auto"/>
            <w:vAlign w:val="center"/>
          </w:tcPr>
          <w:p w14:paraId="6389A17D">
            <w:pPr>
              <w:widowControl/>
              <w:spacing w:line="240" w:lineRule="auto"/>
              <w:jc w:val="center"/>
              <w:rPr>
                <w:rFonts w:eastAsia="等线"/>
                <w:kern w:val="0"/>
                <w:sz w:val="18"/>
                <w:szCs w:val="18"/>
              </w:rPr>
            </w:pPr>
            <w:r>
              <w:rPr>
                <w:rFonts w:eastAsia="等线"/>
                <w:kern w:val="0"/>
                <w:sz w:val="18"/>
                <w:szCs w:val="18"/>
              </w:rPr>
              <w:t>50</w:t>
            </w:r>
          </w:p>
        </w:tc>
        <w:tc>
          <w:tcPr>
            <w:tcW w:w="483" w:type="pct"/>
            <w:tcBorders>
              <w:top w:val="nil"/>
              <w:left w:val="nil"/>
              <w:bottom w:val="single" w:color="auto" w:sz="8" w:space="0"/>
              <w:right w:val="single" w:color="auto" w:sz="8" w:space="0"/>
            </w:tcBorders>
            <w:shd w:val="clear" w:color="auto" w:fill="auto"/>
            <w:vAlign w:val="center"/>
          </w:tcPr>
          <w:p w14:paraId="32053731">
            <w:pPr>
              <w:widowControl/>
              <w:spacing w:line="240" w:lineRule="auto"/>
              <w:jc w:val="center"/>
              <w:rPr>
                <w:rFonts w:eastAsia="等线"/>
                <w:kern w:val="0"/>
                <w:sz w:val="18"/>
                <w:szCs w:val="18"/>
              </w:rPr>
            </w:pPr>
            <w:r>
              <w:rPr>
                <w:rFonts w:eastAsia="等线"/>
                <w:kern w:val="0"/>
                <w:sz w:val="18"/>
                <w:szCs w:val="18"/>
              </w:rPr>
              <w:t>45</w:t>
            </w:r>
          </w:p>
        </w:tc>
        <w:tc>
          <w:tcPr>
            <w:tcW w:w="476" w:type="pct"/>
            <w:tcBorders>
              <w:top w:val="nil"/>
              <w:left w:val="nil"/>
              <w:bottom w:val="single" w:color="auto" w:sz="8" w:space="0"/>
              <w:right w:val="single" w:color="auto" w:sz="8" w:space="0"/>
            </w:tcBorders>
            <w:shd w:val="clear" w:color="auto" w:fill="auto"/>
            <w:vAlign w:val="center"/>
          </w:tcPr>
          <w:p w14:paraId="0D23132B">
            <w:pPr>
              <w:widowControl/>
              <w:spacing w:line="240" w:lineRule="auto"/>
              <w:jc w:val="center"/>
              <w:rPr>
                <w:rFonts w:eastAsia="等线"/>
                <w:kern w:val="0"/>
                <w:sz w:val="18"/>
                <w:szCs w:val="18"/>
              </w:rPr>
            </w:pPr>
            <w:r>
              <w:rPr>
                <w:rFonts w:eastAsia="等线"/>
                <w:kern w:val="0"/>
                <w:sz w:val="18"/>
                <w:szCs w:val="18"/>
              </w:rPr>
              <w:t>40</w:t>
            </w:r>
          </w:p>
        </w:tc>
      </w:tr>
      <w:tr w14:paraId="5CF890C5">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2B3F0AD1">
            <w:pPr>
              <w:widowControl/>
              <w:spacing w:line="240" w:lineRule="auto"/>
              <w:jc w:val="center"/>
              <w:rPr>
                <w:rFonts w:eastAsia="等线"/>
                <w:kern w:val="0"/>
                <w:sz w:val="18"/>
                <w:szCs w:val="18"/>
              </w:rPr>
            </w:pPr>
            <w:r>
              <w:rPr>
                <w:rFonts w:eastAsia="等线"/>
                <w:kern w:val="0"/>
                <w:sz w:val="18"/>
                <w:szCs w:val="18"/>
              </w:rPr>
              <w:t>3000</w:t>
            </w:r>
          </w:p>
        </w:tc>
        <w:tc>
          <w:tcPr>
            <w:tcW w:w="487" w:type="pct"/>
            <w:tcBorders>
              <w:top w:val="nil"/>
              <w:left w:val="nil"/>
              <w:bottom w:val="single" w:color="auto" w:sz="8" w:space="0"/>
              <w:right w:val="single" w:color="auto" w:sz="8" w:space="0"/>
            </w:tcBorders>
            <w:shd w:val="clear" w:color="auto" w:fill="auto"/>
            <w:vAlign w:val="center"/>
          </w:tcPr>
          <w:p w14:paraId="2C8EB5DD">
            <w:pPr>
              <w:widowControl/>
              <w:spacing w:line="240" w:lineRule="auto"/>
              <w:jc w:val="center"/>
              <w:rPr>
                <w:rFonts w:eastAsia="等线"/>
                <w:kern w:val="0"/>
                <w:sz w:val="18"/>
                <w:szCs w:val="18"/>
              </w:rPr>
            </w:pPr>
            <w:r>
              <w:rPr>
                <w:rFonts w:eastAsia="等线"/>
                <w:kern w:val="0"/>
                <w:sz w:val="18"/>
                <w:szCs w:val="18"/>
              </w:rPr>
              <w:t>105</w:t>
            </w:r>
          </w:p>
        </w:tc>
        <w:tc>
          <w:tcPr>
            <w:tcW w:w="484" w:type="pct"/>
            <w:tcBorders>
              <w:top w:val="nil"/>
              <w:left w:val="nil"/>
              <w:bottom w:val="single" w:color="auto" w:sz="8" w:space="0"/>
              <w:right w:val="single" w:color="auto" w:sz="8" w:space="0"/>
            </w:tcBorders>
            <w:shd w:val="clear" w:color="auto" w:fill="auto"/>
            <w:vAlign w:val="center"/>
          </w:tcPr>
          <w:p w14:paraId="79E3B320">
            <w:pPr>
              <w:widowControl/>
              <w:spacing w:line="240" w:lineRule="auto"/>
              <w:jc w:val="center"/>
              <w:rPr>
                <w:rFonts w:eastAsia="等线"/>
                <w:kern w:val="0"/>
                <w:sz w:val="18"/>
                <w:szCs w:val="18"/>
              </w:rPr>
            </w:pPr>
            <w:r>
              <w:rPr>
                <w:rFonts w:eastAsia="等线"/>
                <w:kern w:val="0"/>
                <w:sz w:val="18"/>
                <w:szCs w:val="18"/>
              </w:rPr>
              <w:t>95</w:t>
            </w:r>
          </w:p>
        </w:tc>
        <w:tc>
          <w:tcPr>
            <w:tcW w:w="483" w:type="pct"/>
            <w:tcBorders>
              <w:top w:val="nil"/>
              <w:left w:val="nil"/>
              <w:bottom w:val="single" w:color="auto" w:sz="8" w:space="0"/>
              <w:right w:val="single" w:color="auto" w:sz="8" w:space="0"/>
            </w:tcBorders>
            <w:shd w:val="clear" w:color="auto" w:fill="auto"/>
            <w:vAlign w:val="center"/>
          </w:tcPr>
          <w:p w14:paraId="2F5BDCA5">
            <w:pPr>
              <w:widowControl/>
              <w:spacing w:line="240" w:lineRule="auto"/>
              <w:jc w:val="center"/>
              <w:rPr>
                <w:rFonts w:eastAsia="等线"/>
                <w:kern w:val="0"/>
                <w:sz w:val="18"/>
                <w:szCs w:val="18"/>
              </w:rPr>
            </w:pPr>
            <w:r>
              <w:rPr>
                <w:rFonts w:eastAsia="等线"/>
                <w:kern w:val="0"/>
                <w:sz w:val="18"/>
                <w:szCs w:val="18"/>
              </w:rPr>
              <w:t>95</w:t>
            </w:r>
          </w:p>
        </w:tc>
        <w:tc>
          <w:tcPr>
            <w:tcW w:w="483" w:type="pct"/>
            <w:tcBorders>
              <w:top w:val="nil"/>
              <w:left w:val="nil"/>
              <w:bottom w:val="single" w:color="auto" w:sz="8" w:space="0"/>
              <w:right w:val="single" w:color="auto" w:sz="8" w:space="0"/>
            </w:tcBorders>
            <w:shd w:val="clear" w:color="auto" w:fill="auto"/>
            <w:vAlign w:val="center"/>
          </w:tcPr>
          <w:p w14:paraId="722C6FE5">
            <w:pPr>
              <w:widowControl/>
              <w:spacing w:line="240" w:lineRule="auto"/>
              <w:jc w:val="center"/>
              <w:rPr>
                <w:rFonts w:eastAsia="等线"/>
                <w:kern w:val="0"/>
                <w:sz w:val="18"/>
                <w:szCs w:val="18"/>
              </w:rPr>
            </w:pPr>
            <w:r>
              <w:rPr>
                <w:rFonts w:eastAsia="等线"/>
                <w:kern w:val="0"/>
                <w:sz w:val="18"/>
                <w:szCs w:val="18"/>
              </w:rPr>
              <w:t>80</w:t>
            </w:r>
          </w:p>
        </w:tc>
        <w:tc>
          <w:tcPr>
            <w:tcW w:w="483" w:type="pct"/>
            <w:tcBorders>
              <w:top w:val="nil"/>
              <w:left w:val="nil"/>
              <w:bottom w:val="single" w:color="auto" w:sz="8" w:space="0"/>
              <w:right w:val="single" w:color="auto" w:sz="8" w:space="0"/>
            </w:tcBorders>
            <w:shd w:val="clear" w:color="auto" w:fill="auto"/>
            <w:vAlign w:val="center"/>
          </w:tcPr>
          <w:p w14:paraId="2DCD88BF">
            <w:pPr>
              <w:widowControl/>
              <w:spacing w:line="240" w:lineRule="auto"/>
              <w:jc w:val="center"/>
              <w:rPr>
                <w:rFonts w:eastAsia="等线"/>
                <w:kern w:val="0"/>
                <w:sz w:val="18"/>
                <w:szCs w:val="18"/>
              </w:rPr>
            </w:pPr>
            <w:r>
              <w:rPr>
                <w:rFonts w:eastAsia="等线"/>
                <w:kern w:val="0"/>
                <w:sz w:val="18"/>
                <w:szCs w:val="18"/>
              </w:rPr>
              <w:t>70</w:t>
            </w:r>
          </w:p>
        </w:tc>
        <w:tc>
          <w:tcPr>
            <w:tcW w:w="483" w:type="pct"/>
            <w:tcBorders>
              <w:top w:val="nil"/>
              <w:left w:val="nil"/>
              <w:bottom w:val="single" w:color="auto" w:sz="8" w:space="0"/>
              <w:right w:val="single" w:color="auto" w:sz="8" w:space="0"/>
            </w:tcBorders>
            <w:shd w:val="clear" w:color="auto" w:fill="auto"/>
            <w:vAlign w:val="center"/>
          </w:tcPr>
          <w:p w14:paraId="4103D83C">
            <w:pPr>
              <w:widowControl/>
              <w:spacing w:line="240" w:lineRule="auto"/>
              <w:jc w:val="center"/>
              <w:rPr>
                <w:rFonts w:eastAsia="等线"/>
                <w:kern w:val="0"/>
                <w:sz w:val="18"/>
                <w:szCs w:val="18"/>
              </w:rPr>
            </w:pPr>
            <w:r>
              <w:rPr>
                <w:rFonts w:eastAsia="等线"/>
                <w:kern w:val="0"/>
                <w:sz w:val="18"/>
                <w:szCs w:val="18"/>
              </w:rPr>
              <w:t>65</w:t>
            </w:r>
          </w:p>
        </w:tc>
        <w:tc>
          <w:tcPr>
            <w:tcW w:w="483" w:type="pct"/>
            <w:tcBorders>
              <w:top w:val="nil"/>
              <w:left w:val="nil"/>
              <w:bottom w:val="single" w:color="auto" w:sz="8" w:space="0"/>
              <w:right w:val="single" w:color="auto" w:sz="8" w:space="0"/>
            </w:tcBorders>
            <w:shd w:val="clear" w:color="auto" w:fill="auto"/>
            <w:vAlign w:val="center"/>
          </w:tcPr>
          <w:p w14:paraId="4B8B4F43">
            <w:pPr>
              <w:widowControl/>
              <w:spacing w:line="240" w:lineRule="auto"/>
              <w:jc w:val="center"/>
              <w:rPr>
                <w:rFonts w:eastAsia="等线"/>
                <w:kern w:val="0"/>
                <w:sz w:val="18"/>
                <w:szCs w:val="18"/>
              </w:rPr>
            </w:pPr>
            <w:r>
              <w:rPr>
                <w:rFonts w:eastAsia="等线"/>
                <w:kern w:val="0"/>
                <w:sz w:val="18"/>
                <w:szCs w:val="18"/>
              </w:rPr>
              <w:t>55</w:t>
            </w:r>
          </w:p>
        </w:tc>
        <w:tc>
          <w:tcPr>
            <w:tcW w:w="483" w:type="pct"/>
            <w:tcBorders>
              <w:top w:val="nil"/>
              <w:left w:val="nil"/>
              <w:bottom w:val="single" w:color="auto" w:sz="8" w:space="0"/>
              <w:right w:val="single" w:color="auto" w:sz="8" w:space="0"/>
            </w:tcBorders>
            <w:shd w:val="clear" w:color="auto" w:fill="auto"/>
            <w:vAlign w:val="center"/>
          </w:tcPr>
          <w:p w14:paraId="3A6C9289">
            <w:pPr>
              <w:widowControl/>
              <w:spacing w:line="240" w:lineRule="auto"/>
              <w:jc w:val="center"/>
              <w:rPr>
                <w:rFonts w:eastAsia="等线"/>
                <w:kern w:val="0"/>
                <w:sz w:val="18"/>
                <w:szCs w:val="18"/>
              </w:rPr>
            </w:pPr>
            <w:r>
              <w:rPr>
                <w:rFonts w:eastAsia="等线"/>
                <w:kern w:val="0"/>
                <w:sz w:val="18"/>
                <w:szCs w:val="18"/>
              </w:rPr>
              <w:t>55</w:t>
            </w:r>
          </w:p>
        </w:tc>
        <w:tc>
          <w:tcPr>
            <w:tcW w:w="476" w:type="pct"/>
            <w:tcBorders>
              <w:top w:val="nil"/>
              <w:left w:val="nil"/>
              <w:bottom w:val="single" w:color="auto" w:sz="8" w:space="0"/>
              <w:right w:val="single" w:color="auto" w:sz="8" w:space="0"/>
            </w:tcBorders>
            <w:shd w:val="clear" w:color="auto" w:fill="auto"/>
            <w:vAlign w:val="center"/>
          </w:tcPr>
          <w:p w14:paraId="723E5966">
            <w:pPr>
              <w:widowControl/>
              <w:spacing w:line="240" w:lineRule="auto"/>
              <w:jc w:val="center"/>
              <w:rPr>
                <w:rFonts w:eastAsia="等线"/>
                <w:kern w:val="0"/>
                <w:sz w:val="18"/>
                <w:szCs w:val="18"/>
              </w:rPr>
            </w:pPr>
            <w:r>
              <w:rPr>
                <w:rFonts w:eastAsia="等线"/>
                <w:kern w:val="0"/>
                <w:sz w:val="18"/>
                <w:szCs w:val="18"/>
              </w:rPr>
              <w:t>45</w:t>
            </w:r>
          </w:p>
        </w:tc>
      </w:tr>
      <w:tr w14:paraId="0414C298">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46D6B300">
            <w:pPr>
              <w:widowControl/>
              <w:spacing w:line="240" w:lineRule="auto"/>
              <w:jc w:val="center"/>
              <w:rPr>
                <w:rFonts w:eastAsia="等线"/>
                <w:kern w:val="0"/>
                <w:sz w:val="18"/>
                <w:szCs w:val="18"/>
              </w:rPr>
            </w:pPr>
            <w:r>
              <w:rPr>
                <w:rFonts w:eastAsia="等线"/>
                <w:kern w:val="0"/>
                <w:sz w:val="18"/>
                <w:szCs w:val="18"/>
              </w:rPr>
              <w:t>2500</w:t>
            </w:r>
          </w:p>
        </w:tc>
        <w:tc>
          <w:tcPr>
            <w:tcW w:w="487" w:type="pct"/>
            <w:tcBorders>
              <w:top w:val="nil"/>
              <w:left w:val="nil"/>
              <w:bottom w:val="single" w:color="auto" w:sz="8" w:space="0"/>
              <w:right w:val="single" w:color="auto" w:sz="8" w:space="0"/>
            </w:tcBorders>
            <w:shd w:val="clear" w:color="auto" w:fill="auto"/>
            <w:vAlign w:val="center"/>
          </w:tcPr>
          <w:p w14:paraId="359DF43F">
            <w:pPr>
              <w:widowControl/>
              <w:spacing w:line="240" w:lineRule="auto"/>
              <w:jc w:val="center"/>
              <w:rPr>
                <w:rFonts w:eastAsia="等线"/>
                <w:kern w:val="0"/>
                <w:sz w:val="18"/>
                <w:szCs w:val="18"/>
              </w:rPr>
            </w:pPr>
            <w:r>
              <w:rPr>
                <w:rFonts w:eastAsia="等线"/>
                <w:kern w:val="0"/>
                <w:sz w:val="18"/>
                <w:szCs w:val="18"/>
              </w:rPr>
              <w:t>125</w:t>
            </w:r>
          </w:p>
        </w:tc>
        <w:tc>
          <w:tcPr>
            <w:tcW w:w="484" w:type="pct"/>
            <w:tcBorders>
              <w:top w:val="nil"/>
              <w:left w:val="nil"/>
              <w:bottom w:val="single" w:color="auto" w:sz="8" w:space="0"/>
              <w:right w:val="single" w:color="auto" w:sz="8" w:space="0"/>
            </w:tcBorders>
            <w:shd w:val="clear" w:color="auto" w:fill="auto"/>
            <w:vAlign w:val="center"/>
          </w:tcPr>
          <w:p w14:paraId="07AFE849">
            <w:pPr>
              <w:widowControl/>
              <w:spacing w:line="240" w:lineRule="auto"/>
              <w:jc w:val="center"/>
              <w:rPr>
                <w:rFonts w:eastAsia="等线"/>
                <w:kern w:val="0"/>
                <w:sz w:val="18"/>
                <w:szCs w:val="18"/>
              </w:rPr>
            </w:pPr>
            <w:r>
              <w:rPr>
                <w:rFonts w:eastAsia="等线"/>
                <w:kern w:val="0"/>
                <w:sz w:val="18"/>
                <w:szCs w:val="18"/>
              </w:rPr>
              <w:t>115</w:t>
            </w:r>
          </w:p>
        </w:tc>
        <w:tc>
          <w:tcPr>
            <w:tcW w:w="483" w:type="pct"/>
            <w:tcBorders>
              <w:top w:val="nil"/>
              <w:left w:val="nil"/>
              <w:bottom w:val="single" w:color="auto" w:sz="8" w:space="0"/>
              <w:right w:val="single" w:color="auto" w:sz="8" w:space="0"/>
            </w:tcBorders>
            <w:shd w:val="clear" w:color="auto" w:fill="auto"/>
            <w:vAlign w:val="center"/>
          </w:tcPr>
          <w:p w14:paraId="026EF25E">
            <w:pPr>
              <w:widowControl/>
              <w:spacing w:line="240" w:lineRule="auto"/>
              <w:jc w:val="center"/>
              <w:rPr>
                <w:rFonts w:eastAsia="等线"/>
                <w:kern w:val="0"/>
                <w:sz w:val="18"/>
                <w:szCs w:val="18"/>
              </w:rPr>
            </w:pPr>
            <w:r>
              <w:rPr>
                <w:rFonts w:eastAsia="等线"/>
                <w:kern w:val="0"/>
                <w:sz w:val="18"/>
                <w:szCs w:val="18"/>
              </w:rPr>
              <w:t>105</w:t>
            </w:r>
          </w:p>
        </w:tc>
        <w:tc>
          <w:tcPr>
            <w:tcW w:w="483" w:type="pct"/>
            <w:tcBorders>
              <w:top w:val="nil"/>
              <w:left w:val="nil"/>
              <w:bottom w:val="single" w:color="auto" w:sz="8" w:space="0"/>
              <w:right w:val="single" w:color="auto" w:sz="8" w:space="0"/>
            </w:tcBorders>
            <w:shd w:val="clear" w:color="auto" w:fill="auto"/>
            <w:vAlign w:val="center"/>
          </w:tcPr>
          <w:p w14:paraId="7554BC50">
            <w:pPr>
              <w:widowControl/>
              <w:spacing w:line="240" w:lineRule="auto"/>
              <w:jc w:val="center"/>
              <w:rPr>
                <w:rFonts w:eastAsia="等线"/>
                <w:kern w:val="0"/>
                <w:sz w:val="18"/>
                <w:szCs w:val="18"/>
              </w:rPr>
            </w:pPr>
            <w:r>
              <w:rPr>
                <w:rFonts w:eastAsia="等线"/>
                <w:kern w:val="0"/>
                <w:sz w:val="18"/>
                <w:szCs w:val="18"/>
              </w:rPr>
              <w:t>95</w:t>
            </w:r>
          </w:p>
        </w:tc>
        <w:tc>
          <w:tcPr>
            <w:tcW w:w="483" w:type="pct"/>
            <w:tcBorders>
              <w:top w:val="nil"/>
              <w:left w:val="nil"/>
              <w:bottom w:val="single" w:color="auto" w:sz="8" w:space="0"/>
              <w:right w:val="single" w:color="auto" w:sz="8" w:space="0"/>
            </w:tcBorders>
            <w:shd w:val="clear" w:color="auto" w:fill="auto"/>
            <w:vAlign w:val="center"/>
          </w:tcPr>
          <w:p w14:paraId="4EC943CC">
            <w:pPr>
              <w:widowControl/>
              <w:spacing w:line="240" w:lineRule="auto"/>
              <w:jc w:val="center"/>
              <w:rPr>
                <w:rFonts w:eastAsia="等线"/>
                <w:kern w:val="0"/>
                <w:sz w:val="18"/>
                <w:szCs w:val="18"/>
              </w:rPr>
            </w:pPr>
            <w:r>
              <w:rPr>
                <w:rFonts w:eastAsia="等线"/>
                <w:kern w:val="0"/>
                <w:sz w:val="18"/>
                <w:szCs w:val="18"/>
              </w:rPr>
              <w:t>90</w:t>
            </w:r>
          </w:p>
        </w:tc>
        <w:tc>
          <w:tcPr>
            <w:tcW w:w="483" w:type="pct"/>
            <w:tcBorders>
              <w:top w:val="nil"/>
              <w:left w:val="nil"/>
              <w:bottom w:val="single" w:color="auto" w:sz="8" w:space="0"/>
              <w:right w:val="single" w:color="auto" w:sz="8" w:space="0"/>
            </w:tcBorders>
            <w:shd w:val="clear" w:color="auto" w:fill="auto"/>
            <w:vAlign w:val="center"/>
          </w:tcPr>
          <w:p w14:paraId="1A3AC7E5">
            <w:pPr>
              <w:widowControl/>
              <w:spacing w:line="240" w:lineRule="auto"/>
              <w:jc w:val="center"/>
              <w:rPr>
                <w:rFonts w:eastAsia="等线"/>
                <w:kern w:val="0"/>
                <w:sz w:val="18"/>
                <w:szCs w:val="18"/>
              </w:rPr>
            </w:pPr>
            <w:r>
              <w:rPr>
                <w:rFonts w:eastAsia="等线"/>
                <w:kern w:val="0"/>
                <w:sz w:val="18"/>
                <w:szCs w:val="18"/>
              </w:rPr>
              <w:t>75</w:t>
            </w:r>
          </w:p>
        </w:tc>
        <w:tc>
          <w:tcPr>
            <w:tcW w:w="483" w:type="pct"/>
            <w:tcBorders>
              <w:top w:val="nil"/>
              <w:left w:val="nil"/>
              <w:bottom w:val="single" w:color="auto" w:sz="8" w:space="0"/>
              <w:right w:val="single" w:color="auto" w:sz="8" w:space="0"/>
            </w:tcBorders>
            <w:shd w:val="clear" w:color="auto" w:fill="auto"/>
            <w:vAlign w:val="center"/>
          </w:tcPr>
          <w:p w14:paraId="5C136D6A">
            <w:pPr>
              <w:widowControl/>
              <w:spacing w:line="240" w:lineRule="auto"/>
              <w:jc w:val="center"/>
              <w:rPr>
                <w:rFonts w:eastAsia="等线"/>
                <w:kern w:val="0"/>
                <w:sz w:val="18"/>
                <w:szCs w:val="18"/>
              </w:rPr>
            </w:pPr>
            <w:r>
              <w:rPr>
                <w:rFonts w:eastAsia="等线"/>
                <w:kern w:val="0"/>
                <w:sz w:val="18"/>
                <w:szCs w:val="18"/>
              </w:rPr>
              <w:t>70</w:t>
            </w:r>
          </w:p>
        </w:tc>
        <w:tc>
          <w:tcPr>
            <w:tcW w:w="483" w:type="pct"/>
            <w:tcBorders>
              <w:top w:val="nil"/>
              <w:left w:val="nil"/>
              <w:bottom w:val="single" w:color="auto" w:sz="8" w:space="0"/>
              <w:right w:val="single" w:color="auto" w:sz="8" w:space="0"/>
            </w:tcBorders>
            <w:shd w:val="clear" w:color="auto" w:fill="auto"/>
            <w:vAlign w:val="center"/>
          </w:tcPr>
          <w:p w14:paraId="70595173">
            <w:pPr>
              <w:widowControl/>
              <w:spacing w:line="240" w:lineRule="auto"/>
              <w:jc w:val="center"/>
              <w:rPr>
                <w:rFonts w:eastAsia="等线"/>
                <w:kern w:val="0"/>
                <w:sz w:val="18"/>
                <w:szCs w:val="18"/>
              </w:rPr>
            </w:pPr>
            <w:r>
              <w:rPr>
                <w:rFonts w:eastAsia="等线"/>
                <w:kern w:val="0"/>
                <w:sz w:val="18"/>
                <w:szCs w:val="18"/>
              </w:rPr>
              <w:t>60</w:t>
            </w:r>
          </w:p>
        </w:tc>
        <w:tc>
          <w:tcPr>
            <w:tcW w:w="476" w:type="pct"/>
            <w:tcBorders>
              <w:top w:val="nil"/>
              <w:left w:val="nil"/>
              <w:bottom w:val="single" w:color="auto" w:sz="8" w:space="0"/>
              <w:right w:val="single" w:color="auto" w:sz="8" w:space="0"/>
            </w:tcBorders>
            <w:shd w:val="clear" w:color="auto" w:fill="auto"/>
            <w:vAlign w:val="center"/>
          </w:tcPr>
          <w:p w14:paraId="2D968FBB">
            <w:pPr>
              <w:widowControl/>
              <w:spacing w:line="240" w:lineRule="auto"/>
              <w:jc w:val="center"/>
              <w:rPr>
                <w:rFonts w:eastAsia="等线"/>
                <w:kern w:val="0"/>
                <w:sz w:val="18"/>
                <w:szCs w:val="18"/>
              </w:rPr>
            </w:pPr>
            <w:r>
              <w:rPr>
                <w:rFonts w:eastAsia="等线"/>
                <w:kern w:val="0"/>
                <w:sz w:val="18"/>
                <w:szCs w:val="18"/>
              </w:rPr>
              <w:t>55</w:t>
            </w:r>
          </w:p>
        </w:tc>
      </w:tr>
      <w:tr w14:paraId="6BAEFF70">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2B79E38A">
            <w:pPr>
              <w:widowControl/>
              <w:spacing w:line="240" w:lineRule="auto"/>
              <w:jc w:val="center"/>
              <w:rPr>
                <w:rFonts w:eastAsia="等线"/>
                <w:kern w:val="0"/>
                <w:sz w:val="18"/>
                <w:szCs w:val="18"/>
              </w:rPr>
            </w:pPr>
            <w:r>
              <w:rPr>
                <w:rFonts w:eastAsia="等线"/>
                <w:kern w:val="0"/>
                <w:sz w:val="18"/>
                <w:szCs w:val="18"/>
              </w:rPr>
              <w:t>2000</w:t>
            </w:r>
          </w:p>
        </w:tc>
        <w:tc>
          <w:tcPr>
            <w:tcW w:w="487" w:type="pct"/>
            <w:tcBorders>
              <w:top w:val="nil"/>
              <w:left w:val="nil"/>
              <w:bottom w:val="single" w:color="auto" w:sz="8" w:space="0"/>
              <w:right w:val="single" w:color="auto" w:sz="8" w:space="0"/>
            </w:tcBorders>
            <w:shd w:val="clear" w:color="auto" w:fill="auto"/>
            <w:vAlign w:val="center"/>
          </w:tcPr>
          <w:p w14:paraId="7E1ADFF3">
            <w:pPr>
              <w:widowControl/>
              <w:spacing w:line="240" w:lineRule="auto"/>
              <w:jc w:val="center"/>
              <w:rPr>
                <w:rFonts w:eastAsia="等线"/>
                <w:kern w:val="0"/>
                <w:sz w:val="18"/>
                <w:szCs w:val="18"/>
              </w:rPr>
            </w:pPr>
            <w:r>
              <w:rPr>
                <w:rFonts w:eastAsia="等线"/>
                <w:kern w:val="0"/>
                <w:sz w:val="18"/>
                <w:szCs w:val="18"/>
              </w:rPr>
              <w:t>155</w:t>
            </w:r>
          </w:p>
        </w:tc>
        <w:tc>
          <w:tcPr>
            <w:tcW w:w="484" w:type="pct"/>
            <w:tcBorders>
              <w:top w:val="nil"/>
              <w:left w:val="nil"/>
              <w:bottom w:val="single" w:color="auto" w:sz="8" w:space="0"/>
              <w:right w:val="single" w:color="auto" w:sz="8" w:space="0"/>
            </w:tcBorders>
            <w:shd w:val="clear" w:color="auto" w:fill="auto"/>
            <w:vAlign w:val="center"/>
          </w:tcPr>
          <w:p w14:paraId="680E5DAB">
            <w:pPr>
              <w:widowControl/>
              <w:spacing w:line="240" w:lineRule="auto"/>
              <w:jc w:val="center"/>
              <w:rPr>
                <w:rFonts w:eastAsia="等线"/>
                <w:kern w:val="0"/>
                <w:sz w:val="18"/>
                <w:szCs w:val="18"/>
              </w:rPr>
            </w:pPr>
            <w:r>
              <w:rPr>
                <w:rFonts w:eastAsia="等线"/>
                <w:kern w:val="0"/>
                <w:sz w:val="18"/>
                <w:szCs w:val="18"/>
              </w:rPr>
              <w:t>145</w:t>
            </w:r>
          </w:p>
        </w:tc>
        <w:tc>
          <w:tcPr>
            <w:tcW w:w="483" w:type="pct"/>
            <w:tcBorders>
              <w:top w:val="nil"/>
              <w:left w:val="nil"/>
              <w:bottom w:val="single" w:color="auto" w:sz="8" w:space="0"/>
              <w:right w:val="single" w:color="auto" w:sz="8" w:space="0"/>
            </w:tcBorders>
            <w:shd w:val="clear" w:color="auto" w:fill="auto"/>
            <w:vAlign w:val="center"/>
          </w:tcPr>
          <w:p w14:paraId="0A2C54A6">
            <w:pPr>
              <w:widowControl/>
              <w:spacing w:line="240" w:lineRule="auto"/>
              <w:jc w:val="center"/>
              <w:rPr>
                <w:rFonts w:eastAsia="等线"/>
                <w:kern w:val="0"/>
                <w:sz w:val="18"/>
                <w:szCs w:val="18"/>
              </w:rPr>
            </w:pPr>
            <w:r>
              <w:rPr>
                <w:rFonts w:eastAsia="等线"/>
                <w:kern w:val="0"/>
                <w:sz w:val="18"/>
                <w:szCs w:val="18"/>
              </w:rPr>
              <w:t>130</w:t>
            </w:r>
          </w:p>
        </w:tc>
        <w:tc>
          <w:tcPr>
            <w:tcW w:w="483" w:type="pct"/>
            <w:tcBorders>
              <w:top w:val="nil"/>
              <w:left w:val="nil"/>
              <w:bottom w:val="single" w:color="auto" w:sz="8" w:space="0"/>
              <w:right w:val="single" w:color="auto" w:sz="8" w:space="0"/>
            </w:tcBorders>
            <w:shd w:val="clear" w:color="auto" w:fill="auto"/>
            <w:vAlign w:val="center"/>
          </w:tcPr>
          <w:p w14:paraId="61B80A84">
            <w:pPr>
              <w:widowControl/>
              <w:spacing w:line="240" w:lineRule="auto"/>
              <w:jc w:val="center"/>
              <w:rPr>
                <w:rFonts w:eastAsia="等线"/>
                <w:kern w:val="0"/>
                <w:sz w:val="18"/>
                <w:szCs w:val="18"/>
              </w:rPr>
            </w:pPr>
            <w:r>
              <w:rPr>
                <w:rFonts w:eastAsia="等线"/>
                <w:kern w:val="0"/>
                <w:sz w:val="18"/>
                <w:szCs w:val="18"/>
              </w:rPr>
              <w:t>115</w:t>
            </w:r>
          </w:p>
        </w:tc>
        <w:tc>
          <w:tcPr>
            <w:tcW w:w="483" w:type="pct"/>
            <w:tcBorders>
              <w:top w:val="nil"/>
              <w:left w:val="nil"/>
              <w:bottom w:val="single" w:color="auto" w:sz="8" w:space="0"/>
              <w:right w:val="single" w:color="auto" w:sz="8" w:space="0"/>
            </w:tcBorders>
            <w:shd w:val="clear" w:color="auto" w:fill="auto"/>
            <w:vAlign w:val="center"/>
          </w:tcPr>
          <w:p w14:paraId="6C785C37">
            <w:pPr>
              <w:widowControl/>
              <w:spacing w:line="240" w:lineRule="auto"/>
              <w:jc w:val="center"/>
              <w:rPr>
                <w:rFonts w:eastAsia="等线"/>
                <w:kern w:val="0"/>
                <w:sz w:val="18"/>
                <w:szCs w:val="18"/>
              </w:rPr>
            </w:pPr>
            <w:r>
              <w:rPr>
                <w:rFonts w:eastAsia="等线"/>
                <w:kern w:val="0"/>
                <w:sz w:val="18"/>
                <w:szCs w:val="18"/>
              </w:rPr>
              <w:t>105</w:t>
            </w:r>
          </w:p>
        </w:tc>
        <w:tc>
          <w:tcPr>
            <w:tcW w:w="483" w:type="pct"/>
            <w:tcBorders>
              <w:top w:val="nil"/>
              <w:left w:val="nil"/>
              <w:bottom w:val="single" w:color="auto" w:sz="8" w:space="0"/>
              <w:right w:val="single" w:color="auto" w:sz="8" w:space="0"/>
            </w:tcBorders>
            <w:shd w:val="clear" w:color="auto" w:fill="auto"/>
            <w:vAlign w:val="center"/>
          </w:tcPr>
          <w:p w14:paraId="6076AA42">
            <w:pPr>
              <w:widowControl/>
              <w:spacing w:line="240" w:lineRule="auto"/>
              <w:jc w:val="center"/>
              <w:rPr>
                <w:rFonts w:eastAsia="等线"/>
                <w:kern w:val="0"/>
                <w:sz w:val="18"/>
                <w:szCs w:val="18"/>
              </w:rPr>
            </w:pPr>
            <w:r>
              <w:rPr>
                <w:rFonts w:eastAsia="等线"/>
                <w:kern w:val="0"/>
                <w:sz w:val="18"/>
                <w:szCs w:val="18"/>
              </w:rPr>
              <w:t>95</w:t>
            </w:r>
          </w:p>
        </w:tc>
        <w:tc>
          <w:tcPr>
            <w:tcW w:w="483" w:type="pct"/>
            <w:tcBorders>
              <w:top w:val="nil"/>
              <w:left w:val="nil"/>
              <w:bottom w:val="single" w:color="auto" w:sz="8" w:space="0"/>
              <w:right w:val="single" w:color="auto" w:sz="8" w:space="0"/>
            </w:tcBorders>
            <w:shd w:val="clear" w:color="auto" w:fill="auto"/>
            <w:vAlign w:val="center"/>
          </w:tcPr>
          <w:p w14:paraId="436E7E9E">
            <w:pPr>
              <w:widowControl/>
              <w:spacing w:line="240" w:lineRule="auto"/>
              <w:jc w:val="center"/>
              <w:rPr>
                <w:rFonts w:eastAsia="等线"/>
                <w:kern w:val="0"/>
                <w:sz w:val="18"/>
                <w:szCs w:val="18"/>
              </w:rPr>
            </w:pPr>
            <w:r>
              <w:rPr>
                <w:rFonts w:eastAsia="等线"/>
                <w:kern w:val="0"/>
                <w:sz w:val="18"/>
                <w:szCs w:val="18"/>
              </w:rPr>
              <w:t>85</w:t>
            </w:r>
          </w:p>
        </w:tc>
        <w:tc>
          <w:tcPr>
            <w:tcW w:w="483" w:type="pct"/>
            <w:tcBorders>
              <w:top w:val="nil"/>
              <w:left w:val="nil"/>
              <w:bottom w:val="single" w:color="auto" w:sz="8" w:space="0"/>
              <w:right w:val="single" w:color="auto" w:sz="8" w:space="0"/>
            </w:tcBorders>
            <w:shd w:val="clear" w:color="auto" w:fill="auto"/>
            <w:vAlign w:val="center"/>
          </w:tcPr>
          <w:p w14:paraId="00FC48AC">
            <w:pPr>
              <w:widowControl/>
              <w:spacing w:line="240" w:lineRule="auto"/>
              <w:jc w:val="center"/>
              <w:rPr>
                <w:rFonts w:eastAsia="等线"/>
                <w:kern w:val="0"/>
                <w:sz w:val="18"/>
                <w:szCs w:val="18"/>
              </w:rPr>
            </w:pPr>
            <w:r>
              <w:rPr>
                <w:rFonts w:eastAsia="等线"/>
                <w:kern w:val="0"/>
                <w:sz w:val="18"/>
                <w:szCs w:val="18"/>
              </w:rPr>
              <w:t>75</w:t>
            </w:r>
          </w:p>
        </w:tc>
        <w:tc>
          <w:tcPr>
            <w:tcW w:w="476" w:type="pct"/>
            <w:tcBorders>
              <w:top w:val="nil"/>
              <w:left w:val="nil"/>
              <w:bottom w:val="single" w:color="auto" w:sz="8" w:space="0"/>
              <w:right w:val="single" w:color="auto" w:sz="8" w:space="0"/>
            </w:tcBorders>
            <w:shd w:val="clear" w:color="auto" w:fill="auto"/>
            <w:vAlign w:val="center"/>
          </w:tcPr>
          <w:p w14:paraId="697C96B8">
            <w:pPr>
              <w:widowControl/>
              <w:spacing w:line="240" w:lineRule="auto"/>
              <w:jc w:val="center"/>
              <w:rPr>
                <w:rFonts w:eastAsia="等线"/>
                <w:kern w:val="0"/>
                <w:sz w:val="18"/>
                <w:szCs w:val="18"/>
              </w:rPr>
            </w:pPr>
            <w:r>
              <w:rPr>
                <w:rFonts w:eastAsia="等线"/>
                <w:kern w:val="0"/>
                <w:sz w:val="18"/>
                <w:szCs w:val="18"/>
              </w:rPr>
              <w:t>65</w:t>
            </w:r>
          </w:p>
        </w:tc>
      </w:tr>
      <w:tr w14:paraId="6D9F3A77">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338A54E3">
            <w:pPr>
              <w:widowControl/>
              <w:spacing w:line="240" w:lineRule="auto"/>
              <w:jc w:val="center"/>
              <w:rPr>
                <w:rFonts w:eastAsia="等线"/>
                <w:kern w:val="0"/>
                <w:sz w:val="18"/>
                <w:szCs w:val="18"/>
              </w:rPr>
            </w:pPr>
            <w:r>
              <w:rPr>
                <w:rFonts w:eastAsia="等线"/>
                <w:kern w:val="0"/>
                <w:sz w:val="18"/>
                <w:szCs w:val="18"/>
              </w:rPr>
              <w:t>1500</w:t>
            </w:r>
          </w:p>
        </w:tc>
        <w:tc>
          <w:tcPr>
            <w:tcW w:w="487" w:type="pct"/>
            <w:tcBorders>
              <w:top w:val="nil"/>
              <w:left w:val="nil"/>
              <w:bottom w:val="single" w:color="auto" w:sz="8" w:space="0"/>
              <w:right w:val="single" w:color="auto" w:sz="8" w:space="0"/>
            </w:tcBorders>
            <w:shd w:val="clear" w:color="auto" w:fill="auto"/>
            <w:vAlign w:val="center"/>
          </w:tcPr>
          <w:p w14:paraId="5CE76334">
            <w:pPr>
              <w:widowControl/>
              <w:spacing w:line="240" w:lineRule="auto"/>
              <w:jc w:val="center"/>
              <w:rPr>
                <w:rFonts w:eastAsia="等线"/>
                <w:kern w:val="0"/>
                <w:sz w:val="18"/>
                <w:szCs w:val="18"/>
              </w:rPr>
            </w:pPr>
            <w:r>
              <w:rPr>
                <w:rFonts w:eastAsia="等线"/>
                <w:kern w:val="0"/>
                <w:sz w:val="18"/>
                <w:szCs w:val="18"/>
              </w:rPr>
              <w:t>210</w:t>
            </w:r>
          </w:p>
        </w:tc>
        <w:tc>
          <w:tcPr>
            <w:tcW w:w="484" w:type="pct"/>
            <w:tcBorders>
              <w:top w:val="nil"/>
              <w:left w:val="nil"/>
              <w:bottom w:val="single" w:color="auto" w:sz="8" w:space="0"/>
              <w:right w:val="single" w:color="auto" w:sz="8" w:space="0"/>
            </w:tcBorders>
            <w:shd w:val="clear" w:color="auto" w:fill="auto"/>
            <w:vAlign w:val="center"/>
          </w:tcPr>
          <w:p w14:paraId="33D59A75">
            <w:pPr>
              <w:widowControl/>
              <w:spacing w:line="240" w:lineRule="auto"/>
              <w:jc w:val="center"/>
              <w:rPr>
                <w:rFonts w:eastAsia="等线"/>
                <w:kern w:val="0"/>
                <w:sz w:val="18"/>
                <w:szCs w:val="18"/>
              </w:rPr>
            </w:pPr>
            <w:r>
              <w:rPr>
                <w:rFonts w:eastAsia="等线"/>
                <w:kern w:val="0"/>
                <w:sz w:val="18"/>
                <w:szCs w:val="18"/>
              </w:rPr>
              <w:t>190</w:t>
            </w:r>
          </w:p>
        </w:tc>
        <w:tc>
          <w:tcPr>
            <w:tcW w:w="483" w:type="pct"/>
            <w:tcBorders>
              <w:top w:val="nil"/>
              <w:left w:val="nil"/>
              <w:bottom w:val="single" w:color="auto" w:sz="8" w:space="0"/>
              <w:right w:val="single" w:color="auto" w:sz="8" w:space="0"/>
            </w:tcBorders>
            <w:shd w:val="clear" w:color="auto" w:fill="auto"/>
            <w:vAlign w:val="center"/>
          </w:tcPr>
          <w:p w14:paraId="249348CE">
            <w:pPr>
              <w:widowControl/>
              <w:spacing w:line="240" w:lineRule="auto"/>
              <w:jc w:val="center"/>
              <w:rPr>
                <w:rFonts w:eastAsia="等线"/>
                <w:kern w:val="0"/>
                <w:sz w:val="18"/>
                <w:szCs w:val="18"/>
              </w:rPr>
            </w:pPr>
            <w:r>
              <w:rPr>
                <w:rFonts w:eastAsia="等线"/>
                <w:kern w:val="0"/>
                <w:sz w:val="18"/>
                <w:szCs w:val="18"/>
              </w:rPr>
              <w:t>170</w:t>
            </w:r>
          </w:p>
        </w:tc>
        <w:tc>
          <w:tcPr>
            <w:tcW w:w="483" w:type="pct"/>
            <w:tcBorders>
              <w:top w:val="nil"/>
              <w:left w:val="nil"/>
              <w:bottom w:val="single" w:color="auto" w:sz="8" w:space="0"/>
              <w:right w:val="single" w:color="auto" w:sz="8" w:space="0"/>
            </w:tcBorders>
            <w:shd w:val="clear" w:color="auto" w:fill="auto"/>
            <w:vAlign w:val="center"/>
          </w:tcPr>
          <w:p w14:paraId="415CD98F">
            <w:pPr>
              <w:widowControl/>
              <w:spacing w:line="240" w:lineRule="auto"/>
              <w:jc w:val="center"/>
              <w:rPr>
                <w:rFonts w:eastAsia="等线"/>
                <w:kern w:val="0"/>
                <w:sz w:val="18"/>
                <w:szCs w:val="18"/>
              </w:rPr>
            </w:pPr>
            <w:r>
              <w:rPr>
                <w:rFonts w:eastAsia="等线"/>
                <w:kern w:val="0"/>
                <w:sz w:val="18"/>
                <w:szCs w:val="18"/>
              </w:rPr>
              <w:t>155</w:t>
            </w:r>
          </w:p>
        </w:tc>
        <w:tc>
          <w:tcPr>
            <w:tcW w:w="483" w:type="pct"/>
            <w:tcBorders>
              <w:top w:val="nil"/>
              <w:left w:val="nil"/>
              <w:bottom w:val="single" w:color="auto" w:sz="8" w:space="0"/>
              <w:right w:val="single" w:color="auto" w:sz="8" w:space="0"/>
            </w:tcBorders>
            <w:shd w:val="clear" w:color="auto" w:fill="auto"/>
            <w:vAlign w:val="center"/>
          </w:tcPr>
          <w:p w14:paraId="22130ACF">
            <w:pPr>
              <w:widowControl/>
              <w:spacing w:line="240" w:lineRule="auto"/>
              <w:jc w:val="center"/>
              <w:rPr>
                <w:rFonts w:eastAsia="等线"/>
                <w:kern w:val="0"/>
                <w:sz w:val="18"/>
                <w:szCs w:val="18"/>
              </w:rPr>
            </w:pPr>
            <w:r>
              <w:rPr>
                <w:rFonts w:eastAsia="等线"/>
                <w:kern w:val="0"/>
                <w:sz w:val="18"/>
                <w:szCs w:val="18"/>
              </w:rPr>
              <w:t>140</w:t>
            </w:r>
          </w:p>
        </w:tc>
        <w:tc>
          <w:tcPr>
            <w:tcW w:w="483" w:type="pct"/>
            <w:tcBorders>
              <w:top w:val="nil"/>
              <w:left w:val="nil"/>
              <w:bottom w:val="single" w:color="auto" w:sz="8" w:space="0"/>
              <w:right w:val="single" w:color="auto" w:sz="8" w:space="0"/>
            </w:tcBorders>
            <w:shd w:val="clear" w:color="auto" w:fill="auto"/>
            <w:vAlign w:val="center"/>
          </w:tcPr>
          <w:p w14:paraId="4F926218">
            <w:pPr>
              <w:widowControl/>
              <w:spacing w:line="240" w:lineRule="auto"/>
              <w:jc w:val="center"/>
              <w:rPr>
                <w:rFonts w:eastAsia="等线"/>
                <w:kern w:val="0"/>
                <w:sz w:val="18"/>
                <w:szCs w:val="18"/>
              </w:rPr>
            </w:pPr>
            <w:r>
              <w:rPr>
                <w:rFonts w:eastAsia="等线"/>
                <w:kern w:val="0"/>
                <w:sz w:val="18"/>
                <w:szCs w:val="18"/>
              </w:rPr>
              <w:t>125</w:t>
            </w:r>
          </w:p>
        </w:tc>
        <w:tc>
          <w:tcPr>
            <w:tcW w:w="483" w:type="pct"/>
            <w:tcBorders>
              <w:top w:val="nil"/>
              <w:left w:val="nil"/>
              <w:bottom w:val="single" w:color="auto" w:sz="8" w:space="0"/>
              <w:right w:val="single" w:color="auto" w:sz="8" w:space="0"/>
            </w:tcBorders>
            <w:shd w:val="clear" w:color="auto" w:fill="auto"/>
            <w:vAlign w:val="center"/>
          </w:tcPr>
          <w:p w14:paraId="3DCA03B7">
            <w:pPr>
              <w:widowControl/>
              <w:spacing w:line="240" w:lineRule="auto"/>
              <w:jc w:val="center"/>
              <w:rPr>
                <w:rFonts w:eastAsia="等线"/>
                <w:kern w:val="0"/>
                <w:sz w:val="18"/>
                <w:szCs w:val="18"/>
              </w:rPr>
            </w:pPr>
            <w:r>
              <w:rPr>
                <w:rFonts w:eastAsia="等线"/>
                <w:kern w:val="0"/>
                <w:sz w:val="18"/>
                <w:szCs w:val="18"/>
              </w:rPr>
              <w:t>110</w:t>
            </w:r>
          </w:p>
        </w:tc>
        <w:tc>
          <w:tcPr>
            <w:tcW w:w="483" w:type="pct"/>
            <w:tcBorders>
              <w:top w:val="nil"/>
              <w:left w:val="nil"/>
              <w:bottom w:val="single" w:color="auto" w:sz="8" w:space="0"/>
              <w:right w:val="single" w:color="auto" w:sz="8" w:space="0"/>
            </w:tcBorders>
            <w:shd w:val="clear" w:color="auto" w:fill="auto"/>
            <w:vAlign w:val="center"/>
          </w:tcPr>
          <w:p w14:paraId="09FD6AE3">
            <w:pPr>
              <w:widowControl/>
              <w:spacing w:line="240" w:lineRule="auto"/>
              <w:jc w:val="center"/>
              <w:rPr>
                <w:rFonts w:eastAsia="等线"/>
                <w:kern w:val="0"/>
                <w:sz w:val="18"/>
                <w:szCs w:val="18"/>
              </w:rPr>
            </w:pPr>
            <w:r>
              <w:rPr>
                <w:rFonts w:eastAsia="等线"/>
                <w:kern w:val="0"/>
                <w:sz w:val="18"/>
                <w:szCs w:val="18"/>
              </w:rPr>
              <w:t>100</w:t>
            </w:r>
          </w:p>
        </w:tc>
        <w:tc>
          <w:tcPr>
            <w:tcW w:w="476" w:type="pct"/>
            <w:tcBorders>
              <w:top w:val="nil"/>
              <w:left w:val="nil"/>
              <w:bottom w:val="single" w:color="auto" w:sz="8" w:space="0"/>
              <w:right w:val="single" w:color="auto" w:sz="8" w:space="0"/>
            </w:tcBorders>
            <w:shd w:val="clear" w:color="auto" w:fill="auto"/>
            <w:vAlign w:val="center"/>
          </w:tcPr>
          <w:p w14:paraId="59FA2D0D">
            <w:pPr>
              <w:widowControl/>
              <w:spacing w:line="240" w:lineRule="auto"/>
              <w:jc w:val="center"/>
              <w:rPr>
                <w:rFonts w:eastAsia="等线"/>
                <w:kern w:val="0"/>
                <w:sz w:val="18"/>
                <w:szCs w:val="18"/>
              </w:rPr>
            </w:pPr>
            <w:r>
              <w:rPr>
                <w:rFonts w:eastAsia="等线"/>
                <w:kern w:val="0"/>
                <w:sz w:val="18"/>
                <w:szCs w:val="18"/>
              </w:rPr>
              <w:t>85</w:t>
            </w:r>
          </w:p>
        </w:tc>
      </w:tr>
      <w:tr w14:paraId="0C611D3C">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1092D2E8">
            <w:pPr>
              <w:widowControl/>
              <w:spacing w:line="240" w:lineRule="auto"/>
              <w:jc w:val="center"/>
              <w:rPr>
                <w:rFonts w:eastAsia="等线"/>
                <w:kern w:val="0"/>
                <w:sz w:val="18"/>
                <w:szCs w:val="18"/>
              </w:rPr>
            </w:pPr>
            <w:r>
              <w:rPr>
                <w:rFonts w:eastAsia="等线"/>
                <w:kern w:val="0"/>
                <w:sz w:val="18"/>
                <w:szCs w:val="18"/>
              </w:rPr>
              <w:t>1200</w:t>
            </w:r>
          </w:p>
        </w:tc>
        <w:tc>
          <w:tcPr>
            <w:tcW w:w="487" w:type="pct"/>
            <w:tcBorders>
              <w:top w:val="nil"/>
              <w:left w:val="nil"/>
              <w:bottom w:val="single" w:color="auto" w:sz="8" w:space="0"/>
              <w:right w:val="single" w:color="auto" w:sz="8" w:space="0"/>
            </w:tcBorders>
            <w:shd w:val="clear" w:color="auto" w:fill="auto"/>
            <w:vAlign w:val="center"/>
          </w:tcPr>
          <w:p w14:paraId="6BB1C281">
            <w:pPr>
              <w:widowControl/>
              <w:spacing w:line="240" w:lineRule="auto"/>
              <w:jc w:val="center"/>
              <w:rPr>
                <w:rFonts w:eastAsia="等线"/>
                <w:kern w:val="0"/>
                <w:sz w:val="18"/>
                <w:szCs w:val="18"/>
              </w:rPr>
            </w:pPr>
            <w:r>
              <w:rPr>
                <w:rFonts w:eastAsia="等线"/>
                <w:kern w:val="0"/>
                <w:sz w:val="18"/>
                <w:szCs w:val="18"/>
              </w:rPr>
              <w:t>260</w:t>
            </w:r>
          </w:p>
        </w:tc>
        <w:tc>
          <w:tcPr>
            <w:tcW w:w="484" w:type="pct"/>
            <w:tcBorders>
              <w:top w:val="nil"/>
              <w:left w:val="nil"/>
              <w:bottom w:val="single" w:color="auto" w:sz="8" w:space="0"/>
              <w:right w:val="single" w:color="auto" w:sz="8" w:space="0"/>
            </w:tcBorders>
            <w:shd w:val="clear" w:color="auto" w:fill="auto"/>
            <w:vAlign w:val="center"/>
          </w:tcPr>
          <w:p w14:paraId="1D7FBFDC">
            <w:pPr>
              <w:widowControl/>
              <w:spacing w:line="240" w:lineRule="auto"/>
              <w:jc w:val="center"/>
              <w:rPr>
                <w:rFonts w:eastAsia="等线"/>
                <w:kern w:val="0"/>
                <w:sz w:val="18"/>
                <w:szCs w:val="18"/>
              </w:rPr>
            </w:pPr>
            <w:r>
              <w:rPr>
                <w:rFonts w:eastAsia="等线"/>
                <w:kern w:val="0"/>
                <w:sz w:val="18"/>
                <w:szCs w:val="18"/>
              </w:rPr>
              <w:t>240</w:t>
            </w:r>
          </w:p>
        </w:tc>
        <w:tc>
          <w:tcPr>
            <w:tcW w:w="483" w:type="pct"/>
            <w:tcBorders>
              <w:top w:val="nil"/>
              <w:left w:val="nil"/>
              <w:bottom w:val="single" w:color="auto" w:sz="8" w:space="0"/>
              <w:right w:val="single" w:color="auto" w:sz="8" w:space="0"/>
            </w:tcBorders>
            <w:shd w:val="clear" w:color="auto" w:fill="auto"/>
            <w:vAlign w:val="center"/>
          </w:tcPr>
          <w:p w14:paraId="48F00B1A">
            <w:pPr>
              <w:widowControl/>
              <w:spacing w:line="240" w:lineRule="auto"/>
              <w:jc w:val="center"/>
              <w:rPr>
                <w:rFonts w:eastAsia="等线"/>
                <w:kern w:val="0"/>
                <w:sz w:val="18"/>
                <w:szCs w:val="18"/>
              </w:rPr>
            </w:pPr>
            <w:r>
              <w:rPr>
                <w:rFonts w:eastAsia="等线"/>
                <w:kern w:val="0"/>
                <w:sz w:val="18"/>
                <w:szCs w:val="18"/>
              </w:rPr>
              <w:t>215</w:t>
            </w:r>
          </w:p>
        </w:tc>
        <w:tc>
          <w:tcPr>
            <w:tcW w:w="483" w:type="pct"/>
            <w:tcBorders>
              <w:top w:val="nil"/>
              <w:left w:val="nil"/>
              <w:bottom w:val="single" w:color="auto" w:sz="8" w:space="0"/>
              <w:right w:val="single" w:color="auto" w:sz="8" w:space="0"/>
            </w:tcBorders>
            <w:shd w:val="clear" w:color="auto" w:fill="auto"/>
            <w:vAlign w:val="center"/>
          </w:tcPr>
          <w:p w14:paraId="3BE6B66B">
            <w:pPr>
              <w:widowControl/>
              <w:spacing w:line="240" w:lineRule="auto"/>
              <w:jc w:val="center"/>
              <w:rPr>
                <w:rFonts w:eastAsia="等线"/>
                <w:kern w:val="0"/>
                <w:sz w:val="18"/>
                <w:szCs w:val="18"/>
              </w:rPr>
            </w:pPr>
            <w:r>
              <w:rPr>
                <w:rFonts w:eastAsia="等线"/>
                <w:kern w:val="0"/>
                <w:sz w:val="18"/>
                <w:szCs w:val="18"/>
              </w:rPr>
              <w:t>195</w:t>
            </w:r>
          </w:p>
        </w:tc>
        <w:tc>
          <w:tcPr>
            <w:tcW w:w="483" w:type="pct"/>
            <w:tcBorders>
              <w:top w:val="nil"/>
              <w:left w:val="nil"/>
              <w:bottom w:val="single" w:color="auto" w:sz="8" w:space="0"/>
              <w:right w:val="single" w:color="auto" w:sz="8" w:space="0"/>
            </w:tcBorders>
            <w:shd w:val="clear" w:color="auto" w:fill="auto"/>
            <w:vAlign w:val="center"/>
          </w:tcPr>
          <w:p w14:paraId="1CF0F5C6">
            <w:pPr>
              <w:widowControl/>
              <w:spacing w:line="240" w:lineRule="auto"/>
              <w:jc w:val="center"/>
              <w:rPr>
                <w:rFonts w:eastAsia="等线"/>
                <w:kern w:val="0"/>
                <w:sz w:val="18"/>
                <w:szCs w:val="18"/>
              </w:rPr>
            </w:pPr>
            <w:r>
              <w:rPr>
                <w:rFonts w:eastAsia="等线"/>
                <w:kern w:val="0"/>
                <w:sz w:val="18"/>
                <w:szCs w:val="18"/>
              </w:rPr>
              <w:t>170</w:t>
            </w:r>
          </w:p>
        </w:tc>
        <w:tc>
          <w:tcPr>
            <w:tcW w:w="483" w:type="pct"/>
            <w:tcBorders>
              <w:top w:val="nil"/>
              <w:left w:val="nil"/>
              <w:bottom w:val="single" w:color="auto" w:sz="8" w:space="0"/>
              <w:right w:val="single" w:color="auto" w:sz="8" w:space="0"/>
            </w:tcBorders>
            <w:shd w:val="clear" w:color="auto" w:fill="auto"/>
            <w:vAlign w:val="center"/>
          </w:tcPr>
          <w:p w14:paraId="63116AAB">
            <w:pPr>
              <w:widowControl/>
              <w:spacing w:line="240" w:lineRule="auto"/>
              <w:jc w:val="center"/>
              <w:rPr>
                <w:rFonts w:eastAsia="等线"/>
                <w:kern w:val="0"/>
                <w:sz w:val="18"/>
                <w:szCs w:val="18"/>
              </w:rPr>
            </w:pPr>
            <w:r>
              <w:rPr>
                <w:rFonts w:eastAsia="等线"/>
                <w:kern w:val="0"/>
                <w:sz w:val="18"/>
                <w:szCs w:val="18"/>
              </w:rPr>
              <w:t>155</w:t>
            </w:r>
          </w:p>
        </w:tc>
        <w:tc>
          <w:tcPr>
            <w:tcW w:w="483" w:type="pct"/>
            <w:tcBorders>
              <w:top w:val="nil"/>
              <w:left w:val="nil"/>
              <w:bottom w:val="single" w:color="auto" w:sz="8" w:space="0"/>
              <w:right w:val="single" w:color="auto" w:sz="8" w:space="0"/>
            </w:tcBorders>
            <w:shd w:val="clear" w:color="auto" w:fill="auto"/>
            <w:vAlign w:val="center"/>
          </w:tcPr>
          <w:p w14:paraId="2E3615BD">
            <w:pPr>
              <w:widowControl/>
              <w:spacing w:line="240" w:lineRule="auto"/>
              <w:jc w:val="center"/>
              <w:rPr>
                <w:rFonts w:eastAsia="等线"/>
                <w:kern w:val="0"/>
                <w:sz w:val="18"/>
                <w:szCs w:val="18"/>
              </w:rPr>
            </w:pPr>
            <w:r>
              <w:rPr>
                <w:rFonts w:eastAsia="等线"/>
                <w:kern w:val="0"/>
                <w:sz w:val="18"/>
                <w:szCs w:val="18"/>
              </w:rPr>
              <w:t>135</w:t>
            </w:r>
          </w:p>
        </w:tc>
        <w:tc>
          <w:tcPr>
            <w:tcW w:w="483" w:type="pct"/>
            <w:tcBorders>
              <w:top w:val="nil"/>
              <w:left w:val="nil"/>
              <w:bottom w:val="single" w:color="auto" w:sz="8" w:space="0"/>
              <w:right w:val="single" w:color="auto" w:sz="8" w:space="0"/>
            </w:tcBorders>
            <w:shd w:val="clear" w:color="auto" w:fill="auto"/>
            <w:vAlign w:val="center"/>
          </w:tcPr>
          <w:p w14:paraId="6BECB18C">
            <w:pPr>
              <w:widowControl/>
              <w:spacing w:line="240" w:lineRule="auto"/>
              <w:jc w:val="center"/>
              <w:rPr>
                <w:rFonts w:eastAsia="等线"/>
                <w:kern w:val="0"/>
                <w:sz w:val="18"/>
                <w:szCs w:val="18"/>
              </w:rPr>
            </w:pPr>
            <w:r>
              <w:rPr>
                <w:rFonts w:eastAsia="等线"/>
                <w:kern w:val="0"/>
                <w:sz w:val="18"/>
                <w:szCs w:val="18"/>
              </w:rPr>
              <w:t>125</w:t>
            </w:r>
          </w:p>
        </w:tc>
        <w:tc>
          <w:tcPr>
            <w:tcW w:w="476" w:type="pct"/>
            <w:tcBorders>
              <w:top w:val="nil"/>
              <w:left w:val="nil"/>
              <w:bottom w:val="single" w:color="auto" w:sz="8" w:space="0"/>
              <w:right w:val="single" w:color="auto" w:sz="8" w:space="0"/>
            </w:tcBorders>
            <w:shd w:val="clear" w:color="auto" w:fill="auto"/>
            <w:vAlign w:val="center"/>
          </w:tcPr>
          <w:p w14:paraId="72644968">
            <w:pPr>
              <w:widowControl/>
              <w:spacing w:line="240" w:lineRule="auto"/>
              <w:jc w:val="center"/>
              <w:rPr>
                <w:rFonts w:eastAsia="等线"/>
                <w:kern w:val="0"/>
                <w:sz w:val="18"/>
                <w:szCs w:val="18"/>
              </w:rPr>
            </w:pPr>
            <w:r>
              <w:rPr>
                <w:rFonts w:eastAsia="等线"/>
                <w:kern w:val="0"/>
                <w:sz w:val="18"/>
                <w:szCs w:val="18"/>
              </w:rPr>
              <w:t>105</w:t>
            </w:r>
          </w:p>
        </w:tc>
      </w:tr>
      <w:tr w14:paraId="7DC3E213">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04AB436B">
            <w:pPr>
              <w:widowControl/>
              <w:spacing w:line="240" w:lineRule="auto"/>
              <w:jc w:val="center"/>
              <w:rPr>
                <w:rFonts w:eastAsia="等线"/>
                <w:kern w:val="0"/>
                <w:sz w:val="18"/>
                <w:szCs w:val="18"/>
              </w:rPr>
            </w:pPr>
            <w:r>
              <w:rPr>
                <w:rFonts w:eastAsia="等线"/>
                <w:kern w:val="0"/>
                <w:sz w:val="18"/>
                <w:szCs w:val="18"/>
              </w:rPr>
              <w:t>1000</w:t>
            </w:r>
          </w:p>
        </w:tc>
        <w:tc>
          <w:tcPr>
            <w:tcW w:w="487" w:type="pct"/>
            <w:tcBorders>
              <w:top w:val="nil"/>
              <w:left w:val="nil"/>
              <w:bottom w:val="single" w:color="auto" w:sz="8" w:space="0"/>
              <w:right w:val="single" w:color="auto" w:sz="8" w:space="0"/>
            </w:tcBorders>
            <w:shd w:val="clear" w:color="auto" w:fill="auto"/>
            <w:vAlign w:val="center"/>
          </w:tcPr>
          <w:p w14:paraId="39461153">
            <w:pPr>
              <w:widowControl/>
              <w:spacing w:line="240" w:lineRule="auto"/>
              <w:jc w:val="center"/>
              <w:rPr>
                <w:rFonts w:eastAsia="等线"/>
                <w:kern w:val="0"/>
                <w:sz w:val="18"/>
                <w:szCs w:val="18"/>
              </w:rPr>
            </w:pPr>
            <w:r>
              <w:rPr>
                <w:rFonts w:eastAsia="等线"/>
                <w:kern w:val="0"/>
                <w:sz w:val="18"/>
                <w:szCs w:val="18"/>
              </w:rPr>
              <w:t>—</w:t>
            </w:r>
          </w:p>
        </w:tc>
        <w:tc>
          <w:tcPr>
            <w:tcW w:w="484" w:type="pct"/>
            <w:tcBorders>
              <w:top w:val="nil"/>
              <w:left w:val="nil"/>
              <w:bottom w:val="single" w:color="auto" w:sz="8" w:space="0"/>
              <w:right w:val="single" w:color="auto" w:sz="8" w:space="0"/>
            </w:tcBorders>
            <w:shd w:val="clear" w:color="auto" w:fill="auto"/>
            <w:vAlign w:val="center"/>
          </w:tcPr>
          <w:p w14:paraId="5013727F">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151C47B5">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78F7AEDC">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50FC3265">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76262BEC">
            <w:pPr>
              <w:widowControl/>
              <w:spacing w:line="240" w:lineRule="auto"/>
              <w:jc w:val="center"/>
              <w:rPr>
                <w:rFonts w:eastAsia="等线"/>
                <w:kern w:val="0"/>
                <w:sz w:val="18"/>
                <w:szCs w:val="18"/>
              </w:rPr>
            </w:pPr>
            <w:r>
              <w:rPr>
                <w:rFonts w:eastAsia="等线"/>
                <w:kern w:val="0"/>
                <w:sz w:val="18"/>
                <w:szCs w:val="18"/>
              </w:rPr>
              <w:t>140</w:t>
            </w:r>
          </w:p>
        </w:tc>
        <w:tc>
          <w:tcPr>
            <w:tcW w:w="483" w:type="pct"/>
            <w:tcBorders>
              <w:top w:val="nil"/>
              <w:left w:val="nil"/>
              <w:bottom w:val="single" w:color="auto" w:sz="8" w:space="0"/>
              <w:right w:val="single" w:color="auto" w:sz="8" w:space="0"/>
            </w:tcBorders>
            <w:shd w:val="clear" w:color="auto" w:fill="auto"/>
            <w:vAlign w:val="center"/>
          </w:tcPr>
          <w:p w14:paraId="316FF7C5">
            <w:pPr>
              <w:widowControl/>
              <w:spacing w:line="240" w:lineRule="auto"/>
              <w:jc w:val="center"/>
              <w:rPr>
                <w:rFonts w:eastAsia="等线"/>
                <w:kern w:val="0"/>
                <w:sz w:val="18"/>
                <w:szCs w:val="18"/>
              </w:rPr>
            </w:pPr>
            <w:r>
              <w:rPr>
                <w:rFonts w:eastAsia="等线"/>
                <w:kern w:val="0"/>
                <w:sz w:val="18"/>
                <w:szCs w:val="18"/>
              </w:rPr>
              <w:t>135</w:t>
            </w:r>
          </w:p>
        </w:tc>
        <w:tc>
          <w:tcPr>
            <w:tcW w:w="483" w:type="pct"/>
            <w:tcBorders>
              <w:top w:val="nil"/>
              <w:left w:val="nil"/>
              <w:bottom w:val="single" w:color="auto" w:sz="8" w:space="0"/>
              <w:right w:val="single" w:color="auto" w:sz="8" w:space="0"/>
            </w:tcBorders>
            <w:shd w:val="clear" w:color="auto" w:fill="auto"/>
            <w:vAlign w:val="center"/>
          </w:tcPr>
          <w:p w14:paraId="2F80FDEF">
            <w:pPr>
              <w:widowControl/>
              <w:spacing w:line="240" w:lineRule="auto"/>
              <w:jc w:val="center"/>
              <w:rPr>
                <w:rFonts w:eastAsia="等线"/>
                <w:kern w:val="0"/>
                <w:sz w:val="18"/>
                <w:szCs w:val="18"/>
              </w:rPr>
            </w:pPr>
            <w:r>
              <w:rPr>
                <w:rFonts w:eastAsia="等线"/>
                <w:kern w:val="0"/>
                <w:sz w:val="18"/>
                <w:szCs w:val="18"/>
              </w:rPr>
              <w:t>130</w:t>
            </w:r>
          </w:p>
        </w:tc>
        <w:tc>
          <w:tcPr>
            <w:tcW w:w="476" w:type="pct"/>
            <w:tcBorders>
              <w:top w:val="nil"/>
              <w:left w:val="nil"/>
              <w:bottom w:val="single" w:color="auto" w:sz="8" w:space="0"/>
              <w:right w:val="single" w:color="auto" w:sz="8" w:space="0"/>
            </w:tcBorders>
            <w:shd w:val="clear" w:color="auto" w:fill="auto"/>
            <w:vAlign w:val="center"/>
          </w:tcPr>
          <w:p w14:paraId="029A8A9A">
            <w:pPr>
              <w:widowControl/>
              <w:spacing w:line="240" w:lineRule="auto"/>
              <w:jc w:val="center"/>
              <w:rPr>
                <w:rFonts w:eastAsia="等线"/>
                <w:kern w:val="0"/>
                <w:sz w:val="18"/>
                <w:szCs w:val="18"/>
              </w:rPr>
            </w:pPr>
            <w:r>
              <w:rPr>
                <w:rFonts w:eastAsia="等线"/>
                <w:kern w:val="0"/>
                <w:sz w:val="18"/>
                <w:szCs w:val="18"/>
              </w:rPr>
              <w:t>125</w:t>
            </w:r>
          </w:p>
        </w:tc>
      </w:tr>
      <w:tr w14:paraId="6D98D8E0">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5EC4F295">
            <w:pPr>
              <w:widowControl/>
              <w:spacing w:line="240" w:lineRule="auto"/>
              <w:jc w:val="center"/>
              <w:rPr>
                <w:rFonts w:eastAsia="等线"/>
                <w:kern w:val="0"/>
                <w:sz w:val="18"/>
                <w:szCs w:val="18"/>
              </w:rPr>
            </w:pPr>
            <w:r>
              <w:rPr>
                <w:rFonts w:eastAsia="等线"/>
                <w:kern w:val="0"/>
                <w:sz w:val="18"/>
                <w:szCs w:val="18"/>
              </w:rPr>
              <w:t>800</w:t>
            </w:r>
          </w:p>
        </w:tc>
        <w:tc>
          <w:tcPr>
            <w:tcW w:w="487" w:type="pct"/>
            <w:tcBorders>
              <w:top w:val="nil"/>
              <w:left w:val="nil"/>
              <w:bottom w:val="single" w:color="auto" w:sz="8" w:space="0"/>
              <w:right w:val="single" w:color="auto" w:sz="8" w:space="0"/>
            </w:tcBorders>
            <w:shd w:val="clear" w:color="auto" w:fill="auto"/>
            <w:vAlign w:val="center"/>
          </w:tcPr>
          <w:p w14:paraId="449B1C77">
            <w:pPr>
              <w:widowControl/>
              <w:spacing w:line="240" w:lineRule="auto"/>
              <w:jc w:val="center"/>
              <w:rPr>
                <w:rFonts w:eastAsia="等线"/>
                <w:kern w:val="0"/>
                <w:sz w:val="18"/>
                <w:szCs w:val="18"/>
              </w:rPr>
            </w:pPr>
            <w:r>
              <w:rPr>
                <w:rFonts w:eastAsia="等线"/>
                <w:kern w:val="0"/>
                <w:sz w:val="18"/>
                <w:szCs w:val="18"/>
              </w:rPr>
              <w:t>—</w:t>
            </w:r>
          </w:p>
        </w:tc>
        <w:tc>
          <w:tcPr>
            <w:tcW w:w="484" w:type="pct"/>
            <w:tcBorders>
              <w:top w:val="nil"/>
              <w:left w:val="nil"/>
              <w:bottom w:val="single" w:color="auto" w:sz="8" w:space="0"/>
              <w:right w:val="single" w:color="auto" w:sz="8" w:space="0"/>
            </w:tcBorders>
            <w:shd w:val="clear" w:color="auto" w:fill="auto"/>
            <w:vAlign w:val="center"/>
          </w:tcPr>
          <w:p w14:paraId="0D9FCF02">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46D54808">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7F393F9B">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524A224E">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0112F410">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4F29C89A">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11019E08">
            <w:pPr>
              <w:widowControl/>
              <w:spacing w:line="240" w:lineRule="auto"/>
              <w:jc w:val="center"/>
              <w:rPr>
                <w:rFonts w:eastAsia="等线"/>
                <w:kern w:val="0"/>
                <w:sz w:val="18"/>
                <w:szCs w:val="18"/>
              </w:rPr>
            </w:pPr>
            <w:r>
              <w:rPr>
                <w:rFonts w:eastAsia="等线"/>
                <w:kern w:val="0"/>
                <w:sz w:val="18"/>
                <w:szCs w:val="18"/>
              </w:rPr>
              <w:t>—</w:t>
            </w:r>
            <w:r>
              <w:rPr>
                <w:rFonts w:hint="eastAsia" w:eastAsia="等线"/>
                <w:kern w:val="0"/>
                <w:sz w:val="18"/>
                <w:szCs w:val="18"/>
              </w:rPr>
              <w:t>　</w:t>
            </w:r>
          </w:p>
        </w:tc>
        <w:tc>
          <w:tcPr>
            <w:tcW w:w="476" w:type="pct"/>
            <w:tcBorders>
              <w:top w:val="nil"/>
              <w:left w:val="nil"/>
              <w:bottom w:val="single" w:color="auto" w:sz="8" w:space="0"/>
              <w:right w:val="single" w:color="auto" w:sz="8" w:space="0"/>
            </w:tcBorders>
            <w:shd w:val="clear" w:color="auto" w:fill="auto"/>
            <w:vAlign w:val="center"/>
          </w:tcPr>
          <w:p w14:paraId="06184EEF">
            <w:pPr>
              <w:widowControl/>
              <w:spacing w:line="240" w:lineRule="auto"/>
              <w:jc w:val="center"/>
              <w:rPr>
                <w:rFonts w:eastAsia="等线"/>
                <w:kern w:val="0"/>
                <w:sz w:val="18"/>
                <w:szCs w:val="18"/>
              </w:rPr>
            </w:pPr>
            <w:r>
              <w:rPr>
                <w:rFonts w:eastAsia="等线"/>
                <w:kern w:val="0"/>
                <w:sz w:val="18"/>
                <w:szCs w:val="18"/>
              </w:rPr>
              <w:t>125</w:t>
            </w:r>
          </w:p>
        </w:tc>
      </w:tr>
      <w:tr w14:paraId="6E34A4C5">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1BC4F01B">
            <w:pPr>
              <w:widowControl/>
              <w:spacing w:line="240" w:lineRule="auto"/>
              <w:jc w:val="center"/>
              <w:rPr>
                <w:rFonts w:eastAsia="等线"/>
                <w:kern w:val="0"/>
                <w:sz w:val="18"/>
                <w:szCs w:val="18"/>
              </w:rPr>
            </w:pPr>
            <w:r>
              <w:rPr>
                <w:rFonts w:eastAsia="等线"/>
                <w:kern w:val="0"/>
                <w:sz w:val="18"/>
                <w:szCs w:val="18"/>
              </w:rPr>
              <w:t>700</w:t>
            </w:r>
          </w:p>
        </w:tc>
        <w:tc>
          <w:tcPr>
            <w:tcW w:w="487" w:type="pct"/>
            <w:tcBorders>
              <w:top w:val="nil"/>
              <w:left w:val="nil"/>
              <w:bottom w:val="single" w:color="auto" w:sz="8" w:space="0"/>
              <w:right w:val="single" w:color="auto" w:sz="8" w:space="0"/>
            </w:tcBorders>
            <w:shd w:val="clear" w:color="auto" w:fill="auto"/>
            <w:vAlign w:val="center"/>
          </w:tcPr>
          <w:p w14:paraId="6D3BF07B">
            <w:pPr>
              <w:widowControl/>
              <w:spacing w:line="240" w:lineRule="auto"/>
              <w:jc w:val="center"/>
              <w:rPr>
                <w:rFonts w:eastAsia="等线"/>
                <w:kern w:val="0"/>
                <w:sz w:val="18"/>
                <w:szCs w:val="18"/>
              </w:rPr>
            </w:pPr>
            <w:r>
              <w:rPr>
                <w:rFonts w:eastAsia="等线"/>
                <w:kern w:val="0"/>
                <w:sz w:val="18"/>
                <w:szCs w:val="18"/>
              </w:rPr>
              <w:t>—</w:t>
            </w:r>
          </w:p>
        </w:tc>
        <w:tc>
          <w:tcPr>
            <w:tcW w:w="484" w:type="pct"/>
            <w:tcBorders>
              <w:top w:val="nil"/>
              <w:left w:val="nil"/>
              <w:bottom w:val="single" w:color="auto" w:sz="8" w:space="0"/>
              <w:right w:val="single" w:color="auto" w:sz="8" w:space="0"/>
            </w:tcBorders>
            <w:shd w:val="clear" w:color="auto" w:fill="auto"/>
            <w:vAlign w:val="center"/>
          </w:tcPr>
          <w:p w14:paraId="2F859320">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3269F098">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253FB303">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17C351FC">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3B2CE67F">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44936795">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65F9A9FA">
            <w:pPr>
              <w:widowControl/>
              <w:spacing w:line="240" w:lineRule="auto"/>
              <w:jc w:val="center"/>
              <w:rPr>
                <w:rFonts w:eastAsia="等线"/>
                <w:kern w:val="0"/>
                <w:sz w:val="18"/>
                <w:szCs w:val="18"/>
              </w:rPr>
            </w:pPr>
            <w:r>
              <w:rPr>
                <w:rFonts w:eastAsia="等线"/>
                <w:kern w:val="0"/>
                <w:sz w:val="18"/>
                <w:szCs w:val="18"/>
              </w:rPr>
              <w:t>—</w:t>
            </w:r>
          </w:p>
        </w:tc>
        <w:tc>
          <w:tcPr>
            <w:tcW w:w="476" w:type="pct"/>
            <w:tcBorders>
              <w:top w:val="nil"/>
              <w:left w:val="nil"/>
              <w:bottom w:val="single" w:color="auto" w:sz="8" w:space="0"/>
              <w:right w:val="single" w:color="auto" w:sz="8" w:space="0"/>
            </w:tcBorders>
            <w:shd w:val="clear" w:color="auto" w:fill="auto"/>
            <w:vAlign w:val="center"/>
          </w:tcPr>
          <w:p w14:paraId="35FAB669">
            <w:pPr>
              <w:widowControl/>
              <w:spacing w:line="240" w:lineRule="auto"/>
              <w:jc w:val="center"/>
              <w:rPr>
                <w:rFonts w:eastAsia="等线"/>
                <w:kern w:val="0"/>
                <w:sz w:val="18"/>
                <w:szCs w:val="18"/>
              </w:rPr>
            </w:pPr>
            <w:r>
              <w:rPr>
                <w:rFonts w:eastAsia="等线"/>
                <w:kern w:val="0"/>
                <w:sz w:val="18"/>
                <w:szCs w:val="18"/>
              </w:rPr>
              <w:t>—</w:t>
            </w:r>
          </w:p>
        </w:tc>
      </w:tr>
      <w:tr w14:paraId="30F341A4">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74A21678">
            <w:pPr>
              <w:widowControl/>
              <w:spacing w:line="240" w:lineRule="auto"/>
              <w:jc w:val="center"/>
              <w:rPr>
                <w:rFonts w:eastAsia="等线"/>
                <w:kern w:val="0"/>
                <w:sz w:val="18"/>
                <w:szCs w:val="18"/>
              </w:rPr>
            </w:pPr>
            <w:r>
              <w:rPr>
                <w:rFonts w:eastAsia="等线"/>
                <w:kern w:val="0"/>
                <w:sz w:val="18"/>
                <w:szCs w:val="18"/>
              </w:rPr>
              <w:t>600</w:t>
            </w:r>
          </w:p>
        </w:tc>
        <w:tc>
          <w:tcPr>
            <w:tcW w:w="487" w:type="pct"/>
            <w:tcBorders>
              <w:top w:val="nil"/>
              <w:left w:val="nil"/>
              <w:bottom w:val="single" w:color="auto" w:sz="8" w:space="0"/>
              <w:right w:val="single" w:color="auto" w:sz="8" w:space="0"/>
            </w:tcBorders>
            <w:shd w:val="clear" w:color="auto" w:fill="auto"/>
            <w:vAlign w:val="center"/>
          </w:tcPr>
          <w:p w14:paraId="0944F202">
            <w:pPr>
              <w:widowControl/>
              <w:spacing w:line="240" w:lineRule="auto"/>
              <w:jc w:val="center"/>
              <w:rPr>
                <w:rFonts w:eastAsia="等线"/>
                <w:kern w:val="0"/>
                <w:sz w:val="18"/>
                <w:szCs w:val="18"/>
              </w:rPr>
            </w:pPr>
            <w:r>
              <w:rPr>
                <w:rFonts w:eastAsia="等线"/>
                <w:kern w:val="0"/>
                <w:sz w:val="18"/>
                <w:szCs w:val="18"/>
              </w:rPr>
              <w:t>—</w:t>
            </w:r>
          </w:p>
        </w:tc>
        <w:tc>
          <w:tcPr>
            <w:tcW w:w="484" w:type="pct"/>
            <w:tcBorders>
              <w:top w:val="nil"/>
              <w:left w:val="nil"/>
              <w:bottom w:val="single" w:color="auto" w:sz="8" w:space="0"/>
              <w:right w:val="single" w:color="auto" w:sz="8" w:space="0"/>
            </w:tcBorders>
            <w:shd w:val="clear" w:color="auto" w:fill="auto"/>
            <w:vAlign w:val="center"/>
          </w:tcPr>
          <w:p w14:paraId="3504E64F">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1804254A">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72175162">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039A2413">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4B66AFF6">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3D796003">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74651F4A">
            <w:pPr>
              <w:widowControl/>
              <w:spacing w:line="240" w:lineRule="auto"/>
              <w:jc w:val="center"/>
              <w:rPr>
                <w:rFonts w:eastAsia="等线"/>
                <w:kern w:val="0"/>
                <w:sz w:val="18"/>
                <w:szCs w:val="18"/>
              </w:rPr>
            </w:pPr>
            <w:r>
              <w:rPr>
                <w:rFonts w:eastAsia="等线"/>
                <w:kern w:val="0"/>
                <w:sz w:val="18"/>
                <w:szCs w:val="18"/>
              </w:rPr>
              <w:t>—</w:t>
            </w:r>
          </w:p>
        </w:tc>
        <w:tc>
          <w:tcPr>
            <w:tcW w:w="476" w:type="pct"/>
            <w:tcBorders>
              <w:top w:val="nil"/>
              <w:left w:val="nil"/>
              <w:bottom w:val="single" w:color="auto" w:sz="8" w:space="0"/>
              <w:right w:val="single" w:color="auto" w:sz="8" w:space="0"/>
            </w:tcBorders>
            <w:shd w:val="clear" w:color="auto" w:fill="auto"/>
            <w:vAlign w:val="center"/>
          </w:tcPr>
          <w:p w14:paraId="666E4FAB">
            <w:pPr>
              <w:widowControl/>
              <w:spacing w:line="240" w:lineRule="auto"/>
              <w:jc w:val="center"/>
              <w:rPr>
                <w:rFonts w:eastAsia="等线"/>
                <w:kern w:val="0"/>
                <w:sz w:val="18"/>
                <w:szCs w:val="18"/>
              </w:rPr>
            </w:pPr>
            <w:r>
              <w:rPr>
                <w:rFonts w:eastAsia="等线"/>
                <w:kern w:val="0"/>
                <w:sz w:val="18"/>
                <w:szCs w:val="18"/>
              </w:rPr>
              <w:t>—</w:t>
            </w:r>
          </w:p>
        </w:tc>
      </w:tr>
      <w:tr w14:paraId="6A70C644">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7F2A0757">
            <w:pPr>
              <w:widowControl/>
              <w:spacing w:line="240" w:lineRule="auto"/>
              <w:jc w:val="center"/>
              <w:rPr>
                <w:rFonts w:eastAsia="等线"/>
                <w:kern w:val="0"/>
                <w:sz w:val="18"/>
                <w:szCs w:val="18"/>
              </w:rPr>
            </w:pPr>
            <w:r>
              <w:rPr>
                <w:rFonts w:eastAsia="等线"/>
                <w:kern w:val="0"/>
                <w:sz w:val="18"/>
                <w:szCs w:val="18"/>
              </w:rPr>
              <w:t>550</w:t>
            </w:r>
          </w:p>
        </w:tc>
        <w:tc>
          <w:tcPr>
            <w:tcW w:w="487" w:type="pct"/>
            <w:tcBorders>
              <w:top w:val="nil"/>
              <w:left w:val="nil"/>
              <w:bottom w:val="single" w:color="auto" w:sz="8" w:space="0"/>
              <w:right w:val="single" w:color="auto" w:sz="8" w:space="0"/>
            </w:tcBorders>
            <w:shd w:val="clear" w:color="auto" w:fill="auto"/>
            <w:vAlign w:val="center"/>
          </w:tcPr>
          <w:p w14:paraId="0A68A1D9">
            <w:pPr>
              <w:widowControl/>
              <w:spacing w:line="240" w:lineRule="auto"/>
              <w:jc w:val="center"/>
              <w:rPr>
                <w:rFonts w:eastAsia="等线"/>
                <w:kern w:val="0"/>
                <w:sz w:val="18"/>
                <w:szCs w:val="18"/>
              </w:rPr>
            </w:pPr>
            <w:r>
              <w:rPr>
                <w:rFonts w:eastAsia="等线"/>
                <w:kern w:val="0"/>
                <w:sz w:val="18"/>
                <w:szCs w:val="18"/>
              </w:rPr>
              <w:t>—</w:t>
            </w:r>
          </w:p>
        </w:tc>
        <w:tc>
          <w:tcPr>
            <w:tcW w:w="484" w:type="pct"/>
            <w:tcBorders>
              <w:top w:val="nil"/>
              <w:left w:val="nil"/>
              <w:bottom w:val="single" w:color="auto" w:sz="8" w:space="0"/>
              <w:right w:val="single" w:color="auto" w:sz="8" w:space="0"/>
            </w:tcBorders>
            <w:shd w:val="clear" w:color="auto" w:fill="auto"/>
            <w:vAlign w:val="center"/>
          </w:tcPr>
          <w:p w14:paraId="6B15C471">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3D1E0F3F">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453BC8D1">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2193C71B">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3D4A0DBB">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5CFD9E3E">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08AC8C2A">
            <w:pPr>
              <w:widowControl/>
              <w:spacing w:line="240" w:lineRule="auto"/>
              <w:jc w:val="center"/>
              <w:rPr>
                <w:rFonts w:eastAsia="等线"/>
                <w:kern w:val="0"/>
                <w:sz w:val="18"/>
                <w:szCs w:val="18"/>
              </w:rPr>
            </w:pPr>
            <w:r>
              <w:rPr>
                <w:rFonts w:eastAsia="等线"/>
                <w:kern w:val="0"/>
                <w:sz w:val="18"/>
                <w:szCs w:val="18"/>
              </w:rPr>
              <w:t>—</w:t>
            </w:r>
          </w:p>
        </w:tc>
        <w:tc>
          <w:tcPr>
            <w:tcW w:w="476" w:type="pct"/>
            <w:tcBorders>
              <w:top w:val="nil"/>
              <w:left w:val="nil"/>
              <w:bottom w:val="single" w:color="auto" w:sz="8" w:space="0"/>
              <w:right w:val="single" w:color="auto" w:sz="8" w:space="0"/>
            </w:tcBorders>
            <w:shd w:val="clear" w:color="auto" w:fill="auto"/>
            <w:vAlign w:val="center"/>
          </w:tcPr>
          <w:p w14:paraId="5E89E05A">
            <w:pPr>
              <w:widowControl/>
              <w:spacing w:line="240" w:lineRule="auto"/>
              <w:jc w:val="center"/>
              <w:rPr>
                <w:rFonts w:eastAsia="等线"/>
                <w:kern w:val="0"/>
                <w:sz w:val="18"/>
                <w:szCs w:val="18"/>
              </w:rPr>
            </w:pPr>
            <w:r>
              <w:rPr>
                <w:rFonts w:eastAsia="等线"/>
                <w:kern w:val="0"/>
                <w:sz w:val="18"/>
                <w:szCs w:val="18"/>
              </w:rPr>
              <w:t>—</w:t>
            </w:r>
          </w:p>
        </w:tc>
      </w:tr>
      <w:tr w14:paraId="02F88633">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03731C49">
            <w:pPr>
              <w:widowControl/>
              <w:spacing w:line="240" w:lineRule="auto"/>
              <w:jc w:val="center"/>
              <w:rPr>
                <w:rFonts w:eastAsia="等线"/>
                <w:kern w:val="0"/>
                <w:sz w:val="18"/>
                <w:szCs w:val="18"/>
              </w:rPr>
            </w:pPr>
            <w:r>
              <w:rPr>
                <w:rFonts w:eastAsia="等线"/>
                <w:kern w:val="0"/>
                <w:sz w:val="18"/>
                <w:szCs w:val="18"/>
              </w:rPr>
              <w:t>500</w:t>
            </w:r>
          </w:p>
        </w:tc>
        <w:tc>
          <w:tcPr>
            <w:tcW w:w="487" w:type="pct"/>
            <w:tcBorders>
              <w:top w:val="nil"/>
              <w:left w:val="nil"/>
              <w:bottom w:val="single" w:color="auto" w:sz="8" w:space="0"/>
              <w:right w:val="single" w:color="auto" w:sz="8" w:space="0"/>
            </w:tcBorders>
            <w:shd w:val="clear" w:color="auto" w:fill="auto"/>
            <w:vAlign w:val="center"/>
          </w:tcPr>
          <w:p w14:paraId="7210E07A">
            <w:pPr>
              <w:widowControl/>
              <w:spacing w:line="240" w:lineRule="auto"/>
              <w:jc w:val="center"/>
              <w:rPr>
                <w:rFonts w:eastAsia="等线"/>
                <w:kern w:val="0"/>
                <w:sz w:val="18"/>
                <w:szCs w:val="18"/>
              </w:rPr>
            </w:pPr>
            <w:r>
              <w:rPr>
                <w:rFonts w:eastAsia="等线"/>
                <w:kern w:val="0"/>
                <w:sz w:val="18"/>
                <w:szCs w:val="18"/>
              </w:rPr>
              <w:t>—</w:t>
            </w:r>
          </w:p>
        </w:tc>
        <w:tc>
          <w:tcPr>
            <w:tcW w:w="484" w:type="pct"/>
            <w:tcBorders>
              <w:top w:val="nil"/>
              <w:left w:val="nil"/>
              <w:bottom w:val="single" w:color="auto" w:sz="8" w:space="0"/>
              <w:right w:val="single" w:color="auto" w:sz="8" w:space="0"/>
            </w:tcBorders>
            <w:shd w:val="clear" w:color="auto" w:fill="auto"/>
            <w:vAlign w:val="center"/>
          </w:tcPr>
          <w:p w14:paraId="0C809EDC">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3D5B1F2F">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6BC82FEE">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79E39FD7">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2C77E7FA">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0F0B38D1">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3C8F58FB">
            <w:pPr>
              <w:widowControl/>
              <w:spacing w:line="240" w:lineRule="auto"/>
              <w:jc w:val="center"/>
              <w:rPr>
                <w:rFonts w:eastAsia="等线"/>
                <w:kern w:val="0"/>
                <w:sz w:val="18"/>
                <w:szCs w:val="18"/>
              </w:rPr>
            </w:pPr>
            <w:r>
              <w:rPr>
                <w:rFonts w:eastAsia="等线"/>
                <w:kern w:val="0"/>
                <w:sz w:val="18"/>
                <w:szCs w:val="18"/>
              </w:rPr>
              <w:t>—</w:t>
            </w:r>
          </w:p>
        </w:tc>
        <w:tc>
          <w:tcPr>
            <w:tcW w:w="476" w:type="pct"/>
            <w:tcBorders>
              <w:top w:val="nil"/>
              <w:left w:val="nil"/>
              <w:bottom w:val="single" w:color="auto" w:sz="8" w:space="0"/>
              <w:right w:val="single" w:color="auto" w:sz="8" w:space="0"/>
            </w:tcBorders>
            <w:shd w:val="clear" w:color="auto" w:fill="auto"/>
            <w:vAlign w:val="center"/>
          </w:tcPr>
          <w:p w14:paraId="625571B8">
            <w:pPr>
              <w:widowControl/>
              <w:spacing w:line="240" w:lineRule="auto"/>
              <w:jc w:val="center"/>
              <w:rPr>
                <w:rFonts w:eastAsia="等线"/>
                <w:kern w:val="0"/>
                <w:sz w:val="18"/>
                <w:szCs w:val="18"/>
              </w:rPr>
            </w:pPr>
            <w:r>
              <w:rPr>
                <w:rFonts w:eastAsia="等线"/>
                <w:kern w:val="0"/>
                <w:sz w:val="18"/>
                <w:szCs w:val="18"/>
              </w:rPr>
              <w:t>—</w:t>
            </w:r>
          </w:p>
        </w:tc>
      </w:tr>
      <w:tr w14:paraId="7870D68F">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13410AA7">
            <w:pPr>
              <w:widowControl/>
              <w:spacing w:line="240" w:lineRule="auto"/>
              <w:jc w:val="center"/>
              <w:rPr>
                <w:rFonts w:eastAsia="等线"/>
                <w:kern w:val="0"/>
                <w:sz w:val="18"/>
                <w:szCs w:val="18"/>
              </w:rPr>
            </w:pPr>
            <w:r>
              <w:rPr>
                <w:rFonts w:eastAsia="等线"/>
                <w:kern w:val="0"/>
                <w:sz w:val="18"/>
                <w:szCs w:val="18"/>
              </w:rPr>
              <w:t>450</w:t>
            </w:r>
          </w:p>
        </w:tc>
        <w:tc>
          <w:tcPr>
            <w:tcW w:w="487" w:type="pct"/>
            <w:tcBorders>
              <w:top w:val="nil"/>
              <w:left w:val="nil"/>
              <w:bottom w:val="single" w:color="auto" w:sz="8" w:space="0"/>
              <w:right w:val="single" w:color="auto" w:sz="8" w:space="0"/>
            </w:tcBorders>
            <w:shd w:val="clear" w:color="auto" w:fill="auto"/>
            <w:vAlign w:val="center"/>
          </w:tcPr>
          <w:p w14:paraId="41425E05">
            <w:pPr>
              <w:widowControl/>
              <w:spacing w:line="240" w:lineRule="auto"/>
              <w:jc w:val="center"/>
              <w:rPr>
                <w:rFonts w:eastAsia="等线"/>
                <w:kern w:val="0"/>
                <w:sz w:val="18"/>
                <w:szCs w:val="18"/>
              </w:rPr>
            </w:pPr>
            <w:r>
              <w:rPr>
                <w:rFonts w:eastAsia="等线"/>
                <w:kern w:val="0"/>
                <w:sz w:val="18"/>
                <w:szCs w:val="18"/>
              </w:rPr>
              <w:t>—</w:t>
            </w:r>
          </w:p>
        </w:tc>
        <w:tc>
          <w:tcPr>
            <w:tcW w:w="484" w:type="pct"/>
            <w:tcBorders>
              <w:top w:val="nil"/>
              <w:left w:val="nil"/>
              <w:bottom w:val="single" w:color="auto" w:sz="8" w:space="0"/>
              <w:right w:val="single" w:color="auto" w:sz="8" w:space="0"/>
            </w:tcBorders>
            <w:shd w:val="clear" w:color="auto" w:fill="auto"/>
            <w:vAlign w:val="center"/>
          </w:tcPr>
          <w:p w14:paraId="2A1DBCE2">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51E4067D">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33D9C1D4">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43EDA261">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0E7B3E34">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290E1800">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1CBB79F0">
            <w:pPr>
              <w:widowControl/>
              <w:spacing w:line="240" w:lineRule="auto"/>
              <w:jc w:val="center"/>
              <w:rPr>
                <w:rFonts w:eastAsia="等线"/>
                <w:kern w:val="0"/>
                <w:sz w:val="18"/>
                <w:szCs w:val="18"/>
              </w:rPr>
            </w:pPr>
            <w:r>
              <w:rPr>
                <w:rFonts w:eastAsia="等线"/>
                <w:kern w:val="0"/>
                <w:sz w:val="18"/>
                <w:szCs w:val="18"/>
              </w:rPr>
              <w:t>—</w:t>
            </w:r>
          </w:p>
        </w:tc>
        <w:tc>
          <w:tcPr>
            <w:tcW w:w="476" w:type="pct"/>
            <w:tcBorders>
              <w:top w:val="nil"/>
              <w:left w:val="nil"/>
              <w:bottom w:val="single" w:color="auto" w:sz="8" w:space="0"/>
              <w:right w:val="single" w:color="auto" w:sz="8" w:space="0"/>
            </w:tcBorders>
            <w:shd w:val="clear" w:color="auto" w:fill="auto"/>
            <w:vAlign w:val="center"/>
          </w:tcPr>
          <w:p w14:paraId="5F41C008">
            <w:pPr>
              <w:widowControl/>
              <w:spacing w:line="240" w:lineRule="auto"/>
              <w:jc w:val="center"/>
              <w:rPr>
                <w:rFonts w:eastAsia="等线"/>
                <w:kern w:val="0"/>
                <w:sz w:val="18"/>
                <w:szCs w:val="18"/>
              </w:rPr>
            </w:pPr>
            <w:r>
              <w:rPr>
                <w:rFonts w:eastAsia="等线"/>
                <w:kern w:val="0"/>
                <w:sz w:val="18"/>
                <w:szCs w:val="18"/>
              </w:rPr>
              <w:t>—</w:t>
            </w:r>
          </w:p>
        </w:tc>
      </w:tr>
      <w:tr w14:paraId="60DAA883">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1BE41C1F">
            <w:pPr>
              <w:widowControl/>
              <w:spacing w:line="240" w:lineRule="auto"/>
              <w:jc w:val="center"/>
              <w:rPr>
                <w:rFonts w:eastAsia="等线"/>
                <w:kern w:val="0"/>
                <w:sz w:val="18"/>
                <w:szCs w:val="18"/>
              </w:rPr>
            </w:pPr>
            <w:r>
              <w:rPr>
                <w:rFonts w:eastAsia="等线"/>
                <w:kern w:val="0"/>
                <w:sz w:val="18"/>
                <w:szCs w:val="18"/>
              </w:rPr>
              <w:t>400</w:t>
            </w:r>
          </w:p>
        </w:tc>
        <w:tc>
          <w:tcPr>
            <w:tcW w:w="487" w:type="pct"/>
            <w:tcBorders>
              <w:top w:val="nil"/>
              <w:left w:val="nil"/>
              <w:bottom w:val="single" w:color="auto" w:sz="8" w:space="0"/>
              <w:right w:val="single" w:color="auto" w:sz="8" w:space="0"/>
            </w:tcBorders>
            <w:shd w:val="clear" w:color="auto" w:fill="auto"/>
            <w:vAlign w:val="center"/>
          </w:tcPr>
          <w:p w14:paraId="19178198">
            <w:pPr>
              <w:widowControl/>
              <w:spacing w:line="240" w:lineRule="auto"/>
              <w:jc w:val="center"/>
              <w:rPr>
                <w:rFonts w:eastAsia="等线"/>
                <w:kern w:val="0"/>
                <w:sz w:val="18"/>
                <w:szCs w:val="18"/>
              </w:rPr>
            </w:pPr>
            <w:r>
              <w:rPr>
                <w:rFonts w:eastAsia="等线"/>
                <w:kern w:val="0"/>
                <w:sz w:val="18"/>
                <w:szCs w:val="18"/>
              </w:rPr>
              <w:t>—</w:t>
            </w:r>
          </w:p>
        </w:tc>
        <w:tc>
          <w:tcPr>
            <w:tcW w:w="484" w:type="pct"/>
            <w:tcBorders>
              <w:top w:val="nil"/>
              <w:left w:val="nil"/>
              <w:bottom w:val="single" w:color="auto" w:sz="8" w:space="0"/>
              <w:right w:val="single" w:color="auto" w:sz="8" w:space="0"/>
            </w:tcBorders>
            <w:shd w:val="clear" w:color="auto" w:fill="auto"/>
            <w:vAlign w:val="center"/>
          </w:tcPr>
          <w:p w14:paraId="35D35DC4">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08C0EEDD">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6C9852C6">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2AAC6281">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324BA9FC">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1BC4E817">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6C086F07">
            <w:pPr>
              <w:widowControl/>
              <w:spacing w:line="240" w:lineRule="auto"/>
              <w:jc w:val="center"/>
              <w:rPr>
                <w:rFonts w:eastAsia="等线"/>
                <w:kern w:val="0"/>
                <w:sz w:val="18"/>
                <w:szCs w:val="18"/>
              </w:rPr>
            </w:pPr>
            <w:r>
              <w:rPr>
                <w:rFonts w:eastAsia="等线"/>
                <w:kern w:val="0"/>
                <w:sz w:val="18"/>
                <w:szCs w:val="18"/>
              </w:rPr>
              <w:t>—</w:t>
            </w:r>
          </w:p>
        </w:tc>
        <w:tc>
          <w:tcPr>
            <w:tcW w:w="476" w:type="pct"/>
            <w:tcBorders>
              <w:top w:val="nil"/>
              <w:left w:val="nil"/>
              <w:bottom w:val="single" w:color="auto" w:sz="8" w:space="0"/>
              <w:right w:val="single" w:color="auto" w:sz="8" w:space="0"/>
            </w:tcBorders>
            <w:shd w:val="clear" w:color="auto" w:fill="auto"/>
            <w:vAlign w:val="center"/>
          </w:tcPr>
          <w:p w14:paraId="1A9853FC">
            <w:pPr>
              <w:widowControl/>
              <w:spacing w:line="240" w:lineRule="auto"/>
              <w:jc w:val="center"/>
              <w:rPr>
                <w:rFonts w:eastAsia="等线"/>
                <w:kern w:val="0"/>
                <w:sz w:val="18"/>
                <w:szCs w:val="18"/>
              </w:rPr>
            </w:pPr>
            <w:r>
              <w:rPr>
                <w:rFonts w:eastAsia="等线"/>
                <w:kern w:val="0"/>
                <w:sz w:val="18"/>
                <w:szCs w:val="18"/>
              </w:rPr>
              <w:t>—</w:t>
            </w:r>
          </w:p>
        </w:tc>
      </w:tr>
      <w:tr w14:paraId="1C4534A3">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3F7F8BBF">
            <w:pPr>
              <w:widowControl/>
              <w:spacing w:line="240" w:lineRule="auto"/>
              <w:jc w:val="center"/>
              <w:rPr>
                <w:rFonts w:eastAsia="等线"/>
                <w:kern w:val="0"/>
                <w:sz w:val="18"/>
                <w:szCs w:val="18"/>
              </w:rPr>
            </w:pPr>
            <w:r>
              <w:rPr>
                <w:rFonts w:eastAsia="等线"/>
                <w:kern w:val="0"/>
                <w:sz w:val="18"/>
                <w:szCs w:val="18"/>
              </w:rPr>
              <w:t>350</w:t>
            </w:r>
          </w:p>
        </w:tc>
        <w:tc>
          <w:tcPr>
            <w:tcW w:w="487" w:type="pct"/>
            <w:tcBorders>
              <w:top w:val="nil"/>
              <w:left w:val="nil"/>
              <w:bottom w:val="single" w:color="auto" w:sz="8" w:space="0"/>
              <w:right w:val="single" w:color="auto" w:sz="8" w:space="0"/>
            </w:tcBorders>
            <w:shd w:val="clear" w:color="auto" w:fill="auto"/>
            <w:vAlign w:val="center"/>
          </w:tcPr>
          <w:p w14:paraId="1B20F648">
            <w:pPr>
              <w:widowControl/>
              <w:spacing w:line="240" w:lineRule="auto"/>
              <w:jc w:val="center"/>
              <w:rPr>
                <w:rFonts w:eastAsia="等线"/>
                <w:kern w:val="0"/>
                <w:sz w:val="18"/>
                <w:szCs w:val="18"/>
              </w:rPr>
            </w:pPr>
            <w:r>
              <w:rPr>
                <w:rFonts w:eastAsia="等线"/>
                <w:kern w:val="0"/>
                <w:sz w:val="18"/>
                <w:szCs w:val="18"/>
              </w:rPr>
              <w:t>—</w:t>
            </w:r>
          </w:p>
        </w:tc>
        <w:tc>
          <w:tcPr>
            <w:tcW w:w="484" w:type="pct"/>
            <w:tcBorders>
              <w:top w:val="nil"/>
              <w:left w:val="nil"/>
              <w:bottom w:val="single" w:color="auto" w:sz="8" w:space="0"/>
              <w:right w:val="single" w:color="auto" w:sz="8" w:space="0"/>
            </w:tcBorders>
            <w:shd w:val="clear" w:color="auto" w:fill="auto"/>
            <w:vAlign w:val="center"/>
          </w:tcPr>
          <w:p w14:paraId="5A94DE1A">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1C198342">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19CD3F77">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72086C74">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48358F22">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49C0E1E5">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07A6E02B">
            <w:pPr>
              <w:widowControl/>
              <w:spacing w:line="240" w:lineRule="auto"/>
              <w:jc w:val="center"/>
              <w:rPr>
                <w:rFonts w:eastAsia="等线"/>
                <w:kern w:val="0"/>
                <w:sz w:val="18"/>
                <w:szCs w:val="18"/>
              </w:rPr>
            </w:pPr>
            <w:r>
              <w:rPr>
                <w:rFonts w:eastAsia="等线"/>
                <w:kern w:val="0"/>
                <w:sz w:val="18"/>
                <w:szCs w:val="18"/>
              </w:rPr>
              <w:t>—</w:t>
            </w:r>
          </w:p>
        </w:tc>
        <w:tc>
          <w:tcPr>
            <w:tcW w:w="476" w:type="pct"/>
            <w:tcBorders>
              <w:top w:val="nil"/>
              <w:left w:val="nil"/>
              <w:bottom w:val="single" w:color="auto" w:sz="8" w:space="0"/>
              <w:right w:val="single" w:color="auto" w:sz="8" w:space="0"/>
            </w:tcBorders>
            <w:shd w:val="clear" w:color="auto" w:fill="auto"/>
            <w:vAlign w:val="center"/>
          </w:tcPr>
          <w:p w14:paraId="27F27A29">
            <w:pPr>
              <w:widowControl/>
              <w:spacing w:line="240" w:lineRule="auto"/>
              <w:jc w:val="center"/>
              <w:rPr>
                <w:rFonts w:eastAsia="等线"/>
                <w:kern w:val="0"/>
                <w:sz w:val="18"/>
                <w:szCs w:val="18"/>
              </w:rPr>
            </w:pPr>
            <w:r>
              <w:rPr>
                <w:rFonts w:eastAsia="等线"/>
                <w:kern w:val="0"/>
                <w:sz w:val="18"/>
                <w:szCs w:val="18"/>
              </w:rPr>
              <w:t>—</w:t>
            </w:r>
          </w:p>
        </w:tc>
      </w:tr>
      <w:tr w14:paraId="36A0EED3">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26011E78">
            <w:pPr>
              <w:widowControl/>
              <w:spacing w:line="240" w:lineRule="auto"/>
              <w:jc w:val="center"/>
              <w:rPr>
                <w:rFonts w:eastAsia="等线"/>
                <w:kern w:val="0"/>
                <w:sz w:val="18"/>
                <w:szCs w:val="18"/>
              </w:rPr>
            </w:pPr>
            <w:r>
              <w:rPr>
                <w:rFonts w:eastAsia="等线"/>
                <w:kern w:val="0"/>
                <w:sz w:val="18"/>
                <w:szCs w:val="18"/>
              </w:rPr>
              <w:t>300</w:t>
            </w:r>
          </w:p>
        </w:tc>
        <w:tc>
          <w:tcPr>
            <w:tcW w:w="487" w:type="pct"/>
            <w:tcBorders>
              <w:top w:val="nil"/>
              <w:left w:val="nil"/>
              <w:bottom w:val="single" w:color="auto" w:sz="8" w:space="0"/>
              <w:right w:val="single" w:color="auto" w:sz="8" w:space="0"/>
            </w:tcBorders>
            <w:shd w:val="clear" w:color="auto" w:fill="auto"/>
            <w:vAlign w:val="center"/>
          </w:tcPr>
          <w:p w14:paraId="13FA9F7D">
            <w:pPr>
              <w:widowControl/>
              <w:spacing w:line="240" w:lineRule="auto"/>
              <w:jc w:val="center"/>
              <w:rPr>
                <w:rFonts w:eastAsia="等线"/>
                <w:kern w:val="0"/>
                <w:sz w:val="18"/>
                <w:szCs w:val="18"/>
              </w:rPr>
            </w:pPr>
            <w:r>
              <w:rPr>
                <w:rFonts w:eastAsia="等线"/>
                <w:kern w:val="0"/>
                <w:sz w:val="18"/>
                <w:szCs w:val="18"/>
              </w:rPr>
              <w:t>—</w:t>
            </w:r>
          </w:p>
        </w:tc>
        <w:tc>
          <w:tcPr>
            <w:tcW w:w="484" w:type="pct"/>
            <w:tcBorders>
              <w:top w:val="nil"/>
              <w:left w:val="nil"/>
              <w:bottom w:val="single" w:color="auto" w:sz="8" w:space="0"/>
              <w:right w:val="single" w:color="auto" w:sz="8" w:space="0"/>
            </w:tcBorders>
            <w:shd w:val="clear" w:color="auto" w:fill="auto"/>
            <w:vAlign w:val="center"/>
          </w:tcPr>
          <w:p w14:paraId="10C5333D">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784B60CE">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7ECDC122">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367730C2">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1596629D">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4551D63C">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6F949449">
            <w:pPr>
              <w:widowControl/>
              <w:spacing w:line="240" w:lineRule="auto"/>
              <w:jc w:val="center"/>
              <w:rPr>
                <w:rFonts w:eastAsia="等线"/>
                <w:kern w:val="0"/>
                <w:sz w:val="18"/>
                <w:szCs w:val="18"/>
              </w:rPr>
            </w:pPr>
            <w:r>
              <w:rPr>
                <w:rFonts w:eastAsia="等线"/>
                <w:kern w:val="0"/>
                <w:sz w:val="18"/>
                <w:szCs w:val="18"/>
              </w:rPr>
              <w:t>—</w:t>
            </w:r>
          </w:p>
        </w:tc>
        <w:tc>
          <w:tcPr>
            <w:tcW w:w="476" w:type="pct"/>
            <w:tcBorders>
              <w:top w:val="nil"/>
              <w:left w:val="nil"/>
              <w:bottom w:val="single" w:color="auto" w:sz="8" w:space="0"/>
              <w:right w:val="single" w:color="auto" w:sz="8" w:space="0"/>
            </w:tcBorders>
            <w:shd w:val="clear" w:color="auto" w:fill="auto"/>
            <w:vAlign w:val="center"/>
          </w:tcPr>
          <w:p w14:paraId="3209A237">
            <w:pPr>
              <w:widowControl/>
              <w:spacing w:line="240" w:lineRule="auto"/>
              <w:jc w:val="center"/>
              <w:rPr>
                <w:rFonts w:eastAsia="等线"/>
                <w:kern w:val="0"/>
                <w:sz w:val="18"/>
                <w:szCs w:val="18"/>
              </w:rPr>
            </w:pPr>
            <w:r>
              <w:rPr>
                <w:rFonts w:eastAsia="等线"/>
                <w:kern w:val="0"/>
                <w:sz w:val="18"/>
                <w:szCs w:val="18"/>
              </w:rPr>
              <w:t>—</w:t>
            </w:r>
          </w:p>
        </w:tc>
      </w:tr>
      <w:tr w14:paraId="097BDB38">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56F6DC22">
            <w:pPr>
              <w:widowControl/>
              <w:spacing w:line="240" w:lineRule="auto"/>
              <w:jc w:val="center"/>
              <w:rPr>
                <w:rFonts w:eastAsia="等线"/>
                <w:kern w:val="0"/>
                <w:sz w:val="18"/>
                <w:szCs w:val="18"/>
              </w:rPr>
            </w:pPr>
            <w:r>
              <w:rPr>
                <w:rFonts w:eastAsia="等线"/>
                <w:kern w:val="0"/>
                <w:sz w:val="18"/>
                <w:szCs w:val="18"/>
              </w:rPr>
              <w:t>250</w:t>
            </w:r>
          </w:p>
        </w:tc>
        <w:tc>
          <w:tcPr>
            <w:tcW w:w="487" w:type="pct"/>
            <w:tcBorders>
              <w:top w:val="nil"/>
              <w:left w:val="nil"/>
              <w:bottom w:val="single" w:color="auto" w:sz="8" w:space="0"/>
              <w:right w:val="single" w:color="auto" w:sz="8" w:space="0"/>
            </w:tcBorders>
            <w:shd w:val="clear" w:color="auto" w:fill="auto"/>
            <w:vAlign w:val="center"/>
          </w:tcPr>
          <w:p w14:paraId="5767E921">
            <w:pPr>
              <w:widowControl/>
              <w:spacing w:line="240" w:lineRule="auto"/>
              <w:jc w:val="center"/>
              <w:rPr>
                <w:rFonts w:eastAsia="等线"/>
                <w:kern w:val="0"/>
                <w:sz w:val="18"/>
                <w:szCs w:val="18"/>
              </w:rPr>
            </w:pPr>
            <w:r>
              <w:rPr>
                <w:rFonts w:eastAsia="等线"/>
                <w:kern w:val="0"/>
                <w:sz w:val="18"/>
                <w:szCs w:val="18"/>
              </w:rPr>
              <w:t>—</w:t>
            </w:r>
          </w:p>
        </w:tc>
        <w:tc>
          <w:tcPr>
            <w:tcW w:w="484" w:type="pct"/>
            <w:tcBorders>
              <w:top w:val="nil"/>
              <w:left w:val="nil"/>
              <w:bottom w:val="single" w:color="auto" w:sz="8" w:space="0"/>
              <w:right w:val="single" w:color="auto" w:sz="8" w:space="0"/>
            </w:tcBorders>
            <w:shd w:val="clear" w:color="auto" w:fill="auto"/>
            <w:vAlign w:val="center"/>
          </w:tcPr>
          <w:p w14:paraId="48677C97">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45239262">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00B3982A">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04E13F94">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5050CCB5">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46CA2D14">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55303361">
            <w:pPr>
              <w:widowControl/>
              <w:spacing w:line="240" w:lineRule="auto"/>
              <w:jc w:val="center"/>
              <w:rPr>
                <w:rFonts w:eastAsia="等线"/>
                <w:kern w:val="0"/>
                <w:sz w:val="18"/>
                <w:szCs w:val="18"/>
              </w:rPr>
            </w:pPr>
            <w:r>
              <w:rPr>
                <w:rFonts w:eastAsia="等线"/>
                <w:kern w:val="0"/>
                <w:sz w:val="18"/>
                <w:szCs w:val="18"/>
              </w:rPr>
              <w:t>—</w:t>
            </w:r>
          </w:p>
        </w:tc>
        <w:tc>
          <w:tcPr>
            <w:tcW w:w="476" w:type="pct"/>
            <w:tcBorders>
              <w:top w:val="nil"/>
              <w:left w:val="nil"/>
              <w:bottom w:val="single" w:color="auto" w:sz="8" w:space="0"/>
              <w:right w:val="single" w:color="auto" w:sz="8" w:space="0"/>
            </w:tcBorders>
            <w:shd w:val="clear" w:color="auto" w:fill="auto"/>
            <w:vAlign w:val="center"/>
          </w:tcPr>
          <w:p w14:paraId="352FE548">
            <w:pPr>
              <w:widowControl/>
              <w:spacing w:line="240" w:lineRule="auto"/>
              <w:jc w:val="center"/>
              <w:rPr>
                <w:rFonts w:eastAsia="等线"/>
                <w:kern w:val="0"/>
                <w:sz w:val="18"/>
                <w:szCs w:val="18"/>
              </w:rPr>
            </w:pPr>
            <w:r>
              <w:rPr>
                <w:rFonts w:eastAsia="等线"/>
                <w:kern w:val="0"/>
                <w:sz w:val="18"/>
                <w:szCs w:val="18"/>
              </w:rPr>
              <w:t>—</w:t>
            </w:r>
          </w:p>
        </w:tc>
      </w:tr>
      <w:tr w14:paraId="245006BF">
        <w:tblPrEx>
          <w:tblCellMar>
            <w:top w:w="0" w:type="dxa"/>
            <w:left w:w="108" w:type="dxa"/>
            <w:bottom w:w="0" w:type="dxa"/>
            <w:right w:w="108" w:type="dxa"/>
          </w:tblCellMar>
        </w:tblPrEx>
        <w:trPr>
          <w:trHeight w:val="290" w:hRule="atLeast"/>
        </w:trPr>
        <w:tc>
          <w:tcPr>
            <w:tcW w:w="655" w:type="pct"/>
            <w:tcBorders>
              <w:top w:val="nil"/>
              <w:left w:val="single" w:color="auto" w:sz="8" w:space="0"/>
              <w:bottom w:val="single" w:color="auto" w:sz="8" w:space="0"/>
              <w:right w:val="single" w:color="auto" w:sz="8" w:space="0"/>
            </w:tcBorders>
            <w:shd w:val="clear" w:color="auto" w:fill="auto"/>
            <w:vAlign w:val="center"/>
          </w:tcPr>
          <w:p w14:paraId="6F95A192">
            <w:pPr>
              <w:widowControl/>
              <w:spacing w:line="240" w:lineRule="auto"/>
              <w:jc w:val="center"/>
              <w:rPr>
                <w:rFonts w:eastAsia="等线"/>
                <w:kern w:val="0"/>
                <w:sz w:val="18"/>
                <w:szCs w:val="18"/>
              </w:rPr>
            </w:pPr>
            <w:r>
              <w:rPr>
                <w:rFonts w:eastAsia="等线"/>
                <w:kern w:val="0"/>
                <w:sz w:val="18"/>
                <w:szCs w:val="18"/>
              </w:rPr>
              <w:t>200</w:t>
            </w:r>
          </w:p>
        </w:tc>
        <w:tc>
          <w:tcPr>
            <w:tcW w:w="487" w:type="pct"/>
            <w:tcBorders>
              <w:top w:val="nil"/>
              <w:left w:val="nil"/>
              <w:bottom w:val="single" w:color="auto" w:sz="8" w:space="0"/>
              <w:right w:val="single" w:color="auto" w:sz="8" w:space="0"/>
            </w:tcBorders>
            <w:shd w:val="clear" w:color="auto" w:fill="auto"/>
            <w:vAlign w:val="center"/>
          </w:tcPr>
          <w:p w14:paraId="5A646103">
            <w:pPr>
              <w:widowControl/>
              <w:spacing w:line="240" w:lineRule="auto"/>
              <w:jc w:val="center"/>
              <w:rPr>
                <w:rFonts w:eastAsia="等线"/>
                <w:kern w:val="0"/>
                <w:sz w:val="18"/>
                <w:szCs w:val="18"/>
              </w:rPr>
            </w:pPr>
            <w:r>
              <w:rPr>
                <w:rFonts w:eastAsia="等线"/>
                <w:kern w:val="0"/>
                <w:sz w:val="18"/>
                <w:szCs w:val="18"/>
              </w:rPr>
              <w:t>—</w:t>
            </w:r>
          </w:p>
        </w:tc>
        <w:tc>
          <w:tcPr>
            <w:tcW w:w="484" w:type="pct"/>
            <w:tcBorders>
              <w:top w:val="nil"/>
              <w:left w:val="nil"/>
              <w:bottom w:val="single" w:color="auto" w:sz="8" w:space="0"/>
              <w:right w:val="single" w:color="auto" w:sz="8" w:space="0"/>
            </w:tcBorders>
            <w:shd w:val="clear" w:color="auto" w:fill="auto"/>
            <w:vAlign w:val="center"/>
          </w:tcPr>
          <w:p w14:paraId="57EA9D69">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5EA59F82">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12E51A51">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7A2F51F7">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046867F2">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34686217">
            <w:pPr>
              <w:widowControl/>
              <w:spacing w:line="240" w:lineRule="auto"/>
              <w:jc w:val="center"/>
              <w:rPr>
                <w:rFonts w:eastAsia="等线"/>
                <w:kern w:val="0"/>
                <w:sz w:val="18"/>
                <w:szCs w:val="18"/>
              </w:rPr>
            </w:pPr>
            <w:r>
              <w:rPr>
                <w:rFonts w:eastAsia="等线"/>
                <w:kern w:val="0"/>
                <w:sz w:val="18"/>
                <w:szCs w:val="18"/>
              </w:rPr>
              <w:t>—</w:t>
            </w:r>
          </w:p>
        </w:tc>
        <w:tc>
          <w:tcPr>
            <w:tcW w:w="483" w:type="pct"/>
            <w:tcBorders>
              <w:top w:val="nil"/>
              <w:left w:val="nil"/>
              <w:bottom w:val="single" w:color="auto" w:sz="8" w:space="0"/>
              <w:right w:val="single" w:color="auto" w:sz="8" w:space="0"/>
            </w:tcBorders>
            <w:shd w:val="clear" w:color="auto" w:fill="auto"/>
            <w:vAlign w:val="center"/>
          </w:tcPr>
          <w:p w14:paraId="2387E885">
            <w:pPr>
              <w:widowControl/>
              <w:spacing w:line="240" w:lineRule="auto"/>
              <w:jc w:val="center"/>
              <w:rPr>
                <w:rFonts w:eastAsia="等线"/>
                <w:kern w:val="0"/>
                <w:sz w:val="18"/>
                <w:szCs w:val="18"/>
              </w:rPr>
            </w:pPr>
            <w:r>
              <w:rPr>
                <w:rFonts w:eastAsia="等线"/>
                <w:kern w:val="0"/>
                <w:sz w:val="18"/>
                <w:szCs w:val="18"/>
              </w:rPr>
              <w:t>—</w:t>
            </w:r>
          </w:p>
        </w:tc>
        <w:tc>
          <w:tcPr>
            <w:tcW w:w="476" w:type="pct"/>
            <w:tcBorders>
              <w:top w:val="nil"/>
              <w:left w:val="nil"/>
              <w:bottom w:val="single" w:color="auto" w:sz="8" w:space="0"/>
              <w:right w:val="single" w:color="auto" w:sz="8" w:space="0"/>
            </w:tcBorders>
            <w:shd w:val="clear" w:color="auto" w:fill="auto"/>
            <w:vAlign w:val="center"/>
          </w:tcPr>
          <w:p w14:paraId="2FEFF9D4">
            <w:pPr>
              <w:widowControl/>
              <w:spacing w:line="240" w:lineRule="auto"/>
              <w:jc w:val="center"/>
              <w:rPr>
                <w:rFonts w:eastAsia="等线"/>
                <w:kern w:val="0"/>
                <w:sz w:val="18"/>
                <w:szCs w:val="18"/>
              </w:rPr>
            </w:pPr>
            <w:r>
              <w:rPr>
                <w:rFonts w:eastAsia="等线"/>
                <w:kern w:val="0"/>
                <w:sz w:val="18"/>
                <w:szCs w:val="18"/>
              </w:rPr>
              <w:t>—</w:t>
            </w:r>
          </w:p>
        </w:tc>
      </w:tr>
    </w:tbl>
    <w:p w14:paraId="2D1F80DD">
      <w:pPr>
        <w:pStyle w:val="198"/>
        <w:rPr>
          <w:szCs w:val="21"/>
        </w:rPr>
      </w:pPr>
      <w:r>
        <w:rPr>
          <w:szCs w:val="21"/>
        </w:rPr>
        <w:t xml:space="preserve">7.2.2 </w:t>
      </w:r>
      <w:r>
        <w:rPr>
          <w:rFonts w:hint="eastAsia"/>
          <w:szCs w:val="21"/>
        </w:rPr>
        <w:t xml:space="preserve"> </w:t>
      </w:r>
      <w:r>
        <w:rPr>
          <w:szCs w:val="21"/>
        </w:rPr>
        <w:t>线路缓和曲线长</w:t>
      </w:r>
      <w:r>
        <w:rPr>
          <w:rFonts w:hint="eastAsia"/>
          <w:szCs w:val="21"/>
        </w:rPr>
        <w:t>度（续表）</w:t>
      </w:r>
    </w:p>
    <w:tbl>
      <w:tblPr>
        <w:tblStyle w:val="88"/>
        <w:tblW w:w="5000" w:type="pct"/>
        <w:tblInd w:w="0" w:type="dxa"/>
        <w:tblLayout w:type="autofit"/>
        <w:tblCellMar>
          <w:top w:w="0" w:type="dxa"/>
          <w:left w:w="108" w:type="dxa"/>
          <w:bottom w:w="0" w:type="dxa"/>
          <w:right w:w="108" w:type="dxa"/>
        </w:tblCellMar>
      </w:tblPr>
      <w:tblGrid>
        <w:gridCol w:w="741"/>
        <w:gridCol w:w="622"/>
        <w:gridCol w:w="622"/>
        <w:gridCol w:w="623"/>
        <w:gridCol w:w="623"/>
        <w:gridCol w:w="623"/>
        <w:gridCol w:w="623"/>
        <w:gridCol w:w="623"/>
        <w:gridCol w:w="624"/>
        <w:gridCol w:w="616"/>
      </w:tblGrid>
      <w:tr w14:paraId="4BD5A61F">
        <w:tblPrEx>
          <w:tblCellMar>
            <w:top w:w="0" w:type="dxa"/>
            <w:left w:w="108" w:type="dxa"/>
            <w:bottom w:w="0" w:type="dxa"/>
            <w:right w:w="108" w:type="dxa"/>
          </w:tblCellMar>
        </w:tblPrEx>
        <w:trPr>
          <w:trHeight w:val="288" w:hRule="atLeast"/>
        </w:trPr>
        <w:tc>
          <w:tcPr>
            <w:tcW w:w="584" w:type="pct"/>
            <w:vMerge w:val="restart"/>
            <w:tcBorders>
              <w:top w:val="single" w:color="auto" w:sz="8" w:space="0"/>
              <w:left w:val="single" w:color="auto" w:sz="8" w:space="0"/>
              <w:right w:val="single" w:color="auto" w:sz="8" w:space="0"/>
            </w:tcBorders>
            <w:shd w:val="clear" w:color="auto" w:fill="auto"/>
            <w:noWrap/>
            <w:vAlign w:val="center"/>
          </w:tcPr>
          <w:p w14:paraId="2C9F6FF5">
            <w:pPr>
              <w:widowControl/>
              <w:spacing w:line="240" w:lineRule="auto"/>
              <w:jc w:val="center"/>
              <w:rPr>
                <w:rFonts w:eastAsia="等线"/>
                <w:kern w:val="0"/>
                <w:sz w:val="18"/>
                <w:szCs w:val="18"/>
              </w:rPr>
            </w:pPr>
            <w:r>
              <w:rPr>
                <w:szCs w:val="21"/>
              </w:rPr>
              <mc:AlternateContent>
                <mc:Choice Requires="wps">
                  <w:drawing>
                    <wp:anchor distT="0" distB="0" distL="114300" distR="114300" simplePos="0" relativeHeight="251679744" behindDoc="0" locked="0" layoutInCell="1" allowOverlap="1">
                      <wp:simplePos x="0" y="0"/>
                      <wp:positionH relativeFrom="column">
                        <wp:posOffset>109855</wp:posOffset>
                      </wp:positionH>
                      <wp:positionV relativeFrom="paragraph">
                        <wp:posOffset>-6350</wp:posOffset>
                      </wp:positionV>
                      <wp:extent cx="288925" cy="564515"/>
                      <wp:effectExtent l="0" t="0" r="34925" b="26035"/>
                      <wp:wrapNone/>
                      <wp:docPr id="25" name="AutoShape 139"/>
                      <wp:cNvGraphicFramePr/>
                      <a:graphic xmlns:a="http://schemas.openxmlformats.org/drawingml/2006/main">
                        <a:graphicData uri="http://schemas.microsoft.com/office/word/2010/wordprocessingShape">
                          <wps:wsp>
                            <wps:cNvCnPr>
                              <a:cxnSpLocks noChangeShapeType="1"/>
                            </wps:cNvCnPr>
                            <wps:spPr bwMode="auto">
                              <a:xfrm flipH="1" flipV="1">
                                <a:off x="0" y="0"/>
                                <a:ext cx="288925" cy="564515"/>
                              </a:xfrm>
                              <a:prstGeom prst="straightConnector1">
                                <a:avLst/>
                              </a:prstGeom>
                              <a:noFill/>
                              <a:ln w="9525">
                                <a:solidFill>
                                  <a:srgbClr val="000000"/>
                                </a:solidFill>
                                <a:round/>
                              </a:ln>
                            </wps:spPr>
                            <wps:bodyPr/>
                          </wps:wsp>
                        </a:graphicData>
                      </a:graphic>
                    </wp:anchor>
                  </w:drawing>
                </mc:Choice>
                <mc:Fallback>
                  <w:pict>
                    <v:shape id="AutoShape 139" o:spid="_x0000_s1026" o:spt="32" type="#_x0000_t32" style="position:absolute;left:0pt;flip:x y;margin-left:8.65pt;margin-top:-0.5pt;height:44.45pt;width:22.75pt;z-index:251679744;mso-width-relative:page;mso-height-relative:page;" filled="f" stroked="t" coordsize="21600,21600" o:gfxdata="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Whnd11wAAAAcB&#10;AAAPAAAAAAAAAAEAIAAAACIAAABkcnMvZG93bnJldi54bWxQSwECFAAUAAAACACHTuJAdXLxH+MB&#10;AADNAwAADgAAAAAAAAABACAAAAAmAQAAZHJzL2Uyb0RvYy54bWxQSwUGAAAAAAYABgBZAQAAewUA&#10;AAAA&#10;">
                      <v:fill on="f" focussize="0,0"/>
                      <v:stroke color="#000000" joinstyle="round"/>
                      <v:imagedata o:title=""/>
                      <o:lock v:ext="edit" aspectratio="f"/>
                    </v:shape>
                  </w:pict>
                </mc:Fallback>
              </mc:AlternateContent>
            </w:r>
            <w:r>
              <w:rPr>
                <w:rFonts w:hint="eastAsia" w:eastAsia="等线"/>
                <w:kern w:val="0"/>
                <w:sz w:val="18"/>
                <w:szCs w:val="18"/>
              </w:rPr>
              <w:t xml:space="preserve">    </w:t>
            </w:r>
            <w:r>
              <w:rPr>
                <w:rFonts w:eastAsia="等线"/>
                <w:kern w:val="0"/>
                <w:sz w:val="18"/>
                <w:szCs w:val="18"/>
              </w:rPr>
              <w:t>v</w:t>
            </w:r>
          </w:p>
          <w:p w14:paraId="7B96E364">
            <w:pPr>
              <w:widowControl/>
              <w:spacing w:line="240" w:lineRule="auto"/>
              <w:ind w:firstLine="210" w:firstLineChars="100"/>
              <w:jc w:val="left"/>
              <w:rPr>
                <w:rFonts w:eastAsia="等线"/>
                <w:kern w:val="0"/>
                <w:sz w:val="18"/>
                <w:szCs w:val="18"/>
              </w:rPr>
            </w:pPr>
            <w:r>
              <w:rPr>
                <w:szCs w:val="21"/>
              </w:rPr>
              <mc:AlternateContent>
                <mc:Choice Requires="wps">
                  <w:drawing>
                    <wp:anchor distT="0" distB="0" distL="114300" distR="114300" simplePos="0" relativeHeight="251675648" behindDoc="0" locked="0" layoutInCell="1" allowOverlap="1">
                      <wp:simplePos x="0" y="0"/>
                      <wp:positionH relativeFrom="column">
                        <wp:posOffset>-62865</wp:posOffset>
                      </wp:positionH>
                      <wp:positionV relativeFrom="paragraph">
                        <wp:posOffset>92075</wp:posOffset>
                      </wp:positionV>
                      <wp:extent cx="461645" cy="334645"/>
                      <wp:effectExtent l="0" t="0" r="33655" b="27305"/>
                      <wp:wrapNone/>
                      <wp:docPr id="3" name="AutoShape 140"/>
                      <wp:cNvGraphicFramePr/>
                      <a:graphic xmlns:a="http://schemas.openxmlformats.org/drawingml/2006/main">
                        <a:graphicData uri="http://schemas.microsoft.com/office/word/2010/wordprocessingShape">
                          <wps:wsp>
                            <wps:cNvCnPr>
                              <a:cxnSpLocks noChangeShapeType="1"/>
                            </wps:cNvCnPr>
                            <wps:spPr bwMode="auto">
                              <a:xfrm flipH="1" flipV="1">
                                <a:off x="0" y="0"/>
                                <a:ext cx="461645" cy="334645"/>
                              </a:xfrm>
                              <a:prstGeom prst="straightConnector1">
                                <a:avLst/>
                              </a:prstGeom>
                              <a:noFill/>
                              <a:ln w="9525">
                                <a:solidFill>
                                  <a:srgbClr val="000000"/>
                                </a:solidFill>
                                <a:round/>
                              </a:ln>
                            </wps:spPr>
                            <wps:bodyPr/>
                          </wps:wsp>
                        </a:graphicData>
                      </a:graphic>
                    </wp:anchor>
                  </w:drawing>
                </mc:Choice>
                <mc:Fallback>
                  <w:pict>
                    <v:shape id="AutoShape 140" o:spid="_x0000_s1026" o:spt="32" type="#_x0000_t32" style="position:absolute;left:0pt;flip:x y;margin-left:-4.95pt;margin-top:7.25pt;height:26.35pt;width:36.35pt;z-index:251675648;mso-width-relative:page;mso-height-relative:page;" filled="f" stroked="t" coordsize="21600,21600" o:gfxdata="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QjqF3YAAAA&#10;BwEAAA8AAAAAAAAAAQAgAAAAIgAAAGRycy9kb3ducmV2LnhtbFBLAQIUABQAAAAIAIdO4kCr6fHl&#10;5AEAAMwDAAAOAAAAAAAAAAEAIAAAACcBAABkcnMvZTJvRG9jLnhtbFBLBQYAAAAABgAGAFkBAAB9&#10;BQAAAAA=&#10;">
                      <v:fill on="f" focussize="0,0"/>
                      <v:stroke color="#000000" joinstyle="round"/>
                      <v:imagedata o:title=""/>
                      <o:lock v:ext="edit" aspectratio="f"/>
                    </v:shape>
                  </w:pict>
                </mc:Fallback>
              </mc:AlternateContent>
            </w:r>
            <w:r>
              <w:rPr>
                <w:rFonts w:eastAsia="等线"/>
                <w:kern w:val="0"/>
                <w:sz w:val="18"/>
                <w:szCs w:val="18"/>
              </w:rPr>
              <w:t>l</w:t>
            </w:r>
            <w:r>
              <w:rPr>
                <w:rFonts w:hint="eastAsia" w:eastAsia="等线"/>
                <w:kern w:val="0"/>
                <w:sz w:val="18"/>
                <w:szCs w:val="18"/>
              </w:rPr>
              <w:t xml:space="preserve">  </w:t>
            </w:r>
          </w:p>
          <w:p w14:paraId="669E67EA">
            <w:pPr>
              <w:widowControl/>
              <w:spacing w:line="240" w:lineRule="auto"/>
              <w:jc w:val="center"/>
              <w:rPr>
                <w:rFonts w:eastAsia="等线"/>
                <w:kern w:val="0"/>
                <w:sz w:val="18"/>
                <w:szCs w:val="18"/>
              </w:rPr>
            </w:pPr>
          </w:p>
          <w:p w14:paraId="66056E1F">
            <w:pPr>
              <w:widowControl/>
              <w:spacing w:line="240" w:lineRule="auto"/>
              <w:rPr>
                <w:rFonts w:eastAsia="等线"/>
                <w:kern w:val="0"/>
                <w:szCs w:val="21"/>
              </w:rPr>
            </w:pPr>
            <w:r>
              <w:rPr>
                <w:rFonts w:eastAsia="等线"/>
                <w:kern w:val="0"/>
                <w:sz w:val="18"/>
                <w:szCs w:val="18"/>
              </w:rPr>
              <w:t>R</w:t>
            </w:r>
            <w:r>
              <w:rPr>
                <w:rFonts w:hint="eastAsia" w:eastAsia="等线"/>
                <w:kern w:val="0"/>
                <w:sz w:val="18"/>
                <w:szCs w:val="18"/>
              </w:rPr>
              <w:t xml:space="preserve">   </w:t>
            </w:r>
          </w:p>
        </w:tc>
        <w:tc>
          <w:tcPr>
            <w:tcW w:w="491" w:type="pct"/>
            <w:tcBorders>
              <w:top w:val="single" w:color="auto" w:sz="8" w:space="0"/>
              <w:left w:val="nil"/>
              <w:bottom w:val="nil"/>
              <w:right w:val="single" w:color="auto" w:sz="8" w:space="0"/>
            </w:tcBorders>
            <w:shd w:val="clear" w:color="auto" w:fill="auto"/>
            <w:vAlign w:val="center"/>
          </w:tcPr>
          <w:p w14:paraId="795E8D99">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single" w:color="auto" w:sz="8" w:space="0"/>
              <w:left w:val="nil"/>
              <w:bottom w:val="nil"/>
              <w:right w:val="single" w:color="auto" w:sz="8" w:space="0"/>
            </w:tcBorders>
            <w:shd w:val="clear" w:color="auto" w:fill="auto"/>
            <w:vAlign w:val="center"/>
          </w:tcPr>
          <w:p w14:paraId="3B6B2DD4">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single" w:color="auto" w:sz="8" w:space="0"/>
              <w:left w:val="nil"/>
              <w:bottom w:val="nil"/>
              <w:right w:val="single" w:color="auto" w:sz="8" w:space="0"/>
            </w:tcBorders>
            <w:shd w:val="clear" w:color="auto" w:fill="auto"/>
            <w:vAlign w:val="center"/>
          </w:tcPr>
          <w:p w14:paraId="19C9F29D">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single" w:color="auto" w:sz="8" w:space="0"/>
              <w:left w:val="nil"/>
              <w:bottom w:val="nil"/>
              <w:right w:val="single" w:color="auto" w:sz="8" w:space="0"/>
            </w:tcBorders>
            <w:shd w:val="clear" w:color="auto" w:fill="auto"/>
            <w:vAlign w:val="center"/>
          </w:tcPr>
          <w:p w14:paraId="736D2748">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single" w:color="auto" w:sz="8" w:space="0"/>
              <w:left w:val="nil"/>
              <w:bottom w:val="nil"/>
              <w:right w:val="single" w:color="auto" w:sz="8" w:space="0"/>
            </w:tcBorders>
            <w:shd w:val="clear" w:color="auto" w:fill="auto"/>
            <w:vAlign w:val="center"/>
          </w:tcPr>
          <w:p w14:paraId="3D88E27A">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single" w:color="auto" w:sz="8" w:space="0"/>
              <w:left w:val="nil"/>
              <w:bottom w:val="nil"/>
              <w:right w:val="single" w:color="auto" w:sz="8" w:space="0"/>
            </w:tcBorders>
            <w:shd w:val="clear" w:color="auto" w:fill="auto"/>
            <w:vAlign w:val="center"/>
          </w:tcPr>
          <w:p w14:paraId="47653CC2">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single" w:color="auto" w:sz="8" w:space="0"/>
              <w:left w:val="nil"/>
              <w:bottom w:val="nil"/>
              <w:right w:val="single" w:color="auto" w:sz="8" w:space="0"/>
            </w:tcBorders>
            <w:shd w:val="clear" w:color="auto" w:fill="auto"/>
            <w:vAlign w:val="center"/>
          </w:tcPr>
          <w:p w14:paraId="11D8C189">
            <w:pPr>
              <w:widowControl/>
              <w:spacing w:line="240" w:lineRule="auto"/>
              <w:rPr>
                <w:rFonts w:ascii="宋体" w:hAnsi="宋体" w:cs="宋体"/>
                <w:kern w:val="0"/>
                <w:szCs w:val="21"/>
              </w:rPr>
            </w:pPr>
            <w:r>
              <w:rPr>
                <w:rFonts w:hint="eastAsia" w:ascii="宋体" w:hAnsi="宋体" w:cs="宋体"/>
                <w:kern w:val="0"/>
                <w:szCs w:val="21"/>
              </w:rPr>
              <w:t>　</w:t>
            </w:r>
          </w:p>
        </w:tc>
        <w:tc>
          <w:tcPr>
            <w:tcW w:w="492" w:type="pct"/>
            <w:tcBorders>
              <w:top w:val="single" w:color="auto" w:sz="8" w:space="0"/>
              <w:left w:val="nil"/>
              <w:bottom w:val="nil"/>
              <w:right w:val="single" w:color="auto" w:sz="8" w:space="0"/>
            </w:tcBorders>
            <w:shd w:val="clear" w:color="auto" w:fill="auto"/>
            <w:vAlign w:val="center"/>
          </w:tcPr>
          <w:p w14:paraId="43855D31">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6" w:type="pct"/>
            <w:tcBorders>
              <w:top w:val="single" w:color="auto" w:sz="8" w:space="0"/>
              <w:left w:val="nil"/>
              <w:bottom w:val="nil"/>
              <w:right w:val="single" w:color="auto" w:sz="8" w:space="0"/>
            </w:tcBorders>
            <w:shd w:val="clear" w:color="auto" w:fill="auto"/>
            <w:vAlign w:val="center"/>
          </w:tcPr>
          <w:p w14:paraId="6E54F205">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14:paraId="76092973">
        <w:tblPrEx>
          <w:tblCellMar>
            <w:top w:w="0" w:type="dxa"/>
            <w:left w:w="108" w:type="dxa"/>
            <w:bottom w:w="0" w:type="dxa"/>
            <w:right w:w="108" w:type="dxa"/>
          </w:tblCellMar>
        </w:tblPrEx>
        <w:trPr>
          <w:trHeight w:val="275" w:hRule="atLeast"/>
        </w:trPr>
        <w:tc>
          <w:tcPr>
            <w:tcW w:w="584" w:type="pct"/>
            <w:vMerge w:val="continue"/>
            <w:tcBorders>
              <w:left w:val="single" w:color="auto" w:sz="8" w:space="0"/>
              <w:right w:val="single" w:color="auto" w:sz="8" w:space="0"/>
              <w:tl2br w:val="single" w:color="auto" w:sz="4" w:space="0"/>
            </w:tcBorders>
            <w:shd w:val="clear" w:color="auto" w:fill="auto"/>
            <w:noWrap/>
            <w:vAlign w:val="center"/>
          </w:tcPr>
          <w:p w14:paraId="5E52DA49">
            <w:pPr>
              <w:widowControl/>
              <w:spacing w:line="240" w:lineRule="auto"/>
              <w:rPr>
                <w:rFonts w:eastAsia="等线"/>
                <w:kern w:val="0"/>
                <w:szCs w:val="21"/>
              </w:rPr>
            </w:pPr>
          </w:p>
        </w:tc>
        <w:tc>
          <w:tcPr>
            <w:tcW w:w="491" w:type="pct"/>
            <w:tcBorders>
              <w:top w:val="nil"/>
              <w:left w:val="nil"/>
              <w:bottom w:val="nil"/>
              <w:right w:val="single" w:color="auto" w:sz="8" w:space="0"/>
            </w:tcBorders>
            <w:shd w:val="clear" w:color="auto" w:fill="auto"/>
            <w:vAlign w:val="center"/>
          </w:tcPr>
          <w:p w14:paraId="2B8D195B">
            <w:pPr>
              <w:widowControl/>
              <w:spacing w:line="240" w:lineRule="auto"/>
              <w:rPr>
                <w:rFonts w:eastAsia="等线"/>
                <w:kern w:val="0"/>
                <w:szCs w:val="21"/>
              </w:rPr>
            </w:pPr>
            <w:r>
              <w:rPr>
                <w:rFonts w:eastAsia="等线"/>
                <w:kern w:val="0"/>
                <w:szCs w:val="21"/>
              </w:rPr>
              <w:t>110</w:t>
            </w:r>
          </w:p>
        </w:tc>
        <w:tc>
          <w:tcPr>
            <w:tcW w:w="491" w:type="pct"/>
            <w:tcBorders>
              <w:top w:val="nil"/>
              <w:left w:val="nil"/>
              <w:bottom w:val="nil"/>
              <w:right w:val="single" w:color="auto" w:sz="8" w:space="0"/>
            </w:tcBorders>
            <w:shd w:val="clear" w:color="auto" w:fill="auto"/>
            <w:vAlign w:val="center"/>
          </w:tcPr>
          <w:p w14:paraId="5F12950B">
            <w:pPr>
              <w:widowControl/>
              <w:spacing w:line="240" w:lineRule="auto"/>
              <w:rPr>
                <w:rFonts w:eastAsia="等线"/>
                <w:kern w:val="0"/>
                <w:szCs w:val="21"/>
              </w:rPr>
            </w:pPr>
            <w:r>
              <w:rPr>
                <w:rFonts w:eastAsia="等线"/>
                <w:kern w:val="0"/>
                <w:szCs w:val="21"/>
              </w:rPr>
              <w:t>105</w:t>
            </w:r>
          </w:p>
        </w:tc>
        <w:tc>
          <w:tcPr>
            <w:tcW w:w="491" w:type="pct"/>
            <w:tcBorders>
              <w:top w:val="nil"/>
              <w:left w:val="nil"/>
              <w:bottom w:val="nil"/>
              <w:right w:val="single" w:color="auto" w:sz="8" w:space="0"/>
            </w:tcBorders>
            <w:shd w:val="clear" w:color="auto" w:fill="auto"/>
            <w:vAlign w:val="center"/>
          </w:tcPr>
          <w:p w14:paraId="66ECB0CB">
            <w:pPr>
              <w:widowControl/>
              <w:spacing w:line="240" w:lineRule="auto"/>
              <w:rPr>
                <w:rFonts w:eastAsia="等线"/>
                <w:kern w:val="0"/>
                <w:szCs w:val="21"/>
              </w:rPr>
            </w:pPr>
            <w:r>
              <w:rPr>
                <w:rFonts w:eastAsia="等线"/>
                <w:kern w:val="0"/>
                <w:szCs w:val="21"/>
              </w:rPr>
              <w:t>100</w:t>
            </w:r>
          </w:p>
        </w:tc>
        <w:tc>
          <w:tcPr>
            <w:tcW w:w="491" w:type="pct"/>
            <w:tcBorders>
              <w:top w:val="nil"/>
              <w:left w:val="nil"/>
              <w:bottom w:val="nil"/>
              <w:right w:val="single" w:color="auto" w:sz="8" w:space="0"/>
            </w:tcBorders>
            <w:shd w:val="clear" w:color="auto" w:fill="auto"/>
            <w:vAlign w:val="center"/>
          </w:tcPr>
          <w:p w14:paraId="214747DF">
            <w:pPr>
              <w:widowControl/>
              <w:spacing w:line="240" w:lineRule="auto"/>
              <w:rPr>
                <w:rFonts w:eastAsia="等线"/>
                <w:kern w:val="0"/>
                <w:szCs w:val="21"/>
              </w:rPr>
            </w:pPr>
            <w:r>
              <w:rPr>
                <w:rFonts w:eastAsia="等线"/>
                <w:kern w:val="0"/>
                <w:szCs w:val="21"/>
              </w:rPr>
              <w:t>95</w:t>
            </w:r>
          </w:p>
        </w:tc>
        <w:tc>
          <w:tcPr>
            <w:tcW w:w="491" w:type="pct"/>
            <w:tcBorders>
              <w:top w:val="nil"/>
              <w:left w:val="nil"/>
              <w:bottom w:val="nil"/>
              <w:right w:val="single" w:color="auto" w:sz="8" w:space="0"/>
            </w:tcBorders>
            <w:shd w:val="clear" w:color="auto" w:fill="auto"/>
            <w:vAlign w:val="center"/>
          </w:tcPr>
          <w:p w14:paraId="469CED9C">
            <w:pPr>
              <w:widowControl/>
              <w:spacing w:line="240" w:lineRule="auto"/>
              <w:rPr>
                <w:rFonts w:eastAsia="等线"/>
                <w:kern w:val="0"/>
                <w:szCs w:val="21"/>
              </w:rPr>
            </w:pPr>
            <w:r>
              <w:rPr>
                <w:rFonts w:eastAsia="等线"/>
                <w:kern w:val="0"/>
                <w:szCs w:val="21"/>
              </w:rPr>
              <w:t>90</w:t>
            </w:r>
          </w:p>
        </w:tc>
        <w:tc>
          <w:tcPr>
            <w:tcW w:w="491" w:type="pct"/>
            <w:tcBorders>
              <w:top w:val="nil"/>
              <w:left w:val="nil"/>
              <w:bottom w:val="nil"/>
              <w:right w:val="single" w:color="auto" w:sz="8" w:space="0"/>
            </w:tcBorders>
            <w:shd w:val="clear" w:color="auto" w:fill="auto"/>
            <w:vAlign w:val="center"/>
          </w:tcPr>
          <w:p w14:paraId="0D544AF9">
            <w:pPr>
              <w:widowControl/>
              <w:spacing w:line="240" w:lineRule="auto"/>
              <w:rPr>
                <w:rFonts w:eastAsia="等线"/>
                <w:kern w:val="0"/>
                <w:szCs w:val="21"/>
              </w:rPr>
            </w:pPr>
            <w:r>
              <w:rPr>
                <w:rFonts w:eastAsia="等线"/>
                <w:kern w:val="0"/>
                <w:szCs w:val="21"/>
              </w:rPr>
              <w:t>85</w:t>
            </w:r>
          </w:p>
        </w:tc>
        <w:tc>
          <w:tcPr>
            <w:tcW w:w="491" w:type="pct"/>
            <w:tcBorders>
              <w:top w:val="nil"/>
              <w:left w:val="nil"/>
              <w:bottom w:val="nil"/>
              <w:right w:val="single" w:color="auto" w:sz="8" w:space="0"/>
            </w:tcBorders>
            <w:shd w:val="clear" w:color="auto" w:fill="auto"/>
            <w:vAlign w:val="center"/>
          </w:tcPr>
          <w:p w14:paraId="75CCE900">
            <w:pPr>
              <w:widowControl/>
              <w:spacing w:line="240" w:lineRule="auto"/>
              <w:rPr>
                <w:rFonts w:eastAsia="等线"/>
                <w:kern w:val="0"/>
                <w:szCs w:val="21"/>
              </w:rPr>
            </w:pPr>
            <w:r>
              <w:rPr>
                <w:rFonts w:eastAsia="等线"/>
                <w:kern w:val="0"/>
                <w:szCs w:val="21"/>
              </w:rPr>
              <w:t>80</w:t>
            </w:r>
          </w:p>
        </w:tc>
        <w:tc>
          <w:tcPr>
            <w:tcW w:w="492" w:type="pct"/>
            <w:tcBorders>
              <w:top w:val="nil"/>
              <w:left w:val="nil"/>
              <w:bottom w:val="nil"/>
              <w:right w:val="single" w:color="auto" w:sz="8" w:space="0"/>
            </w:tcBorders>
            <w:shd w:val="clear" w:color="auto" w:fill="auto"/>
            <w:vAlign w:val="center"/>
          </w:tcPr>
          <w:p w14:paraId="5113AE31">
            <w:pPr>
              <w:widowControl/>
              <w:spacing w:line="240" w:lineRule="auto"/>
              <w:jc w:val="center"/>
              <w:rPr>
                <w:rFonts w:eastAsia="等线"/>
                <w:kern w:val="0"/>
                <w:sz w:val="18"/>
                <w:szCs w:val="18"/>
              </w:rPr>
            </w:pPr>
            <w:r>
              <w:rPr>
                <w:rFonts w:eastAsia="等线"/>
                <w:kern w:val="0"/>
                <w:sz w:val="18"/>
                <w:szCs w:val="18"/>
              </w:rPr>
              <w:t>75</w:t>
            </w:r>
          </w:p>
        </w:tc>
        <w:tc>
          <w:tcPr>
            <w:tcW w:w="486" w:type="pct"/>
            <w:tcBorders>
              <w:top w:val="nil"/>
              <w:left w:val="nil"/>
              <w:bottom w:val="nil"/>
              <w:right w:val="single" w:color="auto" w:sz="8" w:space="0"/>
            </w:tcBorders>
            <w:shd w:val="clear" w:color="auto" w:fill="auto"/>
            <w:vAlign w:val="center"/>
          </w:tcPr>
          <w:p w14:paraId="7B0E7E1D">
            <w:pPr>
              <w:widowControl/>
              <w:spacing w:line="240" w:lineRule="auto"/>
              <w:jc w:val="center"/>
              <w:rPr>
                <w:rFonts w:eastAsia="等线"/>
                <w:kern w:val="0"/>
                <w:sz w:val="18"/>
                <w:szCs w:val="18"/>
              </w:rPr>
            </w:pPr>
            <w:r>
              <w:rPr>
                <w:rFonts w:eastAsia="等线"/>
                <w:kern w:val="0"/>
                <w:sz w:val="18"/>
                <w:szCs w:val="18"/>
              </w:rPr>
              <w:t>70</w:t>
            </w:r>
          </w:p>
        </w:tc>
      </w:tr>
      <w:tr w14:paraId="3FB8805F">
        <w:tblPrEx>
          <w:tblCellMar>
            <w:top w:w="0" w:type="dxa"/>
            <w:left w:w="108" w:type="dxa"/>
            <w:bottom w:w="0" w:type="dxa"/>
            <w:right w:w="108" w:type="dxa"/>
          </w:tblCellMar>
        </w:tblPrEx>
        <w:trPr>
          <w:trHeight w:val="290" w:hRule="atLeast"/>
        </w:trPr>
        <w:tc>
          <w:tcPr>
            <w:tcW w:w="584" w:type="pct"/>
            <w:vMerge w:val="continue"/>
            <w:tcBorders>
              <w:left w:val="single" w:color="auto" w:sz="8" w:space="0"/>
              <w:bottom w:val="single" w:color="auto" w:sz="8" w:space="0"/>
              <w:right w:val="single" w:color="auto" w:sz="8" w:space="0"/>
              <w:tl2br w:val="single" w:color="auto" w:sz="4" w:space="0"/>
            </w:tcBorders>
            <w:shd w:val="clear" w:color="auto" w:fill="auto"/>
            <w:noWrap/>
            <w:vAlign w:val="center"/>
          </w:tcPr>
          <w:p w14:paraId="588817FD">
            <w:pPr>
              <w:widowControl/>
              <w:spacing w:line="240" w:lineRule="auto"/>
              <w:rPr>
                <w:rFonts w:eastAsia="等线"/>
                <w:kern w:val="0"/>
                <w:szCs w:val="21"/>
              </w:rPr>
            </w:pPr>
          </w:p>
        </w:tc>
        <w:tc>
          <w:tcPr>
            <w:tcW w:w="491" w:type="pct"/>
            <w:tcBorders>
              <w:top w:val="nil"/>
              <w:left w:val="nil"/>
              <w:bottom w:val="single" w:color="auto" w:sz="8" w:space="0"/>
              <w:right w:val="single" w:color="auto" w:sz="8" w:space="0"/>
            </w:tcBorders>
            <w:shd w:val="clear" w:color="auto" w:fill="auto"/>
            <w:vAlign w:val="center"/>
          </w:tcPr>
          <w:p w14:paraId="780D1E72">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nil"/>
              <w:left w:val="nil"/>
              <w:bottom w:val="single" w:color="auto" w:sz="8" w:space="0"/>
              <w:right w:val="single" w:color="auto" w:sz="8" w:space="0"/>
            </w:tcBorders>
            <w:shd w:val="clear" w:color="auto" w:fill="auto"/>
            <w:vAlign w:val="center"/>
          </w:tcPr>
          <w:p w14:paraId="2A55FDF1">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nil"/>
              <w:left w:val="nil"/>
              <w:bottom w:val="single" w:color="auto" w:sz="8" w:space="0"/>
              <w:right w:val="single" w:color="auto" w:sz="8" w:space="0"/>
            </w:tcBorders>
            <w:shd w:val="clear" w:color="auto" w:fill="auto"/>
            <w:vAlign w:val="center"/>
          </w:tcPr>
          <w:p w14:paraId="3FFBCA36">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nil"/>
              <w:left w:val="nil"/>
              <w:bottom w:val="single" w:color="auto" w:sz="8" w:space="0"/>
              <w:right w:val="single" w:color="auto" w:sz="8" w:space="0"/>
            </w:tcBorders>
            <w:shd w:val="clear" w:color="auto" w:fill="auto"/>
            <w:vAlign w:val="center"/>
          </w:tcPr>
          <w:p w14:paraId="39895448">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nil"/>
              <w:left w:val="nil"/>
              <w:bottom w:val="single" w:color="auto" w:sz="8" w:space="0"/>
              <w:right w:val="single" w:color="auto" w:sz="8" w:space="0"/>
            </w:tcBorders>
            <w:shd w:val="clear" w:color="auto" w:fill="auto"/>
            <w:vAlign w:val="center"/>
          </w:tcPr>
          <w:p w14:paraId="64731FC0">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nil"/>
              <w:left w:val="nil"/>
              <w:bottom w:val="single" w:color="auto" w:sz="8" w:space="0"/>
              <w:right w:val="single" w:color="auto" w:sz="8" w:space="0"/>
            </w:tcBorders>
            <w:shd w:val="clear" w:color="auto" w:fill="auto"/>
            <w:vAlign w:val="center"/>
          </w:tcPr>
          <w:p w14:paraId="2F960189">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nil"/>
              <w:left w:val="nil"/>
              <w:bottom w:val="single" w:color="auto" w:sz="8" w:space="0"/>
              <w:right w:val="single" w:color="auto" w:sz="8" w:space="0"/>
            </w:tcBorders>
            <w:shd w:val="clear" w:color="auto" w:fill="auto"/>
            <w:vAlign w:val="center"/>
          </w:tcPr>
          <w:p w14:paraId="28C5B71E">
            <w:pPr>
              <w:widowControl/>
              <w:spacing w:line="240" w:lineRule="auto"/>
              <w:rPr>
                <w:rFonts w:ascii="宋体" w:hAnsi="宋体" w:cs="宋体"/>
                <w:kern w:val="0"/>
                <w:szCs w:val="21"/>
              </w:rPr>
            </w:pPr>
            <w:r>
              <w:rPr>
                <w:rFonts w:hint="eastAsia" w:ascii="宋体" w:hAnsi="宋体" w:cs="宋体"/>
                <w:kern w:val="0"/>
                <w:szCs w:val="21"/>
              </w:rPr>
              <w:t>　</w:t>
            </w:r>
          </w:p>
        </w:tc>
        <w:tc>
          <w:tcPr>
            <w:tcW w:w="492" w:type="pct"/>
            <w:tcBorders>
              <w:top w:val="nil"/>
              <w:left w:val="nil"/>
              <w:bottom w:val="single" w:color="auto" w:sz="8" w:space="0"/>
              <w:right w:val="single" w:color="auto" w:sz="8" w:space="0"/>
            </w:tcBorders>
            <w:shd w:val="clear" w:color="auto" w:fill="auto"/>
            <w:vAlign w:val="center"/>
          </w:tcPr>
          <w:p w14:paraId="440EC547">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6" w:type="pct"/>
            <w:tcBorders>
              <w:top w:val="nil"/>
              <w:left w:val="nil"/>
              <w:bottom w:val="single" w:color="auto" w:sz="8" w:space="0"/>
              <w:right w:val="single" w:color="auto" w:sz="8" w:space="0"/>
            </w:tcBorders>
            <w:shd w:val="clear" w:color="auto" w:fill="auto"/>
            <w:vAlign w:val="center"/>
          </w:tcPr>
          <w:p w14:paraId="05B3044C">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14:paraId="78500328">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24218F29">
            <w:pPr>
              <w:widowControl/>
              <w:spacing w:line="240" w:lineRule="auto"/>
              <w:rPr>
                <w:rFonts w:eastAsia="等线"/>
                <w:kern w:val="0"/>
                <w:szCs w:val="21"/>
              </w:rPr>
            </w:pPr>
            <w:r>
              <w:rPr>
                <w:rFonts w:eastAsia="等线"/>
                <w:kern w:val="0"/>
                <w:szCs w:val="21"/>
              </w:rPr>
              <w:t>6500</w:t>
            </w:r>
          </w:p>
        </w:tc>
        <w:tc>
          <w:tcPr>
            <w:tcW w:w="491" w:type="pct"/>
            <w:tcBorders>
              <w:top w:val="nil"/>
              <w:left w:val="nil"/>
              <w:bottom w:val="single" w:color="auto" w:sz="8" w:space="0"/>
              <w:right w:val="single" w:color="auto" w:sz="8" w:space="0"/>
            </w:tcBorders>
            <w:shd w:val="clear" w:color="auto" w:fill="auto"/>
            <w:vAlign w:val="center"/>
          </w:tcPr>
          <w:p w14:paraId="367DD8C9">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14F2560A">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FDB67E5">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0F2D80C1">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5FB1274E">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A3DC835">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F36702C">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067A1670">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14BB80FC">
            <w:pPr>
              <w:widowControl/>
              <w:spacing w:line="240" w:lineRule="auto"/>
              <w:jc w:val="center"/>
              <w:rPr>
                <w:rFonts w:eastAsia="等线"/>
                <w:kern w:val="0"/>
                <w:sz w:val="18"/>
                <w:szCs w:val="18"/>
              </w:rPr>
            </w:pPr>
            <w:r>
              <w:rPr>
                <w:rFonts w:eastAsia="等线"/>
                <w:kern w:val="0"/>
                <w:sz w:val="18"/>
                <w:szCs w:val="18"/>
              </w:rPr>
              <w:t>—</w:t>
            </w:r>
          </w:p>
        </w:tc>
      </w:tr>
      <w:tr w14:paraId="3D508E9E">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30961DE7">
            <w:pPr>
              <w:widowControl/>
              <w:spacing w:line="240" w:lineRule="auto"/>
              <w:rPr>
                <w:rFonts w:eastAsia="等线"/>
                <w:kern w:val="0"/>
                <w:szCs w:val="21"/>
              </w:rPr>
            </w:pPr>
            <w:r>
              <w:rPr>
                <w:rFonts w:eastAsia="等线"/>
                <w:kern w:val="0"/>
                <w:szCs w:val="21"/>
              </w:rPr>
              <w:t>10000</w:t>
            </w:r>
          </w:p>
        </w:tc>
        <w:tc>
          <w:tcPr>
            <w:tcW w:w="491" w:type="pct"/>
            <w:tcBorders>
              <w:top w:val="nil"/>
              <w:left w:val="nil"/>
              <w:bottom w:val="single" w:color="auto" w:sz="8" w:space="0"/>
              <w:right w:val="single" w:color="auto" w:sz="8" w:space="0"/>
            </w:tcBorders>
            <w:shd w:val="clear" w:color="auto" w:fill="auto"/>
            <w:vAlign w:val="center"/>
          </w:tcPr>
          <w:p w14:paraId="0A05F0E0">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0F67F91">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B88AE60">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35966467">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6596A0DA">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5EA5B870">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6A19A73">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50AEE79F">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60F8A14A">
            <w:pPr>
              <w:widowControl/>
              <w:spacing w:line="240" w:lineRule="auto"/>
              <w:jc w:val="center"/>
              <w:rPr>
                <w:rFonts w:eastAsia="等线"/>
                <w:kern w:val="0"/>
                <w:sz w:val="18"/>
                <w:szCs w:val="18"/>
              </w:rPr>
            </w:pPr>
            <w:r>
              <w:rPr>
                <w:rFonts w:eastAsia="等线"/>
                <w:kern w:val="0"/>
                <w:sz w:val="18"/>
                <w:szCs w:val="18"/>
              </w:rPr>
              <w:t>—</w:t>
            </w:r>
          </w:p>
        </w:tc>
      </w:tr>
      <w:tr w14:paraId="4750232F">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567C0B1B">
            <w:pPr>
              <w:widowControl/>
              <w:spacing w:line="240" w:lineRule="auto"/>
              <w:rPr>
                <w:rFonts w:eastAsia="等线"/>
                <w:kern w:val="0"/>
                <w:szCs w:val="21"/>
              </w:rPr>
            </w:pPr>
            <w:r>
              <w:rPr>
                <w:rFonts w:eastAsia="等线"/>
                <w:kern w:val="0"/>
                <w:szCs w:val="21"/>
              </w:rPr>
              <w:t>9000</w:t>
            </w:r>
          </w:p>
        </w:tc>
        <w:tc>
          <w:tcPr>
            <w:tcW w:w="491" w:type="pct"/>
            <w:tcBorders>
              <w:top w:val="nil"/>
              <w:left w:val="nil"/>
              <w:bottom w:val="single" w:color="auto" w:sz="8" w:space="0"/>
              <w:right w:val="single" w:color="auto" w:sz="8" w:space="0"/>
            </w:tcBorders>
            <w:shd w:val="clear" w:color="auto" w:fill="auto"/>
            <w:vAlign w:val="center"/>
          </w:tcPr>
          <w:p w14:paraId="6FC2DE20">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1D0713B">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5494A4CC">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65830112">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6DCCFD02">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6C131E06">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3473C664">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588EA7B1">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73C4286F">
            <w:pPr>
              <w:widowControl/>
              <w:spacing w:line="240" w:lineRule="auto"/>
              <w:jc w:val="center"/>
              <w:rPr>
                <w:rFonts w:eastAsia="等线"/>
                <w:kern w:val="0"/>
                <w:sz w:val="18"/>
                <w:szCs w:val="18"/>
              </w:rPr>
            </w:pPr>
            <w:r>
              <w:rPr>
                <w:rFonts w:eastAsia="等线"/>
                <w:kern w:val="0"/>
                <w:sz w:val="18"/>
                <w:szCs w:val="18"/>
              </w:rPr>
              <w:t>—</w:t>
            </w:r>
          </w:p>
        </w:tc>
      </w:tr>
      <w:tr w14:paraId="34D045C7">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68629B76">
            <w:pPr>
              <w:widowControl/>
              <w:spacing w:line="240" w:lineRule="auto"/>
              <w:rPr>
                <w:rFonts w:eastAsia="等线"/>
                <w:kern w:val="0"/>
                <w:szCs w:val="21"/>
              </w:rPr>
            </w:pPr>
            <w:r>
              <w:rPr>
                <w:rFonts w:eastAsia="等线"/>
                <w:kern w:val="0"/>
                <w:szCs w:val="21"/>
              </w:rPr>
              <w:t>8500</w:t>
            </w:r>
          </w:p>
        </w:tc>
        <w:tc>
          <w:tcPr>
            <w:tcW w:w="491" w:type="pct"/>
            <w:tcBorders>
              <w:top w:val="nil"/>
              <w:left w:val="nil"/>
              <w:bottom w:val="single" w:color="auto" w:sz="8" w:space="0"/>
              <w:right w:val="single" w:color="auto" w:sz="8" w:space="0"/>
            </w:tcBorders>
            <w:shd w:val="clear" w:color="auto" w:fill="auto"/>
            <w:vAlign w:val="center"/>
          </w:tcPr>
          <w:p w14:paraId="29F2F275">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684C3E41">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4FFD35F4">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400BB286">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BCC9334">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237E12C">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04C62011">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3FC8DFCD">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183E9B15">
            <w:pPr>
              <w:widowControl/>
              <w:spacing w:line="240" w:lineRule="auto"/>
              <w:jc w:val="center"/>
              <w:rPr>
                <w:rFonts w:eastAsia="等线"/>
                <w:kern w:val="0"/>
                <w:sz w:val="18"/>
                <w:szCs w:val="18"/>
              </w:rPr>
            </w:pPr>
            <w:r>
              <w:rPr>
                <w:rFonts w:eastAsia="等线"/>
                <w:kern w:val="0"/>
                <w:sz w:val="18"/>
                <w:szCs w:val="18"/>
              </w:rPr>
              <w:t>—</w:t>
            </w:r>
          </w:p>
        </w:tc>
      </w:tr>
      <w:tr w14:paraId="776E294E">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3511B245">
            <w:pPr>
              <w:widowControl/>
              <w:spacing w:line="240" w:lineRule="auto"/>
              <w:rPr>
                <w:rFonts w:eastAsia="等线"/>
                <w:kern w:val="0"/>
                <w:szCs w:val="21"/>
              </w:rPr>
            </w:pPr>
            <w:r>
              <w:rPr>
                <w:rFonts w:eastAsia="等线"/>
                <w:kern w:val="0"/>
                <w:szCs w:val="21"/>
              </w:rPr>
              <w:t>8000</w:t>
            </w:r>
          </w:p>
        </w:tc>
        <w:tc>
          <w:tcPr>
            <w:tcW w:w="491" w:type="pct"/>
            <w:tcBorders>
              <w:top w:val="nil"/>
              <w:left w:val="nil"/>
              <w:bottom w:val="single" w:color="auto" w:sz="8" w:space="0"/>
              <w:right w:val="single" w:color="auto" w:sz="8" w:space="0"/>
            </w:tcBorders>
            <w:shd w:val="clear" w:color="auto" w:fill="auto"/>
            <w:vAlign w:val="center"/>
          </w:tcPr>
          <w:p w14:paraId="02F0C5C8">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69E02C6C">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58150FDD">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3B0E7FF4">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364F9858">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694469B">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1656B99">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4ADD8467">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2F2D499F">
            <w:pPr>
              <w:widowControl/>
              <w:spacing w:line="240" w:lineRule="auto"/>
              <w:jc w:val="center"/>
              <w:rPr>
                <w:rFonts w:eastAsia="等线"/>
                <w:kern w:val="0"/>
                <w:sz w:val="18"/>
                <w:szCs w:val="18"/>
              </w:rPr>
            </w:pPr>
            <w:r>
              <w:rPr>
                <w:rFonts w:eastAsia="等线"/>
                <w:kern w:val="0"/>
                <w:sz w:val="18"/>
                <w:szCs w:val="18"/>
              </w:rPr>
              <w:t>—</w:t>
            </w:r>
          </w:p>
        </w:tc>
      </w:tr>
      <w:tr w14:paraId="64792737">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58339FA7">
            <w:pPr>
              <w:widowControl/>
              <w:spacing w:line="240" w:lineRule="auto"/>
              <w:rPr>
                <w:rFonts w:eastAsia="等线"/>
                <w:kern w:val="0"/>
                <w:szCs w:val="21"/>
              </w:rPr>
            </w:pPr>
            <w:r>
              <w:rPr>
                <w:rFonts w:eastAsia="等线"/>
                <w:kern w:val="0"/>
                <w:szCs w:val="21"/>
              </w:rPr>
              <w:t>7500</w:t>
            </w:r>
          </w:p>
        </w:tc>
        <w:tc>
          <w:tcPr>
            <w:tcW w:w="491" w:type="pct"/>
            <w:tcBorders>
              <w:top w:val="nil"/>
              <w:left w:val="nil"/>
              <w:bottom w:val="single" w:color="auto" w:sz="8" w:space="0"/>
              <w:right w:val="single" w:color="auto" w:sz="8" w:space="0"/>
            </w:tcBorders>
            <w:shd w:val="clear" w:color="auto" w:fill="auto"/>
            <w:vAlign w:val="center"/>
          </w:tcPr>
          <w:p w14:paraId="4F80AF7F">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16D96F36">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E8C1674">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4F461D95">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4FE9B4DF">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53CC9D63">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6BBEB8A7">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0EBEC8C5">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4828E8D6">
            <w:pPr>
              <w:widowControl/>
              <w:spacing w:line="240" w:lineRule="auto"/>
              <w:jc w:val="center"/>
              <w:rPr>
                <w:rFonts w:eastAsia="等线"/>
                <w:kern w:val="0"/>
                <w:sz w:val="18"/>
                <w:szCs w:val="18"/>
              </w:rPr>
            </w:pPr>
            <w:r>
              <w:rPr>
                <w:rFonts w:eastAsia="等线"/>
                <w:kern w:val="0"/>
                <w:sz w:val="18"/>
                <w:szCs w:val="18"/>
              </w:rPr>
              <w:t>—</w:t>
            </w:r>
          </w:p>
        </w:tc>
      </w:tr>
      <w:tr w14:paraId="51655D89">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16E26224">
            <w:pPr>
              <w:widowControl/>
              <w:spacing w:line="240" w:lineRule="auto"/>
              <w:rPr>
                <w:rFonts w:eastAsia="等线"/>
                <w:kern w:val="0"/>
                <w:szCs w:val="21"/>
              </w:rPr>
            </w:pPr>
            <w:r>
              <w:rPr>
                <w:rFonts w:eastAsia="等线"/>
                <w:kern w:val="0"/>
                <w:szCs w:val="21"/>
              </w:rPr>
              <w:t>7000</w:t>
            </w:r>
          </w:p>
        </w:tc>
        <w:tc>
          <w:tcPr>
            <w:tcW w:w="491" w:type="pct"/>
            <w:tcBorders>
              <w:top w:val="nil"/>
              <w:left w:val="nil"/>
              <w:bottom w:val="single" w:color="auto" w:sz="8" w:space="0"/>
              <w:right w:val="single" w:color="auto" w:sz="8" w:space="0"/>
            </w:tcBorders>
            <w:shd w:val="clear" w:color="auto" w:fill="auto"/>
            <w:vAlign w:val="center"/>
          </w:tcPr>
          <w:p w14:paraId="05DBCDE8">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5C76F40D">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5A7D8E75">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DCF0263">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99B4850">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4531EF51">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7B6D07E">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2B6931FD">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7DAF83EF">
            <w:pPr>
              <w:widowControl/>
              <w:spacing w:line="240" w:lineRule="auto"/>
              <w:jc w:val="center"/>
              <w:rPr>
                <w:rFonts w:eastAsia="等线"/>
                <w:kern w:val="0"/>
                <w:sz w:val="18"/>
                <w:szCs w:val="18"/>
              </w:rPr>
            </w:pPr>
            <w:r>
              <w:rPr>
                <w:rFonts w:eastAsia="等线"/>
                <w:kern w:val="0"/>
                <w:sz w:val="18"/>
                <w:szCs w:val="18"/>
              </w:rPr>
              <w:t>—</w:t>
            </w:r>
          </w:p>
        </w:tc>
      </w:tr>
      <w:tr w14:paraId="38A714DC">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38C23865">
            <w:pPr>
              <w:widowControl/>
              <w:spacing w:line="240" w:lineRule="auto"/>
              <w:rPr>
                <w:rFonts w:eastAsia="等线"/>
                <w:kern w:val="0"/>
                <w:szCs w:val="21"/>
              </w:rPr>
            </w:pPr>
            <w:r>
              <w:rPr>
                <w:rFonts w:eastAsia="等线"/>
                <w:kern w:val="0"/>
                <w:szCs w:val="21"/>
              </w:rPr>
              <w:t>6500</w:t>
            </w:r>
          </w:p>
        </w:tc>
        <w:tc>
          <w:tcPr>
            <w:tcW w:w="491" w:type="pct"/>
            <w:tcBorders>
              <w:top w:val="nil"/>
              <w:left w:val="nil"/>
              <w:bottom w:val="single" w:color="auto" w:sz="8" w:space="0"/>
              <w:right w:val="single" w:color="auto" w:sz="8" w:space="0"/>
            </w:tcBorders>
            <w:shd w:val="clear" w:color="auto" w:fill="auto"/>
            <w:vAlign w:val="center"/>
          </w:tcPr>
          <w:p w14:paraId="0DFA5C8D">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58BD493D">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70AF95F4">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B18A7F4">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BF00E4A">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6360EDC5">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88E83F2">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2E68AB8A">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008991B2">
            <w:pPr>
              <w:widowControl/>
              <w:spacing w:line="240" w:lineRule="auto"/>
              <w:jc w:val="center"/>
              <w:rPr>
                <w:rFonts w:eastAsia="等线"/>
                <w:kern w:val="0"/>
                <w:sz w:val="18"/>
                <w:szCs w:val="18"/>
              </w:rPr>
            </w:pPr>
            <w:r>
              <w:rPr>
                <w:rFonts w:eastAsia="等线"/>
                <w:kern w:val="0"/>
                <w:sz w:val="18"/>
                <w:szCs w:val="18"/>
              </w:rPr>
              <w:t>—</w:t>
            </w:r>
          </w:p>
        </w:tc>
      </w:tr>
      <w:tr w14:paraId="06FB07FA">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7CD8026D">
            <w:pPr>
              <w:widowControl/>
              <w:spacing w:line="240" w:lineRule="auto"/>
              <w:rPr>
                <w:rFonts w:eastAsia="等线"/>
                <w:kern w:val="0"/>
                <w:szCs w:val="21"/>
              </w:rPr>
            </w:pPr>
            <w:r>
              <w:rPr>
                <w:rFonts w:eastAsia="等线"/>
                <w:kern w:val="0"/>
                <w:szCs w:val="21"/>
              </w:rPr>
              <w:t>6000</w:t>
            </w:r>
          </w:p>
        </w:tc>
        <w:tc>
          <w:tcPr>
            <w:tcW w:w="491" w:type="pct"/>
            <w:tcBorders>
              <w:top w:val="nil"/>
              <w:left w:val="nil"/>
              <w:bottom w:val="single" w:color="auto" w:sz="8" w:space="0"/>
              <w:right w:val="single" w:color="auto" w:sz="8" w:space="0"/>
            </w:tcBorders>
            <w:shd w:val="clear" w:color="auto" w:fill="auto"/>
            <w:vAlign w:val="center"/>
          </w:tcPr>
          <w:p w14:paraId="05E21858">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4DCCAE7A">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404E553D">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828D39D">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714AE854">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61BFC47E">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4E1F7DC">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3BEE5D7B">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4285181E">
            <w:pPr>
              <w:widowControl/>
              <w:spacing w:line="240" w:lineRule="auto"/>
              <w:jc w:val="center"/>
              <w:rPr>
                <w:rFonts w:eastAsia="等线"/>
                <w:kern w:val="0"/>
                <w:sz w:val="18"/>
                <w:szCs w:val="18"/>
              </w:rPr>
            </w:pPr>
            <w:r>
              <w:rPr>
                <w:rFonts w:eastAsia="等线"/>
                <w:kern w:val="0"/>
                <w:sz w:val="18"/>
                <w:szCs w:val="18"/>
              </w:rPr>
              <w:t>—</w:t>
            </w:r>
          </w:p>
        </w:tc>
      </w:tr>
      <w:tr w14:paraId="559A15A7">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676DA376">
            <w:pPr>
              <w:widowControl/>
              <w:spacing w:line="240" w:lineRule="auto"/>
              <w:rPr>
                <w:rFonts w:eastAsia="等线"/>
                <w:kern w:val="0"/>
                <w:szCs w:val="21"/>
              </w:rPr>
            </w:pPr>
            <w:r>
              <w:rPr>
                <w:rFonts w:eastAsia="等线"/>
                <w:kern w:val="0"/>
                <w:szCs w:val="21"/>
              </w:rPr>
              <w:t>5500</w:t>
            </w:r>
          </w:p>
        </w:tc>
        <w:tc>
          <w:tcPr>
            <w:tcW w:w="491" w:type="pct"/>
            <w:tcBorders>
              <w:top w:val="nil"/>
              <w:left w:val="nil"/>
              <w:bottom w:val="single" w:color="auto" w:sz="8" w:space="0"/>
              <w:right w:val="single" w:color="auto" w:sz="8" w:space="0"/>
            </w:tcBorders>
            <w:shd w:val="clear" w:color="auto" w:fill="auto"/>
            <w:vAlign w:val="center"/>
          </w:tcPr>
          <w:p w14:paraId="7424D50F">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440E8F91">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7DA695E6">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7AD18BCB">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53ECD2AC">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3F5AE7ED">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D8047F7">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5D55928A">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36E3A0BC">
            <w:pPr>
              <w:widowControl/>
              <w:spacing w:line="240" w:lineRule="auto"/>
              <w:jc w:val="center"/>
              <w:rPr>
                <w:rFonts w:eastAsia="等线"/>
                <w:kern w:val="0"/>
                <w:sz w:val="18"/>
                <w:szCs w:val="18"/>
              </w:rPr>
            </w:pPr>
            <w:r>
              <w:rPr>
                <w:rFonts w:eastAsia="等线"/>
                <w:kern w:val="0"/>
                <w:sz w:val="18"/>
                <w:szCs w:val="18"/>
              </w:rPr>
              <w:t>—</w:t>
            </w:r>
          </w:p>
        </w:tc>
      </w:tr>
      <w:tr w14:paraId="65EE636C">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133D7AD7">
            <w:pPr>
              <w:widowControl/>
              <w:spacing w:line="240" w:lineRule="auto"/>
              <w:rPr>
                <w:rFonts w:eastAsia="等线"/>
                <w:kern w:val="0"/>
                <w:szCs w:val="21"/>
              </w:rPr>
            </w:pPr>
            <w:r>
              <w:rPr>
                <w:rFonts w:eastAsia="等线"/>
                <w:kern w:val="0"/>
                <w:szCs w:val="21"/>
              </w:rPr>
              <w:t>5000</w:t>
            </w:r>
          </w:p>
        </w:tc>
        <w:tc>
          <w:tcPr>
            <w:tcW w:w="491" w:type="pct"/>
            <w:tcBorders>
              <w:top w:val="nil"/>
              <w:left w:val="nil"/>
              <w:bottom w:val="single" w:color="auto" w:sz="8" w:space="0"/>
              <w:right w:val="single" w:color="auto" w:sz="8" w:space="0"/>
            </w:tcBorders>
            <w:shd w:val="clear" w:color="auto" w:fill="auto"/>
            <w:vAlign w:val="center"/>
          </w:tcPr>
          <w:p w14:paraId="389E5569">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2D3F65AD">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742C7117">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67FB77FD">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35370FD5">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C673FF0">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400CA0B2">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3F7DA395">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51F95994">
            <w:pPr>
              <w:widowControl/>
              <w:spacing w:line="240" w:lineRule="auto"/>
              <w:jc w:val="center"/>
              <w:rPr>
                <w:rFonts w:eastAsia="等线"/>
                <w:kern w:val="0"/>
                <w:sz w:val="18"/>
                <w:szCs w:val="18"/>
              </w:rPr>
            </w:pPr>
            <w:r>
              <w:rPr>
                <w:rFonts w:eastAsia="等线"/>
                <w:kern w:val="0"/>
                <w:sz w:val="18"/>
                <w:szCs w:val="18"/>
              </w:rPr>
              <w:t>—</w:t>
            </w:r>
          </w:p>
        </w:tc>
      </w:tr>
      <w:tr w14:paraId="216EF4E9">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05690C37">
            <w:pPr>
              <w:widowControl/>
              <w:spacing w:line="240" w:lineRule="auto"/>
              <w:rPr>
                <w:rFonts w:eastAsia="等线"/>
                <w:kern w:val="0"/>
                <w:szCs w:val="21"/>
              </w:rPr>
            </w:pPr>
            <w:r>
              <w:rPr>
                <w:rFonts w:eastAsia="等线"/>
                <w:kern w:val="0"/>
                <w:szCs w:val="21"/>
              </w:rPr>
              <w:t>4500</w:t>
            </w:r>
          </w:p>
        </w:tc>
        <w:tc>
          <w:tcPr>
            <w:tcW w:w="491" w:type="pct"/>
            <w:tcBorders>
              <w:top w:val="nil"/>
              <w:left w:val="nil"/>
              <w:bottom w:val="single" w:color="auto" w:sz="8" w:space="0"/>
              <w:right w:val="single" w:color="auto" w:sz="8" w:space="0"/>
            </w:tcBorders>
            <w:shd w:val="clear" w:color="auto" w:fill="auto"/>
            <w:vAlign w:val="center"/>
          </w:tcPr>
          <w:p w14:paraId="2A0655A0">
            <w:pPr>
              <w:widowControl/>
              <w:spacing w:line="240" w:lineRule="auto"/>
              <w:rPr>
                <w:rFonts w:eastAsia="等线"/>
                <w:kern w:val="0"/>
                <w:szCs w:val="21"/>
              </w:rPr>
            </w:pPr>
            <w:r>
              <w:rPr>
                <w:rFonts w:eastAsia="等线"/>
                <w:kern w:val="0"/>
                <w:szCs w:val="21"/>
              </w:rPr>
              <w:t>25</w:t>
            </w:r>
          </w:p>
        </w:tc>
        <w:tc>
          <w:tcPr>
            <w:tcW w:w="491" w:type="pct"/>
            <w:tcBorders>
              <w:top w:val="nil"/>
              <w:left w:val="nil"/>
              <w:bottom w:val="single" w:color="auto" w:sz="8" w:space="0"/>
              <w:right w:val="single" w:color="auto" w:sz="8" w:space="0"/>
            </w:tcBorders>
            <w:shd w:val="clear" w:color="auto" w:fill="auto"/>
            <w:vAlign w:val="center"/>
          </w:tcPr>
          <w:p w14:paraId="500FA514">
            <w:pPr>
              <w:widowControl/>
              <w:spacing w:line="240" w:lineRule="auto"/>
              <w:rPr>
                <w:rFonts w:eastAsia="等线"/>
                <w:kern w:val="0"/>
                <w:szCs w:val="21"/>
              </w:rPr>
            </w:pPr>
            <w:r>
              <w:rPr>
                <w:rFonts w:eastAsia="等线"/>
                <w:kern w:val="0"/>
                <w:szCs w:val="21"/>
              </w:rPr>
              <w:t>25</w:t>
            </w:r>
          </w:p>
        </w:tc>
        <w:tc>
          <w:tcPr>
            <w:tcW w:w="491" w:type="pct"/>
            <w:tcBorders>
              <w:top w:val="nil"/>
              <w:left w:val="nil"/>
              <w:bottom w:val="single" w:color="auto" w:sz="8" w:space="0"/>
              <w:right w:val="single" w:color="auto" w:sz="8" w:space="0"/>
            </w:tcBorders>
            <w:shd w:val="clear" w:color="auto" w:fill="auto"/>
            <w:vAlign w:val="center"/>
          </w:tcPr>
          <w:p w14:paraId="033CD4D3">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4FBD4CFC">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2C3F5171">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4242A21">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4A70F1CE">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69F9400E">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1A1B3939">
            <w:pPr>
              <w:widowControl/>
              <w:spacing w:line="240" w:lineRule="auto"/>
              <w:jc w:val="center"/>
              <w:rPr>
                <w:rFonts w:eastAsia="等线"/>
                <w:kern w:val="0"/>
                <w:sz w:val="18"/>
                <w:szCs w:val="18"/>
              </w:rPr>
            </w:pPr>
            <w:r>
              <w:rPr>
                <w:rFonts w:eastAsia="等线"/>
                <w:kern w:val="0"/>
                <w:sz w:val="18"/>
                <w:szCs w:val="18"/>
              </w:rPr>
              <w:t>—</w:t>
            </w:r>
          </w:p>
        </w:tc>
      </w:tr>
      <w:tr w14:paraId="4D45A462">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38B640C6">
            <w:pPr>
              <w:widowControl/>
              <w:spacing w:line="240" w:lineRule="auto"/>
              <w:rPr>
                <w:rFonts w:eastAsia="等线"/>
                <w:kern w:val="0"/>
                <w:szCs w:val="21"/>
              </w:rPr>
            </w:pPr>
            <w:r>
              <w:rPr>
                <w:rFonts w:eastAsia="等线"/>
                <w:kern w:val="0"/>
                <w:szCs w:val="21"/>
              </w:rPr>
              <w:t>4000</w:t>
            </w:r>
          </w:p>
        </w:tc>
        <w:tc>
          <w:tcPr>
            <w:tcW w:w="491" w:type="pct"/>
            <w:tcBorders>
              <w:top w:val="nil"/>
              <w:left w:val="nil"/>
              <w:bottom w:val="single" w:color="auto" w:sz="8" w:space="0"/>
              <w:right w:val="single" w:color="auto" w:sz="8" w:space="0"/>
            </w:tcBorders>
            <w:shd w:val="clear" w:color="auto" w:fill="auto"/>
            <w:vAlign w:val="center"/>
          </w:tcPr>
          <w:p w14:paraId="42DFB343">
            <w:pPr>
              <w:widowControl/>
              <w:spacing w:line="240" w:lineRule="auto"/>
              <w:rPr>
                <w:rFonts w:eastAsia="等线"/>
                <w:kern w:val="0"/>
                <w:szCs w:val="21"/>
              </w:rPr>
            </w:pPr>
            <w:r>
              <w:rPr>
                <w:rFonts w:eastAsia="等线"/>
                <w:kern w:val="0"/>
                <w:szCs w:val="21"/>
              </w:rPr>
              <w:t>25</w:t>
            </w:r>
          </w:p>
        </w:tc>
        <w:tc>
          <w:tcPr>
            <w:tcW w:w="491" w:type="pct"/>
            <w:tcBorders>
              <w:top w:val="nil"/>
              <w:left w:val="nil"/>
              <w:bottom w:val="single" w:color="auto" w:sz="8" w:space="0"/>
              <w:right w:val="single" w:color="auto" w:sz="8" w:space="0"/>
            </w:tcBorders>
            <w:shd w:val="clear" w:color="auto" w:fill="auto"/>
            <w:vAlign w:val="center"/>
          </w:tcPr>
          <w:p w14:paraId="1AECE82F">
            <w:pPr>
              <w:widowControl/>
              <w:spacing w:line="240" w:lineRule="auto"/>
              <w:rPr>
                <w:rFonts w:eastAsia="等线"/>
                <w:kern w:val="0"/>
                <w:szCs w:val="21"/>
              </w:rPr>
            </w:pPr>
            <w:r>
              <w:rPr>
                <w:rFonts w:eastAsia="等线"/>
                <w:kern w:val="0"/>
                <w:szCs w:val="21"/>
              </w:rPr>
              <w:t>25</w:t>
            </w:r>
          </w:p>
        </w:tc>
        <w:tc>
          <w:tcPr>
            <w:tcW w:w="491" w:type="pct"/>
            <w:tcBorders>
              <w:top w:val="nil"/>
              <w:left w:val="nil"/>
              <w:bottom w:val="single" w:color="auto" w:sz="8" w:space="0"/>
              <w:right w:val="single" w:color="auto" w:sz="8" w:space="0"/>
            </w:tcBorders>
            <w:shd w:val="clear" w:color="auto" w:fill="auto"/>
            <w:vAlign w:val="center"/>
          </w:tcPr>
          <w:p w14:paraId="0D941A8F">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05CB9E5E">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6F873B63">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31FE2A7E">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7EB10268">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67B6396E">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54C60F4B">
            <w:pPr>
              <w:widowControl/>
              <w:spacing w:line="240" w:lineRule="auto"/>
              <w:jc w:val="center"/>
              <w:rPr>
                <w:rFonts w:eastAsia="等线"/>
                <w:kern w:val="0"/>
                <w:sz w:val="18"/>
                <w:szCs w:val="18"/>
              </w:rPr>
            </w:pPr>
            <w:r>
              <w:rPr>
                <w:rFonts w:eastAsia="等线"/>
                <w:kern w:val="0"/>
                <w:sz w:val="18"/>
                <w:szCs w:val="18"/>
              </w:rPr>
              <w:t>—</w:t>
            </w:r>
          </w:p>
        </w:tc>
      </w:tr>
      <w:tr w14:paraId="614BF5D0">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03C03246">
            <w:pPr>
              <w:widowControl/>
              <w:spacing w:line="240" w:lineRule="auto"/>
              <w:rPr>
                <w:rFonts w:eastAsia="等线"/>
                <w:kern w:val="0"/>
                <w:szCs w:val="21"/>
              </w:rPr>
            </w:pPr>
            <w:r>
              <w:rPr>
                <w:rFonts w:eastAsia="等线"/>
                <w:kern w:val="0"/>
                <w:szCs w:val="21"/>
              </w:rPr>
              <w:t>3500</w:t>
            </w:r>
          </w:p>
        </w:tc>
        <w:tc>
          <w:tcPr>
            <w:tcW w:w="491" w:type="pct"/>
            <w:tcBorders>
              <w:top w:val="nil"/>
              <w:left w:val="nil"/>
              <w:bottom w:val="single" w:color="auto" w:sz="8" w:space="0"/>
              <w:right w:val="single" w:color="auto" w:sz="8" w:space="0"/>
            </w:tcBorders>
            <w:shd w:val="clear" w:color="auto" w:fill="auto"/>
            <w:vAlign w:val="center"/>
          </w:tcPr>
          <w:p w14:paraId="7F5565C4">
            <w:pPr>
              <w:widowControl/>
              <w:spacing w:line="240" w:lineRule="auto"/>
              <w:rPr>
                <w:rFonts w:eastAsia="等线"/>
                <w:kern w:val="0"/>
                <w:szCs w:val="21"/>
              </w:rPr>
            </w:pPr>
            <w:r>
              <w:rPr>
                <w:rFonts w:eastAsia="等线"/>
                <w:kern w:val="0"/>
                <w:szCs w:val="21"/>
              </w:rPr>
              <w:t>35</w:t>
            </w:r>
          </w:p>
        </w:tc>
        <w:tc>
          <w:tcPr>
            <w:tcW w:w="491" w:type="pct"/>
            <w:tcBorders>
              <w:top w:val="nil"/>
              <w:left w:val="nil"/>
              <w:bottom w:val="single" w:color="auto" w:sz="8" w:space="0"/>
              <w:right w:val="single" w:color="auto" w:sz="8" w:space="0"/>
            </w:tcBorders>
            <w:shd w:val="clear" w:color="auto" w:fill="auto"/>
            <w:vAlign w:val="center"/>
          </w:tcPr>
          <w:p w14:paraId="0A2E1534">
            <w:pPr>
              <w:widowControl/>
              <w:spacing w:line="240" w:lineRule="auto"/>
              <w:rPr>
                <w:rFonts w:eastAsia="等线"/>
                <w:kern w:val="0"/>
                <w:szCs w:val="21"/>
              </w:rPr>
            </w:pPr>
            <w:r>
              <w:rPr>
                <w:rFonts w:eastAsia="等线"/>
                <w:kern w:val="0"/>
                <w:szCs w:val="21"/>
              </w:rPr>
              <w:t>30</w:t>
            </w:r>
          </w:p>
        </w:tc>
        <w:tc>
          <w:tcPr>
            <w:tcW w:w="491" w:type="pct"/>
            <w:tcBorders>
              <w:top w:val="nil"/>
              <w:left w:val="nil"/>
              <w:bottom w:val="single" w:color="auto" w:sz="8" w:space="0"/>
              <w:right w:val="single" w:color="auto" w:sz="8" w:space="0"/>
            </w:tcBorders>
            <w:shd w:val="clear" w:color="auto" w:fill="auto"/>
            <w:vAlign w:val="center"/>
          </w:tcPr>
          <w:p w14:paraId="24F02F41">
            <w:pPr>
              <w:widowControl/>
              <w:spacing w:line="240" w:lineRule="auto"/>
              <w:rPr>
                <w:rFonts w:eastAsia="等线"/>
                <w:kern w:val="0"/>
                <w:szCs w:val="21"/>
              </w:rPr>
            </w:pPr>
            <w:r>
              <w:rPr>
                <w:rFonts w:eastAsia="等线"/>
                <w:kern w:val="0"/>
                <w:szCs w:val="21"/>
              </w:rPr>
              <w:t>25</w:t>
            </w:r>
          </w:p>
        </w:tc>
        <w:tc>
          <w:tcPr>
            <w:tcW w:w="491" w:type="pct"/>
            <w:tcBorders>
              <w:top w:val="nil"/>
              <w:left w:val="nil"/>
              <w:bottom w:val="single" w:color="auto" w:sz="8" w:space="0"/>
              <w:right w:val="single" w:color="auto" w:sz="8" w:space="0"/>
            </w:tcBorders>
            <w:shd w:val="clear" w:color="auto" w:fill="auto"/>
            <w:vAlign w:val="center"/>
          </w:tcPr>
          <w:p w14:paraId="2D518F68">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2CF74480">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250BB36D">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4CEF16AB">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0B456F32">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01C7992D">
            <w:pPr>
              <w:widowControl/>
              <w:spacing w:line="240" w:lineRule="auto"/>
              <w:jc w:val="center"/>
              <w:rPr>
                <w:rFonts w:eastAsia="等线"/>
                <w:kern w:val="0"/>
                <w:sz w:val="18"/>
                <w:szCs w:val="18"/>
              </w:rPr>
            </w:pPr>
            <w:r>
              <w:rPr>
                <w:rFonts w:eastAsia="等线"/>
                <w:kern w:val="0"/>
                <w:sz w:val="18"/>
                <w:szCs w:val="18"/>
              </w:rPr>
              <w:t>—</w:t>
            </w:r>
          </w:p>
        </w:tc>
      </w:tr>
      <w:tr w14:paraId="6C60A3DA">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3A221BAF">
            <w:pPr>
              <w:widowControl/>
              <w:spacing w:line="240" w:lineRule="auto"/>
              <w:rPr>
                <w:rFonts w:eastAsia="等线"/>
                <w:kern w:val="0"/>
                <w:szCs w:val="21"/>
              </w:rPr>
            </w:pPr>
            <w:r>
              <w:rPr>
                <w:rFonts w:eastAsia="等线"/>
                <w:kern w:val="0"/>
                <w:szCs w:val="21"/>
              </w:rPr>
              <w:t>3000</w:t>
            </w:r>
          </w:p>
        </w:tc>
        <w:tc>
          <w:tcPr>
            <w:tcW w:w="491" w:type="pct"/>
            <w:tcBorders>
              <w:top w:val="nil"/>
              <w:left w:val="nil"/>
              <w:bottom w:val="single" w:color="auto" w:sz="8" w:space="0"/>
              <w:right w:val="single" w:color="auto" w:sz="8" w:space="0"/>
            </w:tcBorders>
            <w:shd w:val="clear" w:color="auto" w:fill="auto"/>
            <w:vAlign w:val="center"/>
          </w:tcPr>
          <w:p w14:paraId="498CE15D">
            <w:pPr>
              <w:widowControl/>
              <w:spacing w:line="240" w:lineRule="auto"/>
              <w:rPr>
                <w:rFonts w:eastAsia="等线"/>
                <w:kern w:val="0"/>
                <w:szCs w:val="21"/>
              </w:rPr>
            </w:pPr>
            <w:r>
              <w:rPr>
                <w:rFonts w:eastAsia="等线"/>
                <w:kern w:val="0"/>
                <w:szCs w:val="21"/>
              </w:rPr>
              <w:t>35</w:t>
            </w:r>
          </w:p>
        </w:tc>
        <w:tc>
          <w:tcPr>
            <w:tcW w:w="491" w:type="pct"/>
            <w:tcBorders>
              <w:top w:val="nil"/>
              <w:left w:val="nil"/>
              <w:bottom w:val="single" w:color="auto" w:sz="8" w:space="0"/>
              <w:right w:val="single" w:color="auto" w:sz="8" w:space="0"/>
            </w:tcBorders>
            <w:shd w:val="clear" w:color="auto" w:fill="auto"/>
            <w:vAlign w:val="center"/>
          </w:tcPr>
          <w:p w14:paraId="3CAE8FFE">
            <w:pPr>
              <w:widowControl/>
              <w:spacing w:line="240" w:lineRule="auto"/>
              <w:rPr>
                <w:rFonts w:eastAsia="等线"/>
                <w:kern w:val="0"/>
                <w:szCs w:val="21"/>
              </w:rPr>
            </w:pPr>
            <w:r>
              <w:rPr>
                <w:rFonts w:eastAsia="等线"/>
                <w:kern w:val="0"/>
                <w:szCs w:val="21"/>
              </w:rPr>
              <w:t>30</w:t>
            </w:r>
          </w:p>
        </w:tc>
        <w:tc>
          <w:tcPr>
            <w:tcW w:w="491" w:type="pct"/>
            <w:tcBorders>
              <w:top w:val="nil"/>
              <w:left w:val="nil"/>
              <w:bottom w:val="single" w:color="auto" w:sz="8" w:space="0"/>
              <w:right w:val="single" w:color="auto" w:sz="8" w:space="0"/>
            </w:tcBorders>
            <w:shd w:val="clear" w:color="auto" w:fill="auto"/>
            <w:vAlign w:val="center"/>
          </w:tcPr>
          <w:p w14:paraId="0FD6C9A2">
            <w:pPr>
              <w:widowControl/>
              <w:spacing w:line="240" w:lineRule="auto"/>
              <w:rPr>
                <w:rFonts w:eastAsia="等线"/>
                <w:kern w:val="0"/>
                <w:szCs w:val="21"/>
              </w:rPr>
            </w:pPr>
            <w:r>
              <w:rPr>
                <w:rFonts w:eastAsia="等线"/>
                <w:kern w:val="0"/>
                <w:szCs w:val="21"/>
              </w:rPr>
              <w:t>30</w:t>
            </w:r>
          </w:p>
        </w:tc>
        <w:tc>
          <w:tcPr>
            <w:tcW w:w="491" w:type="pct"/>
            <w:tcBorders>
              <w:top w:val="nil"/>
              <w:left w:val="nil"/>
              <w:bottom w:val="single" w:color="auto" w:sz="8" w:space="0"/>
              <w:right w:val="single" w:color="auto" w:sz="8" w:space="0"/>
            </w:tcBorders>
            <w:shd w:val="clear" w:color="auto" w:fill="auto"/>
            <w:vAlign w:val="center"/>
          </w:tcPr>
          <w:p w14:paraId="3E0214D5">
            <w:pPr>
              <w:widowControl/>
              <w:spacing w:line="240" w:lineRule="auto"/>
              <w:rPr>
                <w:rFonts w:eastAsia="等线"/>
                <w:kern w:val="0"/>
                <w:szCs w:val="21"/>
              </w:rPr>
            </w:pPr>
            <w:r>
              <w:rPr>
                <w:rFonts w:eastAsia="等线"/>
                <w:kern w:val="0"/>
                <w:szCs w:val="21"/>
              </w:rPr>
              <w:t>25</w:t>
            </w:r>
          </w:p>
        </w:tc>
        <w:tc>
          <w:tcPr>
            <w:tcW w:w="491" w:type="pct"/>
            <w:tcBorders>
              <w:top w:val="nil"/>
              <w:left w:val="nil"/>
              <w:bottom w:val="single" w:color="auto" w:sz="8" w:space="0"/>
              <w:right w:val="single" w:color="auto" w:sz="8" w:space="0"/>
            </w:tcBorders>
            <w:shd w:val="clear" w:color="auto" w:fill="auto"/>
            <w:vAlign w:val="center"/>
          </w:tcPr>
          <w:p w14:paraId="70E60611">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4383C073">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307AC270">
            <w:pPr>
              <w:widowControl/>
              <w:spacing w:line="240" w:lineRule="auto"/>
              <w:rPr>
                <w:rFonts w:eastAsia="等线"/>
                <w:kern w:val="0"/>
                <w:szCs w:val="21"/>
              </w:rPr>
            </w:pPr>
            <w:r>
              <w:rPr>
                <w:rFonts w:eastAsia="等线"/>
                <w:kern w:val="0"/>
                <w:szCs w:val="21"/>
              </w:rPr>
              <w:t>20</w:t>
            </w:r>
          </w:p>
        </w:tc>
        <w:tc>
          <w:tcPr>
            <w:tcW w:w="492" w:type="pct"/>
            <w:tcBorders>
              <w:top w:val="nil"/>
              <w:left w:val="nil"/>
              <w:bottom w:val="single" w:color="auto" w:sz="8" w:space="0"/>
              <w:right w:val="single" w:color="auto" w:sz="8" w:space="0"/>
            </w:tcBorders>
            <w:shd w:val="clear" w:color="auto" w:fill="auto"/>
            <w:vAlign w:val="center"/>
          </w:tcPr>
          <w:p w14:paraId="7082012D">
            <w:pPr>
              <w:widowControl/>
              <w:spacing w:line="240" w:lineRule="auto"/>
              <w:jc w:val="center"/>
              <w:rPr>
                <w:rFonts w:eastAsia="等线"/>
                <w:kern w:val="0"/>
                <w:sz w:val="18"/>
                <w:szCs w:val="18"/>
              </w:rPr>
            </w:pPr>
            <w:r>
              <w:rPr>
                <w:rFonts w:eastAsia="等线"/>
                <w:kern w:val="0"/>
                <w:sz w:val="18"/>
                <w:szCs w:val="18"/>
              </w:rPr>
              <w:t>20</w:t>
            </w:r>
          </w:p>
        </w:tc>
        <w:tc>
          <w:tcPr>
            <w:tcW w:w="486" w:type="pct"/>
            <w:tcBorders>
              <w:top w:val="nil"/>
              <w:left w:val="nil"/>
              <w:bottom w:val="single" w:color="auto" w:sz="8" w:space="0"/>
              <w:right w:val="single" w:color="auto" w:sz="8" w:space="0"/>
            </w:tcBorders>
            <w:shd w:val="clear" w:color="auto" w:fill="auto"/>
            <w:vAlign w:val="center"/>
          </w:tcPr>
          <w:p w14:paraId="467407EB">
            <w:pPr>
              <w:widowControl/>
              <w:spacing w:line="240" w:lineRule="auto"/>
              <w:jc w:val="center"/>
              <w:rPr>
                <w:rFonts w:eastAsia="等线"/>
                <w:kern w:val="0"/>
                <w:sz w:val="18"/>
                <w:szCs w:val="18"/>
              </w:rPr>
            </w:pPr>
            <w:r>
              <w:rPr>
                <w:rFonts w:eastAsia="等线"/>
                <w:kern w:val="0"/>
                <w:sz w:val="18"/>
                <w:szCs w:val="18"/>
              </w:rPr>
              <w:t>20</w:t>
            </w:r>
          </w:p>
        </w:tc>
      </w:tr>
      <w:tr w14:paraId="73B28FEB">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527AC819">
            <w:pPr>
              <w:widowControl/>
              <w:spacing w:line="240" w:lineRule="auto"/>
              <w:rPr>
                <w:rFonts w:eastAsia="等线"/>
                <w:kern w:val="0"/>
                <w:szCs w:val="21"/>
              </w:rPr>
            </w:pPr>
            <w:r>
              <w:rPr>
                <w:rFonts w:eastAsia="等线"/>
                <w:kern w:val="0"/>
                <w:szCs w:val="21"/>
              </w:rPr>
              <w:t>2500</w:t>
            </w:r>
          </w:p>
        </w:tc>
        <w:tc>
          <w:tcPr>
            <w:tcW w:w="491" w:type="pct"/>
            <w:tcBorders>
              <w:top w:val="nil"/>
              <w:left w:val="nil"/>
              <w:bottom w:val="single" w:color="auto" w:sz="8" w:space="0"/>
              <w:right w:val="single" w:color="auto" w:sz="8" w:space="0"/>
            </w:tcBorders>
            <w:shd w:val="clear" w:color="auto" w:fill="auto"/>
            <w:vAlign w:val="center"/>
          </w:tcPr>
          <w:p w14:paraId="4B5B421F">
            <w:pPr>
              <w:widowControl/>
              <w:spacing w:line="240" w:lineRule="auto"/>
              <w:rPr>
                <w:rFonts w:eastAsia="等线"/>
                <w:kern w:val="0"/>
                <w:szCs w:val="21"/>
              </w:rPr>
            </w:pPr>
            <w:r>
              <w:rPr>
                <w:rFonts w:eastAsia="等线"/>
                <w:kern w:val="0"/>
                <w:szCs w:val="21"/>
              </w:rPr>
              <w:t>45</w:t>
            </w:r>
          </w:p>
        </w:tc>
        <w:tc>
          <w:tcPr>
            <w:tcW w:w="491" w:type="pct"/>
            <w:tcBorders>
              <w:top w:val="nil"/>
              <w:left w:val="nil"/>
              <w:bottom w:val="single" w:color="auto" w:sz="8" w:space="0"/>
              <w:right w:val="single" w:color="auto" w:sz="8" w:space="0"/>
            </w:tcBorders>
            <w:shd w:val="clear" w:color="auto" w:fill="auto"/>
            <w:vAlign w:val="center"/>
          </w:tcPr>
          <w:p w14:paraId="07046D57">
            <w:pPr>
              <w:widowControl/>
              <w:spacing w:line="240" w:lineRule="auto"/>
              <w:rPr>
                <w:rFonts w:eastAsia="等线"/>
                <w:kern w:val="0"/>
                <w:szCs w:val="21"/>
              </w:rPr>
            </w:pPr>
            <w:r>
              <w:rPr>
                <w:rFonts w:eastAsia="等线"/>
                <w:kern w:val="0"/>
                <w:szCs w:val="21"/>
              </w:rPr>
              <w:t>40</w:t>
            </w:r>
          </w:p>
        </w:tc>
        <w:tc>
          <w:tcPr>
            <w:tcW w:w="491" w:type="pct"/>
            <w:tcBorders>
              <w:top w:val="nil"/>
              <w:left w:val="nil"/>
              <w:bottom w:val="single" w:color="auto" w:sz="8" w:space="0"/>
              <w:right w:val="single" w:color="auto" w:sz="8" w:space="0"/>
            </w:tcBorders>
            <w:shd w:val="clear" w:color="auto" w:fill="auto"/>
            <w:vAlign w:val="center"/>
          </w:tcPr>
          <w:p w14:paraId="4FE3606C">
            <w:pPr>
              <w:widowControl/>
              <w:spacing w:line="240" w:lineRule="auto"/>
              <w:rPr>
                <w:rFonts w:eastAsia="等线"/>
                <w:kern w:val="0"/>
                <w:szCs w:val="21"/>
              </w:rPr>
            </w:pPr>
            <w:r>
              <w:rPr>
                <w:rFonts w:eastAsia="等线"/>
                <w:kern w:val="0"/>
                <w:szCs w:val="21"/>
              </w:rPr>
              <w:t>35</w:t>
            </w:r>
          </w:p>
        </w:tc>
        <w:tc>
          <w:tcPr>
            <w:tcW w:w="491" w:type="pct"/>
            <w:tcBorders>
              <w:top w:val="nil"/>
              <w:left w:val="nil"/>
              <w:bottom w:val="single" w:color="auto" w:sz="8" w:space="0"/>
              <w:right w:val="single" w:color="auto" w:sz="8" w:space="0"/>
            </w:tcBorders>
            <w:shd w:val="clear" w:color="auto" w:fill="auto"/>
            <w:vAlign w:val="center"/>
          </w:tcPr>
          <w:p w14:paraId="60F6E374">
            <w:pPr>
              <w:widowControl/>
              <w:spacing w:line="240" w:lineRule="auto"/>
              <w:rPr>
                <w:rFonts w:eastAsia="等线"/>
                <w:kern w:val="0"/>
                <w:szCs w:val="21"/>
              </w:rPr>
            </w:pPr>
            <w:r>
              <w:rPr>
                <w:rFonts w:eastAsia="等线"/>
                <w:kern w:val="0"/>
                <w:szCs w:val="21"/>
              </w:rPr>
              <w:t>30</w:t>
            </w:r>
          </w:p>
        </w:tc>
        <w:tc>
          <w:tcPr>
            <w:tcW w:w="491" w:type="pct"/>
            <w:tcBorders>
              <w:top w:val="nil"/>
              <w:left w:val="nil"/>
              <w:bottom w:val="single" w:color="auto" w:sz="8" w:space="0"/>
              <w:right w:val="single" w:color="auto" w:sz="8" w:space="0"/>
            </w:tcBorders>
            <w:shd w:val="clear" w:color="auto" w:fill="auto"/>
            <w:vAlign w:val="center"/>
          </w:tcPr>
          <w:p w14:paraId="7A80B945">
            <w:pPr>
              <w:widowControl/>
              <w:spacing w:line="240" w:lineRule="auto"/>
              <w:rPr>
                <w:rFonts w:eastAsia="等线"/>
                <w:kern w:val="0"/>
                <w:szCs w:val="21"/>
              </w:rPr>
            </w:pPr>
            <w:r>
              <w:rPr>
                <w:rFonts w:eastAsia="等线"/>
                <w:kern w:val="0"/>
                <w:szCs w:val="21"/>
              </w:rPr>
              <w:t>25</w:t>
            </w:r>
          </w:p>
        </w:tc>
        <w:tc>
          <w:tcPr>
            <w:tcW w:w="491" w:type="pct"/>
            <w:tcBorders>
              <w:top w:val="nil"/>
              <w:left w:val="nil"/>
              <w:bottom w:val="single" w:color="auto" w:sz="8" w:space="0"/>
              <w:right w:val="single" w:color="auto" w:sz="8" w:space="0"/>
            </w:tcBorders>
            <w:shd w:val="clear" w:color="auto" w:fill="auto"/>
            <w:vAlign w:val="center"/>
          </w:tcPr>
          <w:p w14:paraId="37508DFE">
            <w:pPr>
              <w:widowControl/>
              <w:spacing w:line="240" w:lineRule="auto"/>
              <w:rPr>
                <w:rFonts w:eastAsia="等线"/>
                <w:kern w:val="0"/>
                <w:szCs w:val="21"/>
              </w:rPr>
            </w:pPr>
            <w:r>
              <w:rPr>
                <w:rFonts w:eastAsia="等线"/>
                <w:kern w:val="0"/>
                <w:szCs w:val="21"/>
              </w:rPr>
              <w:t>20</w:t>
            </w:r>
          </w:p>
        </w:tc>
        <w:tc>
          <w:tcPr>
            <w:tcW w:w="491" w:type="pct"/>
            <w:tcBorders>
              <w:top w:val="nil"/>
              <w:left w:val="nil"/>
              <w:bottom w:val="single" w:color="auto" w:sz="8" w:space="0"/>
              <w:right w:val="single" w:color="auto" w:sz="8" w:space="0"/>
            </w:tcBorders>
            <w:shd w:val="clear" w:color="auto" w:fill="auto"/>
            <w:vAlign w:val="center"/>
          </w:tcPr>
          <w:p w14:paraId="286421EA">
            <w:pPr>
              <w:widowControl/>
              <w:spacing w:line="240" w:lineRule="auto"/>
              <w:rPr>
                <w:rFonts w:eastAsia="等线"/>
                <w:kern w:val="0"/>
                <w:szCs w:val="21"/>
              </w:rPr>
            </w:pPr>
            <w:r>
              <w:rPr>
                <w:rFonts w:eastAsia="等线"/>
                <w:kern w:val="0"/>
                <w:szCs w:val="21"/>
              </w:rPr>
              <w:t>20</w:t>
            </w:r>
          </w:p>
        </w:tc>
        <w:tc>
          <w:tcPr>
            <w:tcW w:w="492" w:type="pct"/>
            <w:tcBorders>
              <w:top w:val="nil"/>
              <w:left w:val="nil"/>
              <w:bottom w:val="single" w:color="auto" w:sz="8" w:space="0"/>
              <w:right w:val="single" w:color="auto" w:sz="8" w:space="0"/>
            </w:tcBorders>
            <w:shd w:val="clear" w:color="auto" w:fill="auto"/>
            <w:vAlign w:val="center"/>
          </w:tcPr>
          <w:p w14:paraId="2475E347">
            <w:pPr>
              <w:widowControl/>
              <w:spacing w:line="240" w:lineRule="auto"/>
              <w:jc w:val="center"/>
              <w:rPr>
                <w:rFonts w:eastAsia="等线"/>
                <w:kern w:val="0"/>
                <w:sz w:val="18"/>
                <w:szCs w:val="18"/>
              </w:rPr>
            </w:pPr>
            <w:r>
              <w:rPr>
                <w:rFonts w:eastAsia="等线"/>
                <w:kern w:val="0"/>
                <w:sz w:val="18"/>
                <w:szCs w:val="18"/>
              </w:rPr>
              <w:t>20</w:t>
            </w:r>
          </w:p>
        </w:tc>
        <w:tc>
          <w:tcPr>
            <w:tcW w:w="486" w:type="pct"/>
            <w:tcBorders>
              <w:top w:val="nil"/>
              <w:left w:val="nil"/>
              <w:bottom w:val="single" w:color="auto" w:sz="8" w:space="0"/>
              <w:right w:val="single" w:color="auto" w:sz="8" w:space="0"/>
            </w:tcBorders>
            <w:shd w:val="clear" w:color="auto" w:fill="auto"/>
            <w:vAlign w:val="center"/>
          </w:tcPr>
          <w:p w14:paraId="599CE964">
            <w:pPr>
              <w:widowControl/>
              <w:spacing w:line="240" w:lineRule="auto"/>
              <w:jc w:val="center"/>
              <w:rPr>
                <w:rFonts w:eastAsia="等线"/>
                <w:kern w:val="0"/>
                <w:sz w:val="18"/>
                <w:szCs w:val="18"/>
              </w:rPr>
            </w:pPr>
            <w:r>
              <w:rPr>
                <w:rFonts w:eastAsia="等线"/>
                <w:kern w:val="0"/>
                <w:sz w:val="18"/>
                <w:szCs w:val="18"/>
              </w:rPr>
              <w:t>20</w:t>
            </w:r>
          </w:p>
        </w:tc>
      </w:tr>
      <w:tr w14:paraId="28E62612">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24482E79">
            <w:pPr>
              <w:widowControl/>
              <w:spacing w:line="240" w:lineRule="auto"/>
              <w:rPr>
                <w:rFonts w:eastAsia="等线"/>
                <w:kern w:val="0"/>
                <w:szCs w:val="21"/>
              </w:rPr>
            </w:pPr>
            <w:r>
              <w:rPr>
                <w:rFonts w:eastAsia="等线"/>
                <w:kern w:val="0"/>
                <w:szCs w:val="21"/>
              </w:rPr>
              <w:t>2000</w:t>
            </w:r>
          </w:p>
        </w:tc>
        <w:tc>
          <w:tcPr>
            <w:tcW w:w="491" w:type="pct"/>
            <w:tcBorders>
              <w:top w:val="nil"/>
              <w:left w:val="nil"/>
              <w:bottom w:val="single" w:color="auto" w:sz="8" w:space="0"/>
              <w:right w:val="single" w:color="auto" w:sz="8" w:space="0"/>
            </w:tcBorders>
            <w:shd w:val="clear" w:color="auto" w:fill="auto"/>
            <w:vAlign w:val="center"/>
          </w:tcPr>
          <w:p w14:paraId="002B946E">
            <w:pPr>
              <w:widowControl/>
              <w:spacing w:line="240" w:lineRule="auto"/>
              <w:rPr>
                <w:rFonts w:eastAsia="等线"/>
                <w:kern w:val="0"/>
                <w:szCs w:val="21"/>
              </w:rPr>
            </w:pPr>
            <w:r>
              <w:rPr>
                <w:rFonts w:eastAsia="等线"/>
                <w:kern w:val="0"/>
                <w:szCs w:val="21"/>
              </w:rPr>
              <w:t>55</w:t>
            </w:r>
          </w:p>
        </w:tc>
        <w:tc>
          <w:tcPr>
            <w:tcW w:w="491" w:type="pct"/>
            <w:tcBorders>
              <w:top w:val="nil"/>
              <w:left w:val="nil"/>
              <w:bottom w:val="single" w:color="auto" w:sz="8" w:space="0"/>
              <w:right w:val="single" w:color="auto" w:sz="8" w:space="0"/>
            </w:tcBorders>
            <w:shd w:val="clear" w:color="auto" w:fill="auto"/>
            <w:vAlign w:val="center"/>
          </w:tcPr>
          <w:p w14:paraId="22E9E37B">
            <w:pPr>
              <w:widowControl/>
              <w:spacing w:line="240" w:lineRule="auto"/>
              <w:rPr>
                <w:rFonts w:eastAsia="等线"/>
                <w:kern w:val="0"/>
                <w:szCs w:val="21"/>
              </w:rPr>
            </w:pPr>
            <w:r>
              <w:rPr>
                <w:rFonts w:eastAsia="等线"/>
                <w:kern w:val="0"/>
                <w:szCs w:val="21"/>
              </w:rPr>
              <w:t>50</w:t>
            </w:r>
          </w:p>
        </w:tc>
        <w:tc>
          <w:tcPr>
            <w:tcW w:w="491" w:type="pct"/>
            <w:tcBorders>
              <w:top w:val="nil"/>
              <w:left w:val="nil"/>
              <w:bottom w:val="single" w:color="auto" w:sz="8" w:space="0"/>
              <w:right w:val="single" w:color="auto" w:sz="8" w:space="0"/>
            </w:tcBorders>
            <w:shd w:val="clear" w:color="auto" w:fill="auto"/>
            <w:vAlign w:val="center"/>
          </w:tcPr>
          <w:p w14:paraId="01C89CE9">
            <w:pPr>
              <w:widowControl/>
              <w:spacing w:line="240" w:lineRule="auto"/>
              <w:rPr>
                <w:rFonts w:eastAsia="等线"/>
                <w:kern w:val="0"/>
                <w:szCs w:val="21"/>
              </w:rPr>
            </w:pPr>
            <w:r>
              <w:rPr>
                <w:rFonts w:eastAsia="等线"/>
                <w:kern w:val="0"/>
                <w:szCs w:val="21"/>
              </w:rPr>
              <w:t>45</w:t>
            </w:r>
          </w:p>
        </w:tc>
        <w:tc>
          <w:tcPr>
            <w:tcW w:w="491" w:type="pct"/>
            <w:tcBorders>
              <w:top w:val="nil"/>
              <w:left w:val="nil"/>
              <w:bottom w:val="single" w:color="auto" w:sz="8" w:space="0"/>
              <w:right w:val="single" w:color="auto" w:sz="8" w:space="0"/>
            </w:tcBorders>
            <w:shd w:val="clear" w:color="auto" w:fill="auto"/>
            <w:vAlign w:val="center"/>
          </w:tcPr>
          <w:p w14:paraId="0838537D">
            <w:pPr>
              <w:widowControl/>
              <w:spacing w:line="240" w:lineRule="auto"/>
              <w:rPr>
                <w:rFonts w:eastAsia="等线"/>
                <w:kern w:val="0"/>
                <w:szCs w:val="21"/>
              </w:rPr>
            </w:pPr>
            <w:r>
              <w:rPr>
                <w:rFonts w:eastAsia="等线"/>
                <w:kern w:val="0"/>
                <w:szCs w:val="21"/>
              </w:rPr>
              <w:t>40</w:t>
            </w:r>
          </w:p>
        </w:tc>
        <w:tc>
          <w:tcPr>
            <w:tcW w:w="491" w:type="pct"/>
            <w:tcBorders>
              <w:top w:val="nil"/>
              <w:left w:val="nil"/>
              <w:bottom w:val="single" w:color="auto" w:sz="8" w:space="0"/>
              <w:right w:val="single" w:color="auto" w:sz="8" w:space="0"/>
            </w:tcBorders>
            <w:shd w:val="clear" w:color="auto" w:fill="auto"/>
            <w:vAlign w:val="center"/>
          </w:tcPr>
          <w:p w14:paraId="73E7A8C4">
            <w:pPr>
              <w:widowControl/>
              <w:spacing w:line="240" w:lineRule="auto"/>
              <w:rPr>
                <w:rFonts w:eastAsia="等线"/>
                <w:kern w:val="0"/>
                <w:szCs w:val="21"/>
              </w:rPr>
            </w:pPr>
            <w:r>
              <w:rPr>
                <w:rFonts w:eastAsia="等线"/>
                <w:kern w:val="0"/>
                <w:szCs w:val="21"/>
              </w:rPr>
              <w:t>35</w:t>
            </w:r>
          </w:p>
        </w:tc>
        <w:tc>
          <w:tcPr>
            <w:tcW w:w="491" w:type="pct"/>
            <w:tcBorders>
              <w:top w:val="nil"/>
              <w:left w:val="nil"/>
              <w:bottom w:val="single" w:color="auto" w:sz="8" w:space="0"/>
              <w:right w:val="single" w:color="auto" w:sz="8" w:space="0"/>
            </w:tcBorders>
            <w:shd w:val="clear" w:color="auto" w:fill="auto"/>
            <w:vAlign w:val="center"/>
          </w:tcPr>
          <w:p w14:paraId="19426D8B">
            <w:pPr>
              <w:widowControl/>
              <w:spacing w:line="240" w:lineRule="auto"/>
              <w:rPr>
                <w:rFonts w:eastAsia="等线"/>
                <w:kern w:val="0"/>
                <w:szCs w:val="21"/>
              </w:rPr>
            </w:pPr>
            <w:r>
              <w:rPr>
                <w:rFonts w:eastAsia="等线"/>
                <w:kern w:val="0"/>
                <w:szCs w:val="21"/>
              </w:rPr>
              <w:t>30</w:t>
            </w:r>
          </w:p>
        </w:tc>
        <w:tc>
          <w:tcPr>
            <w:tcW w:w="491" w:type="pct"/>
            <w:tcBorders>
              <w:top w:val="nil"/>
              <w:left w:val="nil"/>
              <w:bottom w:val="single" w:color="auto" w:sz="8" w:space="0"/>
              <w:right w:val="single" w:color="auto" w:sz="8" w:space="0"/>
            </w:tcBorders>
            <w:shd w:val="clear" w:color="auto" w:fill="auto"/>
            <w:vAlign w:val="center"/>
          </w:tcPr>
          <w:p w14:paraId="24712BEA">
            <w:pPr>
              <w:widowControl/>
              <w:spacing w:line="240" w:lineRule="auto"/>
              <w:rPr>
                <w:rFonts w:eastAsia="等线"/>
                <w:kern w:val="0"/>
                <w:szCs w:val="21"/>
              </w:rPr>
            </w:pPr>
            <w:r>
              <w:rPr>
                <w:rFonts w:eastAsia="等线"/>
                <w:kern w:val="0"/>
                <w:szCs w:val="21"/>
              </w:rPr>
              <w:t>25</w:t>
            </w:r>
          </w:p>
        </w:tc>
        <w:tc>
          <w:tcPr>
            <w:tcW w:w="492" w:type="pct"/>
            <w:tcBorders>
              <w:top w:val="nil"/>
              <w:left w:val="nil"/>
              <w:bottom w:val="single" w:color="auto" w:sz="8" w:space="0"/>
              <w:right w:val="single" w:color="auto" w:sz="8" w:space="0"/>
            </w:tcBorders>
            <w:shd w:val="clear" w:color="auto" w:fill="auto"/>
            <w:vAlign w:val="center"/>
          </w:tcPr>
          <w:p w14:paraId="24AE6F40">
            <w:pPr>
              <w:widowControl/>
              <w:spacing w:line="240" w:lineRule="auto"/>
              <w:jc w:val="center"/>
              <w:rPr>
                <w:rFonts w:eastAsia="等线"/>
                <w:kern w:val="0"/>
                <w:sz w:val="18"/>
                <w:szCs w:val="18"/>
              </w:rPr>
            </w:pPr>
            <w:r>
              <w:rPr>
                <w:rFonts w:eastAsia="等线"/>
                <w:kern w:val="0"/>
                <w:sz w:val="18"/>
                <w:szCs w:val="18"/>
              </w:rPr>
              <w:t>20</w:t>
            </w:r>
          </w:p>
        </w:tc>
        <w:tc>
          <w:tcPr>
            <w:tcW w:w="486" w:type="pct"/>
            <w:tcBorders>
              <w:top w:val="nil"/>
              <w:left w:val="nil"/>
              <w:bottom w:val="single" w:color="auto" w:sz="8" w:space="0"/>
              <w:right w:val="single" w:color="auto" w:sz="8" w:space="0"/>
            </w:tcBorders>
            <w:shd w:val="clear" w:color="auto" w:fill="auto"/>
            <w:vAlign w:val="center"/>
          </w:tcPr>
          <w:p w14:paraId="52EEA96A">
            <w:pPr>
              <w:widowControl/>
              <w:spacing w:line="240" w:lineRule="auto"/>
              <w:jc w:val="center"/>
              <w:rPr>
                <w:rFonts w:eastAsia="等线"/>
                <w:kern w:val="0"/>
                <w:sz w:val="18"/>
                <w:szCs w:val="18"/>
              </w:rPr>
            </w:pPr>
            <w:r>
              <w:rPr>
                <w:rFonts w:eastAsia="等线"/>
                <w:kern w:val="0"/>
                <w:sz w:val="18"/>
                <w:szCs w:val="18"/>
              </w:rPr>
              <w:t>20</w:t>
            </w:r>
          </w:p>
        </w:tc>
      </w:tr>
      <w:tr w14:paraId="63F0B61B">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204F3CDC">
            <w:pPr>
              <w:widowControl/>
              <w:spacing w:line="240" w:lineRule="auto"/>
              <w:rPr>
                <w:rFonts w:eastAsia="等线"/>
                <w:kern w:val="0"/>
                <w:szCs w:val="21"/>
              </w:rPr>
            </w:pPr>
            <w:r>
              <w:rPr>
                <w:rFonts w:eastAsia="等线"/>
                <w:kern w:val="0"/>
                <w:szCs w:val="21"/>
              </w:rPr>
              <w:t>1500</w:t>
            </w:r>
          </w:p>
        </w:tc>
        <w:tc>
          <w:tcPr>
            <w:tcW w:w="491" w:type="pct"/>
            <w:tcBorders>
              <w:top w:val="nil"/>
              <w:left w:val="nil"/>
              <w:bottom w:val="single" w:color="auto" w:sz="8" w:space="0"/>
              <w:right w:val="single" w:color="auto" w:sz="8" w:space="0"/>
            </w:tcBorders>
            <w:shd w:val="clear" w:color="auto" w:fill="auto"/>
            <w:vAlign w:val="center"/>
          </w:tcPr>
          <w:p w14:paraId="1ADE7FDE">
            <w:pPr>
              <w:widowControl/>
              <w:spacing w:line="240" w:lineRule="auto"/>
              <w:rPr>
                <w:rFonts w:eastAsia="等线"/>
                <w:kern w:val="0"/>
                <w:szCs w:val="21"/>
              </w:rPr>
            </w:pPr>
            <w:r>
              <w:rPr>
                <w:rFonts w:eastAsia="等线"/>
                <w:kern w:val="0"/>
                <w:szCs w:val="21"/>
              </w:rPr>
              <w:t>75</w:t>
            </w:r>
          </w:p>
        </w:tc>
        <w:tc>
          <w:tcPr>
            <w:tcW w:w="491" w:type="pct"/>
            <w:tcBorders>
              <w:top w:val="nil"/>
              <w:left w:val="nil"/>
              <w:bottom w:val="single" w:color="auto" w:sz="8" w:space="0"/>
              <w:right w:val="single" w:color="auto" w:sz="8" w:space="0"/>
            </w:tcBorders>
            <w:shd w:val="clear" w:color="auto" w:fill="auto"/>
            <w:vAlign w:val="center"/>
          </w:tcPr>
          <w:p w14:paraId="64DC271C">
            <w:pPr>
              <w:widowControl/>
              <w:spacing w:line="240" w:lineRule="auto"/>
              <w:rPr>
                <w:rFonts w:eastAsia="等线"/>
                <w:kern w:val="0"/>
                <w:szCs w:val="21"/>
              </w:rPr>
            </w:pPr>
            <w:r>
              <w:rPr>
                <w:rFonts w:eastAsia="等线"/>
                <w:kern w:val="0"/>
                <w:szCs w:val="21"/>
              </w:rPr>
              <w:t>65</w:t>
            </w:r>
          </w:p>
        </w:tc>
        <w:tc>
          <w:tcPr>
            <w:tcW w:w="491" w:type="pct"/>
            <w:tcBorders>
              <w:top w:val="nil"/>
              <w:left w:val="nil"/>
              <w:bottom w:val="single" w:color="auto" w:sz="8" w:space="0"/>
              <w:right w:val="single" w:color="auto" w:sz="8" w:space="0"/>
            </w:tcBorders>
            <w:shd w:val="clear" w:color="auto" w:fill="auto"/>
            <w:vAlign w:val="center"/>
          </w:tcPr>
          <w:p w14:paraId="6CD5579A">
            <w:pPr>
              <w:widowControl/>
              <w:spacing w:line="240" w:lineRule="auto"/>
              <w:rPr>
                <w:rFonts w:eastAsia="等线"/>
                <w:kern w:val="0"/>
                <w:szCs w:val="21"/>
              </w:rPr>
            </w:pPr>
            <w:r>
              <w:rPr>
                <w:rFonts w:eastAsia="等线"/>
                <w:kern w:val="0"/>
                <w:szCs w:val="21"/>
              </w:rPr>
              <w:t>55</w:t>
            </w:r>
          </w:p>
        </w:tc>
        <w:tc>
          <w:tcPr>
            <w:tcW w:w="491" w:type="pct"/>
            <w:tcBorders>
              <w:top w:val="nil"/>
              <w:left w:val="nil"/>
              <w:bottom w:val="single" w:color="auto" w:sz="8" w:space="0"/>
              <w:right w:val="single" w:color="auto" w:sz="8" w:space="0"/>
            </w:tcBorders>
            <w:shd w:val="clear" w:color="auto" w:fill="auto"/>
            <w:vAlign w:val="center"/>
          </w:tcPr>
          <w:p w14:paraId="4F8EA781">
            <w:pPr>
              <w:widowControl/>
              <w:spacing w:line="240" w:lineRule="auto"/>
              <w:rPr>
                <w:rFonts w:eastAsia="等线"/>
                <w:kern w:val="0"/>
                <w:szCs w:val="21"/>
              </w:rPr>
            </w:pPr>
            <w:r>
              <w:rPr>
                <w:rFonts w:eastAsia="等线"/>
                <w:kern w:val="0"/>
                <w:szCs w:val="21"/>
              </w:rPr>
              <w:t>50</w:t>
            </w:r>
          </w:p>
        </w:tc>
        <w:tc>
          <w:tcPr>
            <w:tcW w:w="491" w:type="pct"/>
            <w:tcBorders>
              <w:top w:val="nil"/>
              <w:left w:val="nil"/>
              <w:bottom w:val="single" w:color="auto" w:sz="8" w:space="0"/>
              <w:right w:val="single" w:color="auto" w:sz="8" w:space="0"/>
            </w:tcBorders>
            <w:shd w:val="clear" w:color="auto" w:fill="auto"/>
            <w:vAlign w:val="center"/>
          </w:tcPr>
          <w:p w14:paraId="2EBCE3BE">
            <w:pPr>
              <w:widowControl/>
              <w:spacing w:line="240" w:lineRule="auto"/>
              <w:rPr>
                <w:rFonts w:eastAsia="等线"/>
                <w:kern w:val="0"/>
                <w:szCs w:val="21"/>
              </w:rPr>
            </w:pPr>
            <w:r>
              <w:rPr>
                <w:rFonts w:eastAsia="等线"/>
                <w:kern w:val="0"/>
                <w:szCs w:val="21"/>
              </w:rPr>
              <w:t>45</w:t>
            </w:r>
          </w:p>
        </w:tc>
        <w:tc>
          <w:tcPr>
            <w:tcW w:w="491" w:type="pct"/>
            <w:tcBorders>
              <w:top w:val="nil"/>
              <w:left w:val="nil"/>
              <w:bottom w:val="single" w:color="auto" w:sz="8" w:space="0"/>
              <w:right w:val="single" w:color="auto" w:sz="8" w:space="0"/>
            </w:tcBorders>
            <w:shd w:val="clear" w:color="auto" w:fill="auto"/>
            <w:vAlign w:val="center"/>
          </w:tcPr>
          <w:p w14:paraId="1F79CEBC">
            <w:pPr>
              <w:widowControl/>
              <w:spacing w:line="240" w:lineRule="auto"/>
              <w:rPr>
                <w:rFonts w:eastAsia="等线"/>
                <w:kern w:val="0"/>
                <w:szCs w:val="21"/>
              </w:rPr>
            </w:pPr>
            <w:r>
              <w:rPr>
                <w:rFonts w:eastAsia="等线"/>
                <w:kern w:val="0"/>
                <w:szCs w:val="21"/>
              </w:rPr>
              <w:t>35</w:t>
            </w:r>
          </w:p>
        </w:tc>
        <w:tc>
          <w:tcPr>
            <w:tcW w:w="491" w:type="pct"/>
            <w:tcBorders>
              <w:top w:val="nil"/>
              <w:left w:val="nil"/>
              <w:bottom w:val="single" w:color="auto" w:sz="8" w:space="0"/>
              <w:right w:val="single" w:color="auto" w:sz="8" w:space="0"/>
            </w:tcBorders>
            <w:shd w:val="clear" w:color="auto" w:fill="auto"/>
            <w:vAlign w:val="center"/>
          </w:tcPr>
          <w:p w14:paraId="1EFCCC8E">
            <w:pPr>
              <w:widowControl/>
              <w:spacing w:line="240" w:lineRule="auto"/>
              <w:rPr>
                <w:rFonts w:eastAsia="等线"/>
                <w:kern w:val="0"/>
                <w:szCs w:val="21"/>
              </w:rPr>
            </w:pPr>
            <w:r>
              <w:rPr>
                <w:rFonts w:eastAsia="等线"/>
                <w:kern w:val="0"/>
                <w:szCs w:val="21"/>
              </w:rPr>
              <w:t>30</w:t>
            </w:r>
          </w:p>
        </w:tc>
        <w:tc>
          <w:tcPr>
            <w:tcW w:w="492" w:type="pct"/>
            <w:tcBorders>
              <w:top w:val="nil"/>
              <w:left w:val="nil"/>
              <w:bottom w:val="single" w:color="auto" w:sz="8" w:space="0"/>
              <w:right w:val="single" w:color="auto" w:sz="8" w:space="0"/>
            </w:tcBorders>
            <w:shd w:val="clear" w:color="auto" w:fill="auto"/>
            <w:vAlign w:val="center"/>
          </w:tcPr>
          <w:p w14:paraId="63401749">
            <w:pPr>
              <w:widowControl/>
              <w:spacing w:line="240" w:lineRule="auto"/>
              <w:jc w:val="center"/>
              <w:rPr>
                <w:rFonts w:eastAsia="等线"/>
                <w:kern w:val="0"/>
                <w:sz w:val="18"/>
                <w:szCs w:val="18"/>
              </w:rPr>
            </w:pPr>
            <w:r>
              <w:rPr>
                <w:rFonts w:eastAsia="等线"/>
                <w:kern w:val="0"/>
                <w:sz w:val="18"/>
                <w:szCs w:val="18"/>
              </w:rPr>
              <w:t>25</w:t>
            </w:r>
          </w:p>
        </w:tc>
        <w:tc>
          <w:tcPr>
            <w:tcW w:w="486" w:type="pct"/>
            <w:tcBorders>
              <w:top w:val="nil"/>
              <w:left w:val="nil"/>
              <w:bottom w:val="single" w:color="auto" w:sz="8" w:space="0"/>
              <w:right w:val="single" w:color="auto" w:sz="8" w:space="0"/>
            </w:tcBorders>
            <w:shd w:val="clear" w:color="auto" w:fill="auto"/>
            <w:vAlign w:val="center"/>
          </w:tcPr>
          <w:p w14:paraId="2CCA3219">
            <w:pPr>
              <w:widowControl/>
              <w:spacing w:line="240" w:lineRule="auto"/>
              <w:jc w:val="center"/>
              <w:rPr>
                <w:rFonts w:eastAsia="等线"/>
                <w:kern w:val="0"/>
                <w:sz w:val="18"/>
                <w:szCs w:val="18"/>
              </w:rPr>
            </w:pPr>
            <w:r>
              <w:rPr>
                <w:rFonts w:eastAsia="等线"/>
                <w:kern w:val="0"/>
                <w:sz w:val="18"/>
                <w:szCs w:val="18"/>
              </w:rPr>
              <w:t>20</w:t>
            </w:r>
          </w:p>
        </w:tc>
      </w:tr>
      <w:tr w14:paraId="04FDC906">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24871F86">
            <w:pPr>
              <w:widowControl/>
              <w:spacing w:line="240" w:lineRule="auto"/>
              <w:rPr>
                <w:rFonts w:eastAsia="等线"/>
                <w:kern w:val="0"/>
                <w:szCs w:val="21"/>
              </w:rPr>
            </w:pPr>
            <w:r>
              <w:rPr>
                <w:rFonts w:eastAsia="等线"/>
                <w:kern w:val="0"/>
                <w:szCs w:val="21"/>
              </w:rPr>
              <w:t>1200</w:t>
            </w:r>
          </w:p>
        </w:tc>
        <w:tc>
          <w:tcPr>
            <w:tcW w:w="491" w:type="pct"/>
            <w:tcBorders>
              <w:top w:val="nil"/>
              <w:left w:val="nil"/>
              <w:bottom w:val="single" w:color="auto" w:sz="8" w:space="0"/>
              <w:right w:val="single" w:color="auto" w:sz="8" w:space="0"/>
            </w:tcBorders>
            <w:shd w:val="clear" w:color="auto" w:fill="auto"/>
            <w:vAlign w:val="center"/>
          </w:tcPr>
          <w:p w14:paraId="6ED118DD">
            <w:pPr>
              <w:widowControl/>
              <w:spacing w:line="240" w:lineRule="auto"/>
              <w:rPr>
                <w:rFonts w:eastAsia="等线"/>
                <w:kern w:val="0"/>
                <w:szCs w:val="21"/>
              </w:rPr>
            </w:pPr>
            <w:r>
              <w:rPr>
                <w:rFonts w:eastAsia="等线"/>
                <w:kern w:val="0"/>
                <w:szCs w:val="21"/>
              </w:rPr>
              <w:t>90</w:t>
            </w:r>
          </w:p>
        </w:tc>
        <w:tc>
          <w:tcPr>
            <w:tcW w:w="491" w:type="pct"/>
            <w:tcBorders>
              <w:top w:val="nil"/>
              <w:left w:val="nil"/>
              <w:bottom w:val="single" w:color="auto" w:sz="8" w:space="0"/>
              <w:right w:val="single" w:color="auto" w:sz="8" w:space="0"/>
            </w:tcBorders>
            <w:shd w:val="clear" w:color="auto" w:fill="auto"/>
            <w:vAlign w:val="center"/>
          </w:tcPr>
          <w:p w14:paraId="66B3D789">
            <w:pPr>
              <w:widowControl/>
              <w:spacing w:line="240" w:lineRule="auto"/>
              <w:rPr>
                <w:rFonts w:eastAsia="等线"/>
                <w:kern w:val="0"/>
                <w:szCs w:val="21"/>
              </w:rPr>
            </w:pPr>
            <w:r>
              <w:rPr>
                <w:rFonts w:eastAsia="等线"/>
                <w:kern w:val="0"/>
                <w:szCs w:val="21"/>
              </w:rPr>
              <w:t>80</w:t>
            </w:r>
          </w:p>
        </w:tc>
        <w:tc>
          <w:tcPr>
            <w:tcW w:w="491" w:type="pct"/>
            <w:tcBorders>
              <w:top w:val="nil"/>
              <w:left w:val="nil"/>
              <w:bottom w:val="single" w:color="auto" w:sz="8" w:space="0"/>
              <w:right w:val="single" w:color="auto" w:sz="8" w:space="0"/>
            </w:tcBorders>
            <w:shd w:val="clear" w:color="auto" w:fill="auto"/>
            <w:vAlign w:val="center"/>
          </w:tcPr>
          <w:p w14:paraId="1C608959">
            <w:pPr>
              <w:widowControl/>
              <w:spacing w:line="240" w:lineRule="auto"/>
              <w:rPr>
                <w:rFonts w:eastAsia="等线"/>
                <w:kern w:val="0"/>
                <w:szCs w:val="21"/>
              </w:rPr>
            </w:pPr>
            <w:r>
              <w:rPr>
                <w:rFonts w:eastAsia="等线"/>
                <w:kern w:val="0"/>
                <w:szCs w:val="21"/>
              </w:rPr>
              <w:t>70</w:t>
            </w:r>
          </w:p>
        </w:tc>
        <w:tc>
          <w:tcPr>
            <w:tcW w:w="491" w:type="pct"/>
            <w:tcBorders>
              <w:top w:val="nil"/>
              <w:left w:val="nil"/>
              <w:bottom w:val="single" w:color="auto" w:sz="8" w:space="0"/>
              <w:right w:val="single" w:color="auto" w:sz="8" w:space="0"/>
            </w:tcBorders>
            <w:shd w:val="clear" w:color="auto" w:fill="auto"/>
            <w:vAlign w:val="center"/>
          </w:tcPr>
          <w:p w14:paraId="3E81E85C">
            <w:pPr>
              <w:widowControl/>
              <w:spacing w:line="240" w:lineRule="auto"/>
              <w:rPr>
                <w:rFonts w:eastAsia="等线"/>
                <w:kern w:val="0"/>
                <w:szCs w:val="21"/>
              </w:rPr>
            </w:pPr>
            <w:r>
              <w:rPr>
                <w:rFonts w:eastAsia="等线"/>
                <w:kern w:val="0"/>
                <w:szCs w:val="21"/>
              </w:rPr>
              <w:t>60</w:t>
            </w:r>
          </w:p>
        </w:tc>
        <w:tc>
          <w:tcPr>
            <w:tcW w:w="491" w:type="pct"/>
            <w:tcBorders>
              <w:top w:val="nil"/>
              <w:left w:val="nil"/>
              <w:bottom w:val="single" w:color="auto" w:sz="8" w:space="0"/>
              <w:right w:val="single" w:color="auto" w:sz="8" w:space="0"/>
            </w:tcBorders>
            <w:shd w:val="clear" w:color="auto" w:fill="auto"/>
            <w:vAlign w:val="center"/>
          </w:tcPr>
          <w:p w14:paraId="18BBE0C6">
            <w:pPr>
              <w:widowControl/>
              <w:spacing w:line="240" w:lineRule="auto"/>
              <w:rPr>
                <w:rFonts w:eastAsia="等线"/>
                <w:kern w:val="0"/>
                <w:szCs w:val="21"/>
              </w:rPr>
            </w:pPr>
            <w:r>
              <w:rPr>
                <w:rFonts w:eastAsia="等线"/>
                <w:kern w:val="0"/>
                <w:szCs w:val="21"/>
              </w:rPr>
              <w:t>50</w:t>
            </w:r>
          </w:p>
        </w:tc>
        <w:tc>
          <w:tcPr>
            <w:tcW w:w="491" w:type="pct"/>
            <w:tcBorders>
              <w:top w:val="nil"/>
              <w:left w:val="nil"/>
              <w:bottom w:val="single" w:color="auto" w:sz="8" w:space="0"/>
              <w:right w:val="single" w:color="auto" w:sz="8" w:space="0"/>
            </w:tcBorders>
            <w:shd w:val="clear" w:color="auto" w:fill="auto"/>
            <w:vAlign w:val="center"/>
          </w:tcPr>
          <w:p w14:paraId="7AAACD1D">
            <w:pPr>
              <w:widowControl/>
              <w:spacing w:line="240" w:lineRule="auto"/>
              <w:rPr>
                <w:rFonts w:eastAsia="等线"/>
                <w:kern w:val="0"/>
                <w:szCs w:val="21"/>
              </w:rPr>
            </w:pPr>
            <w:r>
              <w:rPr>
                <w:rFonts w:eastAsia="等线"/>
                <w:kern w:val="0"/>
                <w:szCs w:val="21"/>
              </w:rPr>
              <w:t>40</w:t>
            </w:r>
          </w:p>
        </w:tc>
        <w:tc>
          <w:tcPr>
            <w:tcW w:w="491" w:type="pct"/>
            <w:tcBorders>
              <w:top w:val="nil"/>
              <w:left w:val="nil"/>
              <w:bottom w:val="single" w:color="auto" w:sz="8" w:space="0"/>
              <w:right w:val="single" w:color="auto" w:sz="8" w:space="0"/>
            </w:tcBorders>
            <w:shd w:val="clear" w:color="auto" w:fill="auto"/>
            <w:vAlign w:val="center"/>
          </w:tcPr>
          <w:p w14:paraId="058BD2CA">
            <w:pPr>
              <w:widowControl/>
              <w:spacing w:line="240" w:lineRule="auto"/>
              <w:rPr>
                <w:rFonts w:eastAsia="等线"/>
                <w:kern w:val="0"/>
                <w:szCs w:val="21"/>
              </w:rPr>
            </w:pPr>
            <w:r>
              <w:rPr>
                <w:rFonts w:eastAsia="等线"/>
                <w:kern w:val="0"/>
                <w:szCs w:val="21"/>
              </w:rPr>
              <w:t>40</w:t>
            </w:r>
          </w:p>
        </w:tc>
        <w:tc>
          <w:tcPr>
            <w:tcW w:w="492" w:type="pct"/>
            <w:tcBorders>
              <w:top w:val="nil"/>
              <w:left w:val="nil"/>
              <w:bottom w:val="single" w:color="auto" w:sz="8" w:space="0"/>
              <w:right w:val="single" w:color="auto" w:sz="8" w:space="0"/>
            </w:tcBorders>
            <w:shd w:val="clear" w:color="auto" w:fill="auto"/>
            <w:vAlign w:val="center"/>
          </w:tcPr>
          <w:p w14:paraId="60224F98">
            <w:pPr>
              <w:widowControl/>
              <w:spacing w:line="240" w:lineRule="auto"/>
              <w:jc w:val="center"/>
              <w:rPr>
                <w:rFonts w:eastAsia="等线"/>
                <w:kern w:val="0"/>
                <w:sz w:val="18"/>
                <w:szCs w:val="18"/>
              </w:rPr>
            </w:pPr>
            <w:r>
              <w:rPr>
                <w:rFonts w:eastAsia="等线"/>
                <w:kern w:val="0"/>
                <w:sz w:val="18"/>
                <w:szCs w:val="18"/>
              </w:rPr>
              <w:t>30</w:t>
            </w:r>
          </w:p>
        </w:tc>
        <w:tc>
          <w:tcPr>
            <w:tcW w:w="486" w:type="pct"/>
            <w:tcBorders>
              <w:top w:val="nil"/>
              <w:left w:val="nil"/>
              <w:bottom w:val="single" w:color="auto" w:sz="8" w:space="0"/>
              <w:right w:val="single" w:color="auto" w:sz="8" w:space="0"/>
            </w:tcBorders>
            <w:shd w:val="clear" w:color="auto" w:fill="auto"/>
            <w:vAlign w:val="center"/>
          </w:tcPr>
          <w:p w14:paraId="1F546D9C">
            <w:pPr>
              <w:widowControl/>
              <w:spacing w:line="240" w:lineRule="auto"/>
              <w:jc w:val="center"/>
              <w:rPr>
                <w:rFonts w:eastAsia="等线"/>
                <w:kern w:val="0"/>
                <w:sz w:val="18"/>
                <w:szCs w:val="18"/>
              </w:rPr>
            </w:pPr>
            <w:r>
              <w:rPr>
                <w:rFonts w:eastAsia="等线"/>
                <w:kern w:val="0"/>
                <w:sz w:val="18"/>
                <w:szCs w:val="18"/>
              </w:rPr>
              <w:t>25</w:t>
            </w:r>
          </w:p>
        </w:tc>
      </w:tr>
      <w:tr w14:paraId="2B8F75DE">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1715AC5F">
            <w:pPr>
              <w:widowControl/>
              <w:spacing w:line="240" w:lineRule="auto"/>
              <w:rPr>
                <w:rFonts w:eastAsia="等线"/>
                <w:kern w:val="0"/>
                <w:szCs w:val="21"/>
              </w:rPr>
            </w:pPr>
            <w:r>
              <w:rPr>
                <w:rFonts w:eastAsia="等线"/>
                <w:kern w:val="0"/>
                <w:szCs w:val="21"/>
              </w:rPr>
              <w:t>1000</w:t>
            </w:r>
          </w:p>
        </w:tc>
        <w:tc>
          <w:tcPr>
            <w:tcW w:w="491" w:type="pct"/>
            <w:tcBorders>
              <w:top w:val="nil"/>
              <w:left w:val="nil"/>
              <w:bottom w:val="single" w:color="auto" w:sz="8" w:space="0"/>
              <w:right w:val="single" w:color="auto" w:sz="8" w:space="0"/>
            </w:tcBorders>
            <w:shd w:val="clear" w:color="auto" w:fill="auto"/>
            <w:vAlign w:val="center"/>
          </w:tcPr>
          <w:p w14:paraId="35826D0A">
            <w:pPr>
              <w:widowControl/>
              <w:spacing w:line="240" w:lineRule="auto"/>
              <w:rPr>
                <w:rFonts w:eastAsia="等线"/>
                <w:kern w:val="0"/>
                <w:szCs w:val="21"/>
              </w:rPr>
            </w:pPr>
            <w:r>
              <w:rPr>
                <w:rFonts w:eastAsia="等线"/>
                <w:kern w:val="0"/>
                <w:szCs w:val="21"/>
              </w:rPr>
              <w:t>100</w:t>
            </w:r>
          </w:p>
        </w:tc>
        <w:tc>
          <w:tcPr>
            <w:tcW w:w="491" w:type="pct"/>
            <w:tcBorders>
              <w:top w:val="nil"/>
              <w:left w:val="nil"/>
              <w:bottom w:val="single" w:color="auto" w:sz="8" w:space="0"/>
              <w:right w:val="single" w:color="auto" w:sz="8" w:space="0"/>
            </w:tcBorders>
            <w:shd w:val="clear" w:color="auto" w:fill="auto"/>
            <w:vAlign w:val="center"/>
          </w:tcPr>
          <w:p w14:paraId="679DD8C5">
            <w:pPr>
              <w:widowControl/>
              <w:spacing w:line="240" w:lineRule="auto"/>
              <w:rPr>
                <w:rFonts w:eastAsia="等线"/>
                <w:kern w:val="0"/>
                <w:szCs w:val="21"/>
              </w:rPr>
            </w:pPr>
            <w:r>
              <w:rPr>
                <w:rFonts w:eastAsia="等线"/>
                <w:kern w:val="0"/>
                <w:szCs w:val="21"/>
              </w:rPr>
              <w:t>95</w:t>
            </w:r>
          </w:p>
        </w:tc>
        <w:tc>
          <w:tcPr>
            <w:tcW w:w="491" w:type="pct"/>
            <w:tcBorders>
              <w:top w:val="nil"/>
              <w:left w:val="nil"/>
              <w:bottom w:val="single" w:color="auto" w:sz="8" w:space="0"/>
              <w:right w:val="single" w:color="auto" w:sz="8" w:space="0"/>
            </w:tcBorders>
            <w:shd w:val="clear" w:color="auto" w:fill="auto"/>
            <w:vAlign w:val="center"/>
          </w:tcPr>
          <w:p w14:paraId="2D91E9FD">
            <w:pPr>
              <w:widowControl/>
              <w:spacing w:line="240" w:lineRule="auto"/>
              <w:rPr>
                <w:rFonts w:eastAsia="等线"/>
                <w:kern w:val="0"/>
                <w:szCs w:val="21"/>
              </w:rPr>
            </w:pPr>
            <w:r>
              <w:rPr>
                <w:rFonts w:eastAsia="等线"/>
                <w:kern w:val="0"/>
                <w:szCs w:val="21"/>
              </w:rPr>
              <w:t>85</w:t>
            </w:r>
          </w:p>
        </w:tc>
        <w:tc>
          <w:tcPr>
            <w:tcW w:w="491" w:type="pct"/>
            <w:tcBorders>
              <w:top w:val="nil"/>
              <w:left w:val="nil"/>
              <w:bottom w:val="single" w:color="auto" w:sz="8" w:space="0"/>
              <w:right w:val="single" w:color="auto" w:sz="8" w:space="0"/>
            </w:tcBorders>
            <w:shd w:val="clear" w:color="auto" w:fill="auto"/>
            <w:vAlign w:val="center"/>
          </w:tcPr>
          <w:p w14:paraId="51CA6261">
            <w:pPr>
              <w:widowControl/>
              <w:spacing w:line="240" w:lineRule="auto"/>
              <w:rPr>
                <w:rFonts w:eastAsia="等线"/>
                <w:kern w:val="0"/>
                <w:szCs w:val="21"/>
              </w:rPr>
            </w:pPr>
            <w:r>
              <w:rPr>
                <w:rFonts w:eastAsia="等线"/>
                <w:kern w:val="0"/>
                <w:szCs w:val="21"/>
              </w:rPr>
              <w:t>70</w:t>
            </w:r>
          </w:p>
        </w:tc>
        <w:tc>
          <w:tcPr>
            <w:tcW w:w="491" w:type="pct"/>
            <w:tcBorders>
              <w:top w:val="nil"/>
              <w:left w:val="nil"/>
              <w:bottom w:val="single" w:color="auto" w:sz="8" w:space="0"/>
              <w:right w:val="single" w:color="auto" w:sz="8" w:space="0"/>
            </w:tcBorders>
            <w:shd w:val="clear" w:color="auto" w:fill="auto"/>
            <w:vAlign w:val="center"/>
          </w:tcPr>
          <w:p w14:paraId="5C2D0A6A">
            <w:pPr>
              <w:widowControl/>
              <w:spacing w:line="240" w:lineRule="auto"/>
              <w:rPr>
                <w:rFonts w:eastAsia="等线"/>
                <w:kern w:val="0"/>
                <w:szCs w:val="21"/>
              </w:rPr>
            </w:pPr>
            <w:r>
              <w:rPr>
                <w:rFonts w:eastAsia="等线"/>
                <w:kern w:val="0"/>
                <w:szCs w:val="21"/>
              </w:rPr>
              <w:t>60</w:t>
            </w:r>
          </w:p>
        </w:tc>
        <w:tc>
          <w:tcPr>
            <w:tcW w:w="491" w:type="pct"/>
            <w:tcBorders>
              <w:top w:val="nil"/>
              <w:left w:val="nil"/>
              <w:bottom w:val="single" w:color="auto" w:sz="8" w:space="0"/>
              <w:right w:val="single" w:color="auto" w:sz="8" w:space="0"/>
            </w:tcBorders>
            <w:shd w:val="clear" w:color="auto" w:fill="auto"/>
            <w:vAlign w:val="center"/>
          </w:tcPr>
          <w:p w14:paraId="46F562EB">
            <w:pPr>
              <w:widowControl/>
              <w:spacing w:line="240" w:lineRule="auto"/>
              <w:rPr>
                <w:rFonts w:eastAsia="等线"/>
                <w:kern w:val="0"/>
                <w:szCs w:val="21"/>
              </w:rPr>
            </w:pPr>
            <w:r>
              <w:rPr>
                <w:rFonts w:eastAsia="等线"/>
                <w:kern w:val="0"/>
                <w:szCs w:val="21"/>
              </w:rPr>
              <w:t>50</w:t>
            </w:r>
          </w:p>
        </w:tc>
        <w:tc>
          <w:tcPr>
            <w:tcW w:w="491" w:type="pct"/>
            <w:tcBorders>
              <w:top w:val="nil"/>
              <w:left w:val="nil"/>
              <w:bottom w:val="single" w:color="auto" w:sz="8" w:space="0"/>
              <w:right w:val="single" w:color="auto" w:sz="8" w:space="0"/>
            </w:tcBorders>
            <w:shd w:val="clear" w:color="auto" w:fill="auto"/>
            <w:vAlign w:val="center"/>
          </w:tcPr>
          <w:p w14:paraId="4EE0A61D">
            <w:pPr>
              <w:widowControl/>
              <w:spacing w:line="240" w:lineRule="auto"/>
              <w:rPr>
                <w:rFonts w:eastAsia="等线"/>
                <w:kern w:val="0"/>
                <w:szCs w:val="21"/>
              </w:rPr>
            </w:pPr>
            <w:r>
              <w:rPr>
                <w:rFonts w:eastAsia="等线"/>
                <w:kern w:val="0"/>
                <w:szCs w:val="21"/>
              </w:rPr>
              <w:t>45</w:t>
            </w:r>
          </w:p>
        </w:tc>
        <w:tc>
          <w:tcPr>
            <w:tcW w:w="492" w:type="pct"/>
            <w:tcBorders>
              <w:top w:val="nil"/>
              <w:left w:val="nil"/>
              <w:bottom w:val="single" w:color="auto" w:sz="8" w:space="0"/>
              <w:right w:val="single" w:color="auto" w:sz="8" w:space="0"/>
            </w:tcBorders>
            <w:shd w:val="clear" w:color="auto" w:fill="auto"/>
            <w:vAlign w:val="center"/>
          </w:tcPr>
          <w:p w14:paraId="1B519116">
            <w:pPr>
              <w:widowControl/>
              <w:spacing w:line="240" w:lineRule="auto"/>
              <w:jc w:val="center"/>
              <w:rPr>
                <w:rFonts w:eastAsia="等线"/>
                <w:kern w:val="0"/>
                <w:sz w:val="18"/>
                <w:szCs w:val="18"/>
              </w:rPr>
            </w:pPr>
            <w:r>
              <w:rPr>
                <w:rFonts w:eastAsia="等线"/>
                <w:kern w:val="0"/>
                <w:sz w:val="18"/>
                <w:szCs w:val="18"/>
              </w:rPr>
              <w:t>35</w:t>
            </w:r>
          </w:p>
        </w:tc>
        <w:tc>
          <w:tcPr>
            <w:tcW w:w="486" w:type="pct"/>
            <w:tcBorders>
              <w:top w:val="nil"/>
              <w:left w:val="nil"/>
              <w:bottom w:val="single" w:color="auto" w:sz="8" w:space="0"/>
              <w:right w:val="single" w:color="auto" w:sz="8" w:space="0"/>
            </w:tcBorders>
            <w:shd w:val="clear" w:color="auto" w:fill="auto"/>
            <w:vAlign w:val="center"/>
          </w:tcPr>
          <w:p w14:paraId="2337B7B6">
            <w:pPr>
              <w:widowControl/>
              <w:spacing w:line="240" w:lineRule="auto"/>
              <w:jc w:val="center"/>
              <w:rPr>
                <w:rFonts w:eastAsia="等线"/>
                <w:kern w:val="0"/>
                <w:sz w:val="18"/>
                <w:szCs w:val="18"/>
              </w:rPr>
            </w:pPr>
            <w:r>
              <w:rPr>
                <w:rFonts w:eastAsia="等线"/>
                <w:kern w:val="0"/>
                <w:sz w:val="18"/>
                <w:szCs w:val="18"/>
              </w:rPr>
              <w:t>30</w:t>
            </w:r>
          </w:p>
        </w:tc>
      </w:tr>
      <w:tr w14:paraId="0E615E9F">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39A99AB1">
            <w:pPr>
              <w:widowControl/>
              <w:spacing w:line="240" w:lineRule="auto"/>
              <w:rPr>
                <w:rFonts w:eastAsia="等线"/>
                <w:kern w:val="0"/>
                <w:szCs w:val="21"/>
              </w:rPr>
            </w:pPr>
            <w:r>
              <w:rPr>
                <w:rFonts w:eastAsia="等线"/>
                <w:kern w:val="0"/>
                <w:szCs w:val="21"/>
              </w:rPr>
              <w:t>800</w:t>
            </w:r>
          </w:p>
        </w:tc>
        <w:tc>
          <w:tcPr>
            <w:tcW w:w="491" w:type="pct"/>
            <w:tcBorders>
              <w:top w:val="nil"/>
              <w:left w:val="nil"/>
              <w:bottom w:val="single" w:color="auto" w:sz="8" w:space="0"/>
              <w:right w:val="single" w:color="auto" w:sz="8" w:space="0"/>
            </w:tcBorders>
            <w:shd w:val="clear" w:color="auto" w:fill="auto"/>
            <w:vAlign w:val="center"/>
          </w:tcPr>
          <w:p w14:paraId="3AA0585C">
            <w:pPr>
              <w:widowControl/>
              <w:spacing w:line="240" w:lineRule="auto"/>
              <w:rPr>
                <w:rFonts w:eastAsia="等线"/>
                <w:kern w:val="0"/>
                <w:szCs w:val="21"/>
              </w:rPr>
            </w:pPr>
            <w:r>
              <w:rPr>
                <w:rFonts w:eastAsia="等线"/>
                <w:kern w:val="0"/>
                <w:szCs w:val="21"/>
              </w:rPr>
              <w:t>110</w:t>
            </w:r>
          </w:p>
        </w:tc>
        <w:tc>
          <w:tcPr>
            <w:tcW w:w="491" w:type="pct"/>
            <w:tcBorders>
              <w:top w:val="nil"/>
              <w:left w:val="nil"/>
              <w:bottom w:val="single" w:color="auto" w:sz="8" w:space="0"/>
              <w:right w:val="single" w:color="auto" w:sz="8" w:space="0"/>
            </w:tcBorders>
            <w:shd w:val="clear" w:color="auto" w:fill="auto"/>
            <w:vAlign w:val="center"/>
          </w:tcPr>
          <w:p w14:paraId="346A9604">
            <w:pPr>
              <w:widowControl/>
              <w:spacing w:line="240" w:lineRule="auto"/>
              <w:rPr>
                <w:rFonts w:eastAsia="等线"/>
                <w:kern w:val="0"/>
                <w:szCs w:val="21"/>
              </w:rPr>
            </w:pPr>
            <w:r>
              <w:rPr>
                <w:rFonts w:eastAsia="等线"/>
                <w:kern w:val="0"/>
                <w:szCs w:val="21"/>
              </w:rPr>
              <w:t>100</w:t>
            </w:r>
          </w:p>
        </w:tc>
        <w:tc>
          <w:tcPr>
            <w:tcW w:w="491" w:type="pct"/>
            <w:tcBorders>
              <w:top w:val="nil"/>
              <w:left w:val="nil"/>
              <w:bottom w:val="single" w:color="auto" w:sz="8" w:space="0"/>
              <w:right w:val="single" w:color="auto" w:sz="8" w:space="0"/>
            </w:tcBorders>
            <w:shd w:val="clear" w:color="auto" w:fill="auto"/>
            <w:vAlign w:val="center"/>
          </w:tcPr>
          <w:p w14:paraId="7809F410">
            <w:pPr>
              <w:widowControl/>
              <w:spacing w:line="240" w:lineRule="auto"/>
              <w:rPr>
                <w:rFonts w:eastAsia="等线"/>
                <w:kern w:val="0"/>
                <w:szCs w:val="21"/>
              </w:rPr>
            </w:pPr>
            <w:r>
              <w:rPr>
                <w:rFonts w:eastAsia="等线"/>
                <w:kern w:val="0"/>
                <w:szCs w:val="21"/>
              </w:rPr>
              <w:t>85</w:t>
            </w:r>
          </w:p>
        </w:tc>
        <w:tc>
          <w:tcPr>
            <w:tcW w:w="491" w:type="pct"/>
            <w:tcBorders>
              <w:top w:val="nil"/>
              <w:left w:val="nil"/>
              <w:bottom w:val="single" w:color="auto" w:sz="8" w:space="0"/>
              <w:right w:val="single" w:color="auto" w:sz="8" w:space="0"/>
            </w:tcBorders>
            <w:shd w:val="clear" w:color="auto" w:fill="auto"/>
            <w:vAlign w:val="center"/>
          </w:tcPr>
          <w:p w14:paraId="30E4F722">
            <w:pPr>
              <w:widowControl/>
              <w:spacing w:line="240" w:lineRule="auto"/>
              <w:rPr>
                <w:rFonts w:eastAsia="等线"/>
                <w:kern w:val="0"/>
                <w:szCs w:val="21"/>
              </w:rPr>
            </w:pPr>
            <w:r>
              <w:rPr>
                <w:rFonts w:eastAsia="等线"/>
                <w:kern w:val="0"/>
                <w:szCs w:val="21"/>
              </w:rPr>
              <w:t>80</w:t>
            </w:r>
          </w:p>
        </w:tc>
        <w:tc>
          <w:tcPr>
            <w:tcW w:w="491" w:type="pct"/>
            <w:tcBorders>
              <w:top w:val="nil"/>
              <w:left w:val="nil"/>
              <w:bottom w:val="single" w:color="auto" w:sz="8" w:space="0"/>
              <w:right w:val="single" w:color="auto" w:sz="8" w:space="0"/>
            </w:tcBorders>
            <w:shd w:val="clear" w:color="auto" w:fill="auto"/>
            <w:vAlign w:val="center"/>
          </w:tcPr>
          <w:p w14:paraId="5AE9ADCA">
            <w:pPr>
              <w:widowControl/>
              <w:spacing w:line="240" w:lineRule="auto"/>
              <w:rPr>
                <w:rFonts w:eastAsia="等线"/>
                <w:kern w:val="0"/>
                <w:szCs w:val="21"/>
              </w:rPr>
            </w:pPr>
            <w:r>
              <w:rPr>
                <w:rFonts w:eastAsia="等线"/>
                <w:kern w:val="0"/>
                <w:szCs w:val="21"/>
              </w:rPr>
              <w:t>75</w:t>
            </w:r>
          </w:p>
        </w:tc>
        <w:tc>
          <w:tcPr>
            <w:tcW w:w="491" w:type="pct"/>
            <w:tcBorders>
              <w:top w:val="nil"/>
              <w:left w:val="nil"/>
              <w:bottom w:val="single" w:color="auto" w:sz="8" w:space="0"/>
              <w:right w:val="single" w:color="auto" w:sz="8" w:space="0"/>
            </w:tcBorders>
            <w:shd w:val="clear" w:color="auto" w:fill="auto"/>
            <w:vAlign w:val="center"/>
          </w:tcPr>
          <w:p w14:paraId="51BD0170">
            <w:pPr>
              <w:widowControl/>
              <w:spacing w:line="240" w:lineRule="auto"/>
              <w:rPr>
                <w:rFonts w:eastAsia="等线"/>
                <w:kern w:val="0"/>
                <w:szCs w:val="21"/>
              </w:rPr>
            </w:pPr>
            <w:r>
              <w:rPr>
                <w:rFonts w:eastAsia="等线"/>
                <w:kern w:val="0"/>
                <w:szCs w:val="21"/>
              </w:rPr>
              <w:t>65</w:t>
            </w:r>
          </w:p>
        </w:tc>
        <w:tc>
          <w:tcPr>
            <w:tcW w:w="491" w:type="pct"/>
            <w:tcBorders>
              <w:top w:val="nil"/>
              <w:left w:val="nil"/>
              <w:bottom w:val="single" w:color="auto" w:sz="8" w:space="0"/>
              <w:right w:val="single" w:color="auto" w:sz="8" w:space="0"/>
            </w:tcBorders>
            <w:shd w:val="clear" w:color="auto" w:fill="auto"/>
            <w:vAlign w:val="center"/>
          </w:tcPr>
          <w:p w14:paraId="5AED0478">
            <w:pPr>
              <w:widowControl/>
              <w:spacing w:line="240" w:lineRule="auto"/>
              <w:rPr>
                <w:rFonts w:eastAsia="等线"/>
                <w:kern w:val="0"/>
                <w:szCs w:val="21"/>
              </w:rPr>
            </w:pPr>
            <w:r>
              <w:rPr>
                <w:rFonts w:eastAsia="等线"/>
                <w:kern w:val="0"/>
                <w:szCs w:val="21"/>
              </w:rPr>
              <w:t>55</w:t>
            </w:r>
          </w:p>
        </w:tc>
        <w:tc>
          <w:tcPr>
            <w:tcW w:w="492" w:type="pct"/>
            <w:tcBorders>
              <w:top w:val="nil"/>
              <w:left w:val="nil"/>
              <w:bottom w:val="single" w:color="auto" w:sz="8" w:space="0"/>
              <w:right w:val="single" w:color="auto" w:sz="8" w:space="0"/>
            </w:tcBorders>
            <w:shd w:val="clear" w:color="auto" w:fill="auto"/>
            <w:vAlign w:val="center"/>
          </w:tcPr>
          <w:p w14:paraId="51D1672E">
            <w:pPr>
              <w:widowControl/>
              <w:spacing w:line="240" w:lineRule="auto"/>
              <w:jc w:val="center"/>
              <w:rPr>
                <w:rFonts w:eastAsia="等线"/>
                <w:kern w:val="0"/>
                <w:sz w:val="18"/>
                <w:szCs w:val="18"/>
              </w:rPr>
            </w:pPr>
            <w:r>
              <w:rPr>
                <w:rFonts w:eastAsia="等线"/>
                <w:kern w:val="0"/>
                <w:sz w:val="18"/>
                <w:szCs w:val="18"/>
              </w:rPr>
              <w:t>45</w:t>
            </w:r>
          </w:p>
        </w:tc>
        <w:tc>
          <w:tcPr>
            <w:tcW w:w="486" w:type="pct"/>
            <w:tcBorders>
              <w:top w:val="nil"/>
              <w:left w:val="nil"/>
              <w:bottom w:val="single" w:color="auto" w:sz="8" w:space="0"/>
              <w:right w:val="single" w:color="auto" w:sz="8" w:space="0"/>
            </w:tcBorders>
            <w:shd w:val="clear" w:color="auto" w:fill="auto"/>
            <w:vAlign w:val="center"/>
          </w:tcPr>
          <w:p w14:paraId="697025A7">
            <w:pPr>
              <w:widowControl/>
              <w:spacing w:line="240" w:lineRule="auto"/>
              <w:jc w:val="center"/>
              <w:rPr>
                <w:rFonts w:eastAsia="等线"/>
                <w:kern w:val="0"/>
                <w:sz w:val="18"/>
                <w:szCs w:val="18"/>
              </w:rPr>
            </w:pPr>
            <w:r>
              <w:rPr>
                <w:rFonts w:eastAsia="等线"/>
                <w:kern w:val="0"/>
                <w:sz w:val="18"/>
                <w:szCs w:val="18"/>
              </w:rPr>
              <w:t>35</w:t>
            </w:r>
          </w:p>
        </w:tc>
      </w:tr>
      <w:tr w14:paraId="07E74B72">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4877C344">
            <w:pPr>
              <w:widowControl/>
              <w:spacing w:line="240" w:lineRule="auto"/>
              <w:rPr>
                <w:rFonts w:eastAsia="等线"/>
                <w:kern w:val="0"/>
                <w:szCs w:val="21"/>
              </w:rPr>
            </w:pPr>
            <w:r>
              <w:rPr>
                <w:rFonts w:eastAsia="等线"/>
                <w:kern w:val="0"/>
                <w:szCs w:val="21"/>
              </w:rPr>
              <w:t>700</w:t>
            </w:r>
          </w:p>
        </w:tc>
        <w:tc>
          <w:tcPr>
            <w:tcW w:w="491" w:type="pct"/>
            <w:tcBorders>
              <w:top w:val="nil"/>
              <w:left w:val="nil"/>
              <w:bottom w:val="single" w:color="auto" w:sz="8" w:space="0"/>
              <w:right w:val="single" w:color="auto" w:sz="8" w:space="0"/>
            </w:tcBorders>
            <w:shd w:val="clear" w:color="auto" w:fill="auto"/>
            <w:vAlign w:val="center"/>
          </w:tcPr>
          <w:p w14:paraId="358AE8D0">
            <w:pPr>
              <w:widowControl/>
              <w:spacing w:line="240" w:lineRule="auto"/>
              <w:rPr>
                <w:rFonts w:eastAsia="等线"/>
                <w:kern w:val="0"/>
                <w:szCs w:val="21"/>
              </w:rPr>
            </w:pPr>
            <w:r>
              <w:rPr>
                <w:rFonts w:eastAsia="等线"/>
                <w:kern w:val="0"/>
                <w:szCs w:val="21"/>
              </w:rPr>
              <w:t>120</w:t>
            </w:r>
          </w:p>
        </w:tc>
        <w:tc>
          <w:tcPr>
            <w:tcW w:w="491" w:type="pct"/>
            <w:tcBorders>
              <w:top w:val="nil"/>
              <w:left w:val="nil"/>
              <w:bottom w:val="single" w:color="auto" w:sz="8" w:space="0"/>
              <w:right w:val="single" w:color="auto" w:sz="8" w:space="0"/>
            </w:tcBorders>
            <w:shd w:val="clear" w:color="auto" w:fill="auto"/>
            <w:vAlign w:val="center"/>
          </w:tcPr>
          <w:p w14:paraId="2D1236A0">
            <w:pPr>
              <w:widowControl/>
              <w:spacing w:line="240" w:lineRule="auto"/>
              <w:rPr>
                <w:rFonts w:eastAsia="等线"/>
                <w:kern w:val="0"/>
                <w:szCs w:val="21"/>
              </w:rPr>
            </w:pPr>
            <w:r>
              <w:rPr>
                <w:rFonts w:eastAsia="等线"/>
                <w:kern w:val="0"/>
                <w:szCs w:val="21"/>
              </w:rPr>
              <w:t>110</w:t>
            </w:r>
          </w:p>
        </w:tc>
        <w:tc>
          <w:tcPr>
            <w:tcW w:w="491" w:type="pct"/>
            <w:tcBorders>
              <w:top w:val="nil"/>
              <w:left w:val="nil"/>
              <w:bottom w:val="single" w:color="auto" w:sz="8" w:space="0"/>
              <w:right w:val="single" w:color="auto" w:sz="8" w:space="0"/>
            </w:tcBorders>
            <w:shd w:val="clear" w:color="auto" w:fill="auto"/>
            <w:vAlign w:val="center"/>
          </w:tcPr>
          <w:p w14:paraId="2EC66168">
            <w:pPr>
              <w:widowControl/>
              <w:spacing w:line="240" w:lineRule="auto"/>
              <w:rPr>
                <w:rFonts w:eastAsia="等线"/>
                <w:kern w:val="0"/>
                <w:szCs w:val="21"/>
              </w:rPr>
            </w:pPr>
            <w:r>
              <w:rPr>
                <w:rFonts w:eastAsia="等线"/>
                <w:kern w:val="0"/>
                <w:szCs w:val="21"/>
              </w:rPr>
              <w:t>85</w:t>
            </w:r>
          </w:p>
        </w:tc>
        <w:tc>
          <w:tcPr>
            <w:tcW w:w="491" w:type="pct"/>
            <w:tcBorders>
              <w:top w:val="nil"/>
              <w:left w:val="nil"/>
              <w:bottom w:val="single" w:color="auto" w:sz="8" w:space="0"/>
              <w:right w:val="single" w:color="auto" w:sz="8" w:space="0"/>
            </w:tcBorders>
            <w:shd w:val="clear" w:color="auto" w:fill="auto"/>
            <w:vAlign w:val="center"/>
          </w:tcPr>
          <w:p w14:paraId="0B939EFD">
            <w:pPr>
              <w:widowControl/>
              <w:spacing w:line="240" w:lineRule="auto"/>
              <w:rPr>
                <w:rFonts w:eastAsia="等线"/>
                <w:kern w:val="0"/>
                <w:szCs w:val="21"/>
              </w:rPr>
            </w:pPr>
            <w:r>
              <w:rPr>
                <w:rFonts w:eastAsia="等线"/>
                <w:kern w:val="0"/>
                <w:szCs w:val="21"/>
              </w:rPr>
              <w:t>80</w:t>
            </w:r>
          </w:p>
        </w:tc>
        <w:tc>
          <w:tcPr>
            <w:tcW w:w="491" w:type="pct"/>
            <w:tcBorders>
              <w:top w:val="nil"/>
              <w:left w:val="nil"/>
              <w:bottom w:val="single" w:color="auto" w:sz="8" w:space="0"/>
              <w:right w:val="single" w:color="auto" w:sz="8" w:space="0"/>
            </w:tcBorders>
            <w:shd w:val="clear" w:color="auto" w:fill="auto"/>
            <w:vAlign w:val="center"/>
          </w:tcPr>
          <w:p w14:paraId="3946F8F9">
            <w:pPr>
              <w:widowControl/>
              <w:spacing w:line="240" w:lineRule="auto"/>
              <w:rPr>
                <w:rFonts w:eastAsia="等线"/>
                <w:kern w:val="0"/>
                <w:szCs w:val="21"/>
              </w:rPr>
            </w:pPr>
            <w:r>
              <w:rPr>
                <w:rFonts w:eastAsia="等线"/>
                <w:kern w:val="0"/>
                <w:szCs w:val="21"/>
              </w:rPr>
              <w:t>75</w:t>
            </w:r>
          </w:p>
        </w:tc>
        <w:tc>
          <w:tcPr>
            <w:tcW w:w="491" w:type="pct"/>
            <w:tcBorders>
              <w:top w:val="nil"/>
              <w:left w:val="nil"/>
              <w:bottom w:val="single" w:color="auto" w:sz="8" w:space="0"/>
              <w:right w:val="single" w:color="auto" w:sz="8" w:space="0"/>
            </w:tcBorders>
            <w:shd w:val="clear" w:color="auto" w:fill="auto"/>
            <w:vAlign w:val="center"/>
          </w:tcPr>
          <w:p w14:paraId="72CA309C">
            <w:pPr>
              <w:widowControl/>
              <w:spacing w:line="240" w:lineRule="auto"/>
              <w:rPr>
                <w:rFonts w:eastAsia="等线"/>
                <w:kern w:val="0"/>
                <w:szCs w:val="21"/>
              </w:rPr>
            </w:pPr>
            <w:r>
              <w:rPr>
                <w:rFonts w:eastAsia="等线"/>
                <w:kern w:val="0"/>
                <w:szCs w:val="21"/>
              </w:rPr>
              <w:t>75</w:t>
            </w:r>
          </w:p>
        </w:tc>
        <w:tc>
          <w:tcPr>
            <w:tcW w:w="491" w:type="pct"/>
            <w:tcBorders>
              <w:top w:val="nil"/>
              <w:left w:val="nil"/>
              <w:bottom w:val="single" w:color="auto" w:sz="8" w:space="0"/>
              <w:right w:val="single" w:color="auto" w:sz="8" w:space="0"/>
            </w:tcBorders>
            <w:shd w:val="clear" w:color="auto" w:fill="auto"/>
            <w:vAlign w:val="center"/>
          </w:tcPr>
          <w:p w14:paraId="51B7CDCD">
            <w:pPr>
              <w:widowControl/>
              <w:spacing w:line="240" w:lineRule="auto"/>
              <w:rPr>
                <w:rFonts w:eastAsia="等线"/>
                <w:kern w:val="0"/>
                <w:szCs w:val="21"/>
              </w:rPr>
            </w:pPr>
            <w:r>
              <w:rPr>
                <w:rFonts w:eastAsia="等线"/>
                <w:kern w:val="0"/>
                <w:szCs w:val="21"/>
              </w:rPr>
              <w:t>65</w:t>
            </w:r>
          </w:p>
        </w:tc>
        <w:tc>
          <w:tcPr>
            <w:tcW w:w="492" w:type="pct"/>
            <w:tcBorders>
              <w:top w:val="nil"/>
              <w:left w:val="nil"/>
              <w:bottom w:val="single" w:color="auto" w:sz="8" w:space="0"/>
              <w:right w:val="single" w:color="auto" w:sz="8" w:space="0"/>
            </w:tcBorders>
            <w:shd w:val="clear" w:color="auto" w:fill="auto"/>
            <w:vAlign w:val="center"/>
          </w:tcPr>
          <w:p w14:paraId="135F1881">
            <w:pPr>
              <w:widowControl/>
              <w:spacing w:line="240" w:lineRule="auto"/>
              <w:jc w:val="center"/>
              <w:rPr>
                <w:rFonts w:eastAsia="等线"/>
                <w:kern w:val="0"/>
                <w:sz w:val="18"/>
                <w:szCs w:val="18"/>
              </w:rPr>
            </w:pPr>
            <w:r>
              <w:rPr>
                <w:rFonts w:eastAsia="等线"/>
                <w:kern w:val="0"/>
                <w:sz w:val="18"/>
                <w:szCs w:val="18"/>
              </w:rPr>
              <w:t>50</w:t>
            </w:r>
          </w:p>
        </w:tc>
        <w:tc>
          <w:tcPr>
            <w:tcW w:w="486" w:type="pct"/>
            <w:tcBorders>
              <w:top w:val="nil"/>
              <w:left w:val="nil"/>
              <w:bottom w:val="single" w:color="auto" w:sz="8" w:space="0"/>
              <w:right w:val="single" w:color="auto" w:sz="8" w:space="0"/>
            </w:tcBorders>
            <w:shd w:val="clear" w:color="auto" w:fill="auto"/>
            <w:vAlign w:val="center"/>
          </w:tcPr>
          <w:p w14:paraId="423BB6F9">
            <w:pPr>
              <w:widowControl/>
              <w:spacing w:line="240" w:lineRule="auto"/>
              <w:jc w:val="center"/>
              <w:rPr>
                <w:rFonts w:eastAsia="等线"/>
                <w:kern w:val="0"/>
                <w:sz w:val="18"/>
                <w:szCs w:val="18"/>
              </w:rPr>
            </w:pPr>
            <w:r>
              <w:rPr>
                <w:rFonts w:eastAsia="等线"/>
                <w:kern w:val="0"/>
                <w:sz w:val="18"/>
                <w:szCs w:val="18"/>
              </w:rPr>
              <w:t>45</w:t>
            </w:r>
          </w:p>
        </w:tc>
      </w:tr>
      <w:tr w14:paraId="26657A1C">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4F4617D9">
            <w:pPr>
              <w:widowControl/>
              <w:spacing w:line="240" w:lineRule="auto"/>
              <w:rPr>
                <w:rFonts w:eastAsia="等线"/>
                <w:kern w:val="0"/>
                <w:szCs w:val="21"/>
              </w:rPr>
            </w:pPr>
            <w:r>
              <w:rPr>
                <w:rFonts w:eastAsia="等线"/>
                <w:kern w:val="0"/>
                <w:szCs w:val="21"/>
              </w:rPr>
              <w:t>600</w:t>
            </w:r>
          </w:p>
        </w:tc>
        <w:tc>
          <w:tcPr>
            <w:tcW w:w="491" w:type="pct"/>
            <w:tcBorders>
              <w:top w:val="nil"/>
              <w:left w:val="nil"/>
              <w:bottom w:val="single" w:color="auto" w:sz="8" w:space="0"/>
              <w:right w:val="single" w:color="auto" w:sz="8" w:space="0"/>
            </w:tcBorders>
            <w:shd w:val="clear" w:color="auto" w:fill="auto"/>
            <w:vAlign w:val="center"/>
          </w:tcPr>
          <w:p w14:paraId="4F0DCBF4">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5F562D99">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08203E3F">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5800AD6F">
            <w:pPr>
              <w:widowControl/>
              <w:spacing w:line="240" w:lineRule="auto"/>
              <w:rPr>
                <w:rFonts w:eastAsia="等线"/>
                <w:kern w:val="0"/>
                <w:szCs w:val="21"/>
              </w:rPr>
            </w:pPr>
            <w:r>
              <w:rPr>
                <w:rFonts w:eastAsia="等线"/>
                <w:kern w:val="0"/>
                <w:szCs w:val="21"/>
              </w:rPr>
              <w:t>80</w:t>
            </w:r>
          </w:p>
        </w:tc>
        <w:tc>
          <w:tcPr>
            <w:tcW w:w="491" w:type="pct"/>
            <w:tcBorders>
              <w:top w:val="nil"/>
              <w:left w:val="nil"/>
              <w:bottom w:val="single" w:color="auto" w:sz="8" w:space="0"/>
              <w:right w:val="single" w:color="auto" w:sz="8" w:space="0"/>
            </w:tcBorders>
            <w:shd w:val="clear" w:color="auto" w:fill="auto"/>
            <w:vAlign w:val="center"/>
          </w:tcPr>
          <w:p w14:paraId="2D0A5E28">
            <w:pPr>
              <w:widowControl/>
              <w:spacing w:line="240" w:lineRule="auto"/>
              <w:rPr>
                <w:rFonts w:eastAsia="等线"/>
                <w:kern w:val="0"/>
                <w:szCs w:val="21"/>
              </w:rPr>
            </w:pPr>
            <w:r>
              <w:rPr>
                <w:rFonts w:eastAsia="等线"/>
                <w:kern w:val="0"/>
                <w:szCs w:val="21"/>
              </w:rPr>
              <w:t>75</w:t>
            </w:r>
          </w:p>
        </w:tc>
        <w:tc>
          <w:tcPr>
            <w:tcW w:w="491" w:type="pct"/>
            <w:tcBorders>
              <w:top w:val="nil"/>
              <w:left w:val="nil"/>
              <w:bottom w:val="single" w:color="auto" w:sz="8" w:space="0"/>
              <w:right w:val="single" w:color="auto" w:sz="8" w:space="0"/>
            </w:tcBorders>
            <w:shd w:val="clear" w:color="auto" w:fill="auto"/>
            <w:vAlign w:val="center"/>
          </w:tcPr>
          <w:p w14:paraId="01CAEE6A">
            <w:pPr>
              <w:widowControl/>
              <w:spacing w:line="240" w:lineRule="auto"/>
              <w:rPr>
                <w:rFonts w:eastAsia="等线"/>
                <w:kern w:val="0"/>
                <w:szCs w:val="21"/>
              </w:rPr>
            </w:pPr>
            <w:r>
              <w:rPr>
                <w:rFonts w:eastAsia="等线"/>
                <w:kern w:val="0"/>
                <w:szCs w:val="21"/>
              </w:rPr>
              <w:t>75</w:t>
            </w:r>
          </w:p>
        </w:tc>
        <w:tc>
          <w:tcPr>
            <w:tcW w:w="491" w:type="pct"/>
            <w:tcBorders>
              <w:top w:val="nil"/>
              <w:left w:val="nil"/>
              <w:bottom w:val="single" w:color="auto" w:sz="8" w:space="0"/>
              <w:right w:val="single" w:color="auto" w:sz="8" w:space="0"/>
            </w:tcBorders>
            <w:shd w:val="clear" w:color="auto" w:fill="auto"/>
            <w:vAlign w:val="center"/>
          </w:tcPr>
          <w:p w14:paraId="61290FBA">
            <w:pPr>
              <w:widowControl/>
              <w:spacing w:line="240" w:lineRule="auto"/>
              <w:rPr>
                <w:rFonts w:eastAsia="等线"/>
                <w:kern w:val="0"/>
                <w:szCs w:val="21"/>
              </w:rPr>
            </w:pPr>
            <w:r>
              <w:rPr>
                <w:rFonts w:eastAsia="等线"/>
                <w:kern w:val="0"/>
                <w:szCs w:val="21"/>
              </w:rPr>
              <w:t>70</w:t>
            </w:r>
          </w:p>
        </w:tc>
        <w:tc>
          <w:tcPr>
            <w:tcW w:w="492" w:type="pct"/>
            <w:tcBorders>
              <w:top w:val="nil"/>
              <w:left w:val="nil"/>
              <w:bottom w:val="single" w:color="auto" w:sz="8" w:space="0"/>
              <w:right w:val="single" w:color="auto" w:sz="8" w:space="0"/>
            </w:tcBorders>
            <w:shd w:val="clear" w:color="auto" w:fill="auto"/>
            <w:vAlign w:val="center"/>
          </w:tcPr>
          <w:p w14:paraId="7F4D4DC0">
            <w:pPr>
              <w:widowControl/>
              <w:spacing w:line="240" w:lineRule="auto"/>
              <w:jc w:val="center"/>
              <w:rPr>
                <w:rFonts w:eastAsia="等线"/>
                <w:kern w:val="0"/>
                <w:sz w:val="18"/>
                <w:szCs w:val="18"/>
              </w:rPr>
            </w:pPr>
            <w:r>
              <w:rPr>
                <w:rFonts w:eastAsia="等线"/>
                <w:kern w:val="0"/>
                <w:sz w:val="18"/>
                <w:szCs w:val="18"/>
              </w:rPr>
              <w:t>60</w:t>
            </w:r>
          </w:p>
        </w:tc>
        <w:tc>
          <w:tcPr>
            <w:tcW w:w="486" w:type="pct"/>
            <w:tcBorders>
              <w:top w:val="nil"/>
              <w:left w:val="nil"/>
              <w:bottom w:val="single" w:color="auto" w:sz="8" w:space="0"/>
              <w:right w:val="single" w:color="auto" w:sz="8" w:space="0"/>
            </w:tcBorders>
            <w:shd w:val="clear" w:color="auto" w:fill="auto"/>
            <w:vAlign w:val="center"/>
          </w:tcPr>
          <w:p w14:paraId="53ACC745">
            <w:pPr>
              <w:widowControl/>
              <w:spacing w:line="240" w:lineRule="auto"/>
              <w:jc w:val="center"/>
              <w:rPr>
                <w:rFonts w:eastAsia="等线"/>
                <w:kern w:val="0"/>
                <w:sz w:val="18"/>
                <w:szCs w:val="18"/>
              </w:rPr>
            </w:pPr>
            <w:r>
              <w:rPr>
                <w:rFonts w:eastAsia="等线"/>
                <w:kern w:val="0"/>
                <w:sz w:val="18"/>
                <w:szCs w:val="18"/>
              </w:rPr>
              <w:t>50</w:t>
            </w:r>
          </w:p>
        </w:tc>
      </w:tr>
      <w:tr w14:paraId="1F23D445">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1E0A480F">
            <w:pPr>
              <w:widowControl/>
              <w:spacing w:line="240" w:lineRule="auto"/>
              <w:rPr>
                <w:rFonts w:eastAsia="等线"/>
                <w:kern w:val="0"/>
                <w:szCs w:val="21"/>
              </w:rPr>
            </w:pPr>
            <w:r>
              <w:rPr>
                <w:rFonts w:eastAsia="等线"/>
                <w:kern w:val="0"/>
                <w:szCs w:val="21"/>
              </w:rPr>
              <w:t>550</w:t>
            </w:r>
          </w:p>
        </w:tc>
        <w:tc>
          <w:tcPr>
            <w:tcW w:w="491" w:type="pct"/>
            <w:tcBorders>
              <w:top w:val="nil"/>
              <w:left w:val="nil"/>
              <w:bottom w:val="single" w:color="auto" w:sz="8" w:space="0"/>
              <w:right w:val="single" w:color="auto" w:sz="8" w:space="0"/>
            </w:tcBorders>
            <w:shd w:val="clear" w:color="auto" w:fill="auto"/>
            <w:vAlign w:val="center"/>
          </w:tcPr>
          <w:p w14:paraId="0B7B30A8">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0066245">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5FF49E3F">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4667C508">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5FE9E33">
            <w:pPr>
              <w:widowControl/>
              <w:spacing w:line="240" w:lineRule="auto"/>
              <w:rPr>
                <w:rFonts w:eastAsia="等线"/>
                <w:kern w:val="0"/>
                <w:szCs w:val="21"/>
              </w:rPr>
            </w:pPr>
            <w:r>
              <w:rPr>
                <w:rFonts w:eastAsia="等线"/>
                <w:kern w:val="0"/>
                <w:szCs w:val="21"/>
              </w:rPr>
              <w:t>75</w:t>
            </w:r>
          </w:p>
        </w:tc>
        <w:tc>
          <w:tcPr>
            <w:tcW w:w="491" w:type="pct"/>
            <w:tcBorders>
              <w:top w:val="nil"/>
              <w:left w:val="nil"/>
              <w:bottom w:val="single" w:color="auto" w:sz="8" w:space="0"/>
              <w:right w:val="single" w:color="auto" w:sz="8" w:space="0"/>
            </w:tcBorders>
            <w:shd w:val="clear" w:color="auto" w:fill="auto"/>
            <w:vAlign w:val="center"/>
          </w:tcPr>
          <w:p w14:paraId="6407B948">
            <w:pPr>
              <w:widowControl/>
              <w:spacing w:line="240" w:lineRule="auto"/>
              <w:rPr>
                <w:rFonts w:eastAsia="等线"/>
                <w:kern w:val="0"/>
                <w:szCs w:val="21"/>
              </w:rPr>
            </w:pPr>
            <w:r>
              <w:rPr>
                <w:rFonts w:eastAsia="等线"/>
                <w:kern w:val="0"/>
                <w:szCs w:val="21"/>
              </w:rPr>
              <w:t>75</w:t>
            </w:r>
          </w:p>
        </w:tc>
        <w:tc>
          <w:tcPr>
            <w:tcW w:w="491" w:type="pct"/>
            <w:tcBorders>
              <w:top w:val="nil"/>
              <w:left w:val="nil"/>
              <w:bottom w:val="single" w:color="auto" w:sz="8" w:space="0"/>
              <w:right w:val="single" w:color="auto" w:sz="8" w:space="0"/>
            </w:tcBorders>
            <w:shd w:val="clear" w:color="auto" w:fill="auto"/>
            <w:vAlign w:val="center"/>
          </w:tcPr>
          <w:p w14:paraId="175BE62F">
            <w:pPr>
              <w:widowControl/>
              <w:spacing w:line="240" w:lineRule="auto"/>
              <w:rPr>
                <w:rFonts w:eastAsia="等线"/>
                <w:kern w:val="0"/>
                <w:szCs w:val="21"/>
              </w:rPr>
            </w:pPr>
            <w:r>
              <w:rPr>
                <w:rFonts w:eastAsia="等线"/>
                <w:kern w:val="0"/>
                <w:szCs w:val="21"/>
              </w:rPr>
              <w:t>70</w:t>
            </w:r>
          </w:p>
        </w:tc>
        <w:tc>
          <w:tcPr>
            <w:tcW w:w="492" w:type="pct"/>
            <w:tcBorders>
              <w:top w:val="nil"/>
              <w:left w:val="nil"/>
              <w:bottom w:val="single" w:color="auto" w:sz="8" w:space="0"/>
              <w:right w:val="single" w:color="auto" w:sz="8" w:space="0"/>
            </w:tcBorders>
            <w:shd w:val="clear" w:color="auto" w:fill="auto"/>
            <w:vAlign w:val="center"/>
          </w:tcPr>
          <w:p w14:paraId="3B9A698C">
            <w:pPr>
              <w:widowControl/>
              <w:spacing w:line="240" w:lineRule="auto"/>
              <w:jc w:val="center"/>
              <w:rPr>
                <w:rFonts w:eastAsia="等线"/>
                <w:kern w:val="0"/>
                <w:sz w:val="18"/>
                <w:szCs w:val="18"/>
              </w:rPr>
            </w:pPr>
            <w:r>
              <w:rPr>
                <w:rFonts w:eastAsia="等线"/>
                <w:kern w:val="0"/>
                <w:sz w:val="18"/>
                <w:szCs w:val="18"/>
              </w:rPr>
              <w:t>65</w:t>
            </w:r>
          </w:p>
        </w:tc>
        <w:tc>
          <w:tcPr>
            <w:tcW w:w="486" w:type="pct"/>
            <w:tcBorders>
              <w:top w:val="nil"/>
              <w:left w:val="nil"/>
              <w:bottom w:val="single" w:color="auto" w:sz="8" w:space="0"/>
              <w:right w:val="single" w:color="auto" w:sz="8" w:space="0"/>
            </w:tcBorders>
            <w:shd w:val="clear" w:color="auto" w:fill="auto"/>
            <w:vAlign w:val="center"/>
          </w:tcPr>
          <w:p w14:paraId="2DCFFCD9">
            <w:pPr>
              <w:widowControl/>
              <w:spacing w:line="240" w:lineRule="auto"/>
              <w:jc w:val="center"/>
              <w:rPr>
                <w:rFonts w:eastAsia="等线"/>
                <w:kern w:val="0"/>
                <w:sz w:val="18"/>
                <w:szCs w:val="18"/>
              </w:rPr>
            </w:pPr>
            <w:r>
              <w:rPr>
                <w:rFonts w:eastAsia="等线"/>
                <w:kern w:val="0"/>
                <w:sz w:val="18"/>
                <w:szCs w:val="18"/>
              </w:rPr>
              <w:t>55</w:t>
            </w:r>
          </w:p>
        </w:tc>
      </w:tr>
      <w:tr w14:paraId="734AB558">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3C9320D3">
            <w:pPr>
              <w:widowControl/>
              <w:spacing w:line="240" w:lineRule="auto"/>
              <w:rPr>
                <w:rFonts w:eastAsia="等线"/>
                <w:kern w:val="0"/>
                <w:szCs w:val="21"/>
              </w:rPr>
            </w:pPr>
            <w:r>
              <w:rPr>
                <w:rFonts w:eastAsia="等线"/>
                <w:kern w:val="0"/>
                <w:szCs w:val="21"/>
              </w:rPr>
              <w:t>500</w:t>
            </w:r>
          </w:p>
        </w:tc>
        <w:tc>
          <w:tcPr>
            <w:tcW w:w="491" w:type="pct"/>
            <w:tcBorders>
              <w:top w:val="nil"/>
              <w:left w:val="nil"/>
              <w:bottom w:val="single" w:color="auto" w:sz="8" w:space="0"/>
              <w:right w:val="single" w:color="auto" w:sz="8" w:space="0"/>
            </w:tcBorders>
            <w:shd w:val="clear" w:color="auto" w:fill="auto"/>
            <w:vAlign w:val="center"/>
          </w:tcPr>
          <w:p w14:paraId="735F1C9C">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2D98456">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0DB68DDE">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F6D4116">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0D66AEC1">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374AD9B6">
            <w:pPr>
              <w:widowControl/>
              <w:spacing w:line="240" w:lineRule="auto"/>
              <w:rPr>
                <w:rFonts w:eastAsia="等线"/>
                <w:kern w:val="0"/>
                <w:szCs w:val="21"/>
              </w:rPr>
            </w:pPr>
            <w:r>
              <w:rPr>
                <w:rFonts w:eastAsia="等线"/>
                <w:kern w:val="0"/>
                <w:szCs w:val="21"/>
              </w:rPr>
              <w:t>75</w:t>
            </w:r>
          </w:p>
        </w:tc>
        <w:tc>
          <w:tcPr>
            <w:tcW w:w="491" w:type="pct"/>
            <w:tcBorders>
              <w:top w:val="nil"/>
              <w:left w:val="nil"/>
              <w:bottom w:val="single" w:color="auto" w:sz="8" w:space="0"/>
              <w:right w:val="single" w:color="auto" w:sz="8" w:space="0"/>
            </w:tcBorders>
            <w:shd w:val="clear" w:color="auto" w:fill="auto"/>
            <w:vAlign w:val="center"/>
          </w:tcPr>
          <w:p w14:paraId="4D8EEC6A">
            <w:pPr>
              <w:widowControl/>
              <w:spacing w:line="240" w:lineRule="auto"/>
              <w:rPr>
                <w:rFonts w:eastAsia="等线"/>
                <w:kern w:val="0"/>
                <w:szCs w:val="21"/>
              </w:rPr>
            </w:pPr>
            <w:r>
              <w:rPr>
                <w:rFonts w:eastAsia="等线"/>
                <w:kern w:val="0"/>
                <w:szCs w:val="21"/>
              </w:rPr>
              <w:t>70</w:t>
            </w:r>
          </w:p>
        </w:tc>
        <w:tc>
          <w:tcPr>
            <w:tcW w:w="492" w:type="pct"/>
            <w:tcBorders>
              <w:top w:val="nil"/>
              <w:left w:val="nil"/>
              <w:bottom w:val="single" w:color="auto" w:sz="8" w:space="0"/>
              <w:right w:val="single" w:color="auto" w:sz="8" w:space="0"/>
            </w:tcBorders>
            <w:shd w:val="clear" w:color="auto" w:fill="auto"/>
            <w:vAlign w:val="center"/>
          </w:tcPr>
          <w:p w14:paraId="7F107B6A">
            <w:pPr>
              <w:widowControl/>
              <w:spacing w:line="240" w:lineRule="auto"/>
              <w:jc w:val="center"/>
              <w:rPr>
                <w:rFonts w:eastAsia="等线"/>
                <w:kern w:val="0"/>
                <w:sz w:val="18"/>
                <w:szCs w:val="18"/>
              </w:rPr>
            </w:pPr>
            <w:r>
              <w:rPr>
                <w:rFonts w:eastAsia="等线"/>
                <w:kern w:val="0"/>
                <w:sz w:val="18"/>
                <w:szCs w:val="18"/>
              </w:rPr>
              <w:t>65</w:t>
            </w:r>
          </w:p>
        </w:tc>
        <w:tc>
          <w:tcPr>
            <w:tcW w:w="486" w:type="pct"/>
            <w:tcBorders>
              <w:top w:val="nil"/>
              <w:left w:val="nil"/>
              <w:bottom w:val="single" w:color="auto" w:sz="8" w:space="0"/>
              <w:right w:val="single" w:color="auto" w:sz="8" w:space="0"/>
            </w:tcBorders>
            <w:shd w:val="clear" w:color="auto" w:fill="auto"/>
            <w:vAlign w:val="center"/>
          </w:tcPr>
          <w:p w14:paraId="365B9AB4">
            <w:pPr>
              <w:widowControl/>
              <w:spacing w:line="240" w:lineRule="auto"/>
              <w:jc w:val="center"/>
              <w:rPr>
                <w:rFonts w:eastAsia="等线"/>
                <w:kern w:val="0"/>
                <w:sz w:val="18"/>
                <w:szCs w:val="18"/>
              </w:rPr>
            </w:pPr>
            <w:r>
              <w:rPr>
                <w:rFonts w:eastAsia="等线"/>
                <w:kern w:val="0"/>
                <w:sz w:val="18"/>
                <w:szCs w:val="18"/>
              </w:rPr>
              <w:t>60</w:t>
            </w:r>
          </w:p>
        </w:tc>
      </w:tr>
    </w:tbl>
    <w:p w14:paraId="141BD587">
      <w:pPr>
        <w:pStyle w:val="198"/>
        <w:rPr>
          <w:szCs w:val="21"/>
        </w:rPr>
      </w:pPr>
      <w:r>
        <w:rPr>
          <w:szCs w:val="21"/>
        </w:rPr>
        <w:t xml:space="preserve">7.2.2 </w:t>
      </w:r>
      <w:r>
        <w:rPr>
          <w:rFonts w:hint="eastAsia"/>
          <w:szCs w:val="21"/>
        </w:rPr>
        <w:t xml:space="preserve"> </w:t>
      </w:r>
      <w:r>
        <w:rPr>
          <w:szCs w:val="21"/>
        </w:rPr>
        <w:t>线路缓和曲线长</w:t>
      </w:r>
      <w:r>
        <w:rPr>
          <w:rFonts w:hint="eastAsia"/>
          <w:szCs w:val="21"/>
        </w:rPr>
        <w:t>度（续表）</w:t>
      </w:r>
    </w:p>
    <w:tbl>
      <w:tblPr>
        <w:tblStyle w:val="88"/>
        <w:tblW w:w="5000" w:type="pct"/>
        <w:tblInd w:w="0" w:type="dxa"/>
        <w:tblLayout w:type="autofit"/>
        <w:tblCellMar>
          <w:top w:w="0" w:type="dxa"/>
          <w:left w:w="108" w:type="dxa"/>
          <w:bottom w:w="0" w:type="dxa"/>
          <w:right w:w="108" w:type="dxa"/>
        </w:tblCellMar>
      </w:tblPr>
      <w:tblGrid>
        <w:gridCol w:w="740"/>
        <w:gridCol w:w="622"/>
        <w:gridCol w:w="623"/>
        <w:gridCol w:w="623"/>
        <w:gridCol w:w="623"/>
        <w:gridCol w:w="623"/>
        <w:gridCol w:w="623"/>
        <w:gridCol w:w="623"/>
        <w:gridCol w:w="624"/>
        <w:gridCol w:w="616"/>
      </w:tblGrid>
      <w:tr w14:paraId="22838E72">
        <w:tblPrEx>
          <w:tblCellMar>
            <w:top w:w="0" w:type="dxa"/>
            <w:left w:w="108" w:type="dxa"/>
            <w:bottom w:w="0" w:type="dxa"/>
            <w:right w:w="108" w:type="dxa"/>
          </w:tblCellMar>
        </w:tblPrEx>
        <w:trPr>
          <w:trHeight w:val="288" w:hRule="atLeast"/>
        </w:trPr>
        <w:tc>
          <w:tcPr>
            <w:tcW w:w="584" w:type="pct"/>
            <w:vMerge w:val="restart"/>
            <w:tcBorders>
              <w:top w:val="single" w:color="auto" w:sz="8" w:space="0"/>
              <w:left w:val="single" w:color="auto" w:sz="8" w:space="0"/>
              <w:right w:val="single" w:color="auto" w:sz="8" w:space="0"/>
            </w:tcBorders>
            <w:shd w:val="clear" w:color="auto" w:fill="auto"/>
            <w:noWrap/>
            <w:vAlign w:val="center"/>
          </w:tcPr>
          <w:p w14:paraId="0ADB4688">
            <w:pPr>
              <w:widowControl/>
              <w:spacing w:line="240" w:lineRule="auto"/>
              <w:jc w:val="center"/>
              <w:rPr>
                <w:rFonts w:eastAsia="等线"/>
                <w:kern w:val="0"/>
                <w:sz w:val="18"/>
                <w:szCs w:val="18"/>
              </w:rPr>
            </w:pPr>
            <w:r>
              <w:rPr>
                <w:szCs w:val="21"/>
              </w:rPr>
              <mc:AlternateContent>
                <mc:Choice Requires="wps">
                  <w:drawing>
                    <wp:anchor distT="0" distB="0" distL="114300" distR="114300" simplePos="0" relativeHeight="251674624" behindDoc="0" locked="0" layoutInCell="1" allowOverlap="1">
                      <wp:simplePos x="0" y="0"/>
                      <wp:positionH relativeFrom="column">
                        <wp:posOffset>107315</wp:posOffset>
                      </wp:positionH>
                      <wp:positionV relativeFrom="paragraph">
                        <wp:posOffset>-34290</wp:posOffset>
                      </wp:positionV>
                      <wp:extent cx="238760" cy="563880"/>
                      <wp:effectExtent l="0" t="0" r="27940" b="26670"/>
                      <wp:wrapNone/>
                      <wp:docPr id="1" name="AutoShape 139"/>
                      <wp:cNvGraphicFramePr/>
                      <a:graphic xmlns:a="http://schemas.openxmlformats.org/drawingml/2006/main">
                        <a:graphicData uri="http://schemas.microsoft.com/office/word/2010/wordprocessingShape">
                          <wps:wsp>
                            <wps:cNvCnPr>
                              <a:cxnSpLocks noChangeShapeType="1"/>
                            </wps:cNvCnPr>
                            <wps:spPr bwMode="auto">
                              <a:xfrm flipH="1" flipV="1">
                                <a:off x="0" y="0"/>
                                <a:ext cx="238760" cy="563880"/>
                              </a:xfrm>
                              <a:prstGeom prst="straightConnector1">
                                <a:avLst/>
                              </a:prstGeom>
                              <a:noFill/>
                              <a:ln w="9525">
                                <a:solidFill>
                                  <a:srgbClr val="000000"/>
                                </a:solidFill>
                                <a:round/>
                              </a:ln>
                            </wps:spPr>
                            <wps:bodyPr/>
                          </wps:wsp>
                        </a:graphicData>
                      </a:graphic>
                    </wp:anchor>
                  </w:drawing>
                </mc:Choice>
                <mc:Fallback>
                  <w:pict>
                    <v:shape id="AutoShape 139" o:spid="_x0000_s1026" o:spt="32" type="#_x0000_t32" style="position:absolute;left:0pt;flip:x y;margin-left:8.45pt;margin-top:-2.7pt;height:44.4pt;width:18.8pt;z-index:251674624;mso-width-relative:page;mso-height-relative:page;" filled="f" stroked="t" coordsize="21600,21600" o:gfxdata="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l2DINgA&#10;AAAHAQAADwAAAAAAAAABACAAAAAiAAAAZHJzL2Rvd25yZXYueG1sUEsBAhQAFAAAAAgAh07iQDnr&#10;S6XmAQAAzAMAAA4AAAAAAAAAAQAgAAAAJwEAAGRycy9lMm9Eb2MueG1sUEsFBgAAAAAGAAYAWQEA&#10;AH8FAAAAAA==&#10;">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678720" behindDoc="0" locked="0" layoutInCell="1" allowOverlap="1">
                      <wp:simplePos x="0" y="0"/>
                      <wp:positionH relativeFrom="column">
                        <wp:posOffset>-64135</wp:posOffset>
                      </wp:positionH>
                      <wp:positionV relativeFrom="paragraph">
                        <wp:posOffset>225425</wp:posOffset>
                      </wp:positionV>
                      <wp:extent cx="407670" cy="311150"/>
                      <wp:effectExtent l="0" t="0" r="30480" b="31750"/>
                      <wp:wrapNone/>
                      <wp:docPr id="24" name="AutoShape 140"/>
                      <wp:cNvGraphicFramePr/>
                      <a:graphic xmlns:a="http://schemas.openxmlformats.org/drawingml/2006/main">
                        <a:graphicData uri="http://schemas.microsoft.com/office/word/2010/wordprocessingShape">
                          <wps:wsp>
                            <wps:cNvCnPr>
                              <a:cxnSpLocks noChangeShapeType="1"/>
                            </wps:cNvCnPr>
                            <wps:spPr bwMode="auto">
                              <a:xfrm flipH="1" flipV="1">
                                <a:off x="0" y="0"/>
                                <a:ext cx="407670" cy="311150"/>
                              </a:xfrm>
                              <a:prstGeom prst="straightConnector1">
                                <a:avLst/>
                              </a:prstGeom>
                              <a:noFill/>
                              <a:ln w="9525">
                                <a:solidFill>
                                  <a:srgbClr val="000000"/>
                                </a:solidFill>
                                <a:round/>
                              </a:ln>
                            </wps:spPr>
                            <wps:bodyPr/>
                          </wps:wsp>
                        </a:graphicData>
                      </a:graphic>
                    </wp:anchor>
                  </w:drawing>
                </mc:Choice>
                <mc:Fallback>
                  <w:pict>
                    <v:shape id="AutoShape 140" o:spid="_x0000_s1026" o:spt="32" type="#_x0000_t32" style="position:absolute;left:0pt;flip:x y;margin-left:-5.05pt;margin-top:17.75pt;height:24.5pt;width:32.1pt;z-index:251678720;mso-width-relative:page;mso-height-relative:page;" filled="f" stroked="t" coordsize="21600,21600" o:gfxdata="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p3y&#10;fdkAAAAIAQAADwAAAAAAAAABACAAAAAiAAAAZHJzL2Rvd25yZXYueG1sUEsBAhQAFAAAAAgAh07i&#10;QMgWes3oAQAAzQMAAA4AAAAAAAAAAQAgAAAAKAEAAGRycy9lMm9Eb2MueG1sUEsFBgAAAAAGAAYA&#10;WQEAAIIFAAAAAA==&#10;">
                      <v:fill on="f" focussize="0,0"/>
                      <v:stroke color="#000000" joinstyle="round"/>
                      <v:imagedata o:title=""/>
                      <o:lock v:ext="edit" aspectratio="f"/>
                    </v:shape>
                  </w:pict>
                </mc:Fallback>
              </mc:AlternateContent>
            </w:r>
            <w:r>
              <w:rPr>
                <w:rFonts w:hint="eastAsia" w:eastAsia="等线"/>
                <w:kern w:val="0"/>
                <w:sz w:val="18"/>
                <w:szCs w:val="18"/>
              </w:rPr>
              <w:t xml:space="preserve">    </w:t>
            </w:r>
            <w:r>
              <w:rPr>
                <w:rFonts w:eastAsia="等线"/>
                <w:kern w:val="0"/>
                <w:sz w:val="18"/>
                <w:szCs w:val="18"/>
              </w:rPr>
              <w:t>v</w:t>
            </w:r>
          </w:p>
          <w:p w14:paraId="192D8283">
            <w:pPr>
              <w:widowControl/>
              <w:spacing w:line="240" w:lineRule="auto"/>
              <w:ind w:firstLine="180" w:firstLineChars="100"/>
              <w:jc w:val="left"/>
              <w:rPr>
                <w:rFonts w:eastAsia="等线"/>
                <w:kern w:val="0"/>
                <w:sz w:val="18"/>
                <w:szCs w:val="18"/>
              </w:rPr>
            </w:pPr>
            <w:r>
              <w:rPr>
                <w:rFonts w:eastAsia="等线"/>
                <w:kern w:val="0"/>
                <w:sz w:val="18"/>
                <w:szCs w:val="18"/>
              </w:rPr>
              <w:t>l</w:t>
            </w:r>
            <w:r>
              <w:rPr>
                <w:rFonts w:hint="eastAsia" w:eastAsia="等线"/>
                <w:kern w:val="0"/>
                <w:sz w:val="18"/>
                <w:szCs w:val="18"/>
              </w:rPr>
              <w:t xml:space="preserve">  </w:t>
            </w:r>
          </w:p>
          <w:p w14:paraId="01F48A6D">
            <w:pPr>
              <w:widowControl/>
              <w:spacing w:line="240" w:lineRule="auto"/>
              <w:jc w:val="center"/>
              <w:rPr>
                <w:rFonts w:eastAsia="等线"/>
                <w:kern w:val="0"/>
                <w:sz w:val="18"/>
                <w:szCs w:val="18"/>
              </w:rPr>
            </w:pPr>
          </w:p>
          <w:p w14:paraId="1D6F18DE">
            <w:pPr>
              <w:widowControl/>
              <w:spacing w:line="240" w:lineRule="auto"/>
              <w:rPr>
                <w:rFonts w:eastAsia="等线"/>
                <w:kern w:val="0"/>
                <w:szCs w:val="21"/>
              </w:rPr>
            </w:pPr>
            <w:r>
              <w:rPr>
                <w:rFonts w:eastAsia="等线"/>
                <w:kern w:val="0"/>
                <w:sz w:val="18"/>
                <w:szCs w:val="18"/>
              </w:rPr>
              <w:t>R</w:t>
            </w:r>
            <w:r>
              <w:rPr>
                <w:rFonts w:hint="eastAsia" w:eastAsia="等线"/>
                <w:kern w:val="0"/>
                <w:sz w:val="18"/>
                <w:szCs w:val="18"/>
              </w:rPr>
              <w:t xml:space="preserve">   </w:t>
            </w:r>
          </w:p>
        </w:tc>
        <w:tc>
          <w:tcPr>
            <w:tcW w:w="491" w:type="pct"/>
            <w:tcBorders>
              <w:top w:val="single" w:color="auto" w:sz="8" w:space="0"/>
              <w:left w:val="nil"/>
              <w:bottom w:val="nil"/>
              <w:right w:val="single" w:color="auto" w:sz="8" w:space="0"/>
            </w:tcBorders>
            <w:shd w:val="clear" w:color="auto" w:fill="auto"/>
            <w:vAlign w:val="center"/>
          </w:tcPr>
          <w:p w14:paraId="4A19C901">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single" w:color="auto" w:sz="8" w:space="0"/>
              <w:left w:val="nil"/>
              <w:bottom w:val="nil"/>
              <w:right w:val="single" w:color="auto" w:sz="8" w:space="0"/>
            </w:tcBorders>
            <w:shd w:val="clear" w:color="auto" w:fill="auto"/>
            <w:vAlign w:val="center"/>
          </w:tcPr>
          <w:p w14:paraId="5A40F95D">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single" w:color="auto" w:sz="8" w:space="0"/>
              <w:left w:val="nil"/>
              <w:bottom w:val="nil"/>
              <w:right w:val="single" w:color="auto" w:sz="8" w:space="0"/>
            </w:tcBorders>
            <w:shd w:val="clear" w:color="auto" w:fill="auto"/>
            <w:vAlign w:val="center"/>
          </w:tcPr>
          <w:p w14:paraId="09AB4200">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single" w:color="auto" w:sz="8" w:space="0"/>
              <w:left w:val="nil"/>
              <w:bottom w:val="nil"/>
              <w:right w:val="single" w:color="auto" w:sz="8" w:space="0"/>
            </w:tcBorders>
            <w:shd w:val="clear" w:color="auto" w:fill="auto"/>
            <w:vAlign w:val="center"/>
          </w:tcPr>
          <w:p w14:paraId="0A0FABFB">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single" w:color="auto" w:sz="8" w:space="0"/>
              <w:left w:val="nil"/>
              <w:bottom w:val="nil"/>
              <w:right w:val="single" w:color="auto" w:sz="8" w:space="0"/>
            </w:tcBorders>
            <w:shd w:val="clear" w:color="auto" w:fill="auto"/>
            <w:vAlign w:val="center"/>
          </w:tcPr>
          <w:p w14:paraId="16457595">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single" w:color="auto" w:sz="8" w:space="0"/>
              <w:left w:val="nil"/>
              <w:bottom w:val="nil"/>
              <w:right w:val="single" w:color="auto" w:sz="8" w:space="0"/>
            </w:tcBorders>
            <w:shd w:val="clear" w:color="auto" w:fill="auto"/>
            <w:vAlign w:val="center"/>
          </w:tcPr>
          <w:p w14:paraId="01BC8DDB">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single" w:color="auto" w:sz="8" w:space="0"/>
              <w:left w:val="nil"/>
              <w:bottom w:val="nil"/>
              <w:right w:val="single" w:color="auto" w:sz="8" w:space="0"/>
            </w:tcBorders>
            <w:shd w:val="clear" w:color="auto" w:fill="auto"/>
            <w:vAlign w:val="center"/>
          </w:tcPr>
          <w:p w14:paraId="399AAAEE">
            <w:pPr>
              <w:widowControl/>
              <w:spacing w:line="240" w:lineRule="auto"/>
              <w:rPr>
                <w:rFonts w:ascii="宋体" w:hAnsi="宋体" w:cs="宋体"/>
                <w:kern w:val="0"/>
                <w:szCs w:val="21"/>
              </w:rPr>
            </w:pPr>
            <w:r>
              <w:rPr>
                <w:rFonts w:hint="eastAsia" w:ascii="宋体" w:hAnsi="宋体" w:cs="宋体"/>
                <w:kern w:val="0"/>
                <w:szCs w:val="21"/>
              </w:rPr>
              <w:t>　</w:t>
            </w:r>
          </w:p>
        </w:tc>
        <w:tc>
          <w:tcPr>
            <w:tcW w:w="492" w:type="pct"/>
            <w:tcBorders>
              <w:top w:val="single" w:color="auto" w:sz="8" w:space="0"/>
              <w:left w:val="nil"/>
              <w:bottom w:val="nil"/>
              <w:right w:val="single" w:color="auto" w:sz="8" w:space="0"/>
            </w:tcBorders>
            <w:shd w:val="clear" w:color="auto" w:fill="auto"/>
            <w:vAlign w:val="center"/>
          </w:tcPr>
          <w:p w14:paraId="7D9C31EB">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6" w:type="pct"/>
            <w:tcBorders>
              <w:top w:val="single" w:color="auto" w:sz="8" w:space="0"/>
              <w:left w:val="nil"/>
              <w:bottom w:val="nil"/>
              <w:right w:val="single" w:color="auto" w:sz="8" w:space="0"/>
            </w:tcBorders>
            <w:shd w:val="clear" w:color="auto" w:fill="auto"/>
            <w:vAlign w:val="center"/>
          </w:tcPr>
          <w:p w14:paraId="6C3403D2">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14:paraId="172AC155">
        <w:tblPrEx>
          <w:tblCellMar>
            <w:top w:w="0" w:type="dxa"/>
            <w:left w:w="108" w:type="dxa"/>
            <w:bottom w:w="0" w:type="dxa"/>
            <w:right w:w="108" w:type="dxa"/>
          </w:tblCellMar>
        </w:tblPrEx>
        <w:trPr>
          <w:trHeight w:val="275" w:hRule="atLeast"/>
        </w:trPr>
        <w:tc>
          <w:tcPr>
            <w:tcW w:w="584" w:type="pct"/>
            <w:vMerge w:val="continue"/>
            <w:tcBorders>
              <w:left w:val="single" w:color="auto" w:sz="8" w:space="0"/>
              <w:right w:val="single" w:color="auto" w:sz="8" w:space="0"/>
              <w:tl2br w:val="single" w:color="auto" w:sz="4" w:space="0"/>
            </w:tcBorders>
            <w:shd w:val="clear" w:color="auto" w:fill="auto"/>
            <w:noWrap/>
            <w:vAlign w:val="center"/>
          </w:tcPr>
          <w:p w14:paraId="2BFC6855">
            <w:pPr>
              <w:widowControl/>
              <w:spacing w:line="240" w:lineRule="auto"/>
              <w:rPr>
                <w:rFonts w:eastAsia="等线"/>
                <w:kern w:val="0"/>
                <w:szCs w:val="21"/>
              </w:rPr>
            </w:pPr>
          </w:p>
        </w:tc>
        <w:tc>
          <w:tcPr>
            <w:tcW w:w="491" w:type="pct"/>
            <w:tcBorders>
              <w:top w:val="nil"/>
              <w:left w:val="nil"/>
              <w:bottom w:val="nil"/>
              <w:right w:val="single" w:color="auto" w:sz="8" w:space="0"/>
            </w:tcBorders>
            <w:shd w:val="clear" w:color="auto" w:fill="auto"/>
            <w:vAlign w:val="center"/>
          </w:tcPr>
          <w:p w14:paraId="0D3B5235">
            <w:pPr>
              <w:widowControl/>
              <w:spacing w:line="240" w:lineRule="auto"/>
              <w:rPr>
                <w:rFonts w:eastAsia="等线"/>
                <w:kern w:val="0"/>
                <w:szCs w:val="21"/>
              </w:rPr>
            </w:pPr>
            <w:r>
              <w:rPr>
                <w:rFonts w:eastAsia="等线"/>
                <w:kern w:val="0"/>
                <w:szCs w:val="21"/>
              </w:rPr>
              <w:t>110</w:t>
            </w:r>
          </w:p>
        </w:tc>
        <w:tc>
          <w:tcPr>
            <w:tcW w:w="491" w:type="pct"/>
            <w:tcBorders>
              <w:top w:val="nil"/>
              <w:left w:val="nil"/>
              <w:bottom w:val="nil"/>
              <w:right w:val="single" w:color="auto" w:sz="8" w:space="0"/>
            </w:tcBorders>
            <w:shd w:val="clear" w:color="auto" w:fill="auto"/>
            <w:vAlign w:val="center"/>
          </w:tcPr>
          <w:p w14:paraId="37CD801D">
            <w:pPr>
              <w:widowControl/>
              <w:spacing w:line="240" w:lineRule="auto"/>
              <w:rPr>
                <w:rFonts w:eastAsia="等线"/>
                <w:kern w:val="0"/>
                <w:szCs w:val="21"/>
              </w:rPr>
            </w:pPr>
            <w:r>
              <w:rPr>
                <w:rFonts w:eastAsia="等线"/>
                <w:kern w:val="0"/>
                <w:szCs w:val="21"/>
              </w:rPr>
              <w:t>105</w:t>
            </w:r>
          </w:p>
        </w:tc>
        <w:tc>
          <w:tcPr>
            <w:tcW w:w="491" w:type="pct"/>
            <w:tcBorders>
              <w:top w:val="nil"/>
              <w:left w:val="nil"/>
              <w:bottom w:val="nil"/>
              <w:right w:val="single" w:color="auto" w:sz="8" w:space="0"/>
            </w:tcBorders>
            <w:shd w:val="clear" w:color="auto" w:fill="auto"/>
            <w:vAlign w:val="center"/>
          </w:tcPr>
          <w:p w14:paraId="61B8AF9A">
            <w:pPr>
              <w:widowControl/>
              <w:spacing w:line="240" w:lineRule="auto"/>
              <w:rPr>
                <w:rFonts w:eastAsia="等线"/>
                <w:kern w:val="0"/>
                <w:szCs w:val="21"/>
              </w:rPr>
            </w:pPr>
            <w:r>
              <w:rPr>
                <w:rFonts w:eastAsia="等线"/>
                <w:kern w:val="0"/>
                <w:szCs w:val="21"/>
              </w:rPr>
              <w:t>100</w:t>
            </w:r>
          </w:p>
        </w:tc>
        <w:tc>
          <w:tcPr>
            <w:tcW w:w="491" w:type="pct"/>
            <w:tcBorders>
              <w:top w:val="nil"/>
              <w:left w:val="nil"/>
              <w:bottom w:val="nil"/>
              <w:right w:val="single" w:color="auto" w:sz="8" w:space="0"/>
            </w:tcBorders>
            <w:shd w:val="clear" w:color="auto" w:fill="auto"/>
            <w:vAlign w:val="center"/>
          </w:tcPr>
          <w:p w14:paraId="05358356">
            <w:pPr>
              <w:widowControl/>
              <w:spacing w:line="240" w:lineRule="auto"/>
              <w:rPr>
                <w:rFonts w:eastAsia="等线"/>
                <w:kern w:val="0"/>
                <w:szCs w:val="21"/>
              </w:rPr>
            </w:pPr>
            <w:r>
              <w:rPr>
                <w:rFonts w:eastAsia="等线"/>
                <w:kern w:val="0"/>
                <w:szCs w:val="21"/>
              </w:rPr>
              <w:t>95</w:t>
            </w:r>
          </w:p>
        </w:tc>
        <w:tc>
          <w:tcPr>
            <w:tcW w:w="491" w:type="pct"/>
            <w:tcBorders>
              <w:top w:val="nil"/>
              <w:left w:val="nil"/>
              <w:bottom w:val="nil"/>
              <w:right w:val="single" w:color="auto" w:sz="8" w:space="0"/>
            </w:tcBorders>
            <w:shd w:val="clear" w:color="auto" w:fill="auto"/>
            <w:vAlign w:val="center"/>
          </w:tcPr>
          <w:p w14:paraId="70FC2C4B">
            <w:pPr>
              <w:widowControl/>
              <w:spacing w:line="240" w:lineRule="auto"/>
              <w:rPr>
                <w:rFonts w:eastAsia="等线"/>
                <w:kern w:val="0"/>
                <w:szCs w:val="21"/>
              </w:rPr>
            </w:pPr>
            <w:r>
              <w:rPr>
                <w:rFonts w:eastAsia="等线"/>
                <w:kern w:val="0"/>
                <w:szCs w:val="21"/>
              </w:rPr>
              <w:t>90</w:t>
            </w:r>
          </w:p>
        </w:tc>
        <w:tc>
          <w:tcPr>
            <w:tcW w:w="491" w:type="pct"/>
            <w:tcBorders>
              <w:top w:val="nil"/>
              <w:left w:val="nil"/>
              <w:bottom w:val="nil"/>
              <w:right w:val="single" w:color="auto" w:sz="8" w:space="0"/>
            </w:tcBorders>
            <w:shd w:val="clear" w:color="auto" w:fill="auto"/>
            <w:vAlign w:val="center"/>
          </w:tcPr>
          <w:p w14:paraId="153C1FFA">
            <w:pPr>
              <w:widowControl/>
              <w:spacing w:line="240" w:lineRule="auto"/>
              <w:rPr>
                <w:rFonts w:eastAsia="等线"/>
                <w:kern w:val="0"/>
                <w:szCs w:val="21"/>
              </w:rPr>
            </w:pPr>
            <w:r>
              <w:rPr>
                <w:rFonts w:eastAsia="等线"/>
                <w:kern w:val="0"/>
                <w:szCs w:val="21"/>
              </w:rPr>
              <w:t>85</w:t>
            </w:r>
          </w:p>
        </w:tc>
        <w:tc>
          <w:tcPr>
            <w:tcW w:w="491" w:type="pct"/>
            <w:tcBorders>
              <w:top w:val="nil"/>
              <w:left w:val="nil"/>
              <w:bottom w:val="nil"/>
              <w:right w:val="single" w:color="auto" w:sz="8" w:space="0"/>
            </w:tcBorders>
            <w:shd w:val="clear" w:color="auto" w:fill="auto"/>
            <w:vAlign w:val="center"/>
          </w:tcPr>
          <w:p w14:paraId="3EA36E7F">
            <w:pPr>
              <w:widowControl/>
              <w:spacing w:line="240" w:lineRule="auto"/>
              <w:rPr>
                <w:rFonts w:eastAsia="等线"/>
                <w:kern w:val="0"/>
                <w:szCs w:val="21"/>
              </w:rPr>
            </w:pPr>
            <w:r>
              <w:rPr>
                <w:rFonts w:eastAsia="等线"/>
                <w:kern w:val="0"/>
                <w:szCs w:val="21"/>
              </w:rPr>
              <w:t>80</w:t>
            </w:r>
          </w:p>
        </w:tc>
        <w:tc>
          <w:tcPr>
            <w:tcW w:w="492" w:type="pct"/>
            <w:tcBorders>
              <w:top w:val="nil"/>
              <w:left w:val="nil"/>
              <w:bottom w:val="nil"/>
              <w:right w:val="single" w:color="auto" w:sz="8" w:space="0"/>
            </w:tcBorders>
            <w:shd w:val="clear" w:color="auto" w:fill="auto"/>
            <w:vAlign w:val="center"/>
          </w:tcPr>
          <w:p w14:paraId="1ED2CC37">
            <w:pPr>
              <w:widowControl/>
              <w:spacing w:line="240" w:lineRule="auto"/>
              <w:jc w:val="center"/>
              <w:rPr>
                <w:rFonts w:eastAsia="等线"/>
                <w:kern w:val="0"/>
                <w:sz w:val="18"/>
                <w:szCs w:val="18"/>
              </w:rPr>
            </w:pPr>
            <w:r>
              <w:rPr>
                <w:rFonts w:eastAsia="等线"/>
                <w:kern w:val="0"/>
                <w:sz w:val="18"/>
                <w:szCs w:val="18"/>
              </w:rPr>
              <w:t>75</w:t>
            </w:r>
          </w:p>
        </w:tc>
        <w:tc>
          <w:tcPr>
            <w:tcW w:w="486" w:type="pct"/>
            <w:tcBorders>
              <w:top w:val="nil"/>
              <w:left w:val="nil"/>
              <w:bottom w:val="nil"/>
              <w:right w:val="single" w:color="auto" w:sz="8" w:space="0"/>
            </w:tcBorders>
            <w:shd w:val="clear" w:color="auto" w:fill="auto"/>
            <w:vAlign w:val="center"/>
          </w:tcPr>
          <w:p w14:paraId="17F117CD">
            <w:pPr>
              <w:widowControl/>
              <w:spacing w:line="240" w:lineRule="auto"/>
              <w:jc w:val="center"/>
              <w:rPr>
                <w:rFonts w:eastAsia="等线"/>
                <w:kern w:val="0"/>
                <w:sz w:val="18"/>
                <w:szCs w:val="18"/>
              </w:rPr>
            </w:pPr>
            <w:r>
              <w:rPr>
                <w:rFonts w:eastAsia="等线"/>
                <w:kern w:val="0"/>
                <w:sz w:val="18"/>
                <w:szCs w:val="18"/>
              </w:rPr>
              <w:t>70</w:t>
            </w:r>
          </w:p>
        </w:tc>
      </w:tr>
      <w:tr w14:paraId="1CBB5EF9">
        <w:tblPrEx>
          <w:tblCellMar>
            <w:top w:w="0" w:type="dxa"/>
            <w:left w:w="108" w:type="dxa"/>
            <w:bottom w:w="0" w:type="dxa"/>
            <w:right w:w="108" w:type="dxa"/>
          </w:tblCellMar>
        </w:tblPrEx>
        <w:trPr>
          <w:trHeight w:val="290" w:hRule="atLeast"/>
        </w:trPr>
        <w:tc>
          <w:tcPr>
            <w:tcW w:w="584" w:type="pct"/>
            <w:vMerge w:val="continue"/>
            <w:tcBorders>
              <w:left w:val="single" w:color="auto" w:sz="8" w:space="0"/>
              <w:bottom w:val="single" w:color="auto" w:sz="8" w:space="0"/>
              <w:right w:val="single" w:color="auto" w:sz="8" w:space="0"/>
              <w:tl2br w:val="single" w:color="auto" w:sz="4" w:space="0"/>
            </w:tcBorders>
            <w:shd w:val="clear" w:color="auto" w:fill="auto"/>
            <w:noWrap/>
            <w:vAlign w:val="center"/>
          </w:tcPr>
          <w:p w14:paraId="5E4793A6">
            <w:pPr>
              <w:widowControl/>
              <w:spacing w:line="240" w:lineRule="auto"/>
              <w:rPr>
                <w:rFonts w:eastAsia="等线"/>
                <w:kern w:val="0"/>
                <w:szCs w:val="21"/>
              </w:rPr>
            </w:pPr>
          </w:p>
        </w:tc>
        <w:tc>
          <w:tcPr>
            <w:tcW w:w="491" w:type="pct"/>
            <w:tcBorders>
              <w:top w:val="nil"/>
              <w:left w:val="nil"/>
              <w:bottom w:val="single" w:color="auto" w:sz="8" w:space="0"/>
              <w:right w:val="single" w:color="auto" w:sz="8" w:space="0"/>
            </w:tcBorders>
            <w:shd w:val="clear" w:color="auto" w:fill="auto"/>
            <w:vAlign w:val="center"/>
          </w:tcPr>
          <w:p w14:paraId="7AF822DD">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nil"/>
              <w:left w:val="nil"/>
              <w:bottom w:val="single" w:color="auto" w:sz="8" w:space="0"/>
              <w:right w:val="single" w:color="auto" w:sz="8" w:space="0"/>
            </w:tcBorders>
            <w:shd w:val="clear" w:color="auto" w:fill="auto"/>
            <w:vAlign w:val="center"/>
          </w:tcPr>
          <w:p w14:paraId="1C5E7724">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nil"/>
              <w:left w:val="nil"/>
              <w:bottom w:val="single" w:color="auto" w:sz="8" w:space="0"/>
              <w:right w:val="single" w:color="auto" w:sz="8" w:space="0"/>
            </w:tcBorders>
            <w:shd w:val="clear" w:color="auto" w:fill="auto"/>
            <w:vAlign w:val="center"/>
          </w:tcPr>
          <w:p w14:paraId="6F0D677B">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nil"/>
              <w:left w:val="nil"/>
              <w:bottom w:val="single" w:color="auto" w:sz="8" w:space="0"/>
              <w:right w:val="single" w:color="auto" w:sz="8" w:space="0"/>
            </w:tcBorders>
            <w:shd w:val="clear" w:color="auto" w:fill="auto"/>
            <w:vAlign w:val="center"/>
          </w:tcPr>
          <w:p w14:paraId="7047DDDB">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nil"/>
              <w:left w:val="nil"/>
              <w:bottom w:val="single" w:color="auto" w:sz="8" w:space="0"/>
              <w:right w:val="single" w:color="auto" w:sz="8" w:space="0"/>
            </w:tcBorders>
            <w:shd w:val="clear" w:color="auto" w:fill="auto"/>
            <w:vAlign w:val="center"/>
          </w:tcPr>
          <w:p w14:paraId="10170449">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nil"/>
              <w:left w:val="nil"/>
              <w:bottom w:val="single" w:color="auto" w:sz="8" w:space="0"/>
              <w:right w:val="single" w:color="auto" w:sz="8" w:space="0"/>
            </w:tcBorders>
            <w:shd w:val="clear" w:color="auto" w:fill="auto"/>
            <w:vAlign w:val="center"/>
          </w:tcPr>
          <w:p w14:paraId="5E0C2362">
            <w:pPr>
              <w:widowControl/>
              <w:spacing w:line="240" w:lineRule="auto"/>
              <w:rPr>
                <w:rFonts w:ascii="宋体" w:hAnsi="宋体" w:cs="宋体"/>
                <w:kern w:val="0"/>
                <w:szCs w:val="21"/>
              </w:rPr>
            </w:pPr>
            <w:r>
              <w:rPr>
                <w:rFonts w:hint="eastAsia" w:ascii="宋体" w:hAnsi="宋体" w:cs="宋体"/>
                <w:kern w:val="0"/>
                <w:szCs w:val="21"/>
              </w:rPr>
              <w:t>　</w:t>
            </w:r>
          </w:p>
        </w:tc>
        <w:tc>
          <w:tcPr>
            <w:tcW w:w="491" w:type="pct"/>
            <w:tcBorders>
              <w:top w:val="nil"/>
              <w:left w:val="nil"/>
              <w:bottom w:val="single" w:color="auto" w:sz="8" w:space="0"/>
              <w:right w:val="single" w:color="auto" w:sz="8" w:space="0"/>
            </w:tcBorders>
            <w:shd w:val="clear" w:color="auto" w:fill="auto"/>
            <w:vAlign w:val="center"/>
          </w:tcPr>
          <w:p w14:paraId="12B64FA7">
            <w:pPr>
              <w:widowControl/>
              <w:spacing w:line="240" w:lineRule="auto"/>
              <w:rPr>
                <w:rFonts w:ascii="宋体" w:hAnsi="宋体" w:cs="宋体"/>
                <w:kern w:val="0"/>
                <w:szCs w:val="21"/>
              </w:rPr>
            </w:pPr>
            <w:r>
              <w:rPr>
                <w:rFonts w:hint="eastAsia" w:ascii="宋体" w:hAnsi="宋体" w:cs="宋体"/>
                <w:kern w:val="0"/>
                <w:szCs w:val="21"/>
              </w:rPr>
              <w:t>　</w:t>
            </w:r>
          </w:p>
        </w:tc>
        <w:tc>
          <w:tcPr>
            <w:tcW w:w="492" w:type="pct"/>
            <w:tcBorders>
              <w:top w:val="nil"/>
              <w:left w:val="nil"/>
              <w:bottom w:val="single" w:color="auto" w:sz="8" w:space="0"/>
              <w:right w:val="single" w:color="auto" w:sz="8" w:space="0"/>
            </w:tcBorders>
            <w:shd w:val="clear" w:color="auto" w:fill="auto"/>
            <w:vAlign w:val="center"/>
          </w:tcPr>
          <w:p w14:paraId="771A8677">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86" w:type="pct"/>
            <w:tcBorders>
              <w:top w:val="nil"/>
              <w:left w:val="nil"/>
              <w:bottom w:val="single" w:color="auto" w:sz="8" w:space="0"/>
              <w:right w:val="single" w:color="auto" w:sz="8" w:space="0"/>
            </w:tcBorders>
            <w:shd w:val="clear" w:color="auto" w:fill="auto"/>
            <w:vAlign w:val="center"/>
          </w:tcPr>
          <w:p w14:paraId="4FA58A67">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14:paraId="4B9287AC">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5B3729DB">
            <w:pPr>
              <w:widowControl/>
              <w:spacing w:line="240" w:lineRule="auto"/>
              <w:rPr>
                <w:rFonts w:eastAsia="等线"/>
                <w:kern w:val="0"/>
                <w:szCs w:val="21"/>
              </w:rPr>
            </w:pPr>
            <w:r>
              <w:rPr>
                <w:rFonts w:eastAsia="等线"/>
                <w:kern w:val="0"/>
                <w:szCs w:val="21"/>
              </w:rPr>
              <w:t>450</w:t>
            </w:r>
          </w:p>
        </w:tc>
        <w:tc>
          <w:tcPr>
            <w:tcW w:w="491" w:type="pct"/>
            <w:tcBorders>
              <w:top w:val="nil"/>
              <w:left w:val="nil"/>
              <w:bottom w:val="single" w:color="auto" w:sz="8" w:space="0"/>
              <w:right w:val="single" w:color="auto" w:sz="8" w:space="0"/>
            </w:tcBorders>
            <w:shd w:val="clear" w:color="auto" w:fill="auto"/>
            <w:vAlign w:val="center"/>
          </w:tcPr>
          <w:p w14:paraId="6E4DA79F">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342482A3">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77B47510">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60FBDC73">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39450883">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864502D">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B6485DF">
            <w:pPr>
              <w:widowControl/>
              <w:spacing w:line="240" w:lineRule="auto"/>
              <w:rPr>
                <w:rFonts w:eastAsia="等线"/>
                <w:kern w:val="0"/>
                <w:szCs w:val="21"/>
              </w:rPr>
            </w:pPr>
            <w:r>
              <w:rPr>
                <w:rFonts w:eastAsia="等线"/>
                <w:kern w:val="0"/>
                <w:szCs w:val="21"/>
              </w:rPr>
              <w:t>70</w:t>
            </w:r>
          </w:p>
        </w:tc>
        <w:tc>
          <w:tcPr>
            <w:tcW w:w="492" w:type="pct"/>
            <w:tcBorders>
              <w:top w:val="nil"/>
              <w:left w:val="nil"/>
              <w:bottom w:val="single" w:color="auto" w:sz="8" w:space="0"/>
              <w:right w:val="single" w:color="auto" w:sz="8" w:space="0"/>
            </w:tcBorders>
            <w:shd w:val="clear" w:color="auto" w:fill="auto"/>
            <w:vAlign w:val="center"/>
          </w:tcPr>
          <w:p w14:paraId="4A708657">
            <w:pPr>
              <w:widowControl/>
              <w:spacing w:line="240" w:lineRule="auto"/>
              <w:jc w:val="center"/>
              <w:rPr>
                <w:rFonts w:eastAsia="等线"/>
                <w:kern w:val="0"/>
                <w:sz w:val="18"/>
                <w:szCs w:val="18"/>
              </w:rPr>
            </w:pPr>
            <w:r>
              <w:rPr>
                <w:rFonts w:eastAsia="等线"/>
                <w:kern w:val="0"/>
                <w:sz w:val="18"/>
                <w:szCs w:val="18"/>
              </w:rPr>
              <w:t>65</w:t>
            </w:r>
          </w:p>
        </w:tc>
        <w:tc>
          <w:tcPr>
            <w:tcW w:w="486" w:type="pct"/>
            <w:tcBorders>
              <w:top w:val="nil"/>
              <w:left w:val="nil"/>
              <w:bottom w:val="single" w:color="auto" w:sz="8" w:space="0"/>
              <w:right w:val="single" w:color="auto" w:sz="8" w:space="0"/>
            </w:tcBorders>
            <w:shd w:val="clear" w:color="auto" w:fill="auto"/>
            <w:vAlign w:val="center"/>
          </w:tcPr>
          <w:p w14:paraId="59DE98A3">
            <w:pPr>
              <w:widowControl/>
              <w:spacing w:line="240" w:lineRule="auto"/>
              <w:jc w:val="center"/>
              <w:rPr>
                <w:rFonts w:eastAsia="等线"/>
                <w:kern w:val="0"/>
                <w:sz w:val="18"/>
                <w:szCs w:val="18"/>
              </w:rPr>
            </w:pPr>
            <w:r>
              <w:rPr>
                <w:rFonts w:eastAsia="等线"/>
                <w:kern w:val="0"/>
                <w:sz w:val="18"/>
                <w:szCs w:val="18"/>
              </w:rPr>
              <w:t>60</w:t>
            </w:r>
          </w:p>
        </w:tc>
      </w:tr>
      <w:tr w14:paraId="28DD7501">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4F6B9EE2">
            <w:pPr>
              <w:widowControl/>
              <w:spacing w:line="240" w:lineRule="auto"/>
              <w:rPr>
                <w:rFonts w:eastAsia="等线"/>
                <w:kern w:val="0"/>
                <w:szCs w:val="21"/>
              </w:rPr>
            </w:pPr>
            <w:r>
              <w:rPr>
                <w:rFonts w:eastAsia="等线"/>
                <w:kern w:val="0"/>
                <w:szCs w:val="21"/>
              </w:rPr>
              <w:t>400</w:t>
            </w:r>
          </w:p>
        </w:tc>
        <w:tc>
          <w:tcPr>
            <w:tcW w:w="491" w:type="pct"/>
            <w:tcBorders>
              <w:top w:val="nil"/>
              <w:left w:val="nil"/>
              <w:bottom w:val="single" w:color="auto" w:sz="8" w:space="0"/>
              <w:right w:val="single" w:color="auto" w:sz="8" w:space="0"/>
            </w:tcBorders>
            <w:shd w:val="clear" w:color="auto" w:fill="auto"/>
            <w:vAlign w:val="center"/>
          </w:tcPr>
          <w:p w14:paraId="6EBB364A">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F1EAE32">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770D6AA2">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58C0CB13">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773B8C6A">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4286A9A8">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43276248">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58F22C3C">
            <w:pPr>
              <w:widowControl/>
              <w:spacing w:line="240" w:lineRule="auto"/>
              <w:jc w:val="center"/>
              <w:rPr>
                <w:rFonts w:eastAsia="等线"/>
                <w:kern w:val="0"/>
                <w:sz w:val="18"/>
                <w:szCs w:val="18"/>
              </w:rPr>
            </w:pPr>
            <w:r>
              <w:rPr>
                <w:rFonts w:eastAsia="等线"/>
                <w:kern w:val="0"/>
                <w:sz w:val="18"/>
                <w:szCs w:val="18"/>
              </w:rPr>
              <w:t>65</w:t>
            </w:r>
          </w:p>
        </w:tc>
        <w:tc>
          <w:tcPr>
            <w:tcW w:w="486" w:type="pct"/>
            <w:tcBorders>
              <w:top w:val="nil"/>
              <w:left w:val="nil"/>
              <w:bottom w:val="single" w:color="auto" w:sz="8" w:space="0"/>
              <w:right w:val="single" w:color="auto" w:sz="8" w:space="0"/>
            </w:tcBorders>
            <w:shd w:val="clear" w:color="auto" w:fill="auto"/>
            <w:vAlign w:val="center"/>
          </w:tcPr>
          <w:p w14:paraId="5D97EFF5">
            <w:pPr>
              <w:widowControl/>
              <w:spacing w:line="240" w:lineRule="auto"/>
              <w:jc w:val="center"/>
              <w:rPr>
                <w:rFonts w:eastAsia="等线"/>
                <w:kern w:val="0"/>
                <w:sz w:val="18"/>
                <w:szCs w:val="18"/>
              </w:rPr>
            </w:pPr>
            <w:r>
              <w:rPr>
                <w:rFonts w:eastAsia="等线"/>
                <w:kern w:val="0"/>
                <w:sz w:val="18"/>
                <w:szCs w:val="18"/>
              </w:rPr>
              <w:t>60</w:t>
            </w:r>
          </w:p>
        </w:tc>
      </w:tr>
      <w:tr w14:paraId="0E08C761">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52DE6986">
            <w:pPr>
              <w:widowControl/>
              <w:spacing w:line="240" w:lineRule="auto"/>
              <w:rPr>
                <w:rFonts w:eastAsia="等线"/>
                <w:kern w:val="0"/>
                <w:szCs w:val="21"/>
              </w:rPr>
            </w:pPr>
            <w:r>
              <w:rPr>
                <w:rFonts w:eastAsia="等线"/>
                <w:kern w:val="0"/>
                <w:szCs w:val="21"/>
              </w:rPr>
              <w:t>350</w:t>
            </w:r>
          </w:p>
        </w:tc>
        <w:tc>
          <w:tcPr>
            <w:tcW w:w="491" w:type="pct"/>
            <w:tcBorders>
              <w:top w:val="nil"/>
              <w:left w:val="nil"/>
              <w:bottom w:val="single" w:color="auto" w:sz="8" w:space="0"/>
              <w:right w:val="single" w:color="auto" w:sz="8" w:space="0"/>
            </w:tcBorders>
            <w:shd w:val="clear" w:color="auto" w:fill="auto"/>
            <w:vAlign w:val="center"/>
          </w:tcPr>
          <w:p w14:paraId="3983226E">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76CCAD40">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51F618B">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3FEDDD8C">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3592BB6">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EEEB584">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6B65EF9">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6D663E03">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0665E4D7">
            <w:pPr>
              <w:widowControl/>
              <w:spacing w:line="240" w:lineRule="auto"/>
              <w:jc w:val="center"/>
              <w:rPr>
                <w:rFonts w:eastAsia="等线"/>
                <w:kern w:val="0"/>
                <w:sz w:val="18"/>
                <w:szCs w:val="18"/>
              </w:rPr>
            </w:pPr>
            <w:r>
              <w:rPr>
                <w:rFonts w:eastAsia="等线"/>
                <w:kern w:val="0"/>
                <w:sz w:val="18"/>
                <w:szCs w:val="18"/>
              </w:rPr>
              <w:t>60</w:t>
            </w:r>
          </w:p>
        </w:tc>
      </w:tr>
      <w:tr w14:paraId="33970FA8">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01D57B5B">
            <w:pPr>
              <w:widowControl/>
              <w:spacing w:line="240" w:lineRule="auto"/>
              <w:rPr>
                <w:rFonts w:eastAsia="等线"/>
                <w:kern w:val="0"/>
                <w:szCs w:val="21"/>
              </w:rPr>
            </w:pPr>
            <w:r>
              <w:rPr>
                <w:rFonts w:eastAsia="等线"/>
                <w:kern w:val="0"/>
                <w:szCs w:val="21"/>
              </w:rPr>
              <w:t>300</w:t>
            </w:r>
          </w:p>
        </w:tc>
        <w:tc>
          <w:tcPr>
            <w:tcW w:w="491" w:type="pct"/>
            <w:tcBorders>
              <w:top w:val="nil"/>
              <w:left w:val="nil"/>
              <w:bottom w:val="single" w:color="auto" w:sz="8" w:space="0"/>
              <w:right w:val="single" w:color="auto" w:sz="8" w:space="0"/>
            </w:tcBorders>
            <w:shd w:val="clear" w:color="auto" w:fill="auto"/>
            <w:vAlign w:val="center"/>
          </w:tcPr>
          <w:p w14:paraId="75E9FE7D">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CD4F69A">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01053FCD">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416D4462">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7E54430">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5175A98C">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9F63DF9">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66B43253">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29FB9530">
            <w:pPr>
              <w:widowControl/>
              <w:spacing w:line="240" w:lineRule="auto"/>
              <w:jc w:val="center"/>
              <w:rPr>
                <w:rFonts w:eastAsia="等线"/>
                <w:kern w:val="0"/>
                <w:sz w:val="18"/>
                <w:szCs w:val="18"/>
              </w:rPr>
            </w:pPr>
            <w:r>
              <w:rPr>
                <w:rFonts w:eastAsia="等线"/>
                <w:kern w:val="0"/>
                <w:sz w:val="18"/>
                <w:szCs w:val="18"/>
              </w:rPr>
              <w:t>—</w:t>
            </w:r>
          </w:p>
        </w:tc>
      </w:tr>
      <w:tr w14:paraId="30C6CDE7">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454062DE">
            <w:pPr>
              <w:widowControl/>
              <w:spacing w:line="240" w:lineRule="auto"/>
              <w:rPr>
                <w:rFonts w:eastAsia="等线"/>
                <w:kern w:val="0"/>
                <w:szCs w:val="21"/>
              </w:rPr>
            </w:pPr>
            <w:r>
              <w:rPr>
                <w:rFonts w:eastAsia="等线"/>
                <w:kern w:val="0"/>
                <w:szCs w:val="21"/>
              </w:rPr>
              <w:t>250</w:t>
            </w:r>
          </w:p>
        </w:tc>
        <w:tc>
          <w:tcPr>
            <w:tcW w:w="491" w:type="pct"/>
            <w:tcBorders>
              <w:top w:val="nil"/>
              <w:left w:val="nil"/>
              <w:bottom w:val="single" w:color="auto" w:sz="8" w:space="0"/>
              <w:right w:val="single" w:color="auto" w:sz="8" w:space="0"/>
            </w:tcBorders>
            <w:shd w:val="clear" w:color="auto" w:fill="auto"/>
            <w:vAlign w:val="center"/>
          </w:tcPr>
          <w:p w14:paraId="521DB963">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595DE387">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01EEA6B6">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3B7E407A">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757C502D">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3D1CC69C">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3FC16AE">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48FEDA0B">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73FFA0C0">
            <w:pPr>
              <w:widowControl/>
              <w:spacing w:line="240" w:lineRule="auto"/>
              <w:jc w:val="center"/>
              <w:rPr>
                <w:rFonts w:eastAsia="等线"/>
                <w:kern w:val="0"/>
                <w:sz w:val="18"/>
                <w:szCs w:val="18"/>
              </w:rPr>
            </w:pPr>
            <w:r>
              <w:rPr>
                <w:rFonts w:eastAsia="等线"/>
                <w:kern w:val="0"/>
                <w:sz w:val="18"/>
                <w:szCs w:val="18"/>
              </w:rPr>
              <w:t>—</w:t>
            </w:r>
          </w:p>
        </w:tc>
      </w:tr>
      <w:tr w14:paraId="592A46BB">
        <w:tblPrEx>
          <w:tblCellMar>
            <w:top w:w="0" w:type="dxa"/>
            <w:left w:w="108" w:type="dxa"/>
            <w:bottom w:w="0" w:type="dxa"/>
            <w:right w:w="108" w:type="dxa"/>
          </w:tblCellMar>
        </w:tblPrEx>
        <w:trPr>
          <w:trHeight w:val="290" w:hRule="atLeast"/>
        </w:trPr>
        <w:tc>
          <w:tcPr>
            <w:tcW w:w="584" w:type="pct"/>
            <w:tcBorders>
              <w:top w:val="nil"/>
              <w:left w:val="single" w:color="auto" w:sz="8" w:space="0"/>
              <w:bottom w:val="single" w:color="auto" w:sz="8" w:space="0"/>
              <w:right w:val="single" w:color="auto" w:sz="8" w:space="0"/>
            </w:tcBorders>
            <w:shd w:val="clear" w:color="auto" w:fill="auto"/>
            <w:vAlign w:val="center"/>
          </w:tcPr>
          <w:p w14:paraId="55D5DCFA">
            <w:pPr>
              <w:widowControl/>
              <w:spacing w:line="240" w:lineRule="auto"/>
              <w:rPr>
                <w:rFonts w:eastAsia="等线"/>
                <w:kern w:val="0"/>
                <w:szCs w:val="21"/>
              </w:rPr>
            </w:pPr>
            <w:r>
              <w:rPr>
                <w:rFonts w:eastAsia="等线"/>
                <w:kern w:val="0"/>
                <w:szCs w:val="21"/>
              </w:rPr>
              <w:t>200</w:t>
            </w:r>
          </w:p>
        </w:tc>
        <w:tc>
          <w:tcPr>
            <w:tcW w:w="491" w:type="pct"/>
            <w:tcBorders>
              <w:top w:val="nil"/>
              <w:left w:val="nil"/>
              <w:bottom w:val="single" w:color="auto" w:sz="8" w:space="0"/>
              <w:right w:val="single" w:color="auto" w:sz="8" w:space="0"/>
            </w:tcBorders>
            <w:shd w:val="clear" w:color="auto" w:fill="auto"/>
            <w:vAlign w:val="center"/>
          </w:tcPr>
          <w:p w14:paraId="088B364B">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5FAE9C0F">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48A5C9DC">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1B3DD1AB">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DA1514F">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20B9026B">
            <w:pPr>
              <w:widowControl/>
              <w:spacing w:line="240" w:lineRule="auto"/>
              <w:rPr>
                <w:rFonts w:eastAsia="等线"/>
                <w:kern w:val="0"/>
                <w:szCs w:val="21"/>
              </w:rPr>
            </w:pPr>
            <w:r>
              <w:rPr>
                <w:rFonts w:eastAsia="等线"/>
                <w:kern w:val="0"/>
                <w:szCs w:val="21"/>
              </w:rPr>
              <w:t>—</w:t>
            </w:r>
          </w:p>
        </w:tc>
        <w:tc>
          <w:tcPr>
            <w:tcW w:w="491" w:type="pct"/>
            <w:tcBorders>
              <w:top w:val="nil"/>
              <w:left w:val="nil"/>
              <w:bottom w:val="single" w:color="auto" w:sz="8" w:space="0"/>
              <w:right w:val="single" w:color="auto" w:sz="8" w:space="0"/>
            </w:tcBorders>
            <w:shd w:val="clear" w:color="auto" w:fill="auto"/>
            <w:vAlign w:val="center"/>
          </w:tcPr>
          <w:p w14:paraId="749E779E">
            <w:pPr>
              <w:widowControl/>
              <w:spacing w:line="240" w:lineRule="auto"/>
              <w:rPr>
                <w:rFonts w:eastAsia="等线"/>
                <w:kern w:val="0"/>
                <w:szCs w:val="21"/>
              </w:rPr>
            </w:pPr>
            <w:r>
              <w:rPr>
                <w:rFonts w:eastAsia="等线"/>
                <w:kern w:val="0"/>
                <w:szCs w:val="21"/>
              </w:rPr>
              <w:t>—</w:t>
            </w:r>
          </w:p>
        </w:tc>
        <w:tc>
          <w:tcPr>
            <w:tcW w:w="492" w:type="pct"/>
            <w:tcBorders>
              <w:top w:val="nil"/>
              <w:left w:val="nil"/>
              <w:bottom w:val="single" w:color="auto" w:sz="8" w:space="0"/>
              <w:right w:val="single" w:color="auto" w:sz="8" w:space="0"/>
            </w:tcBorders>
            <w:shd w:val="clear" w:color="auto" w:fill="auto"/>
            <w:vAlign w:val="center"/>
          </w:tcPr>
          <w:p w14:paraId="7E5FE3CD">
            <w:pPr>
              <w:widowControl/>
              <w:spacing w:line="240" w:lineRule="auto"/>
              <w:jc w:val="center"/>
              <w:rPr>
                <w:rFonts w:eastAsia="等线"/>
                <w:kern w:val="0"/>
                <w:sz w:val="18"/>
                <w:szCs w:val="18"/>
              </w:rPr>
            </w:pPr>
            <w:r>
              <w:rPr>
                <w:rFonts w:eastAsia="等线"/>
                <w:kern w:val="0"/>
                <w:sz w:val="18"/>
                <w:szCs w:val="18"/>
              </w:rPr>
              <w:t>—</w:t>
            </w:r>
          </w:p>
        </w:tc>
        <w:tc>
          <w:tcPr>
            <w:tcW w:w="486" w:type="pct"/>
            <w:tcBorders>
              <w:top w:val="nil"/>
              <w:left w:val="nil"/>
              <w:bottom w:val="single" w:color="auto" w:sz="8" w:space="0"/>
              <w:right w:val="single" w:color="auto" w:sz="8" w:space="0"/>
            </w:tcBorders>
            <w:shd w:val="clear" w:color="auto" w:fill="auto"/>
            <w:vAlign w:val="center"/>
          </w:tcPr>
          <w:p w14:paraId="3FB335F8">
            <w:pPr>
              <w:widowControl/>
              <w:spacing w:line="240" w:lineRule="auto"/>
              <w:jc w:val="center"/>
              <w:rPr>
                <w:rFonts w:eastAsia="等线"/>
                <w:kern w:val="0"/>
                <w:sz w:val="18"/>
                <w:szCs w:val="18"/>
              </w:rPr>
            </w:pPr>
            <w:r>
              <w:rPr>
                <w:rFonts w:eastAsia="等线"/>
                <w:kern w:val="0"/>
                <w:sz w:val="18"/>
                <w:szCs w:val="18"/>
              </w:rPr>
              <w:t>—</w:t>
            </w:r>
          </w:p>
        </w:tc>
      </w:tr>
    </w:tbl>
    <w:p w14:paraId="45E85364">
      <w:pPr>
        <w:pStyle w:val="198"/>
        <w:rPr>
          <w:szCs w:val="21"/>
        </w:rPr>
      </w:pPr>
      <w:r>
        <w:rPr>
          <w:szCs w:val="21"/>
        </w:rPr>
        <w:t xml:space="preserve">7.2.2 </w:t>
      </w:r>
      <w:r>
        <w:rPr>
          <w:rFonts w:hint="eastAsia"/>
          <w:szCs w:val="21"/>
        </w:rPr>
        <w:t xml:space="preserve"> </w:t>
      </w:r>
      <w:r>
        <w:rPr>
          <w:szCs w:val="21"/>
        </w:rPr>
        <w:t>线路缓和曲线长</w:t>
      </w:r>
      <w:r>
        <w:rPr>
          <w:rFonts w:hint="eastAsia"/>
          <w:szCs w:val="21"/>
        </w:rPr>
        <w:t>度（续表）</w:t>
      </w:r>
    </w:p>
    <w:tbl>
      <w:tblPr>
        <w:tblStyle w:val="88"/>
        <w:tblW w:w="6340" w:type="dxa"/>
        <w:tblInd w:w="0" w:type="dxa"/>
        <w:tblLayout w:type="fixed"/>
        <w:tblCellMar>
          <w:top w:w="0" w:type="dxa"/>
          <w:left w:w="108" w:type="dxa"/>
          <w:bottom w:w="0" w:type="dxa"/>
          <w:right w:w="108" w:type="dxa"/>
        </w:tblCellMar>
      </w:tblPr>
      <w:tblGrid>
        <w:gridCol w:w="792"/>
        <w:gridCol w:w="792"/>
        <w:gridCol w:w="792"/>
        <w:gridCol w:w="792"/>
        <w:gridCol w:w="793"/>
        <w:gridCol w:w="793"/>
        <w:gridCol w:w="793"/>
        <w:gridCol w:w="793"/>
      </w:tblGrid>
      <w:tr w14:paraId="761A05FD">
        <w:tblPrEx>
          <w:tblCellMar>
            <w:top w:w="0" w:type="dxa"/>
            <w:left w:w="108" w:type="dxa"/>
            <w:bottom w:w="0" w:type="dxa"/>
            <w:right w:w="108" w:type="dxa"/>
          </w:tblCellMar>
        </w:tblPrEx>
        <w:trPr>
          <w:cantSplit/>
          <w:trHeight w:val="275" w:hRule="atLeast"/>
          <w:tblHeader/>
        </w:trPr>
        <w:tc>
          <w:tcPr>
            <w:tcW w:w="792" w:type="dxa"/>
            <w:vMerge w:val="restart"/>
            <w:tcBorders>
              <w:top w:val="single" w:color="auto" w:sz="8" w:space="0"/>
              <w:left w:val="single" w:color="auto" w:sz="8" w:space="0"/>
              <w:right w:val="single" w:color="auto" w:sz="8" w:space="0"/>
            </w:tcBorders>
            <w:shd w:val="clear" w:color="auto" w:fill="auto"/>
            <w:noWrap/>
            <w:vAlign w:val="center"/>
          </w:tcPr>
          <w:p w14:paraId="7CD40CE6">
            <w:pPr>
              <w:widowControl/>
              <w:spacing w:line="240" w:lineRule="auto"/>
              <w:jc w:val="center"/>
              <w:rPr>
                <w:rFonts w:eastAsia="等线"/>
                <w:kern w:val="0"/>
                <w:sz w:val="18"/>
                <w:szCs w:val="18"/>
              </w:rPr>
            </w:pPr>
            <w:r>
              <w:rPr>
                <w:rFonts w:eastAsia="等线"/>
                <w:kern w:val="0"/>
                <w:sz w:val="18"/>
                <w:szCs w:val="18"/>
              </w:rPr>
              <mc:AlternateContent>
                <mc:Choice Requires="wps">
                  <w:drawing>
                    <wp:anchor distT="0" distB="0" distL="114300" distR="114300" simplePos="0" relativeHeight="251681792" behindDoc="0" locked="0" layoutInCell="1" allowOverlap="1">
                      <wp:simplePos x="0" y="0"/>
                      <wp:positionH relativeFrom="column">
                        <wp:posOffset>101600</wp:posOffset>
                      </wp:positionH>
                      <wp:positionV relativeFrom="paragraph">
                        <wp:posOffset>-5715</wp:posOffset>
                      </wp:positionV>
                      <wp:extent cx="276225" cy="539750"/>
                      <wp:effectExtent l="10795" t="8255" r="8255" b="13970"/>
                      <wp:wrapNone/>
                      <wp:docPr id="27" name="AutoShape 147"/>
                      <wp:cNvGraphicFramePr/>
                      <a:graphic xmlns:a="http://schemas.openxmlformats.org/drawingml/2006/main">
                        <a:graphicData uri="http://schemas.microsoft.com/office/word/2010/wordprocessingShape">
                          <wps:wsp>
                            <wps:cNvCnPr>
                              <a:cxnSpLocks noChangeShapeType="1"/>
                            </wps:cNvCnPr>
                            <wps:spPr bwMode="auto">
                              <a:xfrm flipH="1" flipV="1">
                                <a:off x="0" y="0"/>
                                <a:ext cx="276225" cy="539750"/>
                              </a:xfrm>
                              <a:prstGeom prst="straightConnector1">
                                <a:avLst/>
                              </a:prstGeom>
                              <a:noFill/>
                              <a:ln w="9525">
                                <a:solidFill>
                                  <a:srgbClr val="000000"/>
                                </a:solidFill>
                                <a:round/>
                              </a:ln>
                            </wps:spPr>
                            <wps:bodyPr/>
                          </wps:wsp>
                        </a:graphicData>
                      </a:graphic>
                    </wp:anchor>
                  </w:drawing>
                </mc:Choice>
                <mc:Fallback>
                  <w:pict>
                    <v:shape id="AutoShape 147" o:spid="_x0000_s1026" o:spt="32" type="#_x0000_t32" style="position:absolute;left:0pt;flip:x y;margin-left:8pt;margin-top:-0.45pt;height:42.5pt;width:21.75pt;z-index:251681792;mso-width-relative:page;mso-height-relative:page;" filled="f" stroked="t" coordsize="21600,21600" o:gfxdata="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EY+K3XAAAA&#10;BgEAAA8AAAAAAAAAAQAgAAAAIgAAAGRycy9kb3ducmV2LnhtbFBLAQIUABQAAAAIAIdO4kAJuzpP&#10;5QEAAM0DAAAOAAAAAAAAAAEAIAAAACYBAABkcnMvZTJvRG9jLnhtbFBLBQYAAAAABgAGAFkBAAB9&#10;BQAAAAA=&#10;">
                      <v:fill on="f" focussize="0,0"/>
                      <v:stroke color="#000000" joinstyle="round"/>
                      <v:imagedata o:title=""/>
                      <o:lock v:ext="edit" aspectratio="f"/>
                    </v:shape>
                  </w:pict>
                </mc:Fallback>
              </mc:AlternateContent>
            </w:r>
            <w:r>
              <w:rPr>
                <w:rFonts w:hint="eastAsia" w:eastAsia="等线"/>
                <w:kern w:val="0"/>
                <w:sz w:val="18"/>
                <w:szCs w:val="18"/>
              </w:rPr>
              <w:t xml:space="preserve">   </w:t>
            </w:r>
            <w:r>
              <w:rPr>
                <w:rFonts w:eastAsia="等线"/>
                <w:kern w:val="0"/>
                <w:sz w:val="18"/>
                <w:szCs w:val="18"/>
              </w:rPr>
              <w:t>v</w:t>
            </w:r>
          </w:p>
          <w:p w14:paraId="6DFFD122">
            <w:pPr>
              <w:widowControl/>
              <w:spacing w:line="240" w:lineRule="auto"/>
              <w:ind w:firstLine="210" w:firstLineChars="100"/>
              <w:jc w:val="left"/>
              <w:rPr>
                <w:rFonts w:eastAsia="等线"/>
                <w:kern w:val="0"/>
                <w:sz w:val="18"/>
                <w:szCs w:val="18"/>
              </w:rPr>
            </w:pPr>
            <w:r>
              <w:rPr>
                <w:szCs w:val="21"/>
              </w:rPr>
              <mc:AlternateContent>
                <mc:Choice Requires="wps">
                  <w:drawing>
                    <wp:anchor distT="0" distB="0" distL="114300" distR="114300" simplePos="0" relativeHeight="251680768" behindDoc="0" locked="0" layoutInCell="1" allowOverlap="1">
                      <wp:simplePos x="0" y="0"/>
                      <wp:positionH relativeFrom="column">
                        <wp:posOffset>-60325</wp:posOffset>
                      </wp:positionH>
                      <wp:positionV relativeFrom="paragraph">
                        <wp:posOffset>91440</wp:posOffset>
                      </wp:positionV>
                      <wp:extent cx="434975" cy="311150"/>
                      <wp:effectExtent l="10795" t="8255" r="11430" b="13970"/>
                      <wp:wrapNone/>
                      <wp:docPr id="28" name="AutoShape 146"/>
                      <wp:cNvGraphicFramePr/>
                      <a:graphic xmlns:a="http://schemas.openxmlformats.org/drawingml/2006/main">
                        <a:graphicData uri="http://schemas.microsoft.com/office/word/2010/wordprocessingShape">
                          <wps:wsp>
                            <wps:cNvCnPr>
                              <a:cxnSpLocks noChangeShapeType="1"/>
                            </wps:cNvCnPr>
                            <wps:spPr bwMode="auto">
                              <a:xfrm flipH="1" flipV="1">
                                <a:off x="0" y="0"/>
                                <a:ext cx="434975" cy="311150"/>
                              </a:xfrm>
                              <a:prstGeom prst="straightConnector1">
                                <a:avLst/>
                              </a:prstGeom>
                              <a:noFill/>
                              <a:ln w="9525">
                                <a:solidFill>
                                  <a:srgbClr val="000000"/>
                                </a:solidFill>
                                <a:round/>
                              </a:ln>
                            </wps:spPr>
                            <wps:bodyPr/>
                          </wps:wsp>
                        </a:graphicData>
                      </a:graphic>
                    </wp:anchor>
                  </w:drawing>
                </mc:Choice>
                <mc:Fallback>
                  <w:pict>
                    <v:shape id="AutoShape 146" o:spid="_x0000_s1026" o:spt="32" type="#_x0000_t32" style="position:absolute;left:0pt;flip:x y;margin-left:-4.75pt;margin-top:7.2pt;height:24.5pt;width:34.25pt;z-index:251680768;mso-width-relative:page;mso-height-relative:page;" filled="f" stroked="t" coordsize="21600,21600" o:gfxdata="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nmzrvY&#10;AAAABwEAAA8AAAAAAAAAAQAgAAAAIgAAAGRycy9kb3ducmV2LnhtbFBLAQIUABQAAAAIAIdO4kCF&#10;iUFn5wEAAM0DAAAOAAAAAAAAAAEAIAAAACcBAABkcnMvZTJvRG9jLnhtbFBLBQYAAAAABgAGAFkB&#10;AACABQAAAAA=&#10;">
                      <v:fill on="f" focussize="0,0"/>
                      <v:stroke color="#000000" joinstyle="round"/>
                      <v:imagedata o:title=""/>
                      <o:lock v:ext="edit" aspectratio="f"/>
                    </v:shape>
                  </w:pict>
                </mc:Fallback>
              </mc:AlternateContent>
            </w:r>
            <w:r>
              <w:rPr>
                <w:rFonts w:eastAsia="等线"/>
                <w:kern w:val="0"/>
                <w:sz w:val="18"/>
                <w:szCs w:val="18"/>
              </w:rPr>
              <w:t>l</w:t>
            </w:r>
            <w:r>
              <w:rPr>
                <w:rFonts w:hint="eastAsia" w:eastAsia="等线"/>
                <w:kern w:val="0"/>
                <w:sz w:val="18"/>
                <w:szCs w:val="18"/>
              </w:rPr>
              <w:t xml:space="preserve">  </w:t>
            </w:r>
          </w:p>
          <w:p w14:paraId="0A06EFAE">
            <w:pPr>
              <w:widowControl/>
              <w:spacing w:line="240" w:lineRule="auto"/>
              <w:jc w:val="center"/>
              <w:rPr>
                <w:rFonts w:eastAsia="等线"/>
                <w:kern w:val="0"/>
                <w:sz w:val="18"/>
                <w:szCs w:val="18"/>
              </w:rPr>
            </w:pPr>
          </w:p>
          <w:p w14:paraId="47259019">
            <w:pPr>
              <w:widowControl/>
              <w:spacing w:line="240" w:lineRule="auto"/>
              <w:jc w:val="left"/>
              <w:rPr>
                <w:rFonts w:eastAsia="等线"/>
                <w:kern w:val="0"/>
                <w:sz w:val="18"/>
                <w:szCs w:val="18"/>
              </w:rPr>
            </w:pPr>
            <w:r>
              <w:rPr>
                <w:rFonts w:hint="eastAsia" w:eastAsia="等线"/>
                <w:kern w:val="0"/>
                <w:sz w:val="18"/>
                <w:szCs w:val="18"/>
              </w:rPr>
              <w:t>R</w:t>
            </w:r>
          </w:p>
        </w:tc>
        <w:tc>
          <w:tcPr>
            <w:tcW w:w="792" w:type="dxa"/>
            <w:tcBorders>
              <w:top w:val="single" w:color="auto" w:sz="8" w:space="0"/>
              <w:left w:val="nil"/>
              <w:bottom w:val="nil"/>
              <w:right w:val="single" w:color="auto" w:sz="8" w:space="0"/>
            </w:tcBorders>
            <w:shd w:val="clear" w:color="auto" w:fill="auto"/>
            <w:vAlign w:val="center"/>
          </w:tcPr>
          <w:p w14:paraId="0715D72B">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2" w:type="dxa"/>
            <w:tcBorders>
              <w:top w:val="single" w:color="auto" w:sz="8" w:space="0"/>
              <w:left w:val="nil"/>
              <w:bottom w:val="nil"/>
              <w:right w:val="single" w:color="auto" w:sz="8" w:space="0"/>
            </w:tcBorders>
            <w:shd w:val="clear" w:color="auto" w:fill="auto"/>
            <w:vAlign w:val="center"/>
          </w:tcPr>
          <w:p w14:paraId="6BEC360E">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2" w:type="dxa"/>
            <w:tcBorders>
              <w:top w:val="single" w:color="auto" w:sz="8" w:space="0"/>
              <w:left w:val="nil"/>
              <w:bottom w:val="nil"/>
              <w:right w:val="single" w:color="auto" w:sz="8" w:space="0"/>
            </w:tcBorders>
            <w:shd w:val="clear" w:color="auto" w:fill="auto"/>
            <w:vAlign w:val="center"/>
          </w:tcPr>
          <w:p w14:paraId="5FE2A215">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single" w:color="auto" w:sz="8" w:space="0"/>
              <w:left w:val="nil"/>
              <w:bottom w:val="nil"/>
              <w:right w:val="single" w:color="auto" w:sz="8" w:space="0"/>
            </w:tcBorders>
            <w:shd w:val="clear" w:color="auto" w:fill="auto"/>
            <w:vAlign w:val="center"/>
          </w:tcPr>
          <w:p w14:paraId="1470E828">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single" w:color="auto" w:sz="8" w:space="0"/>
              <w:left w:val="nil"/>
              <w:bottom w:val="nil"/>
              <w:right w:val="single" w:color="auto" w:sz="8" w:space="0"/>
            </w:tcBorders>
            <w:shd w:val="clear" w:color="auto" w:fill="auto"/>
            <w:vAlign w:val="center"/>
          </w:tcPr>
          <w:p w14:paraId="4A8708EB">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single" w:color="auto" w:sz="8" w:space="0"/>
              <w:left w:val="nil"/>
              <w:bottom w:val="nil"/>
              <w:right w:val="single" w:color="auto" w:sz="8" w:space="0"/>
            </w:tcBorders>
            <w:shd w:val="clear" w:color="auto" w:fill="auto"/>
            <w:vAlign w:val="center"/>
          </w:tcPr>
          <w:p w14:paraId="396DF6AA">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single" w:color="auto" w:sz="8" w:space="0"/>
              <w:left w:val="nil"/>
              <w:bottom w:val="nil"/>
              <w:right w:val="single" w:color="auto" w:sz="8" w:space="0"/>
            </w:tcBorders>
            <w:shd w:val="clear" w:color="auto" w:fill="auto"/>
            <w:vAlign w:val="center"/>
          </w:tcPr>
          <w:p w14:paraId="4A9CA2B0">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14:paraId="2289874B">
        <w:tblPrEx>
          <w:tblCellMar>
            <w:top w:w="0" w:type="dxa"/>
            <w:left w:w="108" w:type="dxa"/>
            <w:bottom w:w="0" w:type="dxa"/>
            <w:right w:w="108" w:type="dxa"/>
          </w:tblCellMar>
        </w:tblPrEx>
        <w:trPr>
          <w:cantSplit/>
          <w:trHeight w:val="275" w:hRule="atLeast"/>
          <w:tblHeader/>
        </w:trPr>
        <w:tc>
          <w:tcPr>
            <w:tcW w:w="792" w:type="dxa"/>
            <w:vMerge w:val="continue"/>
            <w:tcBorders>
              <w:left w:val="single" w:color="auto" w:sz="8" w:space="0"/>
              <w:right w:val="single" w:color="auto" w:sz="8" w:space="0"/>
              <w:tl2br w:val="single" w:color="auto" w:sz="4" w:space="0"/>
            </w:tcBorders>
            <w:shd w:val="clear" w:color="auto" w:fill="auto"/>
            <w:noWrap/>
            <w:vAlign w:val="center"/>
          </w:tcPr>
          <w:p w14:paraId="5F64A2C2">
            <w:pPr>
              <w:widowControl/>
              <w:spacing w:line="240" w:lineRule="auto"/>
              <w:jc w:val="center"/>
              <w:rPr>
                <w:rFonts w:eastAsia="等线"/>
                <w:kern w:val="0"/>
                <w:sz w:val="18"/>
                <w:szCs w:val="18"/>
              </w:rPr>
            </w:pPr>
          </w:p>
        </w:tc>
        <w:tc>
          <w:tcPr>
            <w:tcW w:w="792" w:type="dxa"/>
            <w:tcBorders>
              <w:top w:val="nil"/>
              <w:left w:val="nil"/>
              <w:bottom w:val="nil"/>
              <w:right w:val="single" w:color="auto" w:sz="8" w:space="0"/>
            </w:tcBorders>
            <w:shd w:val="clear" w:color="auto" w:fill="auto"/>
            <w:vAlign w:val="center"/>
          </w:tcPr>
          <w:p w14:paraId="32C4E364">
            <w:pPr>
              <w:widowControl/>
              <w:spacing w:line="240" w:lineRule="auto"/>
              <w:jc w:val="center"/>
              <w:rPr>
                <w:rFonts w:eastAsia="等线"/>
                <w:kern w:val="0"/>
                <w:sz w:val="18"/>
                <w:szCs w:val="18"/>
              </w:rPr>
            </w:pPr>
            <w:r>
              <w:rPr>
                <w:rFonts w:eastAsia="等线"/>
                <w:kern w:val="0"/>
                <w:sz w:val="18"/>
                <w:szCs w:val="18"/>
              </w:rPr>
              <w:t>65</w:t>
            </w:r>
          </w:p>
        </w:tc>
        <w:tc>
          <w:tcPr>
            <w:tcW w:w="792" w:type="dxa"/>
            <w:tcBorders>
              <w:top w:val="nil"/>
              <w:left w:val="nil"/>
              <w:bottom w:val="nil"/>
              <w:right w:val="single" w:color="auto" w:sz="8" w:space="0"/>
            </w:tcBorders>
            <w:shd w:val="clear" w:color="auto" w:fill="auto"/>
            <w:vAlign w:val="center"/>
          </w:tcPr>
          <w:p w14:paraId="465430EB">
            <w:pPr>
              <w:widowControl/>
              <w:spacing w:line="240" w:lineRule="auto"/>
              <w:jc w:val="center"/>
              <w:rPr>
                <w:rFonts w:eastAsia="等线"/>
                <w:kern w:val="0"/>
                <w:sz w:val="18"/>
                <w:szCs w:val="18"/>
              </w:rPr>
            </w:pPr>
            <w:r>
              <w:rPr>
                <w:rFonts w:eastAsia="等线"/>
                <w:kern w:val="0"/>
                <w:sz w:val="18"/>
                <w:szCs w:val="18"/>
              </w:rPr>
              <w:t>60</w:t>
            </w:r>
          </w:p>
        </w:tc>
        <w:tc>
          <w:tcPr>
            <w:tcW w:w="792" w:type="dxa"/>
            <w:tcBorders>
              <w:top w:val="nil"/>
              <w:left w:val="nil"/>
              <w:bottom w:val="nil"/>
              <w:right w:val="single" w:color="auto" w:sz="8" w:space="0"/>
            </w:tcBorders>
            <w:shd w:val="clear" w:color="auto" w:fill="auto"/>
            <w:vAlign w:val="center"/>
          </w:tcPr>
          <w:p w14:paraId="26E58D0D">
            <w:pPr>
              <w:widowControl/>
              <w:spacing w:line="240" w:lineRule="auto"/>
              <w:jc w:val="center"/>
              <w:rPr>
                <w:rFonts w:eastAsia="等线"/>
                <w:kern w:val="0"/>
                <w:sz w:val="18"/>
                <w:szCs w:val="18"/>
              </w:rPr>
            </w:pPr>
            <w:r>
              <w:rPr>
                <w:rFonts w:eastAsia="等线"/>
                <w:kern w:val="0"/>
                <w:sz w:val="18"/>
                <w:szCs w:val="18"/>
              </w:rPr>
              <w:t>55</w:t>
            </w:r>
          </w:p>
        </w:tc>
        <w:tc>
          <w:tcPr>
            <w:tcW w:w="793" w:type="dxa"/>
            <w:tcBorders>
              <w:top w:val="nil"/>
              <w:left w:val="nil"/>
              <w:bottom w:val="nil"/>
              <w:right w:val="single" w:color="auto" w:sz="8" w:space="0"/>
            </w:tcBorders>
            <w:shd w:val="clear" w:color="auto" w:fill="auto"/>
            <w:vAlign w:val="center"/>
          </w:tcPr>
          <w:p w14:paraId="4F60F1DB">
            <w:pPr>
              <w:widowControl/>
              <w:spacing w:line="240" w:lineRule="auto"/>
              <w:jc w:val="center"/>
              <w:rPr>
                <w:rFonts w:eastAsia="等线"/>
                <w:kern w:val="0"/>
                <w:sz w:val="18"/>
                <w:szCs w:val="18"/>
              </w:rPr>
            </w:pPr>
            <w:r>
              <w:rPr>
                <w:rFonts w:eastAsia="等线"/>
                <w:kern w:val="0"/>
                <w:sz w:val="18"/>
                <w:szCs w:val="18"/>
              </w:rPr>
              <w:t>50</w:t>
            </w:r>
          </w:p>
        </w:tc>
        <w:tc>
          <w:tcPr>
            <w:tcW w:w="793" w:type="dxa"/>
            <w:tcBorders>
              <w:top w:val="nil"/>
              <w:left w:val="nil"/>
              <w:bottom w:val="nil"/>
              <w:right w:val="single" w:color="auto" w:sz="8" w:space="0"/>
            </w:tcBorders>
            <w:shd w:val="clear" w:color="auto" w:fill="auto"/>
            <w:vAlign w:val="center"/>
          </w:tcPr>
          <w:p w14:paraId="552B38FF">
            <w:pPr>
              <w:widowControl/>
              <w:spacing w:line="240" w:lineRule="auto"/>
              <w:jc w:val="center"/>
              <w:rPr>
                <w:rFonts w:eastAsia="等线"/>
                <w:kern w:val="0"/>
                <w:sz w:val="18"/>
                <w:szCs w:val="18"/>
              </w:rPr>
            </w:pPr>
            <w:r>
              <w:rPr>
                <w:rFonts w:eastAsia="等线"/>
                <w:kern w:val="0"/>
                <w:sz w:val="18"/>
                <w:szCs w:val="18"/>
              </w:rPr>
              <w:t>45</w:t>
            </w:r>
          </w:p>
        </w:tc>
        <w:tc>
          <w:tcPr>
            <w:tcW w:w="793" w:type="dxa"/>
            <w:tcBorders>
              <w:top w:val="nil"/>
              <w:left w:val="nil"/>
              <w:bottom w:val="nil"/>
              <w:right w:val="single" w:color="auto" w:sz="8" w:space="0"/>
            </w:tcBorders>
            <w:shd w:val="clear" w:color="auto" w:fill="auto"/>
            <w:vAlign w:val="center"/>
          </w:tcPr>
          <w:p w14:paraId="763671B0">
            <w:pPr>
              <w:widowControl/>
              <w:spacing w:line="240" w:lineRule="auto"/>
              <w:jc w:val="center"/>
              <w:rPr>
                <w:rFonts w:eastAsia="等线"/>
                <w:kern w:val="0"/>
                <w:sz w:val="18"/>
                <w:szCs w:val="18"/>
              </w:rPr>
            </w:pPr>
            <w:r>
              <w:rPr>
                <w:rFonts w:eastAsia="等线"/>
                <w:kern w:val="0"/>
                <w:sz w:val="18"/>
                <w:szCs w:val="18"/>
              </w:rPr>
              <w:t>40</w:t>
            </w:r>
          </w:p>
        </w:tc>
        <w:tc>
          <w:tcPr>
            <w:tcW w:w="793" w:type="dxa"/>
            <w:tcBorders>
              <w:top w:val="nil"/>
              <w:left w:val="nil"/>
              <w:bottom w:val="nil"/>
              <w:right w:val="single" w:color="auto" w:sz="8" w:space="0"/>
            </w:tcBorders>
            <w:shd w:val="clear" w:color="auto" w:fill="auto"/>
            <w:vAlign w:val="center"/>
          </w:tcPr>
          <w:p w14:paraId="21B47216">
            <w:pPr>
              <w:widowControl/>
              <w:spacing w:line="240" w:lineRule="auto"/>
              <w:jc w:val="center"/>
              <w:rPr>
                <w:rFonts w:eastAsia="等线"/>
                <w:kern w:val="0"/>
                <w:sz w:val="18"/>
                <w:szCs w:val="18"/>
              </w:rPr>
            </w:pPr>
            <w:r>
              <w:rPr>
                <w:rFonts w:eastAsia="等线"/>
                <w:kern w:val="0"/>
                <w:sz w:val="18"/>
                <w:szCs w:val="18"/>
              </w:rPr>
              <w:t>35</w:t>
            </w:r>
          </w:p>
        </w:tc>
      </w:tr>
      <w:tr w14:paraId="29FF433F">
        <w:tblPrEx>
          <w:tblCellMar>
            <w:top w:w="0" w:type="dxa"/>
            <w:left w:w="108" w:type="dxa"/>
            <w:bottom w:w="0" w:type="dxa"/>
            <w:right w:w="108" w:type="dxa"/>
          </w:tblCellMar>
        </w:tblPrEx>
        <w:trPr>
          <w:cantSplit/>
          <w:trHeight w:val="288" w:hRule="atLeast"/>
          <w:tblHeader/>
        </w:trPr>
        <w:tc>
          <w:tcPr>
            <w:tcW w:w="792" w:type="dxa"/>
            <w:vMerge w:val="continue"/>
            <w:tcBorders>
              <w:left w:val="single" w:color="auto" w:sz="8" w:space="0"/>
              <w:bottom w:val="single" w:color="auto" w:sz="8" w:space="0"/>
              <w:right w:val="single" w:color="auto" w:sz="8" w:space="0"/>
              <w:tl2br w:val="single" w:color="auto" w:sz="4" w:space="0"/>
            </w:tcBorders>
            <w:shd w:val="clear" w:color="auto" w:fill="auto"/>
            <w:noWrap/>
            <w:vAlign w:val="center"/>
          </w:tcPr>
          <w:p w14:paraId="1117FECC">
            <w:pPr>
              <w:widowControl/>
              <w:spacing w:line="240" w:lineRule="auto"/>
              <w:jc w:val="center"/>
              <w:rPr>
                <w:rFonts w:eastAsia="等线"/>
                <w:kern w:val="0"/>
                <w:sz w:val="18"/>
                <w:szCs w:val="18"/>
              </w:rPr>
            </w:pPr>
          </w:p>
        </w:tc>
        <w:tc>
          <w:tcPr>
            <w:tcW w:w="792" w:type="dxa"/>
            <w:tcBorders>
              <w:top w:val="nil"/>
              <w:left w:val="nil"/>
              <w:bottom w:val="single" w:color="auto" w:sz="8" w:space="0"/>
              <w:right w:val="single" w:color="auto" w:sz="8" w:space="0"/>
            </w:tcBorders>
            <w:shd w:val="clear" w:color="auto" w:fill="auto"/>
            <w:vAlign w:val="center"/>
          </w:tcPr>
          <w:p w14:paraId="60969493">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2" w:type="dxa"/>
            <w:tcBorders>
              <w:top w:val="nil"/>
              <w:left w:val="nil"/>
              <w:bottom w:val="single" w:color="auto" w:sz="8" w:space="0"/>
              <w:right w:val="single" w:color="auto" w:sz="8" w:space="0"/>
            </w:tcBorders>
            <w:shd w:val="clear" w:color="auto" w:fill="auto"/>
            <w:vAlign w:val="center"/>
          </w:tcPr>
          <w:p w14:paraId="0BCEBBA6">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2" w:type="dxa"/>
            <w:tcBorders>
              <w:top w:val="nil"/>
              <w:left w:val="nil"/>
              <w:bottom w:val="single" w:color="auto" w:sz="8" w:space="0"/>
              <w:right w:val="single" w:color="auto" w:sz="8" w:space="0"/>
            </w:tcBorders>
            <w:shd w:val="clear" w:color="auto" w:fill="auto"/>
            <w:vAlign w:val="center"/>
          </w:tcPr>
          <w:p w14:paraId="15018688">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nil"/>
              <w:left w:val="nil"/>
              <w:bottom w:val="single" w:color="auto" w:sz="8" w:space="0"/>
              <w:right w:val="single" w:color="auto" w:sz="8" w:space="0"/>
            </w:tcBorders>
            <w:shd w:val="clear" w:color="auto" w:fill="auto"/>
            <w:vAlign w:val="center"/>
          </w:tcPr>
          <w:p w14:paraId="7692BDDC">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nil"/>
              <w:left w:val="nil"/>
              <w:bottom w:val="single" w:color="auto" w:sz="8" w:space="0"/>
              <w:right w:val="single" w:color="auto" w:sz="8" w:space="0"/>
            </w:tcBorders>
            <w:shd w:val="clear" w:color="auto" w:fill="auto"/>
            <w:vAlign w:val="center"/>
          </w:tcPr>
          <w:p w14:paraId="768A926F">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nil"/>
              <w:left w:val="nil"/>
              <w:bottom w:val="single" w:color="auto" w:sz="8" w:space="0"/>
              <w:right w:val="single" w:color="auto" w:sz="8" w:space="0"/>
            </w:tcBorders>
            <w:shd w:val="clear" w:color="auto" w:fill="auto"/>
            <w:vAlign w:val="center"/>
          </w:tcPr>
          <w:p w14:paraId="3D20B3B8">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nil"/>
              <w:left w:val="nil"/>
              <w:bottom w:val="single" w:color="auto" w:sz="8" w:space="0"/>
              <w:right w:val="single" w:color="auto" w:sz="8" w:space="0"/>
            </w:tcBorders>
            <w:shd w:val="clear" w:color="auto" w:fill="auto"/>
            <w:vAlign w:val="center"/>
          </w:tcPr>
          <w:p w14:paraId="2A9B7C60">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14:paraId="71612F53">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40C38F98">
            <w:pPr>
              <w:widowControl/>
              <w:spacing w:line="240" w:lineRule="auto"/>
              <w:jc w:val="center"/>
              <w:rPr>
                <w:rFonts w:eastAsia="等线"/>
                <w:kern w:val="0"/>
                <w:sz w:val="18"/>
                <w:szCs w:val="18"/>
              </w:rPr>
            </w:pPr>
            <w:r>
              <w:rPr>
                <w:rFonts w:eastAsia="等线"/>
                <w:kern w:val="0"/>
                <w:sz w:val="18"/>
                <w:szCs w:val="18"/>
              </w:rPr>
              <w:t>10000</w:t>
            </w:r>
          </w:p>
        </w:tc>
        <w:tc>
          <w:tcPr>
            <w:tcW w:w="792" w:type="dxa"/>
            <w:tcBorders>
              <w:top w:val="nil"/>
              <w:left w:val="nil"/>
              <w:bottom w:val="single" w:color="auto" w:sz="8" w:space="0"/>
              <w:right w:val="single" w:color="auto" w:sz="8" w:space="0"/>
            </w:tcBorders>
            <w:shd w:val="clear" w:color="auto" w:fill="auto"/>
            <w:vAlign w:val="center"/>
          </w:tcPr>
          <w:p w14:paraId="29688D8A">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2B0AC060">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5682E32A">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76519640">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32FE06D8">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56594E08">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3B136046">
            <w:pPr>
              <w:widowControl/>
              <w:spacing w:line="240" w:lineRule="auto"/>
              <w:jc w:val="center"/>
              <w:rPr>
                <w:rFonts w:eastAsia="等线"/>
                <w:kern w:val="0"/>
                <w:sz w:val="18"/>
                <w:szCs w:val="18"/>
              </w:rPr>
            </w:pPr>
            <w:r>
              <w:rPr>
                <w:rFonts w:eastAsia="等线"/>
                <w:kern w:val="0"/>
                <w:sz w:val="18"/>
                <w:szCs w:val="18"/>
              </w:rPr>
              <w:t>—</w:t>
            </w:r>
          </w:p>
        </w:tc>
      </w:tr>
      <w:tr w14:paraId="21BF5637">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38617173">
            <w:pPr>
              <w:widowControl/>
              <w:spacing w:line="240" w:lineRule="auto"/>
              <w:jc w:val="center"/>
              <w:rPr>
                <w:rFonts w:eastAsia="等线"/>
                <w:kern w:val="0"/>
                <w:sz w:val="18"/>
                <w:szCs w:val="18"/>
              </w:rPr>
            </w:pPr>
            <w:r>
              <w:rPr>
                <w:rFonts w:eastAsia="等线"/>
                <w:kern w:val="0"/>
                <w:sz w:val="18"/>
                <w:szCs w:val="18"/>
              </w:rPr>
              <w:t>9000</w:t>
            </w:r>
          </w:p>
        </w:tc>
        <w:tc>
          <w:tcPr>
            <w:tcW w:w="792" w:type="dxa"/>
            <w:tcBorders>
              <w:top w:val="nil"/>
              <w:left w:val="nil"/>
              <w:bottom w:val="single" w:color="auto" w:sz="8" w:space="0"/>
              <w:right w:val="single" w:color="auto" w:sz="8" w:space="0"/>
            </w:tcBorders>
            <w:shd w:val="clear" w:color="auto" w:fill="auto"/>
            <w:vAlign w:val="center"/>
          </w:tcPr>
          <w:p w14:paraId="0D4A0AA5">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6C870274">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127603EB">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548117E0">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777DCD7B">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3040D11C">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41A2E887">
            <w:pPr>
              <w:widowControl/>
              <w:spacing w:line="240" w:lineRule="auto"/>
              <w:jc w:val="center"/>
              <w:rPr>
                <w:rFonts w:eastAsia="等线"/>
                <w:kern w:val="0"/>
                <w:sz w:val="18"/>
                <w:szCs w:val="18"/>
              </w:rPr>
            </w:pPr>
            <w:r>
              <w:rPr>
                <w:rFonts w:eastAsia="等线"/>
                <w:kern w:val="0"/>
                <w:sz w:val="18"/>
                <w:szCs w:val="18"/>
              </w:rPr>
              <w:t>—</w:t>
            </w:r>
          </w:p>
        </w:tc>
      </w:tr>
      <w:tr w14:paraId="796C7C50">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445B4749">
            <w:pPr>
              <w:widowControl/>
              <w:spacing w:line="240" w:lineRule="auto"/>
              <w:jc w:val="center"/>
              <w:rPr>
                <w:rFonts w:eastAsia="等线"/>
                <w:kern w:val="0"/>
                <w:sz w:val="18"/>
                <w:szCs w:val="18"/>
              </w:rPr>
            </w:pPr>
            <w:r>
              <w:rPr>
                <w:rFonts w:eastAsia="等线"/>
                <w:kern w:val="0"/>
                <w:sz w:val="18"/>
                <w:szCs w:val="18"/>
              </w:rPr>
              <w:t>8500</w:t>
            </w:r>
          </w:p>
        </w:tc>
        <w:tc>
          <w:tcPr>
            <w:tcW w:w="792" w:type="dxa"/>
            <w:tcBorders>
              <w:top w:val="nil"/>
              <w:left w:val="nil"/>
              <w:bottom w:val="single" w:color="auto" w:sz="8" w:space="0"/>
              <w:right w:val="single" w:color="auto" w:sz="8" w:space="0"/>
            </w:tcBorders>
            <w:shd w:val="clear" w:color="auto" w:fill="auto"/>
            <w:vAlign w:val="center"/>
          </w:tcPr>
          <w:p w14:paraId="7CCA840C">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0038B9F9">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1B433171">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7BCC876D">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707464D8">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3C4DA33D">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097C1CE0">
            <w:pPr>
              <w:widowControl/>
              <w:spacing w:line="240" w:lineRule="auto"/>
              <w:jc w:val="center"/>
              <w:rPr>
                <w:rFonts w:eastAsia="等线"/>
                <w:kern w:val="0"/>
                <w:sz w:val="18"/>
                <w:szCs w:val="18"/>
              </w:rPr>
            </w:pPr>
            <w:r>
              <w:rPr>
                <w:rFonts w:eastAsia="等线"/>
                <w:kern w:val="0"/>
                <w:sz w:val="18"/>
                <w:szCs w:val="18"/>
              </w:rPr>
              <w:t>—</w:t>
            </w:r>
          </w:p>
        </w:tc>
      </w:tr>
      <w:tr w14:paraId="1B5DC0C9">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51E9F914">
            <w:pPr>
              <w:widowControl/>
              <w:spacing w:line="240" w:lineRule="auto"/>
              <w:jc w:val="center"/>
              <w:rPr>
                <w:rFonts w:eastAsia="等线"/>
                <w:kern w:val="0"/>
                <w:sz w:val="18"/>
                <w:szCs w:val="18"/>
              </w:rPr>
            </w:pPr>
            <w:r>
              <w:rPr>
                <w:rFonts w:eastAsia="等线"/>
                <w:kern w:val="0"/>
                <w:sz w:val="18"/>
                <w:szCs w:val="18"/>
              </w:rPr>
              <w:t>8000</w:t>
            </w:r>
          </w:p>
        </w:tc>
        <w:tc>
          <w:tcPr>
            <w:tcW w:w="792" w:type="dxa"/>
            <w:tcBorders>
              <w:top w:val="nil"/>
              <w:left w:val="nil"/>
              <w:bottom w:val="single" w:color="auto" w:sz="8" w:space="0"/>
              <w:right w:val="single" w:color="auto" w:sz="8" w:space="0"/>
            </w:tcBorders>
            <w:shd w:val="clear" w:color="auto" w:fill="auto"/>
            <w:vAlign w:val="center"/>
          </w:tcPr>
          <w:p w14:paraId="18056363">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21C28EC1">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3FEB4806">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4036D3B7">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1264DC8A">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426D516E">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76D9C4BF">
            <w:pPr>
              <w:widowControl/>
              <w:spacing w:line="240" w:lineRule="auto"/>
              <w:jc w:val="center"/>
              <w:rPr>
                <w:rFonts w:eastAsia="等线"/>
                <w:kern w:val="0"/>
                <w:sz w:val="18"/>
                <w:szCs w:val="18"/>
              </w:rPr>
            </w:pPr>
            <w:r>
              <w:rPr>
                <w:rFonts w:eastAsia="等线"/>
                <w:kern w:val="0"/>
                <w:sz w:val="18"/>
                <w:szCs w:val="18"/>
              </w:rPr>
              <w:t>—</w:t>
            </w:r>
          </w:p>
        </w:tc>
      </w:tr>
      <w:tr w14:paraId="75F55289">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76B999FC">
            <w:pPr>
              <w:widowControl/>
              <w:spacing w:line="240" w:lineRule="auto"/>
              <w:jc w:val="center"/>
              <w:rPr>
                <w:rFonts w:eastAsia="等线"/>
                <w:kern w:val="0"/>
                <w:sz w:val="18"/>
                <w:szCs w:val="18"/>
              </w:rPr>
            </w:pPr>
            <w:r>
              <w:rPr>
                <w:rFonts w:eastAsia="等线"/>
                <w:kern w:val="0"/>
                <w:sz w:val="18"/>
                <w:szCs w:val="18"/>
              </w:rPr>
              <w:t>7500</w:t>
            </w:r>
          </w:p>
        </w:tc>
        <w:tc>
          <w:tcPr>
            <w:tcW w:w="792" w:type="dxa"/>
            <w:tcBorders>
              <w:top w:val="nil"/>
              <w:left w:val="nil"/>
              <w:bottom w:val="single" w:color="auto" w:sz="8" w:space="0"/>
              <w:right w:val="single" w:color="auto" w:sz="8" w:space="0"/>
            </w:tcBorders>
            <w:shd w:val="clear" w:color="auto" w:fill="auto"/>
            <w:vAlign w:val="center"/>
          </w:tcPr>
          <w:p w14:paraId="495556E0">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69F2B2CD">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1EC2641A">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2286F610">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2E9A9BA1">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7C5144D4">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54CA74F2">
            <w:pPr>
              <w:widowControl/>
              <w:spacing w:line="240" w:lineRule="auto"/>
              <w:jc w:val="center"/>
              <w:rPr>
                <w:rFonts w:eastAsia="等线"/>
                <w:kern w:val="0"/>
                <w:sz w:val="18"/>
                <w:szCs w:val="18"/>
              </w:rPr>
            </w:pPr>
            <w:r>
              <w:rPr>
                <w:rFonts w:eastAsia="等线"/>
                <w:kern w:val="0"/>
                <w:sz w:val="18"/>
                <w:szCs w:val="18"/>
              </w:rPr>
              <w:t>—</w:t>
            </w:r>
          </w:p>
        </w:tc>
      </w:tr>
      <w:tr w14:paraId="79674C40">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5F6C3DD1">
            <w:pPr>
              <w:widowControl/>
              <w:spacing w:line="240" w:lineRule="auto"/>
              <w:jc w:val="center"/>
              <w:rPr>
                <w:rFonts w:eastAsia="等线"/>
                <w:kern w:val="0"/>
                <w:sz w:val="18"/>
                <w:szCs w:val="18"/>
              </w:rPr>
            </w:pPr>
            <w:r>
              <w:rPr>
                <w:rFonts w:eastAsia="等线"/>
                <w:kern w:val="0"/>
                <w:sz w:val="18"/>
                <w:szCs w:val="18"/>
              </w:rPr>
              <w:t>7000</w:t>
            </w:r>
          </w:p>
        </w:tc>
        <w:tc>
          <w:tcPr>
            <w:tcW w:w="792" w:type="dxa"/>
            <w:tcBorders>
              <w:top w:val="nil"/>
              <w:left w:val="nil"/>
              <w:bottom w:val="single" w:color="auto" w:sz="8" w:space="0"/>
              <w:right w:val="single" w:color="auto" w:sz="8" w:space="0"/>
            </w:tcBorders>
            <w:shd w:val="clear" w:color="auto" w:fill="auto"/>
            <w:vAlign w:val="center"/>
          </w:tcPr>
          <w:p w14:paraId="568C5211">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60353987">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74ECEAB3">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3FF4BC21">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2AE2156E">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3E5CF5D4">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0F4F89D4">
            <w:pPr>
              <w:widowControl/>
              <w:spacing w:line="240" w:lineRule="auto"/>
              <w:jc w:val="center"/>
              <w:rPr>
                <w:rFonts w:eastAsia="等线"/>
                <w:kern w:val="0"/>
                <w:sz w:val="18"/>
                <w:szCs w:val="18"/>
              </w:rPr>
            </w:pPr>
            <w:r>
              <w:rPr>
                <w:rFonts w:eastAsia="等线"/>
                <w:kern w:val="0"/>
                <w:sz w:val="18"/>
                <w:szCs w:val="18"/>
              </w:rPr>
              <w:t>—</w:t>
            </w:r>
          </w:p>
        </w:tc>
      </w:tr>
      <w:tr w14:paraId="7CC914A5">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0AE522F9">
            <w:pPr>
              <w:widowControl/>
              <w:spacing w:line="240" w:lineRule="auto"/>
              <w:jc w:val="center"/>
              <w:rPr>
                <w:rFonts w:eastAsia="等线"/>
                <w:kern w:val="0"/>
                <w:sz w:val="18"/>
                <w:szCs w:val="18"/>
              </w:rPr>
            </w:pPr>
            <w:r>
              <w:rPr>
                <w:rFonts w:eastAsia="等线"/>
                <w:kern w:val="0"/>
                <w:sz w:val="18"/>
                <w:szCs w:val="18"/>
              </w:rPr>
              <w:t>6500</w:t>
            </w:r>
          </w:p>
        </w:tc>
        <w:tc>
          <w:tcPr>
            <w:tcW w:w="792" w:type="dxa"/>
            <w:tcBorders>
              <w:top w:val="nil"/>
              <w:left w:val="nil"/>
              <w:bottom w:val="single" w:color="auto" w:sz="8" w:space="0"/>
              <w:right w:val="single" w:color="auto" w:sz="8" w:space="0"/>
            </w:tcBorders>
            <w:shd w:val="clear" w:color="auto" w:fill="auto"/>
            <w:vAlign w:val="center"/>
          </w:tcPr>
          <w:p w14:paraId="137B5758">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7DD276E0">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0E275A27">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16BA3781">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00EFFF39">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121ED965">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4486A732">
            <w:pPr>
              <w:widowControl/>
              <w:spacing w:line="240" w:lineRule="auto"/>
              <w:jc w:val="center"/>
              <w:rPr>
                <w:rFonts w:eastAsia="等线"/>
                <w:kern w:val="0"/>
                <w:sz w:val="18"/>
                <w:szCs w:val="18"/>
              </w:rPr>
            </w:pPr>
            <w:r>
              <w:rPr>
                <w:rFonts w:eastAsia="等线"/>
                <w:kern w:val="0"/>
                <w:sz w:val="18"/>
                <w:szCs w:val="18"/>
              </w:rPr>
              <w:t>—</w:t>
            </w:r>
          </w:p>
        </w:tc>
      </w:tr>
      <w:tr w14:paraId="6A85F6D5">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492A009E">
            <w:pPr>
              <w:widowControl/>
              <w:spacing w:line="240" w:lineRule="auto"/>
              <w:jc w:val="center"/>
              <w:rPr>
                <w:rFonts w:eastAsia="等线"/>
                <w:kern w:val="0"/>
                <w:sz w:val="18"/>
                <w:szCs w:val="18"/>
              </w:rPr>
            </w:pPr>
            <w:r>
              <w:rPr>
                <w:rFonts w:eastAsia="等线"/>
                <w:kern w:val="0"/>
                <w:sz w:val="18"/>
                <w:szCs w:val="18"/>
              </w:rPr>
              <w:t>6000</w:t>
            </w:r>
          </w:p>
        </w:tc>
        <w:tc>
          <w:tcPr>
            <w:tcW w:w="792" w:type="dxa"/>
            <w:tcBorders>
              <w:top w:val="nil"/>
              <w:left w:val="nil"/>
              <w:bottom w:val="single" w:color="auto" w:sz="8" w:space="0"/>
              <w:right w:val="single" w:color="auto" w:sz="8" w:space="0"/>
            </w:tcBorders>
            <w:shd w:val="clear" w:color="auto" w:fill="auto"/>
            <w:vAlign w:val="center"/>
          </w:tcPr>
          <w:p w14:paraId="6B667ED8">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561D0F51">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33E1712A">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6ABF30D2">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43C0DCF4">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58E94F5C">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09966AA5">
            <w:pPr>
              <w:widowControl/>
              <w:spacing w:line="240" w:lineRule="auto"/>
              <w:jc w:val="center"/>
              <w:rPr>
                <w:rFonts w:eastAsia="等线"/>
                <w:kern w:val="0"/>
                <w:sz w:val="18"/>
                <w:szCs w:val="18"/>
              </w:rPr>
            </w:pPr>
            <w:r>
              <w:rPr>
                <w:rFonts w:eastAsia="等线"/>
                <w:kern w:val="0"/>
                <w:sz w:val="18"/>
                <w:szCs w:val="18"/>
              </w:rPr>
              <w:t>—</w:t>
            </w:r>
          </w:p>
        </w:tc>
      </w:tr>
      <w:tr w14:paraId="4284D6FD">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305B40BE">
            <w:pPr>
              <w:widowControl/>
              <w:spacing w:line="240" w:lineRule="auto"/>
              <w:jc w:val="center"/>
              <w:rPr>
                <w:rFonts w:eastAsia="等线"/>
                <w:kern w:val="0"/>
                <w:sz w:val="18"/>
                <w:szCs w:val="18"/>
              </w:rPr>
            </w:pPr>
            <w:r>
              <w:rPr>
                <w:rFonts w:eastAsia="等线"/>
                <w:kern w:val="0"/>
                <w:sz w:val="18"/>
                <w:szCs w:val="18"/>
              </w:rPr>
              <w:t>5500</w:t>
            </w:r>
          </w:p>
        </w:tc>
        <w:tc>
          <w:tcPr>
            <w:tcW w:w="792" w:type="dxa"/>
            <w:tcBorders>
              <w:top w:val="nil"/>
              <w:left w:val="nil"/>
              <w:bottom w:val="single" w:color="auto" w:sz="8" w:space="0"/>
              <w:right w:val="single" w:color="auto" w:sz="8" w:space="0"/>
            </w:tcBorders>
            <w:shd w:val="clear" w:color="auto" w:fill="auto"/>
            <w:vAlign w:val="center"/>
          </w:tcPr>
          <w:p w14:paraId="37CF7A10">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2D8A84C4">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36141B96">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3C730ECD">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250BA8FD">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4B5EB592">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0B687CB5">
            <w:pPr>
              <w:widowControl/>
              <w:spacing w:line="240" w:lineRule="auto"/>
              <w:jc w:val="center"/>
              <w:rPr>
                <w:rFonts w:eastAsia="等线"/>
                <w:kern w:val="0"/>
                <w:sz w:val="18"/>
                <w:szCs w:val="18"/>
              </w:rPr>
            </w:pPr>
            <w:r>
              <w:rPr>
                <w:rFonts w:eastAsia="等线"/>
                <w:kern w:val="0"/>
                <w:sz w:val="18"/>
                <w:szCs w:val="18"/>
              </w:rPr>
              <w:t>—</w:t>
            </w:r>
          </w:p>
        </w:tc>
      </w:tr>
      <w:tr w14:paraId="0F5C8341">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7D387A54">
            <w:pPr>
              <w:widowControl/>
              <w:spacing w:line="240" w:lineRule="auto"/>
              <w:jc w:val="center"/>
              <w:rPr>
                <w:rFonts w:eastAsia="等线"/>
                <w:kern w:val="0"/>
                <w:sz w:val="18"/>
                <w:szCs w:val="18"/>
              </w:rPr>
            </w:pPr>
            <w:r>
              <w:rPr>
                <w:rFonts w:eastAsia="等线"/>
                <w:kern w:val="0"/>
                <w:sz w:val="18"/>
                <w:szCs w:val="18"/>
              </w:rPr>
              <w:t>5000</w:t>
            </w:r>
          </w:p>
        </w:tc>
        <w:tc>
          <w:tcPr>
            <w:tcW w:w="792" w:type="dxa"/>
            <w:tcBorders>
              <w:top w:val="nil"/>
              <w:left w:val="nil"/>
              <w:bottom w:val="single" w:color="auto" w:sz="8" w:space="0"/>
              <w:right w:val="single" w:color="auto" w:sz="8" w:space="0"/>
            </w:tcBorders>
            <w:shd w:val="clear" w:color="auto" w:fill="auto"/>
            <w:vAlign w:val="center"/>
          </w:tcPr>
          <w:p w14:paraId="7AB9E139">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48023986">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1865A039">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0DC07CAF">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2C7BEE1D">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296A8C47">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77944D0A">
            <w:pPr>
              <w:widowControl/>
              <w:spacing w:line="240" w:lineRule="auto"/>
              <w:jc w:val="center"/>
              <w:rPr>
                <w:rFonts w:eastAsia="等线"/>
                <w:kern w:val="0"/>
                <w:sz w:val="18"/>
                <w:szCs w:val="18"/>
              </w:rPr>
            </w:pPr>
            <w:r>
              <w:rPr>
                <w:rFonts w:eastAsia="等线"/>
                <w:kern w:val="0"/>
                <w:sz w:val="18"/>
                <w:szCs w:val="18"/>
              </w:rPr>
              <w:t>—</w:t>
            </w:r>
          </w:p>
        </w:tc>
      </w:tr>
      <w:tr w14:paraId="2CF1B728">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6B240996">
            <w:pPr>
              <w:widowControl/>
              <w:spacing w:line="240" w:lineRule="auto"/>
              <w:jc w:val="center"/>
              <w:rPr>
                <w:rFonts w:eastAsia="等线"/>
                <w:kern w:val="0"/>
                <w:sz w:val="18"/>
                <w:szCs w:val="18"/>
              </w:rPr>
            </w:pPr>
            <w:r>
              <w:rPr>
                <w:rFonts w:eastAsia="等线"/>
                <w:kern w:val="0"/>
                <w:sz w:val="18"/>
                <w:szCs w:val="18"/>
              </w:rPr>
              <w:t>4500</w:t>
            </w:r>
          </w:p>
        </w:tc>
        <w:tc>
          <w:tcPr>
            <w:tcW w:w="792" w:type="dxa"/>
            <w:tcBorders>
              <w:top w:val="nil"/>
              <w:left w:val="nil"/>
              <w:bottom w:val="single" w:color="auto" w:sz="8" w:space="0"/>
              <w:right w:val="single" w:color="auto" w:sz="8" w:space="0"/>
            </w:tcBorders>
            <w:shd w:val="clear" w:color="auto" w:fill="auto"/>
            <w:vAlign w:val="center"/>
          </w:tcPr>
          <w:p w14:paraId="6090A970">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28C127E6">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15245FD9">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2F7DD1A3">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08E030D6">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1BBE3452">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6AE9F891">
            <w:pPr>
              <w:widowControl/>
              <w:spacing w:line="240" w:lineRule="auto"/>
              <w:jc w:val="center"/>
              <w:rPr>
                <w:rFonts w:eastAsia="等线"/>
                <w:kern w:val="0"/>
                <w:sz w:val="18"/>
                <w:szCs w:val="18"/>
              </w:rPr>
            </w:pPr>
            <w:r>
              <w:rPr>
                <w:rFonts w:eastAsia="等线"/>
                <w:kern w:val="0"/>
                <w:sz w:val="18"/>
                <w:szCs w:val="18"/>
              </w:rPr>
              <w:t>—</w:t>
            </w:r>
          </w:p>
        </w:tc>
      </w:tr>
      <w:tr w14:paraId="09E5DDE2">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500C4356">
            <w:pPr>
              <w:widowControl/>
              <w:spacing w:line="240" w:lineRule="auto"/>
              <w:jc w:val="center"/>
              <w:rPr>
                <w:rFonts w:eastAsia="等线"/>
                <w:kern w:val="0"/>
                <w:sz w:val="18"/>
                <w:szCs w:val="18"/>
              </w:rPr>
            </w:pPr>
            <w:r>
              <w:rPr>
                <w:rFonts w:eastAsia="等线"/>
                <w:kern w:val="0"/>
                <w:sz w:val="18"/>
                <w:szCs w:val="18"/>
              </w:rPr>
              <w:t>4000</w:t>
            </w:r>
          </w:p>
        </w:tc>
        <w:tc>
          <w:tcPr>
            <w:tcW w:w="792" w:type="dxa"/>
            <w:tcBorders>
              <w:top w:val="nil"/>
              <w:left w:val="nil"/>
              <w:bottom w:val="single" w:color="auto" w:sz="8" w:space="0"/>
              <w:right w:val="single" w:color="auto" w:sz="8" w:space="0"/>
            </w:tcBorders>
            <w:shd w:val="clear" w:color="auto" w:fill="auto"/>
            <w:vAlign w:val="center"/>
          </w:tcPr>
          <w:p w14:paraId="018010DD">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2913A0DD">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710F0910">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68DB9ACA">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4BCE363C">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4103897E">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3FBE7D9E">
            <w:pPr>
              <w:widowControl/>
              <w:spacing w:line="240" w:lineRule="auto"/>
              <w:jc w:val="center"/>
              <w:rPr>
                <w:rFonts w:eastAsia="等线"/>
                <w:kern w:val="0"/>
                <w:sz w:val="18"/>
                <w:szCs w:val="18"/>
              </w:rPr>
            </w:pPr>
            <w:r>
              <w:rPr>
                <w:rFonts w:eastAsia="等线"/>
                <w:kern w:val="0"/>
                <w:sz w:val="18"/>
                <w:szCs w:val="18"/>
              </w:rPr>
              <w:t>—</w:t>
            </w:r>
          </w:p>
        </w:tc>
      </w:tr>
      <w:tr w14:paraId="4E0D29FC">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527DE584">
            <w:pPr>
              <w:widowControl/>
              <w:spacing w:line="240" w:lineRule="auto"/>
              <w:jc w:val="center"/>
              <w:rPr>
                <w:rFonts w:eastAsia="等线"/>
                <w:kern w:val="0"/>
                <w:sz w:val="18"/>
                <w:szCs w:val="18"/>
              </w:rPr>
            </w:pPr>
            <w:r>
              <w:rPr>
                <w:rFonts w:eastAsia="等线"/>
                <w:kern w:val="0"/>
                <w:sz w:val="18"/>
                <w:szCs w:val="18"/>
              </w:rPr>
              <w:t>3500</w:t>
            </w:r>
          </w:p>
        </w:tc>
        <w:tc>
          <w:tcPr>
            <w:tcW w:w="792" w:type="dxa"/>
            <w:tcBorders>
              <w:top w:val="nil"/>
              <w:left w:val="nil"/>
              <w:bottom w:val="single" w:color="auto" w:sz="8" w:space="0"/>
              <w:right w:val="single" w:color="auto" w:sz="8" w:space="0"/>
            </w:tcBorders>
            <w:shd w:val="clear" w:color="auto" w:fill="auto"/>
            <w:vAlign w:val="center"/>
          </w:tcPr>
          <w:p w14:paraId="42DADE8E">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6198D31D">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3EE7DE18">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60402166">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174E285D">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2C6F3740">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41A76652">
            <w:pPr>
              <w:widowControl/>
              <w:spacing w:line="240" w:lineRule="auto"/>
              <w:jc w:val="center"/>
              <w:rPr>
                <w:rFonts w:eastAsia="等线"/>
                <w:kern w:val="0"/>
                <w:sz w:val="18"/>
                <w:szCs w:val="18"/>
              </w:rPr>
            </w:pPr>
            <w:r>
              <w:rPr>
                <w:rFonts w:eastAsia="等线"/>
                <w:kern w:val="0"/>
                <w:sz w:val="18"/>
                <w:szCs w:val="18"/>
              </w:rPr>
              <w:t>—</w:t>
            </w:r>
          </w:p>
        </w:tc>
      </w:tr>
      <w:tr w14:paraId="0A1EAFCD">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6A108C59">
            <w:pPr>
              <w:widowControl/>
              <w:spacing w:line="240" w:lineRule="auto"/>
              <w:jc w:val="center"/>
              <w:rPr>
                <w:rFonts w:eastAsia="等线"/>
                <w:kern w:val="0"/>
                <w:sz w:val="18"/>
                <w:szCs w:val="18"/>
              </w:rPr>
            </w:pPr>
            <w:r>
              <w:rPr>
                <w:rFonts w:eastAsia="等线"/>
                <w:kern w:val="0"/>
                <w:sz w:val="18"/>
                <w:szCs w:val="18"/>
              </w:rPr>
              <w:t>3000</w:t>
            </w:r>
          </w:p>
        </w:tc>
        <w:tc>
          <w:tcPr>
            <w:tcW w:w="792" w:type="dxa"/>
            <w:tcBorders>
              <w:top w:val="nil"/>
              <w:left w:val="nil"/>
              <w:bottom w:val="single" w:color="auto" w:sz="8" w:space="0"/>
              <w:right w:val="single" w:color="auto" w:sz="8" w:space="0"/>
            </w:tcBorders>
            <w:shd w:val="clear" w:color="auto" w:fill="auto"/>
            <w:vAlign w:val="center"/>
          </w:tcPr>
          <w:p w14:paraId="17E53070">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4E800710">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209BCA81">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13B47A9A">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0DD02138">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04970876">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312C434D">
            <w:pPr>
              <w:widowControl/>
              <w:spacing w:line="240" w:lineRule="auto"/>
              <w:jc w:val="center"/>
              <w:rPr>
                <w:rFonts w:eastAsia="等线"/>
                <w:kern w:val="0"/>
                <w:sz w:val="18"/>
                <w:szCs w:val="18"/>
              </w:rPr>
            </w:pPr>
            <w:r>
              <w:rPr>
                <w:rFonts w:eastAsia="等线"/>
                <w:kern w:val="0"/>
                <w:sz w:val="18"/>
                <w:szCs w:val="18"/>
              </w:rPr>
              <w:t>—</w:t>
            </w:r>
          </w:p>
        </w:tc>
      </w:tr>
      <w:tr w14:paraId="39C4A25B">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564B023F">
            <w:pPr>
              <w:widowControl/>
              <w:spacing w:line="240" w:lineRule="auto"/>
              <w:jc w:val="center"/>
              <w:rPr>
                <w:rFonts w:eastAsia="等线"/>
                <w:kern w:val="0"/>
                <w:sz w:val="18"/>
                <w:szCs w:val="18"/>
              </w:rPr>
            </w:pPr>
            <w:r>
              <w:rPr>
                <w:rFonts w:eastAsia="等线"/>
                <w:kern w:val="0"/>
                <w:sz w:val="18"/>
                <w:szCs w:val="18"/>
              </w:rPr>
              <w:t>2500</w:t>
            </w:r>
          </w:p>
        </w:tc>
        <w:tc>
          <w:tcPr>
            <w:tcW w:w="792" w:type="dxa"/>
            <w:tcBorders>
              <w:top w:val="nil"/>
              <w:left w:val="nil"/>
              <w:bottom w:val="single" w:color="auto" w:sz="8" w:space="0"/>
              <w:right w:val="single" w:color="auto" w:sz="8" w:space="0"/>
            </w:tcBorders>
            <w:shd w:val="clear" w:color="auto" w:fill="auto"/>
            <w:vAlign w:val="center"/>
          </w:tcPr>
          <w:p w14:paraId="16A1FC43">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14:paraId="5F5753DB">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3438D745">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03A73C53">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41C1EFDA">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481B64C6">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5DF5CCF4">
            <w:pPr>
              <w:widowControl/>
              <w:spacing w:line="240" w:lineRule="auto"/>
              <w:jc w:val="center"/>
              <w:rPr>
                <w:rFonts w:eastAsia="等线"/>
                <w:kern w:val="0"/>
                <w:sz w:val="18"/>
                <w:szCs w:val="18"/>
              </w:rPr>
            </w:pPr>
            <w:r>
              <w:rPr>
                <w:rFonts w:eastAsia="等线"/>
                <w:kern w:val="0"/>
                <w:sz w:val="18"/>
                <w:szCs w:val="18"/>
              </w:rPr>
              <w:t>—</w:t>
            </w:r>
          </w:p>
        </w:tc>
      </w:tr>
    </w:tbl>
    <w:p w14:paraId="47953E3F">
      <w:pPr>
        <w:pStyle w:val="198"/>
        <w:rPr>
          <w:szCs w:val="21"/>
        </w:rPr>
      </w:pPr>
      <w:r>
        <w:rPr>
          <w:szCs w:val="21"/>
        </w:rPr>
        <w:t xml:space="preserve">7.2.2 </w:t>
      </w:r>
      <w:r>
        <w:rPr>
          <w:rFonts w:hint="eastAsia"/>
          <w:szCs w:val="21"/>
        </w:rPr>
        <w:t xml:space="preserve"> </w:t>
      </w:r>
      <w:r>
        <w:rPr>
          <w:szCs w:val="21"/>
        </w:rPr>
        <w:t>线路缓和曲线长</w:t>
      </w:r>
      <w:r>
        <w:rPr>
          <w:rFonts w:hint="eastAsia"/>
          <w:szCs w:val="21"/>
        </w:rPr>
        <w:t>度（续表）</w:t>
      </w:r>
    </w:p>
    <w:tbl>
      <w:tblPr>
        <w:tblStyle w:val="88"/>
        <w:tblW w:w="6340" w:type="dxa"/>
        <w:tblInd w:w="0" w:type="dxa"/>
        <w:tblLayout w:type="fixed"/>
        <w:tblCellMar>
          <w:top w:w="0" w:type="dxa"/>
          <w:left w:w="108" w:type="dxa"/>
          <w:bottom w:w="0" w:type="dxa"/>
          <w:right w:w="108" w:type="dxa"/>
        </w:tblCellMar>
      </w:tblPr>
      <w:tblGrid>
        <w:gridCol w:w="792"/>
        <w:gridCol w:w="792"/>
        <w:gridCol w:w="792"/>
        <w:gridCol w:w="792"/>
        <w:gridCol w:w="793"/>
        <w:gridCol w:w="793"/>
        <w:gridCol w:w="793"/>
        <w:gridCol w:w="793"/>
      </w:tblGrid>
      <w:tr w14:paraId="6AC45AF3">
        <w:tblPrEx>
          <w:tblCellMar>
            <w:top w:w="0" w:type="dxa"/>
            <w:left w:w="108" w:type="dxa"/>
            <w:bottom w:w="0" w:type="dxa"/>
            <w:right w:w="108" w:type="dxa"/>
          </w:tblCellMar>
        </w:tblPrEx>
        <w:trPr>
          <w:cantSplit/>
          <w:trHeight w:val="275" w:hRule="atLeast"/>
          <w:tblHeader/>
        </w:trPr>
        <w:tc>
          <w:tcPr>
            <w:tcW w:w="792" w:type="dxa"/>
            <w:vMerge w:val="restart"/>
            <w:tcBorders>
              <w:top w:val="single" w:color="auto" w:sz="8" w:space="0"/>
              <w:left w:val="single" w:color="auto" w:sz="8" w:space="0"/>
              <w:right w:val="single" w:color="auto" w:sz="8" w:space="0"/>
            </w:tcBorders>
            <w:shd w:val="clear" w:color="auto" w:fill="auto"/>
            <w:noWrap/>
            <w:vAlign w:val="center"/>
          </w:tcPr>
          <w:p w14:paraId="4381D1C6">
            <w:pPr>
              <w:widowControl/>
              <w:spacing w:line="240" w:lineRule="auto"/>
              <w:jc w:val="center"/>
              <w:rPr>
                <w:rFonts w:eastAsia="等线"/>
                <w:kern w:val="0"/>
                <w:sz w:val="18"/>
                <w:szCs w:val="18"/>
              </w:rPr>
            </w:pPr>
            <w:r>
              <w:rPr>
                <w:rFonts w:eastAsia="等线"/>
                <w:kern w:val="0"/>
                <w:sz w:val="18"/>
                <w:szCs w:val="18"/>
              </w:rPr>
              <mc:AlternateContent>
                <mc:Choice Requires="wps">
                  <w:drawing>
                    <wp:anchor distT="0" distB="0" distL="114300" distR="114300" simplePos="0" relativeHeight="251683840" behindDoc="0" locked="0" layoutInCell="1" allowOverlap="1">
                      <wp:simplePos x="0" y="0"/>
                      <wp:positionH relativeFrom="column">
                        <wp:posOffset>101600</wp:posOffset>
                      </wp:positionH>
                      <wp:positionV relativeFrom="paragraph">
                        <wp:posOffset>-5715</wp:posOffset>
                      </wp:positionV>
                      <wp:extent cx="276225" cy="539750"/>
                      <wp:effectExtent l="10795" t="8255" r="8255" b="13970"/>
                      <wp:wrapNone/>
                      <wp:docPr id="29" name="AutoShape 147"/>
                      <wp:cNvGraphicFramePr/>
                      <a:graphic xmlns:a="http://schemas.openxmlformats.org/drawingml/2006/main">
                        <a:graphicData uri="http://schemas.microsoft.com/office/word/2010/wordprocessingShape">
                          <wps:wsp>
                            <wps:cNvCnPr>
                              <a:cxnSpLocks noChangeShapeType="1"/>
                            </wps:cNvCnPr>
                            <wps:spPr bwMode="auto">
                              <a:xfrm flipH="1" flipV="1">
                                <a:off x="0" y="0"/>
                                <a:ext cx="276225" cy="539750"/>
                              </a:xfrm>
                              <a:prstGeom prst="straightConnector1">
                                <a:avLst/>
                              </a:prstGeom>
                              <a:noFill/>
                              <a:ln w="9525">
                                <a:solidFill>
                                  <a:srgbClr val="000000"/>
                                </a:solidFill>
                                <a:round/>
                              </a:ln>
                            </wps:spPr>
                            <wps:bodyPr/>
                          </wps:wsp>
                        </a:graphicData>
                      </a:graphic>
                    </wp:anchor>
                  </w:drawing>
                </mc:Choice>
                <mc:Fallback>
                  <w:pict>
                    <v:shape id="AutoShape 147" o:spid="_x0000_s1026" o:spt="32" type="#_x0000_t32" style="position:absolute;left:0pt;flip:x y;margin-left:8pt;margin-top:-0.45pt;height:42.5pt;width:21.75pt;z-index:251683840;mso-width-relative:page;mso-height-relative:page;" filled="f" stroked="t" coordsize="21600,21600" o:gfxdata="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EY+K3XAAAA&#10;BgEAAA8AAAAAAAAAAQAgAAAAIgAAAGRycy9kb3ducmV2LnhtbFBLAQIUABQAAAAIAIdO4kCA0E31&#10;5QEAAM0DAAAOAAAAAAAAAAEAIAAAACYBAABkcnMvZTJvRG9jLnhtbFBLBQYAAAAABgAGAFkBAAB9&#10;BQAAAAA=&#10;">
                      <v:fill on="f" focussize="0,0"/>
                      <v:stroke color="#000000" joinstyle="round"/>
                      <v:imagedata o:title=""/>
                      <o:lock v:ext="edit" aspectratio="f"/>
                    </v:shape>
                  </w:pict>
                </mc:Fallback>
              </mc:AlternateContent>
            </w:r>
            <w:r>
              <w:rPr>
                <w:rFonts w:hint="eastAsia" w:eastAsia="等线"/>
                <w:kern w:val="0"/>
                <w:sz w:val="18"/>
                <w:szCs w:val="18"/>
              </w:rPr>
              <w:t xml:space="preserve">   </w:t>
            </w:r>
            <w:r>
              <w:rPr>
                <w:rFonts w:eastAsia="等线"/>
                <w:kern w:val="0"/>
                <w:sz w:val="18"/>
                <w:szCs w:val="18"/>
              </w:rPr>
              <w:t>v</w:t>
            </w:r>
          </w:p>
          <w:p w14:paraId="66597F6E">
            <w:pPr>
              <w:widowControl/>
              <w:spacing w:line="240" w:lineRule="auto"/>
              <w:ind w:firstLine="210" w:firstLineChars="100"/>
              <w:jc w:val="left"/>
              <w:rPr>
                <w:rFonts w:eastAsia="等线"/>
                <w:kern w:val="0"/>
                <w:sz w:val="18"/>
                <w:szCs w:val="18"/>
              </w:rPr>
            </w:pPr>
            <w:r>
              <w:rPr>
                <w:szCs w:val="21"/>
              </w:rPr>
              <mc:AlternateContent>
                <mc:Choice Requires="wps">
                  <w:drawing>
                    <wp:anchor distT="0" distB="0" distL="114300" distR="114300" simplePos="0" relativeHeight="251682816" behindDoc="0" locked="0" layoutInCell="1" allowOverlap="1">
                      <wp:simplePos x="0" y="0"/>
                      <wp:positionH relativeFrom="column">
                        <wp:posOffset>-60325</wp:posOffset>
                      </wp:positionH>
                      <wp:positionV relativeFrom="paragraph">
                        <wp:posOffset>91440</wp:posOffset>
                      </wp:positionV>
                      <wp:extent cx="434975" cy="311150"/>
                      <wp:effectExtent l="10795" t="8255" r="11430" b="13970"/>
                      <wp:wrapNone/>
                      <wp:docPr id="30" name="AutoShape 146"/>
                      <wp:cNvGraphicFramePr/>
                      <a:graphic xmlns:a="http://schemas.openxmlformats.org/drawingml/2006/main">
                        <a:graphicData uri="http://schemas.microsoft.com/office/word/2010/wordprocessingShape">
                          <wps:wsp>
                            <wps:cNvCnPr>
                              <a:cxnSpLocks noChangeShapeType="1"/>
                            </wps:cNvCnPr>
                            <wps:spPr bwMode="auto">
                              <a:xfrm flipH="1" flipV="1">
                                <a:off x="0" y="0"/>
                                <a:ext cx="434975" cy="311150"/>
                              </a:xfrm>
                              <a:prstGeom prst="straightConnector1">
                                <a:avLst/>
                              </a:prstGeom>
                              <a:noFill/>
                              <a:ln w="9525">
                                <a:solidFill>
                                  <a:srgbClr val="000000"/>
                                </a:solidFill>
                                <a:round/>
                              </a:ln>
                            </wps:spPr>
                            <wps:bodyPr/>
                          </wps:wsp>
                        </a:graphicData>
                      </a:graphic>
                    </wp:anchor>
                  </w:drawing>
                </mc:Choice>
                <mc:Fallback>
                  <w:pict>
                    <v:shape id="AutoShape 146" o:spid="_x0000_s1026" o:spt="32" type="#_x0000_t32" style="position:absolute;left:0pt;flip:x y;margin-left:-4.75pt;margin-top:7.2pt;height:24.5pt;width:34.25pt;z-index:251682816;mso-width-relative:page;mso-height-relative:page;" filled="f" stroked="t" coordsize="21600,21600" o:gfxdata="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nmzrvY&#10;AAAABwEAAA8AAAAAAAAAAQAgAAAAIgAAAGRycy9kb3ducmV2LnhtbFBLAQIUABQAAAAIAIdO4kDV&#10;iXJq5wEAAM0DAAAOAAAAAAAAAAEAIAAAACcBAABkcnMvZTJvRG9jLnhtbFBLBQYAAAAABgAGAFkB&#10;AACABQAAAAA=&#10;">
                      <v:fill on="f" focussize="0,0"/>
                      <v:stroke color="#000000" joinstyle="round"/>
                      <v:imagedata o:title=""/>
                      <o:lock v:ext="edit" aspectratio="f"/>
                    </v:shape>
                  </w:pict>
                </mc:Fallback>
              </mc:AlternateContent>
            </w:r>
            <w:r>
              <w:rPr>
                <w:rFonts w:eastAsia="等线"/>
                <w:kern w:val="0"/>
                <w:sz w:val="18"/>
                <w:szCs w:val="18"/>
              </w:rPr>
              <w:t>l</w:t>
            </w:r>
            <w:r>
              <w:rPr>
                <w:rFonts w:hint="eastAsia" w:eastAsia="等线"/>
                <w:kern w:val="0"/>
                <w:sz w:val="18"/>
                <w:szCs w:val="18"/>
              </w:rPr>
              <w:t xml:space="preserve">  </w:t>
            </w:r>
          </w:p>
          <w:p w14:paraId="127A8B63">
            <w:pPr>
              <w:widowControl/>
              <w:spacing w:line="240" w:lineRule="auto"/>
              <w:jc w:val="center"/>
              <w:rPr>
                <w:rFonts w:eastAsia="等线"/>
                <w:kern w:val="0"/>
                <w:sz w:val="18"/>
                <w:szCs w:val="18"/>
              </w:rPr>
            </w:pPr>
          </w:p>
          <w:p w14:paraId="02420213">
            <w:pPr>
              <w:widowControl/>
              <w:spacing w:line="240" w:lineRule="auto"/>
              <w:jc w:val="left"/>
              <w:rPr>
                <w:rFonts w:eastAsia="等线"/>
                <w:kern w:val="0"/>
                <w:sz w:val="18"/>
                <w:szCs w:val="18"/>
              </w:rPr>
            </w:pPr>
            <w:r>
              <w:rPr>
                <w:rFonts w:hint="eastAsia" w:eastAsia="等线"/>
                <w:kern w:val="0"/>
                <w:sz w:val="18"/>
                <w:szCs w:val="18"/>
              </w:rPr>
              <w:t>R</w:t>
            </w:r>
          </w:p>
        </w:tc>
        <w:tc>
          <w:tcPr>
            <w:tcW w:w="792" w:type="dxa"/>
            <w:tcBorders>
              <w:top w:val="single" w:color="auto" w:sz="8" w:space="0"/>
              <w:left w:val="nil"/>
              <w:bottom w:val="nil"/>
              <w:right w:val="single" w:color="auto" w:sz="8" w:space="0"/>
            </w:tcBorders>
            <w:shd w:val="clear" w:color="auto" w:fill="auto"/>
            <w:vAlign w:val="center"/>
          </w:tcPr>
          <w:p w14:paraId="395653B7">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2" w:type="dxa"/>
            <w:tcBorders>
              <w:top w:val="single" w:color="auto" w:sz="8" w:space="0"/>
              <w:left w:val="nil"/>
              <w:bottom w:val="nil"/>
              <w:right w:val="single" w:color="auto" w:sz="8" w:space="0"/>
            </w:tcBorders>
            <w:shd w:val="clear" w:color="auto" w:fill="auto"/>
            <w:vAlign w:val="center"/>
          </w:tcPr>
          <w:p w14:paraId="3FD671E5">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2" w:type="dxa"/>
            <w:tcBorders>
              <w:top w:val="single" w:color="auto" w:sz="8" w:space="0"/>
              <w:left w:val="nil"/>
              <w:bottom w:val="nil"/>
              <w:right w:val="single" w:color="auto" w:sz="8" w:space="0"/>
            </w:tcBorders>
            <w:shd w:val="clear" w:color="auto" w:fill="auto"/>
            <w:vAlign w:val="center"/>
          </w:tcPr>
          <w:p w14:paraId="20DC2394">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single" w:color="auto" w:sz="8" w:space="0"/>
              <w:left w:val="nil"/>
              <w:bottom w:val="nil"/>
              <w:right w:val="single" w:color="auto" w:sz="8" w:space="0"/>
            </w:tcBorders>
            <w:shd w:val="clear" w:color="auto" w:fill="auto"/>
            <w:vAlign w:val="center"/>
          </w:tcPr>
          <w:p w14:paraId="384D9FE3">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single" w:color="auto" w:sz="8" w:space="0"/>
              <w:left w:val="nil"/>
              <w:bottom w:val="nil"/>
              <w:right w:val="single" w:color="auto" w:sz="8" w:space="0"/>
            </w:tcBorders>
            <w:shd w:val="clear" w:color="auto" w:fill="auto"/>
            <w:vAlign w:val="center"/>
          </w:tcPr>
          <w:p w14:paraId="14FB8702">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single" w:color="auto" w:sz="8" w:space="0"/>
              <w:left w:val="nil"/>
              <w:bottom w:val="nil"/>
              <w:right w:val="single" w:color="auto" w:sz="8" w:space="0"/>
            </w:tcBorders>
            <w:shd w:val="clear" w:color="auto" w:fill="auto"/>
            <w:vAlign w:val="center"/>
          </w:tcPr>
          <w:p w14:paraId="10770C68">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single" w:color="auto" w:sz="8" w:space="0"/>
              <w:left w:val="nil"/>
              <w:bottom w:val="nil"/>
              <w:right w:val="single" w:color="auto" w:sz="8" w:space="0"/>
            </w:tcBorders>
            <w:shd w:val="clear" w:color="auto" w:fill="auto"/>
            <w:vAlign w:val="center"/>
          </w:tcPr>
          <w:p w14:paraId="4223997E">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14:paraId="15D7E2B0">
        <w:tblPrEx>
          <w:tblCellMar>
            <w:top w:w="0" w:type="dxa"/>
            <w:left w:w="108" w:type="dxa"/>
            <w:bottom w:w="0" w:type="dxa"/>
            <w:right w:w="108" w:type="dxa"/>
          </w:tblCellMar>
        </w:tblPrEx>
        <w:trPr>
          <w:cantSplit/>
          <w:trHeight w:val="275" w:hRule="atLeast"/>
          <w:tblHeader/>
        </w:trPr>
        <w:tc>
          <w:tcPr>
            <w:tcW w:w="792" w:type="dxa"/>
            <w:vMerge w:val="continue"/>
            <w:tcBorders>
              <w:left w:val="single" w:color="auto" w:sz="8" w:space="0"/>
              <w:right w:val="single" w:color="auto" w:sz="8" w:space="0"/>
              <w:tl2br w:val="single" w:color="auto" w:sz="4" w:space="0"/>
            </w:tcBorders>
            <w:shd w:val="clear" w:color="auto" w:fill="auto"/>
            <w:noWrap/>
            <w:vAlign w:val="center"/>
          </w:tcPr>
          <w:p w14:paraId="09E216DD">
            <w:pPr>
              <w:widowControl/>
              <w:spacing w:line="240" w:lineRule="auto"/>
              <w:jc w:val="center"/>
              <w:rPr>
                <w:rFonts w:eastAsia="等线"/>
                <w:kern w:val="0"/>
                <w:sz w:val="18"/>
                <w:szCs w:val="18"/>
              </w:rPr>
            </w:pPr>
          </w:p>
        </w:tc>
        <w:tc>
          <w:tcPr>
            <w:tcW w:w="792" w:type="dxa"/>
            <w:tcBorders>
              <w:top w:val="nil"/>
              <w:left w:val="nil"/>
              <w:bottom w:val="nil"/>
              <w:right w:val="single" w:color="auto" w:sz="8" w:space="0"/>
            </w:tcBorders>
            <w:shd w:val="clear" w:color="auto" w:fill="auto"/>
            <w:vAlign w:val="center"/>
          </w:tcPr>
          <w:p w14:paraId="4193D60E">
            <w:pPr>
              <w:widowControl/>
              <w:spacing w:line="240" w:lineRule="auto"/>
              <w:jc w:val="center"/>
              <w:rPr>
                <w:rFonts w:eastAsia="等线"/>
                <w:kern w:val="0"/>
                <w:sz w:val="18"/>
                <w:szCs w:val="18"/>
              </w:rPr>
            </w:pPr>
            <w:r>
              <w:rPr>
                <w:rFonts w:eastAsia="等线"/>
                <w:kern w:val="0"/>
                <w:sz w:val="18"/>
                <w:szCs w:val="18"/>
              </w:rPr>
              <w:t>65</w:t>
            </w:r>
          </w:p>
        </w:tc>
        <w:tc>
          <w:tcPr>
            <w:tcW w:w="792" w:type="dxa"/>
            <w:tcBorders>
              <w:top w:val="nil"/>
              <w:left w:val="nil"/>
              <w:bottom w:val="nil"/>
              <w:right w:val="single" w:color="auto" w:sz="8" w:space="0"/>
            </w:tcBorders>
            <w:shd w:val="clear" w:color="auto" w:fill="auto"/>
            <w:vAlign w:val="center"/>
          </w:tcPr>
          <w:p w14:paraId="5F87B2A6">
            <w:pPr>
              <w:widowControl/>
              <w:spacing w:line="240" w:lineRule="auto"/>
              <w:jc w:val="center"/>
              <w:rPr>
                <w:rFonts w:eastAsia="等线"/>
                <w:kern w:val="0"/>
                <w:sz w:val="18"/>
                <w:szCs w:val="18"/>
              </w:rPr>
            </w:pPr>
            <w:r>
              <w:rPr>
                <w:rFonts w:eastAsia="等线"/>
                <w:kern w:val="0"/>
                <w:sz w:val="18"/>
                <w:szCs w:val="18"/>
              </w:rPr>
              <w:t>60</w:t>
            </w:r>
          </w:p>
        </w:tc>
        <w:tc>
          <w:tcPr>
            <w:tcW w:w="792" w:type="dxa"/>
            <w:tcBorders>
              <w:top w:val="nil"/>
              <w:left w:val="nil"/>
              <w:bottom w:val="nil"/>
              <w:right w:val="single" w:color="auto" w:sz="8" w:space="0"/>
            </w:tcBorders>
            <w:shd w:val="clear" w:color="auto" w:fill="auto"/>
            <w:vAlign w:val="center"/>
          </w:tcPr>
          <w:p w14:paraId="73DD62CB">
            <w:pPr>
              <w:widowControl/>
              <w:spacing w:line="240" w:lineRule="auto"/>
              <w:jc w:val="center"/>
              <w:rPr>
                <w:rFonts w:eastAsia="等线"/>
                <w:kern w:val="0"/>
                <w:sz w:val="18"/>
                <w:szCs w:val="18"/>
              </w:rPr>
            </w:pPr>
            <w:r>
              <w:rPr>
                <w:rFonts w:eastAsia="等线"/>
                <w:kern w:val="0"/>
                <w:sz w:val="18"/>
                <w:szCs w:val="18"/>
              </w:rPr>
              <w:t>55</w:t>
            </w:r>
          </w:p>
        </w:tc>
        <w:tc>
          <w:tcPr>
            <w:tcW w:w="793" w:type="dxa"/>
            <w:tcBorders>
              <w:top w:val="nil"/>
              <w:left w:val="nil"/>
              <w:bottom w:val="nil"/>
              <w:right w:val="single" w:color="auto" w:sz="8" w:space="0"/>
            </w:tcBorders>
            <w:shd w:val="clear" w:color="auto" w:fill="auto"/>
            <w:vAlign w:val="center"/>
          </w:tcPr>
          <w:p w14:paraId="0F23F372">
            <w:pPr>
              <w:widowControl/>
              <w:spacing w:line="240" w:lineRule="auto"/>
              <w:jc w:val="center"/>
              <w:rPr>
                <w:rFonts w:eastAsia="等线"/>
                <w:kern w:val="0"/>
                <w:sz w:val="18"/>
                <w:szCs w:val="18"/>
              </w:rPr>
            </w:pPr>
            <w:r>
              <w:rPr>
                <w:rFonts w:eastAsia="等线"/>
                <w:kern w:val="0"/>
                <w:sz w:val="18"/>
                <w:szCs w:val="18"/>
              </w:rPr>
              <w:t>50</w:t>
            </w:r>
          </w:p>
        </w:tc>
        <w:tc>
          <w:tcPr>
            <w:tcW w:w="793" w:type="dxa"/>
            <w:tcBorders>
              <w:top w:val="nil"/>
              <w:left w:val="nil"/>
              <w:bottom w:val="nil"/>
              <w:right w:val="single" w:color="auto" w:sz="8" w:space="0"/>
            </w:tcBorders>
            <w:shd w:val="clear" w:color="auto" w:fill="auto"/>
            <w:vAlign w:val="center"/>
          </w:tcPr>
          <w:p w14:paraId="713F0CE4">
            <w:pPr>
              <w:widowControl/>
              <w:spacing w:line="240" w:lineRule="auto"/>
              <w:jc w:val="center"/>
              <w:rPr>
                <w:rFonts w:eastAsia="等线"/>
                <w:kern w:val="0"/>
                <w:sz w:val="18"/>
                <w:szCs w:val="18"/>
              </w:rPr>
            </w:pPr>
            <w:r>
              <w:rPr>
                <w:rFonts w:eastAsia="等线"/>
                <w:kern w:val="0"/>
                <w:sz w:val="18"/>
                <w:szCs w:val="18"/>
              </w:rPr>
              <w:t>45</w:t>
            </w:r>
          </w:p>
        </w:tc>
        <w:tc>
          <w:tcPr>
            <w:tcW w:w="793" w:type="dxa"/>
            <w:tcBorders>
              <w:top w:val="nil"/>
              <w:left w:val="nil"/>
              <w:bottom w:val="nil"/>
              <w:right w:val="single" w:color="auto" w:sz="8" w:space="0"/>
            </w:tcBorders>
            <w:shd w:val="clear" w:color="auto" w:fill="auto"/>
            <w:vAlign w:val="center"/>
          </w:tcPr>
          <w:p w14:paraId="1ADE74AD">
            <w:pPr>
              <w:widowControl/>
              <w:spacing w:line="240" w:lineRule="auto"/>
              <w:jc w:val="center"/>
              <w:rPr>
                <w:rFonts w:eastAsia="等线"/>
                <w:kern w:val="0"/>
                <w:sz w:val="18"/>
                <w:szCs w:val="18"/>
              </w:rPr>
            </w:pPr>
            <w:r>
              <w:rPr>
                <w:rFonts w:eastAsia="等线"/>
                <w:kern w:val="0"/>
                <w:sz w:val="18"/>
                <w:szCs w:val="18"/>
              </w:rPr>
              <w:t>40</w:t>
            </w:r>
          </w:p>
        </w:tc>
        <w:tc>
          <w:tcPr>
            <w:tcW w:w="793" w:type="dxa"/>
            <w:tcBorders>
              <w:top w:val="nil"/>
              <w:left w:val="nil"/>
              <w:bottom w:val="nil"/>
              <w:right w:val="single" w:color="auto" w:sz="8" w:space="0"/>
            </w:tcBorders>
            <w:shd w:val="clear" w:color="auto" w:fill="auto"/>
            <w:vAlign w:val="center"/>
          </w:tcPr>
          <w:p w14:paraId="632ECF69">
            <w:pPr>
              <w:widowControl/>
              <w:spacing w:line="240" w:lineRule="auto"/>
              <w:jc w:val="center"/>
              <w:rPr>
                <w:rFonts w:eastAsia="等线"/>
                <w:kern w:val="0"/>
                <w:sz w:val="18"/>
                <w:szCs w:val="18"/>
              </w:rPr>
            </w:pPr>
            <w:r>
              <w:rPr>
                <w:rFonts w:eastAsia="等线"/>
                <w:kern w:val="0"/>
                <w:sz w:val="18"/>
                <w:szCs w:val="18"/>
              </w:rPr>
              <w:t>35</w:t>
            </w:r>
          </w:p>
        </w:tc>
      </w:tr>
      <w:tr w14:paraId="478A51B2">
        <w:tblPrEx>
          <w:tblCellMar>
            <w:top w:w="0" w:type="dxa"/>
            <w:left w:w="108" w:type="dxa"/>
            <w:bottom w:w="0" w:type="dxa"/>
            <w:right w:w="108" w:type="dxa"/>
          </w:tblCellMar>
        </w:tblPrEx>
        <w:trPr>
          <w:cantSplit/>
          <w:trHeight w:val="288" w:hRule="atLeast"/>
          <w:tblHeader/>
        </w:trPr>
        <w:tc>
          <w:tcPr>
            <w:tcW w:w="792" w:type="dxa"/>
            <w:vMerge w:val="continue"/>
            <w:tcBorders>
              <w:left w:val="single" w:color="auto" w:sz="8" w:space="0"/>
              <w:bottom w:val="single" w:color="auto" w:sz="8" w:space="0"/>
              <w:right w:val="single" w:color="auto" w:sz="8" w:space="0"/>
              <w:tl2br w:val="single" w:color="auto" w:sz="4" w:space="0"/>
            </w:tcBorders>
            <w:shd w:val="clear" w:color="auto" w:fill="auto"/>
            <w:noWrap/>
            <w:vAlign w:val="center"/>
          </w:tcPr>
          <w:p w14:paraId="162030DD">
            <w:pPr>
              <w:widowControl/>
              <w:spacing w:line="240" w:lineRule="auto"/>
              <w:jc w:val="center"/>
              <w:rPr>
                <w:rFonts w:eastAsia="等线"/>
                <w:kern w:val="0"/>
                <w:sz w:val="18"/>
                <w:szCs w:val="18"/>
              </w:rPr>
            </w:pPr>
          </w:p>
        </w:tc>
        <w:tc>
          <w:tcPr>
            <w:tcW w:w="792" w:type="dxa"/>
            <w:tcBorders>
              <w:top w:val="nil"/>
              <w:left w:val="nil"/>
              <w:bottom w:val="single" w:color="auto" w:sz="8" w:space="0"/>
              <w:right w:val="single" w:color="auto" w:sz="8" w:space="0"/>
            </w:tcBorders>
            <w:shd w:val="clear" w:color="auto" w:fill="auto"/>
            <w:vAlign w:val="center"/>
          </w:tcPr>
          <w:p w14:paraId="6BFF473A">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2" w:type="dxa"/>
            <w:tcBorders>
              <w:top w:val="nil"/>
              <w:left w:val="nil"/>
              <w:bottom w:val="single" w:color="auto" w:sz="8" w:space="0"/>
              <w:right w:val="single" w:color="auto" w:sz="8" w:space="0"/>
            </w:tcBorders>
            <w:shd w:val="clear" w:color="auto" w:fill="auto"/>
            <w:vAlign w:val="center"/>
          </w:tcPr>
          <w:p w14:paraId="3B5C7E12">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2" w:type="dxa"/>
            <w:tcBorders>
              <w:top w:val="nil"/>
              <w:left w:val="nil"/>
              <w:bottom w:val="single" w:color="auto" w:sz="8" w:space="0"/>
              <w:right w:val="single" w:color="auto" w:sz="8" w:space="0"/>
            </w:tcBorders>
            <w:shd w:val="clear" w:color="auto" w:fill="auto"/>
            <w:vAlign w:val="center"/>
          </w:tcPr>
          <w:p w14:paraId="665D5812">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nil"/>
              <w:left w:val="nil"/>
              <w:bottom w:val="single" w:color="auto" w:sz="8" w:space="0"/>
              <w:right w:val="single" w:color="auto" w:sz="8" w:space="0"/>
            </w:tcBorders>
            <w:shd w:val="clear" w:color="auto" w:fill="auto"/>
            <w:vAlign w:val="center"/>
          </w:tcPr>
          <w:p w14:paraId="26089B15">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nil"/>
              <w:left w:val="nil"/>
              <w:bottom w:val="single" w:color="auto" w:sz="8" w:space="0"/>
              <w:right w:val="single" w:color="auto" w:sz="8" w:space="0"/>
            </w:tcBorders>
            <w:shd w:val="clear" w:color="auto" w:fill="auto"/>
            <w:vAlign w:val="center"/>
          </w:tcPr>
          <w:p w14:paraId="333247BA">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nil"/>
              <w:left w:val="nil"/>
              <w:bottom w:val="single" w:color="auto" w:sz="8" w:space="0"/>
              <w:right w:val="single" w:color="auto" w:sz="8" w:space="0"/>
            </w:tcBorders>
            <w:shd w:val="clear" w:color="auto" w:fill="auto"/>
            <w:vAlign w:val="center"/>
          </w:tcPr>
          <w:p w14:paraId="2AF66EE8">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nil"/>
              <w:left w:val="nil"/>
              <w:bottom w:val="single" w:color="auto" w:sz="8" w:space="0"/>
              <w:right w:val="single" w:color="auto" w:sz="8" w:space="0"/>
            </w:tcBorders>
            <w:shd w:val="clear" w:color="auto" w:fill="auto"/>
            <w:vAlign w:val="center"/>
          </w:tcPr>
          <w:p w14:paraId="4B0986EF">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14:paraId="63454778">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206CEF76">
            <w:pPr>
              <w:widowControl/>
              <w:spacing w:line="240" w:lineRule="auto"/>
              <w:jc w:val="center"/>
              <w:rPr>
                <w:rFonts w:eastAsia="等线"/>
                <w:kern w:val="0"/>
                <w:sz w:val="18"/>
                <w:szCs w:val="18"/>
              </w:rPr>
            </w:pPr>
            <w:r>
              <w:rPr>
                <w:rFonts w:eastAsia="等线"/>
                <w:kern w:val="0"/>
                <w:sz w:val="18"/>
                <w:szCs w:val="18"/>
              </w:rPr>
              <w:t>2000</w:t>
            </w:r>
          </w:p>
        </w:tc>
        <w:tc>
          <w:tcPr>
            <w:tcW w:w="792" w:type="dxa"/>
            <w:tcBorders>
              <w:top w:val="nil"/>
              <w:left w:val="nil"/>
              <w:bottom w:val="single" w:color="auto" w:sz="8" w:space="0"/>
              <w:right w:val="single" w:color="auto" w:sz="8" w:space="0"/>
            </w:tcBorders>
            <w:shd w:val="clear" w:color="auto" w:fill="auto"/>
            <w:vAlign w:val="center"/>
          </w:tcPr>
          <w:p w14:paraId="0E2B3486">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14:paraId="2A8AA411">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14:paraId="23C4DA2C">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51F29416">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6228027B">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33F41781">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36367C24">
            <w:pPr>
              <w:widowControl/>
              <w:spacing w:line="240" w:lineRule="auto"/>
              <w:jc w:val="center"/>
              <w:rPr>
                <w:rFonts w:eastAsia="等线"/>
                <w:kern w:val="0"/>
                <w:sz w:val="18"/>
                <w:szCs w:val="18"/>
              </w:rPr>
            </w:pPr>
            <w:r>
              <w:rPr>
                <w:rFonts w:eastAsia="等线"/>
                <w:kern w:val="0"/>
                <w:sz w:val="18"/>
                <w:szCs w:val="18"/>
              </w:rPr>
              <w:t>—</w:t>
            </w:r>
          </w:p>
        </w:tc>
      </w:tr>
      <w:tr w14:paraId="105E73B7">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73D3B0FD">
            <w:pPr>
              <w:widowControl/>
              <w:spacing w:line="240" w:lineRule="auto"/>
              <w:jc w:val="center"/>
              <w:rPr>
                <w:rFonts w:eastAsia="等线"/>
                <w:kern w:val="0"/>
                <w:sz w:val="18"/>
                <w:szCs w:val="18"/>
              </w:rPr>
            </w:pPr>
            <w:r>
              <w:rPr>
                <w:rFonts w:eastAsia="等线"/>
                <w:kern w:val="0"/>
                <w:sz w:val="18"/>
                <w:szCs w:val="18"/>
              </w:rPr>
              <w:t>1500</w:t>
            </w:r>
          </w:p>
        </w:tc>
        <w:tc>
          <w:tcPr>
            <w:tcW w:w="792" w:type="dxa"/>
            <w:tcBorders>
              <w:top w:val="nil"/>
              <w:left w:val="nil"/>
              <w:bottom w:val="single" w:color="auto" w:sz="8" w:space="0"/>
              <w:right w:val="single" w:color="auto" w:sz="8" w:space="0"/>
            </w:tcBorders>
            <w:shd w:val="clear" w:color="auto" w:fill="auto"/>
            <w:vAlign w:val="center"/>
          </w:tcPr>
          <w:p w14:paraId="1B39D76B">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14:paraId="1509E0F1">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14:paraId="37073273">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2A2748C2">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401F124B">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030D9C98">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3C3D226D">
            <w:pPr>
              <w:widowControl/>
              <w:spacing w:line="240" w:lineRule="auto"/>
              <w:jc w:val="center"/>
              <w:rPr>
                <w:rFonts w:eastAsia="等线"/>
                <w:kern w:val="0"/>
                <w:sz w:val="18"/>
                <w:szCs w:val="18"/>
              </w:rPr>
            </w:pPr>
            <w:r>
              <w:rPr>
                <w:rFonts w:eastAsia="等线"/>
                <w:kern w:val="0"/>
                <w:sz w:val="18"/>
                <w:szCs w:val="18"/>
              </w:rPr>
              <w:t>—</w:t>
            </w:r>
          </w:p>
        </w:tc>
      </w:tr>
      <w:tr w14:paraId="521BE26D">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1289DBDF">
            <w:pPr>
              <w:widowControl/>
              <w:spacing w:line="240" w:lineRule="auto"/>
              <w:jc w:val="center"/>
              <w:rPr>
                <w:rFonts w:eastAsia="等线"/>
                <w:kern w:val="0"/>
                <w:sz w:val="18"/>
                <w:szCs w:val="18"/>
              </w:rPr>
            </w:pPr>
            <w:r>
              <w:rPr>
                <w:rFonts w:eastAsia="等线"/>
                <w:kern w:val="0"/>
                <w:sz w:val="18"/>
                <w:szCs w:val="18"/>
              </w:rPr>
              <w:t>1200</w:t>
            </w:r>
          </w:p>
        </w:tc>
        <w:tc>
          <w:tcPr>
            <w:tcW w:w="792" w:type="dxa"/>
            <w:tcBorders>
              <w:top w:val="nil"/>
              <w:left w:val="nil"/>
              <w:bottom w:val="single" w:color="auto" w:sz="8" w:space="0"/>
              <w:right w:val="single" w:color="auto" w:sz="8" w:space="0"/>
            </w:tcBorders>
            <w:shd w:val="clear" w:color="auto" w:fill="auto"/>
            <w:vAlign w:val="center"/>
          </w:tcPr>
          <w:p w14:paraId="4DC4A9D1">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14:paraId="0CB38C6C">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14:paraId="5F1EC860">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3AF9ED1B">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210A03AC">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183B8F50">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14:paraId="3FF5C1E2">
            <w:pPr>
              <w:widowControl/>
              <w:spacing w:line="240" w:lineRule="auto"/>
              <w:jc w:val="center"/>
              <w:rPr>
                <w:rFonts w:eastAsia="等线"/>
                <w:kern w:val="0"/>
                <w:sz w:val="18"/>
                <w:szCs w:val="18"/>
              </w:rPr>
            </w:pPr>
            <w:r>
              <w:rPr>
                <w:rFonts w:eastAsia="等线"/>
                <w:kern w:val="0"/>
                <w:sz w:val="18"/>
                <w:szCs w:val="18"/>
              </w:rPr>
              <w:t>—</w:t>
            </w:r>
          </w:p>
        </w:tc>
      </w:tr>
      <w:tr w14:paraId="06CB2BEE">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12CA5BF2">
            <w:pPr>
              <w:widowControl/>
              <w:spacing w:line="240" w:lineRule="auto"/>
              <w:jc w:val="center"/>
              <w:rPr>
                <w:rFonts w:eastAsia="等线"/>
                <w:kern w:val="0"/>
                <w:sz w:val="18"/>
                <w:szCs w:val="18"/>
              </w:rPr>
            </w:pPr>
            <w:r>
              <w:rPr>
                <w:rFonts w:eastAsia="等线"/>
                <w:kern w:val="0"/>
                <w:sz w:val="18"/>
                <w:szCs w:val="18"/>
              </w:rPr>
              <w:t>1000</w:t>
            </w:r>
          </w:p>
        </w:tc>
        <w:tc>
          <w:tcPr>
            <w:tcW w:w="792" w:type="dxa"/>
            <w:tcBorders>
              <w:top w:val="nil"/>
              <w:left w:val="nil"/>
              <w:bottom w:val="single" w:color="auto" w:sz="8" w:space="0"/>
              <w:right w:val="single" w:color="auto" w:sz="8" w:space="0"/>
            </w:tcBorders>
            <w:shd w:val="clear" w:color="auto" w:fill="auto"/>
            <w:vAlign w:val="center"/>
          </w:tcPr>
          <w:p w14:paraId="78361F6A">
            <w:pPr>
              <w:widowControl/>
              <w:spacing w:line="240" w:lineRule="auto"/>
              <w:jc w:val="center"/>
              <w:rPr>
                <w:rFonts w:eastAsia="等线"/>
                <w:kern w:val="0"/>
                <w:sz w:val="18"/>
                <w:szCs w:val="18"/>
              </w:rPr>
            </w:pPr>
            <w:r>
              <w:rPr>
                <w:rFonts w:eastAsia="等线"/>
                <w:kern w:val="0"/>
                <w:sz w:val="18"/>
                <w:szCs w:val="18"/>
              </w:rPr>
              <w:t>25</w:t>
            </w:r>
          </w:p>
        </w:tc>
        <w:tc>
          <w:tcPr>
            <w:tcW w:w="792" w:type="dxa"/>
            <w:tcBorders>
              <w:top w:val="nil"/>
              <w:left w:val="nil"/>
              <w:bottom w:val="single" w:color="auto" w:sz="8" w:space="0"/>
              <w:right w:val="single" w:color="auto" w:sz="8" w:space="0"/>
            </w:tcBorders>
            <w:shd w:val="clear" w:color="auto" w:fill="auto"/>
            <w:vAlign w:val="center"/>
          </w:tcPr>
          <w:p w14:paraId="4F6010CE">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14:paraId="33718CDF">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26361F47">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055ABF96">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05749A56">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65519B99">
            <w:pPr>
              <w:widowControl/>
              <w:spacing w:line="240" w:lineRule="auto"/>
              <w:jc w:val="center"/>
              <w:rPr>
                <w:rFonts w:eastAsia="等线"/>
                <w:kern w:val="0"/>
                <w:sz w:val="18"/>
                <w:szCs w:val="18"/>
              </w:rPr>
            </w:pPr>
            <w:r>
              <w:rPr>
                <w:rFonts w:eastAsia="等线"/>
                <w:kern w:val="0"/>
                <w:sz w:val="18"/>
                <w:szCs w:val="18"/>
              </w:rPr>
              <w:t>—</w:t>
            </w:r>
          </w:p>
        </w:tc>
      </w:tr>
      <w:tr w14:paraId="1EF2F40F">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3B60F9CA">
            <w:pPr>
              <w:widowControl/>
              <w:spacing w:line="240" w:lineRule="auto"/>
              <w:jc w:val="center"/>
              <w:rPr>
                <w:rFonts w:eastAsia="等线"/>
                <w:kern w:val="0"/>
                <w:sz w:val="18"/>
                <w:szCs w:val="18"/>
              </w:rPr>
            </w:pPr>
            <w:r>
              <w:rPr>
                <w:rFonts w:eastAsia="等线"/>
                <w:kern w:val="0"/>
                <w:sz w:val="18"/>
                <w:szCs w:val="18"/>
              </w:rPr>
              <w:t>800</w:t>
            </w:r>
          </w:p>
        </w:tc>
        <w:tc>
          <w:tcPr>
            <w:tcW w:w="792" w:type="dxa"/>
            <w:tcBorders>
              <w:top w:val="nil"/>
              <w:left w:val="nil"/>
              <w:bottom w:val="single" w:color="auto" w:sz="8" w:space="0"/>
              <w:right w:val="single" w:color="auto" w:sz="8" w:space="0"/>
            </w:tcBorders>
            <w:shd w:val="clear" w:color="auto" w:fill="auto"/>
            <w:vAlign w:val="center"/>
          </w:tcPr>
          <w:p w14:paraId="125B9A4B">
            <w:pPr>
              <w:widowControl/>
              <w:spacing w:line="240" w:lineRule="auto"/>
              <w:jc w:val="center"/>
              <w:rPr>
                <w:rFonts w:eastAsia="等线"/>
                <w:kern w:val="0"/>
                <w:sz w:val="18"/>
                <w:szCs w:val="18"/>
              </w:rPr>
            </w:pPr>
            <w:r>
              <w:rPr>
                <w:rFonts w:eastAsia="等线"/>
                <w:kern w:val="0"/>
                <w:sz w:val="18"/>
                <w:szCs w:val="18"/>
              </w:rPr>
              <w:t>30</w:t>
            </w:r>
          </w:p>
        </w:tc>
        <w:tc>
          <w:tcPr>
            <w:tcW w:w="792" w:type="dxa"/>
            <w:tcBorders>
              <w:top w:val="nil"/>
              <w:left w:val="nil"/>
              <w:bottom w:val="single" w:color="auto" w:sz="8" w:space="0"/>
              <w:right w:val="single" w:color="auto" w:sz="8" w:space="0"/>
            </w:tcBorders>
            <w:shd w:val="clear" w:color="auto" w:fill="auto"/>
            <w:vAlign w:val="center"/>
          </w:tcPr>
          <w:p w14:paraId="5F3AF5E7">
            <w:pPr>
              <w:widowControl/>
              <w:spacing w:line="240" w:lineRule="auto"/>
              <w:jc w:val="center"/>
              <w:rPr>
                <w:rFonts w:eastAsia="等线"/>
                <w:kern w:val="0"/>
                <w:sz w:val="18"/>
                <w:szCs w:val="18"/>
              </w:rPr>
            </w:pPr>
            <w:r>
              <w:rPr>
                <w:rFonts w:eastAsia="等线"/>
                <w:kern w:val="0"/>
                <w:sz w:val="18"/>
                <w:szCs w:val="18"/>
              </w:rPr>
              <w:t>25</w:t>
            </w:r>
          </w:p>
        </w:tc>
        <w:tc>
          <w:tcPr>
            <w:tcW w:w="792" w:type="dxa"/>
            <w:tcBorders>
              <w:top w:val="nil"/>
              <w:left w:val="nil"/>
              <w:bottom w:val="single" w:color="auto" w:sz="8" w:space="0"/>
              <w:right w:val="single" w:color="auto" w:sz="8" w:space="0"/>
            </w:tcBorders>
            <w:shd w:val="clear" w:color="auto" w:fill="auto"/>
            <w:vAlign w:val="center"/>
          </w:tcPr>
          <w:p w14:paraId="73F883C5">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1FE40924">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0A3F6533">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3D1A1511">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2CA70837">
            <w:pPr>
              <w:widowControl/>
              <w:spacing w:line="240" w:lineRule="auto"/>
              <w:jc w:val="center"/>
              <w:rPr>
                <w:rFonts w:eastAsia="等线"/>
                <w:kern w:val="0"/>
                <w:sz w:val="18"/>
                <w:szCs w:val="18"/>
              </w:rPr>
            </w:pPr>
            <w:r>
              <w:rPr>
                <w:rFonts w:eastAsia="等线"/>
                <w:kern w:val="0"/>
                <w:sz w:val="18"/>
                <w:szCs w:val="18"/>
              </w:rPr>
              <w:t>20</w:t>
            </w:r>
          </w:p>
        </w:tc>
      </w:tr>
      <w:tr w14:paraId="3FA53650">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6989A143">
            <w:pPr>
              <w:widowControl/>
              <w:spacing w:line="240" w:lineRule="auto"/>
              <w:jc w:val="center"/>
              <w:rPr>
                <w:rFonts w:eastAsia="等线"/>
                <w:kern w:val="0"/>
                <w:sz w:val="18"/>
                <w:szCs w:val="18"/>
              </w:rPr>
            </w:pPr>
            <w:r>
              <w:rPr>
                <w:rFonts w:eastAsia="等线"/>
                <w:kern w:val="0"/>
                <w:sz w:val="18"/>
                <w:szCs w:val="18"/>
              </w:rPr>
              <w:t>700</w:t>
            </w:r>
          </w:p>
        </w:tc>
        <w:tc>
          <w:tcPr>
            <w:tcW w:w="792" w:type="dxa"/>
            <w:tcBorders>
              <w:top w:val="nil"/>
              <w:left w:val="nil"/>
              <w:bottom w:val="single" w:color="auto" w:sz="8" w:space="0"/>
              <w:right w:val="single" w:color="auto" w:sz="8" w:space="0"/>
            </w:tcBorders>
            <w:shd w:val="clear" w:color="auto" w:fill="auto"/>
            <w:vAlign w:val="center"/>
          </w:tcPr>
          <w:p w14:paraId="5FFC81EC">
            <w:pPr>
              <w:widowControl/>
              <w:spacing w:line="240" w:lineRule="auto"/>
              <w:jc w:val="center"/>
              <w:rPr>
                <w:rFonts w:eastAsia="等线"/>
                <w:kern w:val="0"/>
                <w:sz w:val="18"/>
                <w:szCs w:val="18"/>
              </w:rPr>
            </w:pPr>
            <w:r>
              <w:rPr>
                <w:rFonts w:eastAsia="等线"/>
                <w:kern w:val="0"/>
                <w:sz w:val="18"/>
                <w:szCs w:val="18"/>
              </w:rPr>
              <w:t>35</w:t>
            </w:r>
          </w:p>
        </w:tc>
        <w:tc>
          <w:tcPr>
            <w:tcW w:w="792" w:type="dxa"/>
            <w:tcBorders>
              <w:top w:val="nil"/>
              <w:left w:val="nil"/>
              <w:bottom w:val="single" w:color="auto" w:sz="8" w:space="0"/>
              <w:right w:val="single" w:color="auto" w:sz="8" w:space="0"/>
            </w:tcBorders>
            <w:shd w:val="clear" w:color="auto" w:fill="auto"/>
            <w:vAlign w:val="center"/>
          </w:tcPr>
          <w:p w14:paraId="75111ADD">
            <w:pPr>
              <w:widowControl/>
              <w:spacing w:line="240" w:lineRule="auto"/>
              <w:jc w:val="center"/>
              <w:rPr>
                <w:rFonts w:eastAsia="等线"/>
                <w:kern w:val="0"/>
                <w:sz w:val="18"/>
                <w:szCs w:val="18"/>
              </w:rPr>
            </w:pPr>
            <w:r>
              <w:rPr>
                <w:rFonts w:eastAsia="等线"/>
                <w:kern w:val="0"/>
                <w:sz w:val="18"/>
                <w:szCs w:val="18"/>
              </w:rPr>
              <w:t>25</w:t>
            </w:r>
          </w:p>
        </w:tc>
        <w:tc>
          <w:tcPr>
            <w:tcW w:w="792" w:type="dxa"/>
            <w:tcBorders>
              <w:top w:val="nil"/>
              <w:left w:val="nil"/>
              <w:bottom w:val="single" w:color="auto" w:sz="8" w:space="0"/>
              <w:right w:val="single" w:color="auto" w:sz="8" w:space="0"/>
            </w:tcBorders>
            <w:shd w:val="clear" w:color="auto" w:fill="auto"/>
            <w:vAlign w:val="center"/>
          </w:tcPr>
          <w:p w14:paraId="2C409236">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4435FA42">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65CE8B3E">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3FC0BE7D">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605889A4">
            <w:pPr>
              <w:widowControl/>
              <w:spacing w:line="240" w:lineRule="auto"/>
              <w:jc w:val="center"/>
              <w:rPr>
                <w:rFonts w:eastAsia="等线"/>
                <w:kern w:val="0"/>
                <w:sz w:val="18"/>
                <w:szCs w:val="18"/>
              </w:rPr>
            </w:pPr>
            <w:r>
              <w:rPr>
                <w:rFonts w:eastAsia="等线"/>
                <w:kern w:val="0"/>
                <w:sz w:val="18"/>
                <w:szCs w:val="18"/>
              </w:rPr>
              <w:t>20</w:t>
            </w:r>
          </w:p>
        </w:tc>
      </w:tr>
      <w:tr w14:paraId="74CEA40C">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40217DD1">
            <w:pPr>
              <w:widowControl/>
              <w:spacing w:line="240" w:lineRule="auto"/>
              <w:jc w:val="center"/>
              <w:rPr>
                <w:rFonts w:eastAsia="等线"/>
                <w:kern w:val="0"/>
                <w:sz w:val="18"/>
                <w:szCs w:val="18"/>
              </w:rPr>
            </w:pPr>
            <w:r>
              <w:rPr>
                <w:rFonts w:eastAsia="等线"/>
                <w:kern w:val="0"/>
                <w:sz w:val="18"/>
                <w:szCs w:val="18"/>
              </w:rPr>
              <w:t>600</w:t>
            </w:r>
          </w:p>
        </w:tc>
        <w:tc>
          <w:tcPr>
            <w:tcW w:w="792" w:type="dxa"/>
            <w:tcBorders>
              <w:top w:val="nil"/>
              <w:left w:val="nil"/>
              <w:bottom w:val="single" w:color="auto" w:sz="8" w:space="0"/>
              <w:right w:val="single" w:color="auto" w:sz="8" w:space="0"/>
            </w:tcBorders>
            <w:shd w:val="clear" w:color="auto" w:fill="auto"/>
            <w:vAlign w:val="center"/>
          </w:tcPr>
          <w:p w14:paraId="5FE4A433">
            <w:pPr>
              <w:widowControl/>
              <w:spacing w:line="240" w:lineRule="auto"/>
              <w:jc w:val="center"/>
              <w:rPr>
                <w:rFonts w:eastAsia="等线"/>
                <w:kern w:val="0"/>
                <w:sz w:val="18"/>
                <w:szCs w:val="18"/>
              </w:rPr>
            </w:pPr>
            <w:r>
              <w:rPr>
                <w:rFonts w:eastAsia="等线"/>
                <w:kern w:val="0"/>
                <w:sz w:val="18"/>
                <w:szCs w:val="18"/>
              </w:rPr>
              <w:t>40</w:t>
            </w:r>
          </w:p>
        </w:tc>
        <w:tc>
          <w:tcPr>
            <w:tcW w:w="792" w:type="dxa"/>
            <w:tcBorders>
              <w:top w:val="nil"/>
              <w:left w:val="nil"/>
              <w:bottom w:val="single" w:color="auto" w:sz="8" w:space="0"/>
              <w:right w:val="single" w:color="auto" w:sz="8" w:space="0"/>
            </w:tcBorders>
            <w:shd w:val="clear" w:color="auto" w:fill="auto"/>
            <w:vAlign w:val="center"/>
          </w:tcPr>
          <w:p w14:paraId="617C1A3B">
            <w:pPr>
              <w:widowControl/>
              <w:spacing w:line="240" w:lineRule="auto"/>
              <w:jc w:val="center"/>
              <w:rPr>
                <w:rFonts w:eastAsia="等线"/>
                <w:kern w:val="0"/>
                <w:sz w:val="18"/>
                <w:szCs w:val="18"/>
              </w:rPr>
            </w:pPr>
            <w:r>
              <w:rPr>
                <w:rFonts w:eastAsia="等线"/>
                <w:kern w:val="0"/>
                <w:sz w:val="18"/>
                <w:szCs w:val="18"/>
              </w:rPr>
              <w:t>30</w:t>
            </w:r>
          </w:p>
        </w:tc>
        <w:tc>
          <w:tcPr>
            <w:tcW w:w="792" w:type="dxa"/>
            <w:tcBorders>
              <w:top w:val="nil"/>
              <w:left w:val="nil"/>
              <w:bottom w:val="single" w:color="auto" w:sz="8" w:space="0"/>
              <w:right w:val="single" w:color="auto" w:sz="8" w:space="0"/>
            </w:tcBorders>
            <w:shd w:val="clear" w:color="auto" w:fill="auto"/>
            <w:vAlign w:val="center"/>
          </w:tcPr>
          <w:p w14:paraId="7107443D">
            <w:pPr>
              <w:widowControl/>
              <w:spacing w:line="240" w:lineRule="auto"/>
              <w:jc w:val="center"/>
              <w:rPr>
                <w:rFonts w:eastAsia="等线"/>
                <w:kern w:val="0"/>
                <w:sz w:val="18"/>
                <w:szCs w:val="18"/>
              </w:rPr>
            </w:pPr>
            <w:r>
              <w:rPr>
                <w:rFonts w:eastAsia="等线"/>
                <w:kern w:val="0"/>
                <w:sz w:val="18"/>
                <w:szCs w:val="18"/>
              </w:rPr>
              <w:t>25</w:t>
            </w:r>
          </w:p>
        </w:tc>
        <w:tc>
          <w:tcPr>
            <w:tcW w:w="793" w:type="dxa"/>
            <w:tcBorders>
              <w:top w:val="nil"/>
              <w:left w:val="nil"/>
              <w:bottom w:val="single" w:color="auto" w:sz="8" w:space="0"/>
              <w:right w:val="single" w:color="auto" w:sz="8" w:space="0"/>
            </w:tcBorders>
            <w:shd w:val="clear" w:color="auto" w:fill="auto"/>
            <w:vAlign w:val="center"/>
          </w:tcPr>
          <w:p w14:paraId="3ED1CD33">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11B9ECE1">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24C134EE">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231842FD">
            <w:pPr>
              <w:widowControl/>
              <w:spacing w:line="240" w:lineRule="auto"/>
              <w:jc w:val="center"/>
              <w:rPr>
                <w:rFonts w:eastAsia="等线"/>
                <w:kern w:val="0"/>
                <w:sz w:val="18"/>
                <w:szCs w:val="18"/>
              </w:rPr>
            </w:pPr>
            <w:r>
              <w:rPr>
                <w:rFonts w:eastAsia="等线"/>
                <w:kern w:val="0"/>
                <w:sz w:val="18"/>
                <w:szCs w:val="18"/>
              </w:rPr>
              <w:t>20</w:t>
            </w:r>
          </w:p>
        </w:tc>
      </w:tr>
      <w:tr w14:paraId="6E8BB148">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36784CC8">
            <w:pPr>
              <w:widowControl/>
              <w:spacing w:line="240" w:lineRule="auto"/>
              <w:jc w:val="center"/>
              <w:rPr>
                <w:rFonts w:eastAsia="等线"/>
                <w:kern w:val="0"/>
                <w:sz w:val="18"/>
                <w:szCs w:val="18"/>
              </w:rPr>
            </w:pPr>
            <w:r>
              <w:rPr>
                <w:rFonts w:eastAsia="等线"/>
                <w:kern w:val="0"/>
                <w:sz w:val="18"/>
                <w:szCs w:val="18"/>
              </w:rPr>
              <w:t>550</w:t>
            </w:r>
          </w:p>
        </w:tc>
        <w:tc>
          <w:tcPr>
            <w:tcW w:w="792" w:type="dxa"/>
            <w:tcBorders>
              <w:top w:val="nil"/>
              <w:left w:val="nil"/>
              <w:bottom w:val="single" w:color="auto" w:sz="8" w:space="0"/>
              <w:right w:val="single" w:color="auto" w:sz="8" w:space="0"/>
            </w:tcBorders>
            <w:shd w:val="clear" w:color="auto" w:fill="auto"/>
            <w:vAlign w:val="center"/>
          </w:tcPr>
          <w:p w14:paraId="40266834">
            <w:pPr>
              <w:widowControl/>
              <w:spacing w:line="240" w:lineRule="auto"/>
              <w:jc w:val="center"/>
              <w:rPr>
                <w:rFonts w:eastAsia="等线"/>
                <w:kern w:val="0"/>
                <w:sz w:val="18"/>
                <w:szCs w:val="18"/>
              </w:rPr>
            </w:pPr>
            <w:r>
              <w:rPr>
                <w:rFonts w:eastAsia="等线"/>
                <w:kern w:val="0"/>
                <w:sz w:val="18"/>
                <w:szCs w:val="18"/>
              </w:rPr>
              <w:t>40</w:t>
            </w:r>
          </w:p>
        </w:tc>
        <w:tc>
          <w:tcPr>
            <w:tcW w:w="792" w:type="dxa"/>
            <w:tcBorders>
              <w:top w:val="nil"/>
              <w:left w:val="nil"/>
              <w:bottom w:val="single" w:color="auto" w:sz="8" w:space="0"/>
              <w:right w:val="single" w:color="auto" w:sz="8" w:space="0"/>
            </w:tcBorders>
            <w:shd w:val="clear" w:color="auto" w:fill="auto"/>
            <w:vAlign w:val="center"/>
          </w:tcPr>
          <w:p w14:paraId="1C785AAD">
            <w:pPr>
              <w:widowControl/>
              <w:spacing w:line="240" w:lineRule="auto"/>
              <w:jc w:val="center"/>
              <w:rPr>
                <w:rFonts w:eastAsia="等线"/>
                <w:kern w:val="0"/>
                <w:sz w:val="18"/>
                <w:szCs w:val="18"/>
              </w:rPr>
            </w:pPr>
            <w:r>
              <w:rPr>
                <w:rFonts w:eastAsia="等线"/>
                <w:kern w:val="0"/>
                <w:sz w:val="18"/>
                <w:szCs w:val="18"/>
              </w:rPr>
              <w:t>35</w:t>
            </w:r>
          </w:p>
        </w:tc>
        <w:tc>
          <w:tcPr>
            <w:tcW w:w="792" w:type="dxa"/>
            <w:tcBorders>
              <w:top w:val="nil"/>
              <w:left w:val="nil"/>
              <w:bottom w:val="single" w:color="auto" w:sz="8" w:space="0"/>
              <w:right w:val="single" w:color="auto" w:sz="8" w:space="0"/>
            </w:tcBorders>
            <w:shd w:val="clear" w:color="auto" w:fill="auto"/>
            <w:vAlign w:val="center"/>
          </w:tcPr>
          <w:p w14:paraId="503B52C6">
            <w:pPr>
              <w:widowControl/>
              <w:spacing w:line="240" w:lineRule="auto"/>
              <w:jc w:val="center"/>
              <w:rPr>
                <w:rFonts w:eastAsia="等线"/>
                <w:kern w:val="0"/>
                <w:sz w:val="18"/>
                <w:szCs w:val="18"/>
              </w:rPr>
            </w:pPr>
            <w:r>
              <w:rPr>
                <w:rFonts w:eastAsia="等线"/>
                <w:kern w:val="0"/>
                <w:sz w:val="18"/>
                <w:szCs w:val="18"/>
              </w:rPr>
              <w:t>25</w:t>
            </w:r>
          </w:p>
        </w:tc>
        <w:tc>
          <w:tcPr>
            <w:tcW w:w="793" w:type="dxa"/>
            <w:tcBorders>
              <w:top w:val="nil"/>
              <w:left w:val="nil"/>
              <w:bottom w:val="single" w:color="auto" w:sz="8" w:space="0"/>
              <w:right w:val="single" w:color="auto" w:sz="8" w:space="0"/>
            </w:tcBorders>
            <w:shd w:val="clear" w:color="auto" w:fill="auto"/>
            <w:vAlign w:val="center"/>
          </w:tcPr>
          <w:p w14:paraId="0EE34B0D">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40C2F263">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11D99071">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6286F5AC">
            <w:pPr>
              <w:widowControl/>
              <w:spacing w:line="240" w:lineRule="auto"/>
              <w:jc w:val="center"/>
              <w:rPr>
                <w:rFonts w:eastAsia="等线"/>
                <w:kern w:val="0"/>
                <w:sz w:val="18"/>
                <w:szCs w:val="18"/>
              </w:rPr>
            </w:pPr>
            <w:r>
              <w:rPr>
                <w:rFonts w:eastAsia="等线"/>
                <w:kern w:val="0"/>
                <w:sz w:val="18"/>
                <w:szCs w:val="18"/>
              </w:rPr>
              <w:t>20</w:t>
            </w:r>
          </w:p>
        </w:tc>
      </w:tr>
      <w:tr w14:paraId="6589756D">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001D0348">
            <w:pPr>
              <w:widowControl/>
              <w:spacing w:line="240" w:lineRule="auto"/>
              <w:jc w:val="center"/>
              <w:rPr>
                <w:rFonts w:eastAsia="等线"/>
                <w:kern w:val="0"/>
                <w:sz w:val="18"/>
                <w:szCs w:val="18"/>
              </w:rPr>
            </w:pPr>
            <w:r>
              <w:rPr>
                <w:rFonts w:eastAsia="等线"/>
                <w:kern w:val="0"/>
                <w:sz w:val="18"/>
                <w:szCs w:val="18"/>
              </w:rPr>
              <w:t>500</w:t>
            </w:r>
          </w:p>
        </w:tc>
        <w:tc>
          <w:tcPr>
            <w:tcW w:w="792" w:type="dxa"/>
            <w:tcBorders>
              <w:top w:val="nil"/>
              <w:left w:val="nil"/>
              <w:bottom w:val="single" w:color="auto" w:sz="8" w:space="0"/>
              <w:right w:val="single" w:color="auto" w:sz="8" w:space="0"/>
            </w:tcBorders>
            <w:shd w:val="clear" w:color="auto" w:fill="auto"/>
            <w:vAlign w:val="center"/>
          </w:tcPr>
          <w:p w14:paraId="741398D3">
            <w:pPr>
              <w:widowControl/>
              <w:spacing w:line="240" w:lineRule="auto"/>
              <w:jc w:val="center"/>
              <w:rPr>
                <w:rFonts w:eastAsia="等线"/>
                <w:kern w:val="0"/>
                <w:sz w:val="18"/>
                <w:szCs w:val="18"/>
              </w:rPr>
            </w:pPr>
            <w:r>
              <w:rPr>
                <w:rFonts w:eastAsia="等线"/>
                <w:kern w:val="0"/>
                <w:sz w:val="18"/>
                <w:szCs w:val="18"/>
              </w:rPr>
              <w:t>45</w:t>
            </w:r>
          </w:p>
        </w:tc>
        <w:tc>
          <w:tcPr>
            <w:tcW w:w="792" w:type="dxa"/>
            <w:tcBorders>
              <w:top w:val="nil"/>
              <w:left w:val="nil"/>
              <w:bottom w:val="single" w:color="auto" w:sz="8" w:space="0"/>
              <w:right w:val="single" w:color="auto" w:sz="8" w:space="0"/>
            </w:tcBorders>
            <w:shd w:val="clear" w:color="auto" w:fill="auto"/>
            <w:vAlign w:val="center"/>
          </w:tcPr>
          <w:p w14:paraId="2EDAD549">
            <w:pPr>
              <w:widowControl/>
              <w:spacing w:line="240" w:lineRule="auto"/>
              <w:jc w:val="center"/>
              <w:rPr>
                <w:rFonts w:eastAsia="等线"/>
                <w:kern w:val="0"/>
                <w:sz w:val="18"/>
                <w:szCs w:val="18"/>
              </w:rPr>
            </w:pPr>
            <w:r>
              <w:rPr>
                <w:rFonts w:eastAsia="等线"/>
                <w:kern w:val="0"/>
                <w:sz w:val="18"/>
                <w:szCs w:val="18"/>
              </w:rPr>
              <w:t>35</w:t>
            </w:r>
          </w:p>
        </w:tc>
        <w:tc>
          <w:tcPr>
            <w:tcW w:w="792" w:type="dxa"/>
            <w:tcBorders>
              <w:top w:val="nil"/>
              <w:left w:val="nil"/>
              <w:bottom w:val="single" w:color="auto" w:sz="8" w:space="0"/>
              <w:right w:val="single" w:color="auto" w:sz="8" w:space="0"/>
            </w:tcBorders>
            <w:shd w:val="clear" w:color="auto" w:fill="auto"/>
            <w:vAlign w:val="center"/>
          </w:tcPr>
          <w:p w14:paraId="1C351256">
            <w:pPr>
              <w:widowControl/>
              <w:spacing w:line="240" w:lineRule="auto"/>
              <w:jc w:val="center"/>
              <w:rPr>
                <w:rFonts w:eastAsia="等线"/>
                <w:kern w:val="0"/>
                <w:sz w:val="18"/>
                <w:szCs w:val="18"/>
              </w:rPr>
            </w:pPr>
            <w:r>
              <w:rPr>
                <w:rFonts w:eastAsia="等线"/>
                <w:kern w:val="0"/>
                <w:sz w:val="18"/>
                <w:szCs w:val="18"/>
              </w:rPr>
              <w:t>30</w:t>
            </w:r>
          </w:p>
        </w:tc>
        <w:tc>
          <w:tcPr>
            <w:tcW w:w="793" w:type="dxa"/>
            <w:tcBorders>
              <w:top w:val="nil"/>
              <w:left w:val="nil"/>
              <w:bottom w:val="single" w:color="auto" w:sz="8" w:space="0"/>
              <w:right w:val="single" w:color="auto" w:sz="8" w:space="0"/>
            </w:tcBorders>
            <w:shd w:val="clear" w:color="auto" w:fill="auto"/>
            <w:vAlign w:val="center"/>
          </w:tcPr>
          <w:p w14:paraId="3B0D254A">
            <w:pPr>
              <w:widowControl/>
              <w:spacing w:line="240" w:lineRule="auto"/>
              <w:jc w:val="center"/>
              <w:rPr>
                <w:rFonts w:eastAsia="等线"/>
                <w:kern w:val="0"/>
                <w:sz w:val="18"/>
                <w:szCs w:val="18"/>
              </w:rPr>
            </w:pPr>
            <w:r>
              <w:rPr>
                <w:rFonts w:eastAsia="等线"/>
                <w:kern w:val="0"/>
                <w:sz w:val="18"/>
                <w:szCs w:val="18"/>
              </w:rPr>
              <w:t>25</w:t>
            </w:r>
          </w:p>
        </w:tc>
        <w:tc>
          <w:tcPr>
            <w:tcW w:w="793" w:type="dxa"/>
            <w:tcBorders>
              <w:top w:val="nil"/>
              <w:left w:val="nil"/>
              <w:bottom w:val="single" w:color="auto" w:sz="8" w:space="0"/>
              <w:right w:val="single" w:color="auto" w:sz="8" w:space="0"/>
            </w:tcBorders>
            <w:shd w:val="clear" w:color="auto" w:fill="auto"/>
            <w:vAlign w:val="center"/>
          </w:tcPr>
          <w:p w14:paraId="025C5CA1">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2C5A50AD">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1FD5BB91">
            <w:pPr>
              <w:widowControl/>
              <w:spacing w:line="240" w:lineRule="auto"/>
              <w:jc w:val="center"/>
              <w:rPr>
                <w:rFonts w:eastAsia="等线"/>
                <w:kern w:val="0"/>
                <w:sz w:val="18"/>
                <w:szCs w:val="18"/>
              </w:rPr>
            </w:pPr>
            <w:r>
              <w:rPr>
                <w:rFonts w:eastAsia="等线"/>
                <w:kern w:val="0"/>
                <w:sz w:val="18"/>
                <w:szCs w:val="18"/>
              </w:rPr>
              <w:t>20</w:t>
            </w:r>
          </w:p>
        </w:tc>
      </w:tr>
      <w:tr w14:paraId="409BC2C1">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656AC8F0">
            <w:pPr>
              <w:widowControl/>
              <w:spacing w:line="240" w:lineRule="auto"/>
              <w:jc w:val="center"/>
              <w:rPr>
                <w:rFonts w:eastAsia="等线"/>
                <w:kern w:val="0"/>
                <w:sz w:val="18"/>
                <w:szCs w:val="18"/>
              </w:rPr>
            </w:pPr>
            <w:r>
              <w:rPr>
                <w:rFonts w:eastAsia="等线"/>
                <w:kern w:val="0"/>
                <w:sz w:val="18"/>
                <w:szCs w:val="18"/>
              </w:rPr>
              <w:t>450</w:t>
            </w:r>
          </w:p>
        </w:tc>
        <w:tc>
          <w:tcPr>
            <w:tcW w:w="792" w:type="dxa"/>
            <w:tcBorders>
              <w:top w:val="nil"/>
              <w:left w:val="nil"/>
              <w:bottom w:val="single" w:color="auto" w:sz="8" w:space="0"/>
              <w:right w:val="single" w:color="auto" w:sz="8" w:space="0"/>
            </w:tcBorders>
            <w:shd w:val="clear" w:color="auto" w:fill="auto"/>
            <w:vAlign w:val="center"/>
          </w:tcPr>
          <w:p w14:paraId="4CAB8012">
            <w:pPr>
              <w:widowControl/>
              <w:spacing w:line="240" w:lineRule="auto"/>
              <w:jc w:val="center"/>
              <w:rPr>
                <w:rFonts w:eastAsia="等线"/>
                <w:kern w:val="0"/>
                <w:sz w:val="18"/>
                <w:szCs w:val="18"/>
              </w:rPr>
            </w:pPr>
            <w:r>
              <w:rPr>
                <w:rFonts w:eastAsia="等线"/>
                <w:kern w:val="0"/>
                <w:sz w:val="18"/>
                <w:szCs w:val="18"/>
              </w:rPr>
              <w:t>50</w:t>
            </w:r>
          </w:p>
        </w:tc>
        <w:tc>
          <w:tcPr>
            <w:tcW w:w="792" w:type="dxa"/>
            <w:tcBorders>
              <w:top w:val="nil"/>
              <w:left w:val="nil"/>
              <w:bottom w:val="single" w:color="auto" w:sz="8" w:space="0"/>
              <w:right w:val="single" w:color="auto" w:sz="8" w:space="0"/>
            </w:tcBorders>
            <w:shd w:val="clear" w:color="auto" w:fill="auto"/>
            <w:vAlign w:val="center"/>
          </w:tcPr>
          <w:p w14:paraId="6A5D070E">
            <w:pPr>
              <w:widowControl/>
              <w:spacing w:line="240" w:lineRule="auto"/>
              <w:jc w:val="center"/>
              <w:rPr>
                <w:rFonts w:eastAsia="等线"/>
                <w:kern w:val="0"/>
                <w:sz w:val="18"/>
                <w:szCs w:val="18"/>
              </w:rPr>
            </w:pPr>
            <w:r>
              <w:rPr>
                <w:rFonts w:eastAsia="等线"/>
                <w:kern w:val="0"/>
                <w:sz w:val="18"/>
                <w:szCs w:val="18"/>
              </w:rPr>
              <w:t>40</w:t>
            </w:r>
          </w:p>
        </w:tc>
        <w:tc>
          <w:tcPr>
            <w:tcW w:w="792" w:type="dxa"/>
            <w:tcBorders>
              <w:top w:val="nil"/>
              <w:left w:val="nil"/>
              <w:bottom w:val="single" w:color="auto" w:sz="8" w:space="0"/>
              <w:right w:val="single" w:color="auto" w:sz="8" w:space="0"/>
            </w:tcBorders>
            <w:shd w:val="clear" w:color="auto" w:fill="auto"/>
            <w:vAlign w:val="center"/>
          </w:tcPr>
          <w:p w14:paraId="0DE4A018">
            <w:pPr>
              <w:widowControl/>
              <w:spacing w:line="240" w:lineRule="auto"/>
              <w:jc w:val="center"/>
              <w:rPr>
                <w:rFonts w:eastAsia="等线"/>
                <w:kern w:val="0"/>
                <w:sz w:val="18"/>
                <w:szCs w:val="18"/>
              </w:rPr>
            </w:pPr>
            <w:r>
              <w:rPr>
                <w:rFonts w:eastAsia="等线"/>
                <w:kern w:val="0"/>
                <w:sz w:val="18"/>
                <w:szCs w:val="18"/>
              </w:rPr>
              <w:t>30</w:t>
            </w:r>
          </w:p>
        </w:tc>
        <w:tc>
          <w:tcPr>
            <w:tcW w:w="793" w:type="dxa"/>
            <w:tcBorders>
              <w:top w:val="nil"/>
              <w:left w:val="nil"/>
              <w:bottom w:val="single" w:color="auto" w:sz="8" w:space="0"/>
              <w:right w:val="single" w:color="auto" w:sz="8" w:space="0"/>
            </w:tcBorders>
            <w:shd w:val="clear" w:color="auto" w:fill="auto"/>
            <w:vAlign w:val="center"/>
          </w:tcPr>
          <w:p w14:paraId="16DE83CD">
            <w:pPr>
              <w:widowControl/>
              <w:spacing w:line="240" w:lineRule="auto"/>
              <w:jc w:val="center"/>
              <w:rPr>
                <w:rFonts w:eastAsia="等线"/>
                <w:kern w:val="0"/>
                <w:sz w:val="18"/>
                <w:szCs w:val="18"/>
              </w:rPr>
            </w:pPr>
            <w:r>
              <w:rPr>
                <w:rFonts w:eastAsia="等线"/>
                <w:kern w:val="0"/>
                <w:sz w:val="18"/>
                <w:szCs w:val="18"/>
              </w:rPr>
              <w:t>25</w:t>
            </w:r>
          </w:p>
        </w:tc>
        <w:tc>
          <w:tcPr>
            <w:tcW w:w="793" w:type="dxa"/>
            <w:tcBorders>
              <w:top w:val="nil"/>
              <w:left w:val="nil"/>
              <w:bottom w:val="single" w:color="auto" w:sz="8" w:space="0"/>
              <w:right w:val="single" w:color="auto" w:sz="8" w:space="0"/>
            </w:tcBorders>
            <w:shd w:val="clear" w:color="auto" w:fill="auto"/>
            <w:vAlign w:val="center"/>
          </w:tcPr>
          <w:p w14:paraId="71730318">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644AB5B0">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21291873">
            <w:pPr>
              <w:widowControl/>
              <w:spacing w:line="240" w:lineRule="auto"/>
              <w:jc w:val="center"/>
              <w:rPr>
                <w:rFonts w:eastAsia="等线"/>
                <w:kern w:val="0"/>
                <w:sz w:val="18"/>
                <w:szCs w:val="18"/>
              </w:rPr>
            </w:pPr>
            <w:r>
              <w:rPr>
                <w:rFonts w:eastAsia="等线"/>
                <w:kern w:val="0"/>
                <w:sz w:val="18"/>
                <w:szCs w:val="18"/>
              </w:rPr>
              <w:t>20</w:t>
            </w:r>
          </w:p>
        </w:tc>
      </w:tr>
      <w:tr w14:paraId="2712B9E4">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328B2AD3">
            <w:pPr>
              <w:widowControl/>
              <w:spacing w:line="240" w:lineRule="auto"/>
              <w:jc w:val="center"/>
              <w:rPr>
                <w:rFonts w:eastAsia="等线"/>
                <w:kern w:val="0"/>
                <w:sz w:val="18"/>
                <w:szCs w:val="18"/>
              </w:rPr>
            </w:pPr>
            <w:r>
              <w:rPr>
                <w:rFonts w:eastAsia="等线"/>
                <w:kern w:val="0"/>
                <w:sz w:val="18"/>
                <w:szCs w:val="18"/>
              </w:rPr>
              <w:t>400</w:t>
            </w:r>
          </w:p>
        </w:tc>
        <w:tc>
          <w:tcPr>
            <w:tcW w:w="792" w:type="dxa"/>
            <w:tcBorders>
              <w:top w:val="nil"/>
              <w:left w:val="nil"/>
              <w:bottom w:val="single" w:color="auto" w:sz="8" w:space="0"/>
              <w:right w:val="single" w:color="auto" w:sz="8" w:space="0"/>
            </w:tcBorders>
            <w:shd w:val="clear" w:color="auto" w:fill="auto"/>
            <w:vAlign w:val="center"/>
          </w:tcPr>
          <w:p w14:paraId="1FF6A9C9">
            <w:pPr>
              <w:widowControl/>
              <w:spacing w:line="240" w:lineRule="auto"/>
              <w:jc w:val="center"/>
              <w:rPr>
                <w:rFonts w:eastAsia="等线"/>
                <w:kern w:val="0"/>
                <w:sz w:val="18"/>
                <w:szCs w:val="18"/>
              </w:rPr>
            </w:pPr>
            <w:r>
              <w:rPr>
                <w:rFonts w:eastAsia="等线"/>
                <w:kern w:val="0"/>
                <w:sz w:val="18"/>
                <w:szCs w:val="18"/>
              </w:rPr>
              <w:t>55</w:t>
            </w:r>
          </w:p>
        </w:tc>
        <w:tc>
          <w:tcPr>
            <w:tcW w:w="792" w:type="dxa"/>
            <w:tcBorders>
              <w:top w:val="nil"/>
              <w:left w:val="nil"/>
              <w:bottom w:val="single" w:color="auto" w:sz="8" w:space="0"/>
              <w:right w:val="single" w:color="auto" w:sz="8" w:space="0"/>
            </w:tcBorders>
            <w:shd w:val="clear" w:color="auto" w:fill="auto"/>
            <w:vAlign w:val="center"/>
          </w:tcPr>
          <w:p w14:paraId="54DC4249">
            <w:pPr>
              <w:widowControl/>
              <w:spacing w:line="240" w:lineRule="auto"/>
              <w:jc w:val="center"/>
              <w:rPr>
                <w:rFonts w:eastAsia="等线"/>
                <w:kern w:val="0"/>
                <w:sz w:val="18"/>
                <w:szCs w:val="18"/>
              </w:rPr>
            </w:pPr>
            <w:r>
              <w:rPr>
                <w:rFonts w:eastAsia="等线"/>
                <w:kern w:val="0"/>
                <w:sz w:val="18"/>
                <w:szCs w:val="18"/>
              </w:rPr>
              <w:t>45</w:t>
            </w:r>
          </w:p>
        </w:tc>
        <w:tc>
          <w:tcPr>
            <w:tcW w:w="792" w:type="dxa"/>
            <w:tcBorders>
              <w:top w:val="nil"/>
              <w:left w:val="nil"/>
              <w:bottom w:val="single" w:color="auto" w:sz="8" w:space="0"/>
              <w:right w:val="single" w:color="auto" w:sz="8" w:space="0"/>
            </w:tcBorders>
            <w:shd w:val="clear" w:color="auto" w:fill="auto"/>
            <w:vAlign w:val="center"/>
          </w:tcPr>
          <w:p w14:paraId="20E7C230">
            <w:pPr>
              <w:widowControl/>
              <w:spacing w:line="240" w:lineRule="auto"/>
              <w:jc w:val="center"/>
              <w:rPr>
                <w:rFonts w:eastAsia="等线"/>
                <w:kern w:val="0"/>
                <w:sz w:val="18"/>
                <w:szCs w:val="18"/>
              </w:rPr>
            </w:pPr>
            <w:r>
              <w:rPr>
                <w:rFonts w:eastAsia="等线"/>
                <w:kern w:val="0"/>
                <w:sz w:val="18"/>
                <w:szCs w:val="18"/>
              </w:rPr>
              <w:t>35</w:t>
            </w:r>
          </w:p>
        </w:tc>
        <w:tc>
          <w:tcPr>
            <w:tcW w:w="793" w:type="dxa"/>
            <w:tcBorders>
              <w:top w:val="nil"/>
              <w:left w:val="nil"/>
              <w:bottom w:val="single" w:color="auto" w:sz="8" w:space="0"/>
              <w:right w:val="single" w:color="auto" w:sz="8" w:space="0"/>
            </w:tcBorders>
            <w:shd w:val="clear" w:color="auto" w:fill="auto"/>
            <w:vAlign w:val="center"/>
          </w:tcPr>
          <w:p w14:paraId="761172D7">
            <w:pPr>
              <w:widowControl/>
              <w:spacing w:line="240" w:lineRule="auto"/>
              <w:jc w:val="center"/>
              <w:rPr>
                <w:rFonts w:eastAsia="等线"/>
                <w:kern w:val="0"/>
                <w:sz w:val="18"/>
                <w:szCs w:val="18"/>
              </w:rPr>
            </w:pPr>
            <w:r>
              <w:rPr>
                <w:rFonts w:eastAsia="等线"/>
                <w:kern w:val="0"/>
                <w:sz w:val="18"/>
                <w:szCs w:val="18"/>
              </w:rPr>
              <w:t>30</w:t>
            </w:r>
          </w:p>
        </w:tc>
        <w:tc>
          <w:tcPr>
            <w:tcW w:w="793" w:type="dxa"/>
            <w:tcBorders>
              <w:top w:val="nil"/>
              <w:left w:val="nil"/>
              <w:bottom w:val="single" w:color="auto" w:sz="8" w:space="0"/>
              <w:right w:val="single" w:color="auto" w:sz="8" w:space="0"/>
            </w:tcBorders>
            <w:shd w:val="clear" w:color="auto" w:fill="auto"/>
            <w:vAlign w:val="center"/>
          </w:tcPr>
          <w:p w14:paraId="166FA648">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544ADB84">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56D43C1B">
            <w:pPr>
              <w:widowControl/>
              <w:spacing w:line="240" w:lineRule="auto"/>
              <w:jc w:val="center"/>
              <w:rPr>
                <w:rFonts w:eastAsia="等线"/>
                <w:kern w:val="0"/>
                <w:sz w:val="18"/>
                <w:szCs w:val="18"/>
              </w:rPr>
            </w:pPr>
            <w:r>
              <w:rPr>
                <w:rFonts w:eastAsia="等线"/>
                <w:kern w:val="0"/>
                <w:sz w:val="18"/>
                <w:szCs w:val="18"/>
              </w:rPr>
              <w:t>20</w:t>
            </w:r>
          </w:p>
        </w:tc>
      </w:tr>
      <w:tr w14:paraId="303864FD">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147230C1">
            <w:pPr>
              <w:widowControl/>
              <w:spacing w:line="240" w:lineRule="auto"/>
              <w:jc w:val="center"/>
              <w:rPr>
                <w:rFonts w:eastAsia="等线"/>
                <w:kern w:val="0"/>
                <w:sz w:val="18"/>
                <w:szCs w:val="18"/>
              </w:rPr>
            </w:pPr>
            <w:r>
              <w:rPr>
                <w:rFonts w:eastAsia="等线"/>
                <w:kern w:val="0"/>
                <w:sz w:val="18"/>
                <w:szCs w:val="18"/>
              </w:rPr>
              <w:t>350</w:t>
            </w:r>
          </w:p>
        </w:tc>
        <w:tc>
          <w:tcPr>
            <w:tcW w:w="792" w:type="dxa"/>
            <w:tcBorders>
              <w:top w:val="nil"/>
              <w:left w:val="nil"/>
              <w:bottom w:val="single" w:color="auto" w:sz="8" w:space="0"/>
              <w:right w:val="single" w:color="auto" w:sz="8" w:space="0"/>
            </w:tcBorders>
            <w:shd w:val="clear" w:color="auto" w:fill="auto"/>
            <w:vAlign w:val="center"/>
          </w:tcPr>
          <w:p w14:paraId="7BC5162E">
            <w:pPr>
              <w:widowControl/>
              <w:spacing w:line="240" w:lineRule="auto"/>
              <w:jc w:val="center"/>
              <w:rPr>
                <w:rFonts w:eastAsia="等线"/>
                <w:kern w:val="0"/>
                <w:sz w:val="18"/>
                <w:szCs w:val="18"/>
              </w:rPr>
            </w:pPr>
            <w:r>
              <w:rPr>
                <w:rFonts w:eastAsia="等线"/>
                <w:kern w:val="0"/>
                <w:sz w:val="18"/>
                <w:szCs w:val="18"/>
              </w:rPr>
              <w:t>55</w:t>
            </w:r>
          </w:p>
        </w:tc>
        <w:tc>
          <w:tcPr>
            <w:tcW w:w="792" w:type="dxa"/>
            <w:tcBorders>
              <w:top w:val="nil"/>
              <w:left w:val="nil"/>
              <w:bottom w:val="single" w:color="auto" w:sz="8" w:space="0"/>
              <w:right w:val="single" w:color="auto" w:sz="8" w:space="0"/>
            </w:tcBorders>
            <w:shd w:val="clear" w:color="auto" w:fill="auto"/>
            <w:vAlign w:val="center"/>
          </w:tcPr>
          <w:p w14:paraId="52F0DA25">
            <w:pPr>
              <w:widowControl/>
              <w:spacing w:line="240" w:lineRule="auto"/>
              <w:jc w:val="center"/>
              <w:rPr>
                <w:rFonts w:eastAsia="等线"/>
                <w:kern w:val="0"/>
                <w:sz w:val="18"/>
                <w:szCs w:val="18"/>
              </w:rPr>
            </w:pPr>
            <w:r>
              <w:rPr>
                <w:rFonts w:eastAsia="等线"/>
                <w:kern w:val="0"/>
                <w:sz w:val="18"/>
                <w:szCs w:val="18"/>
              </w:rPr>
              <w:t>50</w:t>
            </w:r>
          </w:p>
        </w:tc>
        <w:tc>
          <w:tcPr>
            <w:tcW w:w="792" w:type="dxa"/>
            <w:tcBorders>
              <w:top w:val="nil"/>
              <w:left w:val="nil"/>
              <w:bottom w:val="single" w:color="auto" w:sz="8" w:space="0"/>
              <w:right w:val="single" w:color="auto" w:sz="8" w:space="0"/>
            </w:tcBorders>
            <w:shd w:val="clear" w:color="auto" w:fill="auto"/>
            <w:vAlign w:val="center"/>
          </w:tcPr>
          <w:p w14:paraId="7CEDABF5">
            <w:pPr>
              <w:widowControl/>
              <w:spacing w:line="240" w:lineRule="auto"/>
              <w:jc w:val="center"/>
              <w:rPr>
                <w:rFonts w:eastAsia="等线"/>
                <w:kern w:val="0"/>
                <w:sz w:val="18"/>
                <w:szCs w:val="18"/>
              </w:rPr>
            </w:pPr>
            <w:r>
              <w:rPr>
                <w:rFonts w:eastAsia="等线"/>
                <w:kern w:val="0"/>
                <w:sz w:val="18"/>
                <w:szCs w:val="18"/>
              </w:rPr>
              <w:t>40</w:t>
            </w:r>
          </w:p>
        </w:tc>
        <w:tc>
          <w:tcPr>
            <w:tcW w:w="793" w:type="dxa"/>
            <w:tcBorders>
              <w:top w:val="nil"/>
              <w:left w:val="nil"/>
              <w:bottom w:val="single" w:color="auto" w:sz="8" w:space="0"/>
              <w:right w:val="single" w:color="auto" w:sz="8" w:space="0"/>
            </w:tcBorders>
            <w:shd w:val="clear" w:color="auto" w:fill="auto"/>
            <w:vAlign w:val="center"/>
          </w:tcPr>
          <w:p w14:paraId="44EAD322">
            <w:pPr>
              <w:widowControl/>
              <w:spacing w:line="240" w:lineRule="auto"/>
              <w:jc w:val="center"/>
              <w:rPr>
                <w:rFonts w:eastAsia="等线"/>
                <w:kern w:val="0"/>
                <w:sz w:val="18"/>
                <w:szCs w:val="18"/>
              </w:rPr>
            </w:pPr>
            <w:r>
              <w:rPr>
                <w:rFonts w:eastAsia="等线"/>
                <w:kern w:val="0"/>
                <w:sz w:val="18"/>
                <w:szCs w:val="18"/>
              </w:rPr>
              <w:t>30</w:t>
            </w:r>
          </w:p>
        </w:tc>
        <w:tc>
          <w:tcPr>
            <w:tcW w:w="793" w:type="dxa"/>
            <w:tcBorders>
              <w:top w:val="nil"/>
              <w:left w:val="nil"/>
              <w:bottom w:val="single" w:color="auto" w:sz="8" w:space="0"/>
              <w:right w:val="single" w:color="auto" w:sz="8" w:space="0"/>
            </w:tcBorders>
            <w:shd w:val="clear" w:color="auto" w:fill="auto"/>
            <w:vAlign w:val="center"/>
          </w:tcPr>
          <w:p w14:paraId="7FB2A660">
            <w:pPr>
              <w:widowControl/>
              <w:spacing w:line="240" w:lineRule="auto"/>
              <w:jc w:val="center"/>
              <w:rPr>
                <w:rFonts w:eastAsia="等线"/>
                <w:kern w:val="0"/>
                <w:sz w:val="18"/>
                <w:szCs w:val="18"/>
              </w:rPr>
            </w:pPr>
            <w:r>
              <w:rPr>
                <w:rFonts w:eastAsia="等线"/>
                <w:kern w:val="0"/>
                <w:sz w:val="18"/>
                <w:szCs w:val="18"/>
              </w:rPr>
              <w:t>25</w:t>
            </w:r>
          </w:p>
        </w:tc>
        <w:tc>
          <w:tcPr>
            <w:tcW w:w="793" w:type="dxa"/>
            <w:tcBorders>
              <w:top w:val="nil"/>
              <w:left w:val="nil"/>
              <w:bottom w:val="single" w:color="auto" w:sz="8" w:space="0"/>
              <w:right w:val="single" w:color="auto" w:sz="8" w:space="0"/>
            </w:tcBorders>
            <w:shd w:val="clear" w:color="auto" w:fill="auto"/>
            <w:vAlign w:val="center"/>
          </w:tcPr>
          <w:p w14:paraId="03A5A7B7">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14:paraId="051FCE42">
            <w:pPr>
              <w:widowControl/>
              <w:spacing w:line="240" w:lineRule="auto"/>
              <w:jc w:val="center"/>
              <w:rPr>
                <w:rFonts w:eastAsia="等线"/>
                <w:kern w:val="0"/>
                <w:sz w:val="18"/>
                <w:szCs w:val="18"/>
              </w:rPr>
            </w:pPr>
            <w:r>
              <w:rPr>
                <w:rFonts w:eastAsia="等线"/>
                <w:kern w:val="0"/>
                <w:sz w:val="18"/>
                <w:szCs w:val="18"/>
              </w:rPr>
              <w:t>20</w:t>
            </w:r>
          </w:p>
        </w:tc>
      </w:tr>
      <w:tr w14:paraId="059F6499">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7E86FB6C">
            <w:pPr>
              <w:widowControl/>
              <w:spacing w:line="240" w:lineRule="auto"/>
              <w:jc w:val="center"/>
              <w:rPr>
                <w:rFonts w:eastAsia="等线"/>
                <w:kern w:val="0"/>
                <w:sz w:val="18"/>
                <w:szCs w:val="18"/>
              </w:rPr>
            </w:pPr>
            <w:r>
              <w:rPr>
                <w:rFonts w:eastAsia="等线"/>
                <w:kern w:val="0"/>
                <w:sz w:val="18"/>
                <w:szCs w:val="18"/>
              </w:rPr>
              <w:t>300</w:t>
            </w:r>
          </w:p>
        </w:tc>
        <w:tc>
          <w:tcPr>
            <w:tcW w:w="792" w:type="dxa"/>
            <w:tcBorders>
              <w:top w:val="nil"/>
              <w:left w:val="nil"/>
              <w:bottom w:val="single" w:color="auto" w:sz="8" w:space="0"/>
              <w:right w:val="single" w:color="auto" w:sz="8" w:space="0"/>
            </w:tcBorders>
            <w:shd w:val="clear" w:color="auto" w:fill="auto"/>
            <w:vAlign w:val="center"/>
          </w:tcPr>
          <w:p w14:paraId="1B68634F">
            <w:pPr>
              <w:widowControl/>
              <w:spacing w:line="240" w:lineRule="auto"/>
              <w:jc w:val="center"/>
              <w:rPr>
                <w:rFonts w:eastAsia="等线"/>
                <w:kern w:val="0"/>
                <w:sz w:val="18"/>
                <w:szCs w:val="18"/>
              </w:rPr>
            </w:pPr>
            <w:r>
              <w:rPr>
                <w:rFonts w:eastAsia="等线"/>
                <w:kern w:val="0"/>
                <w:sz w:val="18"/>
                <w:szCs w:val="18"/>
              </w:rPr>
              <w:t>55</w:t>
            </w:r>
          </w:p>
        </w:tc>
        <w:tc>
          <w:tcPr>
            <w:tcW w:w="792" w:type="dxa"/>
            <w:tcBorders>
              <w:top w:val="nil"/>
              <w:left w:val="nil"/>
              <w:bottom w:val="single" w:color="auto" w:sz="8" w:space="0"/>
              <w:right w:val="single" w:color="auto" w:sz="8" w:space="0"/>
            </w:tcBorders>
            <w:shd w:val="clear" w:color="auto" w:fill="auto"/>
            <w:vAlign w:val="center"/>
          </w:tcPr>
          <w:p w14:paraId="0EB697F5">
            <w:pPr>
              <w:widowControl/>
              <w:spacing w:line="240" w:lineRule="auto"/>
              <w:jc w:val="center"/>
              <w:rPr>
                <w:rFonts w:eastAsia="等线"/>
                <w:kern w:val="0"/>
                <w:sz w:val="18"/>
                <w:szCs w:val="18"/>
              </w:rPr>
            </w:pPr>
            <w:r>
              <w:rPr>
                <w:rFonts w:eastAsia="等线"/>
                <w:kern w:val="0"/>
                <w:sz w:val="18"/>
                <w:szCs w:val="18"/>
              </w:rPr>
              <w:t>50</w:t>
            </w:r>
          </w:p>
        </w:tc>
        <w:tc>
          <w:tcPr>
            <w:tcW w:w="792" w:type="dxa"/>
            <w:tcBorders>
              <w:top w:val="nil"/>
              <w:left w:val="nil"/>
              <w:bottom w:val="single" w:color="auto" w:sz="8" w:space="0"/>
              <w:right w:val="single" w:color="auto" w:sz="8" w:space="0"/>
            </w:tcBorders>
            <w:shd w:val="clear" w:color="auto" w:fill="auto"/>
            <w:vAlign w:val="center"/>
          </w:tcPr>
          <w:p w14:paraId="0DF045B5">
            <w:pPr>
              <w:widowControl/>
              <w:spacing w:line="240" w:lineRule="auto"/>
              <w:jc w:val="center"/>
              <w:rPr>
                <w:rFonts w:eastAsia="等线"/>
                <w:kern w:val="0"/>
                <w:sz w:val="18"/>
                <w:szCs w:val="18"/>
              </w:rPr>
            </w:pPr>
            <w:r>
              <w:rPr>
                <w:rFonts w:eastAsia="等线"/>
                <w:kern w:val="0"/>
                <w:sz w:val="18"/>
                <w:szCs w:val="18"/>
              </w:rPr>
              <w:t>50</w:t>
            </w:r>
          </w:p>
        </w:tc>
        <w:tc>
          <w:tcPr>
            <w:tcW w:w="793" w:type="dxa"/>
            <w:tcBorders>
              <w:top w:val="nil"/>
              <w:left w:val="nil"/>
              <w:bottom w:val="single" w:color="auto" w:sz="8" w:space="0"/>
              <w:right w:val="single" w:color="auto" w:sz="8" w:space="0"/>
            </w:tcBorders>
            <w:shd w:val="clear" w:color="auto" w:fill="auto"/>
            <w:vAlign w:val="center"/>
          </w:tcPr>
          <w:p w14:paraId="55AEF0F7">
            <w:pPr>
              <w:widowControl/>
              <w:spacing w:line="240" w:lineRule="auto"/>
              <w:jc w:val="center"/>
              <w:rPr>
                <w:rFonts w:eastAsia="等线"/>
                <w:kern w:val="0"/>
                <w:sz w:val="18"/>
                <w:szCs w:val="18"/>
              </w:rPr>
            </w:pPr>
            <w:r>
              <w:rPr>
                <w:rFonts w:eastAsia="等线"/>
                <w:kern w:val="0"/>
                <w:sz w:val="18"/>
                <w:szCs w:val="18"/>
              </w:rPr>
              <w:t>35</w:t>
            </w:r>
          </w:p>
        </w:tc>
        <w:tc>
          <w:tcPr>
            <w:tcW w:w="793" w:type="dxa"/>
            <w:tcBorders>
              <w:top w:val="nil"/>
              <w:left w:val="nil"/>
              <w:bottom w:val="single" w:color="auto" w:sz="8" w:space="0"/>
              <w:right w:val="single" w:color="auto" w:sz="8" w:space="0"/>
            </w:tcBorders>
            <w:shd w:val="clear" w:color="auto" w:fill="auto"/>
            <w:vAlign w:val="center"/>
          </w:tcPr>
          <w:p w14:paraId="335F271F">
            <w:pPr>
              <w:widowControl/>
              <w:spacing w:line="240" w:lineRule="auto"/>
              <w:jc w:val="center"/>
              <w:rPr>
                <w:rFonts w:eastAsia="等线"/>
                <w:kern w:val="0"/>
                <w:sz w:val="18"/>
                <w:szCs w:val="18"/>
              </w:rPr>
            </w:pPr>
            <w:r>
              <w:rPr>
                <w:rFonts w:eastAsia="等线"/>
                <w:kern w:val="0"/>
                <w:sz w:val="18"/>
                <w:szCs w:val="18"/>
              </w:rPr>
              <w:t>30</w:t>
            </w:r>
          </w:p>
        </w:tc>
        <w:tc>
          <w:tcPr>
            <w:tcW w:w="793" w:type="dxa"/>
            <w:tcBorders>
              <w:top w:val="nil"/>
              <w:left w:val="nil"/>
              <w:bottom w:val="single" w:color="auto" w:sz="8" w:space="0"/>
              <w:right w:val="single" w:color="auto" w:sz="8" w:space="0"/>
            </w:tcBorders>
            <w:shd w:val="clear" w:color="auto" w:fill="auto"/>
            <w:vAlign w:val="center"/>
          </w:tcPr>
          <w:p w14:paraId="646C9F9C">
            <w:pPr>
              <w:widowControl/>
              <w:spacing w:line="240" w:lineRule="auto"/>
              <w:jc w:val="center"/>
              <w:rPr>
                <w:rFonts w:eastAsia="等线"/>
                <w:kern w:val="0"/>
                <w:sz w:val="18"/>
                <w:szCs w:val="18"/>
              </w:rPr>
            </w:pPr>
            <w:r>
              <w:rPr>
                <w:rFonts w:eastAsia="等线"/>
                <w:kern w:val="0"/>
                <w:sz w:val="18"/>
                <w:szCs w:val="18"/>
              </w:rPr>
              <w:t>25</w:t>
            </w:r>
          </w:p>
        </w:tc>
        <w:tc>
          <w:tcPr>
            <w:tcW w:w="793" w:type="dxa"/>
            <w:tcBorders>
              <w:top w:val="nil"/>
              <w:left w:val="nil"/>
              <w:bottom w:val="single" w:color="auto" w:sz="8" w:space="0"/>
              <w:right w:val="single" w:color="auto" w:sz="8" w:space="0"/>
            </w:tcBorders>
            <w:shd w:val="clear" w:color="auto" w:fill="auto"/>
            <w:vAlign w:val="center"/>
          </w:tcPr>
          <w:p w14:paraId="36340B39">
            <w:pPr>
              <w:widowControl/>
              <w:spacing w:line="240" w:lineRule="auto"/>
              <w:jc w:val="center"/>
              <w:rPr>
                <w:rFonts w:eastAsia="等线"/>
                <w:kern w:val="0"/>
                <w:sz w:val="18"/>
                <w:szCs w:val="18"/>
              </w:rPr>
            </w:pPr>
            <w:r>
              <w:rPr>
                <w:rFonts w:eastAsia="等线"/>
                <w:kern w:val="0"/>
                <w:sz w:val="18"/>
                <w:szCs w:val="18"/>
              </w:rPr>
              <w:t>20</w:t>
            </w:r>
          </w:p>
        </w:tc>
      </w:tr>
      <w:tr w14:paraId="32E2C481">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4EE301B8">
            <w:pPr>
              <w:widowControl/>
              <w:spacing w:line="240" w:lineRule="auto"/>
              <w:jc w:val="center"/>
              <w:rPr>
                <w:rFonts w:eastAsia="等线"/>
                <w:kern w:val="0"/>
                <w:sz w:val="18"/>
                <w:szCs w:val="18"/>
              </w:rPr>
            </w:pPr>
            <w:r>
              <w:rPr>
                <w:rFonts w:eastAsia="等线"/>
                <w:kern w:val="0"/>
                <w:sz w:val="18"/>
                <w:szCs w:val="18"/>
              </w:rPr>
              <w:t>250</w:t>
            </w:r>
          </w:p>
        </w:tc>
        <w:tc>
          <w:tcPr>
            <w:tcW w:w="792" w:type="dxa"/>
            <w:tcBorders>
              <w:top w:val="nil"/>
              <w:left w:val="nil"/>
              <w:bottom w:val="single" w:color="auto" w:sz="8" w:space="0"/>
              <w:right w:val="single" w:color="auto" w:sz="8" w:space="0"/>
            </w:tcBorders>
            <w:shd w:val="clear" w:color="auto" w:fill="auto"/>
            <w:vAlign w:val="center"/>
          </w:tcPr>
          <w:p w14:paraId="75C5DC43">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429FF02C">
            <w:pPr>
              <w:widowControl/>
              <w:spacing w:line="240" w:lineRule="auto"/>
              <w:jc w:val="center"/>
              <w:rPr>
                <w:rFonts w:eastAsia="等线"/>
                <w:kern w:val="0"/>
                <w:sz w:val="18"/>
                <w:szCs w:val="18"/>
              </w:rPr>
            </w:pPr>
            <w:r>
              <w:rPr>
                <w:rFonts w:eastAsia="等线"/>
                <w:kern w:val="0"/>
                <w:sz w:val="18"/>
                <w:szCs w:val="18"/>
              </w:rPr>
              <w:t>50</w:t>
            </w:r>
          </w:p>
        </w:tc>
        <w:tc>
          <w:tcPr>
            <w:tcW w:w="792" w:type="dxa"/>
            <w:tcBorders>
              <w:top w:val="nil"/>
              <w:left w:val="nil"/>
              <w:bottom w:val="single" w:color="auto" w:sz="8" w:space="0"/>
              <w:right w:val="single" w:color="auto" w:sz="8" w:space="0"/>
            </w:tcBorders>
            <w:shd w:val="clear" w:color="auto" w:fill="auto"/>
            <w:vAlign w:val="center"/>
          </w:tcPr>
          <w:p w14:paraId="0CCDAF50">
            <w:pPr>
              <w:widowControl/>
              <w:spacing w:line="240" w:lineRule="auto"/>
              <w:jc w:val="center"/>
              <w:rPr>
                <w:rFonts w:eastAsia="等线"/>
                <w:kern w:val="0"/>
                <w:sz w:val="18"/>
                <w:szCs w:val="18"/>
              </w:rPr>
            </w:pPr>
            <w:r>
              <w:rPr>
                <w:rFonts w:eastAsia="等线"/>
                <w:kern w:val="0"/>
                <w:sz w:val="18"/>
                <w:szCs w:val="18"/>
              </w:rPr>
              <w:t>50</w:t>
            </w:r>
          </w:p>
        </w:tc>
        <w:tc>
          <w:tcPr>
            <w:tcW w:w="793" w:type="dxa"/>
            <w:tcBorders>
              <w:top w:val="nil"/>
              <w:left w:val="nil"/>
              <w:bottom w:val="single" w:color="auto" w:sz="8" w:space="0"/>
              <w:right w:val="single" w:color="auto" w:sz="8" w:space="0"/>
            </w:tcBorders>
            <w:shd w:val="clear" w:color="auto" w:fill="auto"/>
            <w:vAlign w:val="center"/>
          </w:tcPr>
          <w:p w14:paraId="49CB560C">
            <w:pPr>
              <w:widowControl/>
              <w:spacing w:line="240" w:lineRule="auto"/>
              <w:jc w:val="center"/>
              <w:rPr>
                <w:rFonts w:eastAsia="等线"/>
                <w:kern w:val="0"/>
                <w:sz w:val="18"/>
                <w:szCs w:val="18"/>
              </w:rPr>
            </w:pPr>
            <w:r>
              <w:rPr>
                <w:rFonts w:eastAsia="等线"/>
                <w:kern w:val="0"/>
                <w:sz w:val="18"/>
                <w:szCs w:val="18"/>
              </w:rPr>
              <w:t>45</w:t>
            </w:r>
          </w:p>
        </w:tc>
        <w:tc>
          <w:tcPr>
            <w:tcW w:w="793" w:type="dxa"/>
            <w:tcBorders>
              <w:top w:val="nil"/>
              <w:left w:val="nil"/>
              <w:bottom w:val="single" w:color="auto" w:sz="8" w:space="0"/>
              <w:right w:val="single" w:color="auto" w:sz="8" w:space="0"/>
            </w:tcBorders>
            <w:shd w:val="clear" w:color="auto" w:fill="auto"/>
            <w:vAlign w:val="center"/>
          </w:tcPr>
          <w:p w14:paraId="18B0D6DD">
            <w:pPr>
              <w:widowControl/>
              <w:spacing w:line="240" w:lineRule="auto"/>
              <w:jc w:val="center"/>
              <w:rPr>
                <w:rFonts w:eastAsia="等线"/>
                <w:kern w:val="0"/>
                <w:sz w:val="18"/>
                <w:szCs w:val="18"/>
              </w:rPr>
            </w:pPr>
            <w:r>
              <w:rPr>
                <w:rFonts w:eastAsia="等线"/>
                <w:kern w:val="0"/>
                <w:sz w:val="18"/>
                <w:szCs w:val="18"/>
              </w:rPr>
              <w:t>35</w:t>
            </w:r>
          </w:p>
        </w:tc>
        <w:tc>
          <w:tcPr>
            <w:tcW w:w="793" w:type="dxa"/>
            <w:tcBorders>
              <w:top w:val="nil"/>
              <w:left w:val="nil"/>
              <w:bottom w:val="single" w:color="auto" w:sz="8" w:space="0"/>
              <w:right w:val="single" w:color="auto" w:sz="8" w:space="0"/>
            </w:tcBorders>
            <w:shd w:val="clear" w:color="auto" w:fill="auto"/>
            <w:vAlign w:val="center"/>
          </w:tcPr>
          <w:p w14:paraId="532FA138">
            <w:pPr>
              <w:widowControl/>
              <w:spacing w:line="240" w:lineRule="auto"/>
              <w:jc w:val="center"/>
              <w:rPr>
                <w:rFonts w:eastAsia="等线"/>
                <w:kern w:val="0"/>
                <w:sz w:val="18"/>
                <w:szCs w:val="18"/>
              </w:rPr>
            </w:pPr>
            <w:r>
              <w:rPr>
                <w:rFonts w:eastAsia="等线"/>
                <w:kern w:val="0"/>
                <w:sz w:val="18"/>
                <w:szCs w:val="18"/>
              </w:rPr>
              <w:t>25</w:t>
            </w:r>
          </w:p>
        </w:tc>
        <w:tc>
          <w:tcPr>
            <w:tcW w:w="793" w:type="dxa"/>
            <w:tcBorders>
              <w:top w:val="nil"/>
              <w:left w:val="nil"/>
              <w:bottom w:val="single" w:color="auto" w:sz="8" w:space="0"/>
              <w:right w:val="single" w:color="auto" w:sz="8" w:space="0"/>
            </w:tcBorders>
            <w:shd w:val="clear" w:color="auto" w:fill="auto"/>
            <w:vAlign w:val="center"/>
          </w:tcPr>
          <w:p w14:paraId="6548BF60">
            <w:pPr>
              <w:widowControl/>
              <w:spacing w:line="240" w:lineRule="auto"/>
              <w:jc w:val="center"/>
              <w:rPr>
                <w:rFonts w:eastAsia="等线"/>
                <w:kern w:val="0"/>
                <w:sz w:val="18"/>
                <w:szCs w:val="18"/>
              </w:rPr>
            </w:pPr>
            <w:r>
              <w:rPr>
                <w:rFonts w:eastAsia="等线"/>
                <w:kern w:val="0"/>
                <w:sz w:val="18"/>
                <w:szCs w:val="18"/>
              </w:rPr>
              <w:t>20</w:t>
            </w:r>
          </w:p>
        </w:tc>
      </w:tr>
      <w:tr w14:paraId="4E8AD532">
        <w:tblPrEx>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14:paraId="409961A7">
            <w:pPr>
              <w:widowControl/>
              <w:spacing w:line="240" w:lineRule="auto"/>
              <w:jc w:val="center"/>
              <w:rPr>
                <w:rFonts w:eastAsia="等线"/>
                <w:kern w:val="0"/>
                <w:sz w:val="18"/>
                <w:szCs w:val="18"/>
              </w:rPr>
            </w:pPr>
            <w:r>
              <w:rPr>
                <w:rFonts w:eastAsia="等线"/>
                <w:kern w:val="0"/>
                <w:sz w:val="18"/>
                <w:szCs w:val="18"/>
              </w:rPr>
              <w:t>200</w:t>
            </w:r>
          </w:p>
        </w:tc>
        <w:tc>
          <w:tcPr>
            <w:tcW w:w="792" w:type="dxa"/>
            <w:tcBorders>
              <w:top w:val="nil"/>
              <w:left w:val="nil"/>
              <w:bottom w:val="single" w:color="auto" w:sz="8" w:space="0"/>
              <w:right w:val="single" w:color="auto" w:sz="8" w:space="0"/>
            </w:tcBorders>
            <w:shd w:val="clear" w:color="auto" w:fill="auto"/>
            <w:vAlign w:val="center"/>
          </w:tcPr>
          <w:p w14:paraId="574426DF">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6C9425BB">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14:paraId="0A786648">
            <w:pPr>
              <w:widowControl/>
              <w:spacing w:line="240" w:lineRule="auto"/>
              <w:jc w:val="center"/>
              <w:rPr>
                <w:rFonts w:eastAsia="等线"/>
                <w:kern w:val="0"/>
                <w:sz w:val="18"/>
                <w:szCs w:val="18"/>
              </w:rPr>
            </w:pPr>
            <w:r>
              <w:rPr>
                <w:rFonts w:eastAsia="等线"/>
                <w:kern w:val="0"/>
                <w:sz w:val="18"/>
                <w:szCs w:val="18"/>
              </w:rPr>
              <w:t>50</w:t>
            </w:r>
          </w:p>
        </w:tc>
        <w:tc>
          <w:tcPr>
            <w:tcW w:w="793" w:type="dxa"/>
            <w:tcBorders>
              <w:top w:val="nil"/>
              <w:left w:val="nil"/>
              <w:bottom w:val="single" w:color="auto" w:sz="8" w:space="0"/>
              <w:right w:val="single" w:color="auto" w:sz="8" w:space="0"/>
            </w:tcBorders>
            <w:shd w:val="clear" w:color="auto" w:fill="auto"/>
            <w:vAlign w:val="center"/>
          </w:tcPr>
          <w:p w14:paraId="47F888A2">
            <w:pPr>
              <w:widowControl/>
              <w:spacing w:line="240" w:lineRule="auto"/>
              <w:jc w:val="center"/>
              <w:rPr>
                <w:rFonts w:eastAsia="等线"/>
                <w:kern w:val="0"/>
                <w:sz w:val="18"/>
                <w:szCs w:val="18"/>
              </w:rPr>
            </w:pPr>
            <w:r>
              <w:rPr>
                <w:rFonts w:eastAsia="等线"/>
                <w:kern w:val="0"/>
                <w:sz w:val="18"/>
                <w:szCs w:val="18"/>
              </w:rPr>
              <w:t>45</w:t>
            </w:r>
          </w:p>
        </w:tc>
        <w:tc>
          <w:tcPr>
            <w:tcW w:w="793" w:type="dxa"/>
            <w:tcBorders>
              <w:top w:val="nil"/>
              <w:left w:val="nil"/>
              <w:bottom w:val="single" w:color="auto" w:sz="8" w:space="0"/>
              <w:right w:val="single" w:color="auto" w:sz="8" w:space="0"/>
            </w:tcBorders>
            <w:shd w:val="clear" w:color="auto" w:fill="auto"/>
            <w:vAlign w:val="center"/>
          </w:tcPr>
          <w:p w14:paraId="249E9CB3">
            <w:pPr>
              <w:widowControl/>
              <w:spacing w:line="240" w:lineRule="auto"/>
              <w:jc w:val="center"/>
              <w:rPr>
                <w:rFonts w:eastAsia="等线"/>
                <w:kern w:val="0"/>
                <w:sz w:val="18"/>
                <w:szCs w:val="18"/>
              </w:rPr>
            </w:pPr>
            <w:r>
              <w:rPr>
                <w:rFonts w:eastAsia="等线"/>
                <w:kern w:val="0"/>
                <w:sz w:val="18"/>
                <w:szCs w:val="18"/>
              </w:rPr>
              <w:t>40</w:t>
            </w:r>
          </w:p>
        </w:tc>
        <w:tc>
          <w:tcPr>
            <w:tcW w:w="793" w:type="dxa"/>
            <w:tcBorders>
              <w:top w:val="nil"/>
              <w:left w:val="nil"/>
              <w:bottom w:val="single" w:color="auto" w:sz="8" w:space="0"/>
              <w:right w:val="single" w:color="auto" w:sz="8" w:space="0"/>
            </w:tcBorders>
            <w:shd w:val="clear" w:color="auto" w:fill="auto"/>
            <w:vAlign w:val="center"/>
          </w:tcPr>
          <w:p w14:paraId="73EE3D71">
            <w:pPr>
              <w:widowControl/>
              <w:spacing w:line="240" w:lineRule="auto"/>
              <w:jc w:val="center"/>
              <w:rPr>
                <w:rFonts w:eastAsia="等线"/>
                <w:kern w:val="0"/>
                <w:sz w:val="18"/>
                <w:szCs w:val="18"/>
              </w:rPr>
            </w:pPr>
            <w:r>
              <w:rPr>
                <w:rFonts w:eastAsia="等线"/>
                <w:kern w:val="0"/>
                <w:sz w:val="18"/>
                <w:szCs w:val="18"/>
              </w:rPr>
              <w:t>35</w:t>
            </w:r>
          </w:p>
        </w:tc>
        <w:tc>
          <w:tcPr>
            <w:tcW w:w="793" w:type="dxa"/>
            <w:tcBorders>
              <w:top w:val="nil"/>
              <w:left w:val="nil"/>
              <w:bottom w:val="single" w:color="auto" w:sz="8" w:space="0"/>
              <w:right w:val="single" w:color="auto" w:sz="8" w:space="0"/>
            </w:tcBorders>
            <w:shd w:val="clear" w:color="auto" w:fill="auto"/>
            <w:vAlign w:val="center"/>
          </w:tcPr>
          <w:p w14:paraId="15B7FDA8">
            <w:pPr>
              <w:widowControl/>
              <w:spacing w:line="240" w:lineRule="auto"/>
              <w:jc w:val="center"/>
              <w:rPr>
                <w:rFonts w:eastAsia="等线"/>
                <w:kern w:val="0"/>
                <w:sz w:val="18"/>
                <w:szCs w:val="18"/>
              </w:rPr>
            </w:pPr>
            <w:r>
              <w:rPr>
                <w:rFonts w:eastAsia="等线"/>
                <w:kern w:val="0"/>
                <w:sz w:val="18"/>
                <w:szCs w:val="18"/>
              </w:rPr>
              <w:t>25</w:t>
            </w:r>
          </w:p>
        </w:tc>
      </w:tr>
    </w:tbl>
    <w:p w14:paraId="3F21BDB9">
      <w:pPr>
        <w:pStyle w:val="5"/>
      </w:pPr>
      <w:r>
        <w:t>正线、联络线及车辆基地出入线上，两相邻曲线间，无超高</w:t>
      </w:r>
      <w:r>
        <w:rPr>
          <w:sz w:val="20"/>
        </w:rPr>
        <w:t>的夹直线最小长度应按表7.2.</w:t>
      </w:r>
      <w:r>
        <w:rPr>
          <w:rFonts w:hint="eastAsia"/>
          <w:sz w:val="20"/>
        </w:rPr>
        <w:t>3</w:t>
      </w:r>
      <w:r>
        <w:rPr>
          <w:sz w:val="20"/>
        </w:rPr>
        <w:t>确定；</w:t>
      </w:r>
      <w:r>
        <w:t xml:space="preserve"> </w:t>
      </w:r>
    </w:p>
    <w:p w14:paraId="0C7844E4">
      <w:pPr>
        <w:adjustRightInd w:val="0"/>
        <w:snapToGrid w:val="0"/>
        <w:ind w:firstLine="400"/>
        <w:jc w:val="center"/>
        <w:rPr>
          <w:rFonts w:eastAsia="黑体" w:cs="黑体"/>
          <w:sz w:val="18"/>
          <w:szCs w:val="18"/>
        </w:rPr>
      </w:pPr>
      <w:r>
        <w:rPr>
          <w:rFonts w:eastAsia="黑体" w:cs="黑体"/>
          <w:sz w:val="18"/>
          <w:szCs w:val="18"/>
        </w:rPr>
        <w:t>表7.2.</w:t>
      </w:r>
      <w:r>
        <w:rPr>
          <w:rFonts w:hint="eastAsia" w:eastAsia="黑体" w:cs="黑体"/>
          <w:sz w:val="18"/>
          <w:szCs w:val="18"/>
        </w:rPr>
        <w:t>3</w:t>
      </w:r>
      <w:r>
        <w:rPr>
          <w:rFonts w:eastAsia="黑体" w:cs="黑体"/>
          <w:sz w:val="18"/>
          <w:szCs w:val="18"/>
        </w:rPr>
        <w:t xml:space="preserve">  夹直线最小长度（m）</w:t>
      </w:r>
    </w:p>
    <w:tbl>
      <w:tblPr>
        <w:tblStyle w:val="88"/>
        <w:tblW w:w="5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926"/>
        <w:gridCol w:w="1321"/>
        <w:gridCol w:w="1287"/>
      </w:tblGrid>
      <w:tr w14:paraId="1573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0" w:type="dxa"/>
            <w:vMerge w:val="restart"/>
            <w:vAlign w:val="center"/>
          </w:tcPr>
          <w:p w14:paraId="7CF79AC4">
            <w:pPr>
              <w:autoSpaceDE w:val="0"/>
              <w:autoSpaceDN w:val="0"/>
              <w:spacing w:line="240" w:lineRule="auto"/>
              <w:jc w:val="center"/>
              <w:rPr>
                <w:kern w:val="0"/>
                <w:sz w:val="15"/>
                <w:szCs w:val="15"/>
              </w:rPr>
            </w:pPr>
            <w:r>
              <w:rPr>
                <w:kern w:val="0"/>
                <w:sz w:val="15"/>
                <w:szCs w:val="15"/>
              </w:rPr>
              <w:t>正线、</w:t>
            </w:r>
          </w:p>
          <w:p w14:paraId="41F95D65">
            <w:pPr>
              <w:autoSpaceDE w:val="0"/>
              <w:autoSpaceDN w:val="0"/>
              <w:spacing w:line="240" w:lineRule="auto"/>
              <w:jc w:val="center"/>
              <w:rPr>
                <w:kern w:val="0"/>
                <w:sz w:val="15"/>
                <w:szCs w:val="15"/>
              </w:rPr>
            </w:pPr>
            <w:r>
              <w:rPr>
                <w:kern w:val="0"/>
                <w:sz w:val="15"/>
                <w:szCs w:val="15"/>
              </w:rPr>
              <w:t>联络线、</w:t>
            </w:r>
          </w:p>
          <w:p w14:paraId="1680BFD7">
            <w:pPr>
              <w:autoSpaceDE w:val="0"/>
              <w:autoSpaceDN w:val="0"/>
              <w:spacing w:line="240" w:lineRule="auto"/>
              <w:jc w:val="center"/>
              <w:rPr>
                <w:kern w:val="0"/>
                <w:sz w:val="15"/>
                <w:szCs w:val="15"/>
              </w:rPr>
            </w:pPr>
            <w:r>
              <w:rPr>
                <w:kern w:val="0"/>
                <w:sz w:val="15"/>
                <w:szCs w:val="15"/>
              </w:rPr>
              <w:t>出入线</w:t>
            </w:r>
          </w:p>
        </w:tc>
        <w:tc>
          <w:tcPr>
            <w:tcW w:w="1926" w:type="dxa"/>
            <w:vAlign w:val="center"/>
          </w:tcPr>
          <w:p w14:paraId="644C4DE8">
            <w:pPr>
              <w:autoSpaceDE w:val="0"/>
              <w:autoSpaceDN w:val="0"/>
              <w:spacing w:line="240" w:lineRule="auto"/>
              <w:jc w:val="center"/>
              <w:rPr>
                <w:kern w:val="0"/>
                <w:sz w:val="15"/>
                <w:szCs w:val="15"/>
              </w:rPr>
            </w:pPr>
            <w:r>
              <w:rPr>
                <w:kern w:val="0"/>
                <w:sz w:val="15"/>
                <w:szCs w:val="15"/>
              </w:rPr>
              <w:t>一般情况</w:t>
            </w:r>
          </w:p>
        </w:tc>
        <w:tc>
          <w:tcPr>
            <w:tcW w:w="2608" w:type="dxa"/>
            <w:gridSpan w:val="2"/>
            <w:vAlign w:val="center"/>
          </w:tcPr>
          <w:p w14:paraId="5E559CF7">
            <w:pPr>
              <w:autoSpaceDE w:val="0"/>
              <w:autoSpaceDN w:val="0"/>
              <w:spacing w:line="240" w:lineRule="auto"/>
              <w:jc w:val="center"/>
              <w:rPr>
                <w:kern w:val="0"/>
                <w:sz w:val="15"/>
                <w:szCs w:val="15"/>
              </w:rPr>
            </w:pPr>
            <w:r>
              <w:rPr>
                <w:kern w:val="0"/>
                <w:sz w:val="15"/>
                <w:szCs w:val="15"/>
              </w:rPr>
              <w:t>λ≥0.5</w:t>
            </w:r>
            <w:r>
              <w:rPr>
                <w:i/>
                <w:kern w:val="0"/>
                <w:sz w:val="15"/>
                <w:szCs w:val="15"/>
              </w:rPr>
              <w:t>V</w:t>
            </w:r>
          </w:p>
        </w:tc>
      </w:tr>
      <w:tr w14:paraId="2465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140" w:type="dxa"/>
            <w:vMerge w:val="continue"/>
            <w:vAlign w:val="center"/>
          </w:tcPr>
          <w:p w14:paraId="0C2F5AB0">
            <w:pPr>
              <w:autoSpaceDE w:val="0"/>
              <w:autoSpaceDN w:val="0"/>
              <w:spacing w:line="240" w:lineRule="auto"/>
              <w:jc w:val="center"/>
              <w:rPr>
                <w:kern w:val="0"/>
                <w:sz w:val="15"/>
                <w:szCs w:val="15"/>
              </w:rPr>
            </w:pPr>
          </w:p>
        </w:tc>
        <w:tc>
          <w:tcPr>
            <w:tcW w:w="1926" w:type="dxa"/>
            <w:vMerge w:val="restart"/>
            <w:vAlign w:val="center"/>
          </w:tcPr>
          <w:p w14:paraId="0FB6D706">
            <w:pPr>
              <w:autoSpaceDE w:val="0"/>
              <w:autoSpaceDN w:val="0"/>
              <w:spacing w:line="240" w:lineRule="auto"/>
              <w:jc w:val="center"/>
              <w:rPr>
                <w:kern w:val="0"/>
                <w:sz w:val="15"/>
                <w:szCs w:val="15"/>
              </w:rPr>
            </w:pPr>
            <w:r>
              <w:rPr>
                <w:kern w:val="0"/>
                <w:sz w:val="15"/>
                <w:szCs w:val="15"/>
              </w:rPr>
              <w:t>困难时最小长度λ</w:t>
            </w:r>
          </w:p>
        </w:tc>
        <w:tc>
          <w:tcPr>
            <w:tcW w:w="1321" w:type="dxa"/>
            <w:vAlign w:val="center"/>
          </w:tcPr>
          <w:p w14:paraId="7463C6C9">
            <w:pPr>
              <w:autoSpaceDE w:val="0"/>
              <w:autoSpaceDN w:val="0"/>
              <w:spacing w:line="240" w:lineRule="auto"/>
              <w:jc w:val="center"/>
              <w:rPr>
                <w:kern w:val="0"/>
                <w:sz w:val="15"/>
                <w:szCs w:val="15"/>
              </w:rPr>
            </w:pPr>
            <w:r>
              <w:rPr>
                <w:kern w:val="0"/>
                <w:sz w:val="15"/>
                <w:szCs w:val="15"/>
              </w:rPr>
              <w:t>A型车</w:t>
            </w:r>
          </w:p>
        </w:tc>
        <w:tc>
          <w:tcPr>
            <w:tcW w:w="1287" w:type="dxa"/>
            <w:vAlign w:val="center"/>
          </w:tcPr>
          <w:p w14:paraId="32CE0368">
            <w:pPr>
              <w:autoSpaceDE w:val="0"/>
              <w:autoSpaceDN w:val="0"/>
              <w:spacing w:line="240" w:lineRule="auto"/>
              <w:jc w:val="center"/>
              <w:rPr>
                <w:kern w:val="0"/>
                <w:sz w:val="15"/>
                <w:szCs w:val="15"/>
              </w:rPr>
            </w:pPr>
            <w:r>
              <w:rPr>
                <w:kern w:val="0"/>
                <w:sz w:val="15"/>
                <w:szCs w:val="15"/>
              </w:rPr>
              <w:t>B型车</w:t>
            </w:r>
          </w:p>
        </w:tc>
      </w:tr>
      <w:tr w14:paraId="5BAF4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140" w:type="dxa"/>
            <w:vMerge w:val="continue"/>
            <w:vAlign w:val="center"/>
          </w:tcPr>
          <w:p w14:paraId="65DED3F3">
            <w:pPr>
              <w:autoSpaceDE w:val="0"/>
              <w:autoSpaceDN w:val="0"/>
              <w:spacing w:line="240" w:lineRule="auto"/>
              <w:jc w:val="center"/>
              <w:rPr>
                <w:kern w:val="0"/>
                <w:sz w:val="15"/>
                <w:szCs w:val="15"/>
              </w:rPr>
            </w:pPr>
          </w:p>
        </w:tc>
        <w:tc>
          <w:tcPr>
            <w:tcW w:w="1926" w:type="dxa"/>
            <w:vMerge w:val="continue"/>
            <w:vAlign w:val="center"/>
          </w:tcPr>
          <w:p w14:paraId="3075FB27">
            <w:pPr>
              <w:autoSpaceDE w:val="0"/>
              <w:autoSpaceDN w:val="0"/>
              <w:spacing w:line="240" w:lineRule="auto"/>
              <w:jc w:val="center"/>
              <w:rPr>
                <w:kern w:val="0"/>
                <w:sz w:val="15"/>
                <w:szCs w:val="15"/>
              </w:rPr>
            </w:pPr>
          </w:p>
        </w:tc>
        <w:tc>
          <w:tcPr>
            <w:tcW w:w="1321" w:type="dxa"/>
            <w:vAlign w:val="center"/>
          </w:tcPr>
          <w:p w14:paraId="3930D3E5">
            <w:pPr>
              <w:autoSpaceDE w:val="0"/>
              <w:autoSpaceDN w:val="0"/>
              <w:spacing w:line="240" w:lineRule="auto"/>
              <w:jc w:val="center"/>
              <w:rPr>
                <w:kern w:val="0"/>
                <w:sz w:val="15"/>
                <w:szCs w:val="15"/>
              </w:rPr>
            </w:pPr>
            <w:r>
              <w:rPr>
                <w:kern w:val="0"/>
                <w:sz w:val="15"/>
                <w:szCs w:val="15"/>
              </w:rPr>
              <w:t>25</w:t>
            </w:r>
          </w:p>
        </w:tc>
        <w:tc>
          <w:tcPr>
            <w:tcW w:w="1287" w:type="dxa"/>
            <w:vAlign w:val="center"/>
          </w:tcPr>
          <w:p w14:paraId="213DD208">
            <w:pPr>
              <w:autoSpaceDE w:val="0"/>
              <w:autoSpaceDN w:val="0"/>
              <w:spacing w:line="240" w:lineRule="auto"/>
              <w:jc w:val="center"/>
              <w:rPr>
                <w:kern w:val="0"/>
                <w:sz w:val="15"/>
                <w:szCs w:val="15"/>
              </w:rPr>
            </w:pPr>
            <w:r>
              <w:rPr>
                <w:kern w:val="0"/>
                <w:sz w:val="15"/>
                <w:szCs w:val="15"/>
              </w:rPr>
              <w:t>20</w:t>
            </w:r>
          </w:p>
        </w:tc>
      </w:tr>
    </w:tbl>
    <w:p w14:paraId="6F665D27">
      <w:pPr>
        <w:spacing w:line="240" w:lineRule="auto"/>
        <w:ind w:firstLine="300" w:firstLineChars="200"/>
        <w:jc w:val="left"/>
        <w:rPr>
          <w:sz w:val="15"/>
          <w:szCs w:val="15"/>
        </w:rPr>
      </w:pPr>
      <w:r>
        <w:rPr>
          <w:rFonts w:hint="eastAsia"/>
          <w:sz w:val="15"/>
          <w:szCs w:val="15"/>
        </w:rPr>
        <w:t>注：</w:t>
      </w:r>
      <w:r>
        <w:rPr>
          <w:sz w:val="15"/>
          <w:szCs w:val="15"/>
        </w:rPr>
        <w:t xml:space="preserve">1 </w:t>
      </w:r>
      <w:r>
        <w:rPr>
          <w:rFonts w:hint="eastAsia"/>
          <w:sz w:val="15"/>
          <w:szCs w:val="15"/>
        </w:rPr>
        <w:t xml:space="preserve"> </w:t>
      </w:r>
      <w:r>
        <w:rPr>
          <w:sz w:val="15"/>
          <w:szCs w:val="15"/>
        </w:rPr>
        <w:t>V</w:t>
      </w:r>
      <w:r>
        <w:rPr>
          <w:rFonts w:hint="eastAsia"/>
          <w:sz w:val="15"/>
          <w:szCs w:val="15"/>
        </w:rPr>
        <w:t>为列车通过夹直线的运行速度（</w:t>
      </w:r>
      <w:r>
        <w:rPr>
          <w:sz w:val="15"/>
          <w:szCs w:val="15"/>
        </w:rPr>
        <w:t>km/h</w:t>
      </w:r>
      <w:r>
        <w:rPr>
          <w:rFonts w:hint="eastAsia"/>
          <w:sz w:val="15"/>
          <w:szCs w:val="15"/>
        </w:rPr>
        <w:t>）。</w:t>
      </w:r>
    </w:p>
    <w:p w14:paraId="451095C2">
      <w:pPr>
        <w:ind w:firstLine="600" w:firstLineChars="400"/>
        <w:rPr>
          <w:sz w:val="15"/>
          <w:szCs w:val="15"/>
        </w:rPr>
      </w:pPr>
      <w:r>
        <w:rPr>
          <w:sz w:val="15"/>
          <w:szCs w:val="15"/>
        </w:rPr>
        <w:t xml:space="preserve">2 </w:t>
      </w:r>
      <w:r>
        <w:rPr>
          <w:rFonts w:hint="eastAsia"/>
          <w:sz w:val="15"/>
          <w:szCs w:val="15"/>
        </w:rPr>
        <w:t xml:space="preserve"> 道岔缩短渡线，曲线间夹直线可缩短为</w:t>
      </w:r>
      <w:r>
        <w:rPr>
          <w:sz w:val="15"/>
          <w:szCs w:val="15"/>
        </w:rPr>
        <w:t>10m</w:t>
      </w:r>
      <w:r>
        <w:rPr>
          <w:rFonts w:hint="eastAsia"/>
          <w:sz w:val="15"/>
          <w:szCs w:val="15"/>
        </w:rPr>
        <w:t>。</w:t>
      </w:r>
    </w:p>
    <w:p w14:paraId="284DFF3B">
      <w:pPr>
        <w:widowControl/>
        <w:spacing w:line="240" w:lineRule="auto"/>
        <w:jc w:val="left"/>
        <w:rPr>
          <w:sz w:val="15"/>
          <w:szCs w:val="15"/>
        </w:rPr>
      </w:pPr>
      <w:r>
        <w:rPr>
          <w:sz w:val="15"/>
          <w:szCs w:val="15"/>
        </w:rPr>
        <w:br w:type="page"/>
      </w:r>
    </w:p>
    <w:p w14:paraId="53454669">
      <w:pPr>
        <w:pStyle w:val="5"/>
      </w:pPr>
      <w:r>
        <w:t>道岔铺设应符合下列规定：</w:t>
      </w:r>
    </w:p>
    <w:p w14:paraId="23AB0B07">
      <w:pPr>
        <w:pStyle w:val="7"/>
        <w:ind w:firstLine="420"/>
      </w:pPr>
      <w:r>
        <w:t>单渡线和交叉渡线的线间距应符合表7.2.</w:t>
      </w:r>
      <w:r>
        <w:rPr>
          <w:rFonts w:hint="eastAsia"/>
        </w:rPr>
        <w:t>4</w:t>
      </w:r>
      <w:r>
        <w:t>-1的规定，特殊情况，应进行特殊设计</w:t>
      </w:r>
      <w:r>
        <w:rPr>
          <w:rFonts w:hint="eastAsia"/>
        </w:rPr>
        <w:t>。</w:t>
      </w:r>
    </w:p>
    <w:p w14:paraId="73D2E00F">
      <w:pPr>
        <w:adjustRightInd w:val="0"/>
        <w:snapToGrid w:val="0"/>
        <w:ind w:firstLine="400"/>
        <w:jc w:val="center"/>
        <w:rPr>
          <w:rFonts w:eastAsia="黑体" w:cs="黑体"/>
          <w:sz w:val="18"/>
          <w:szCs w:val="18"/>
        </w:rPr>
      </w:pPr>
      <w:r>
        <w:rPr>
          <w:rFonts w:eastAsia="黑体" w:cs="黑体"/>
          <w:sz w:val="18"/>
          <w:szCs w:val="18"/>
        </w:rPr>
        <w:t>表7.2.</w:t>
      </w:r>
      <w:r>
        <w:rPr>
          <w:rFonts w:hint="eastAsia" w:eastAsia="黑体" w:cs="黑体"/>
          <w:sz w:val="18"/>
          <w:szCs w:val="18"/>
        </w:rPr>
        <w:t>4</w:t>
      </w:r>
      <w:r>
        <w:rPr>
          <w:rFonts w:eastAsia="黑体" w:cs="黑体"/>
          <w:sz w:val="18"/>
          <w:szCs w:val="18"/>
        </w:rPr>
        <w:t xml:space="preserve">-1  </w:t>
      </w:r>
      <w:r>
        <w:rPr>
          <w:rFonts w:hint="eastAsia" w:eastAsia="黑体" w:cs="黑体"/>
          <w:sz w:val="18"/>
          <w:szCs w:val="18"/>
        </w:rPr>
        <w:t>正线</w:t>
      </w:r>
      <w:r>
        <w:rPr>
          <w:rFonts w:eastAsia="黑体" w:cs="黑体"/>
          <w:sz w:val="18"/>
          <w:szCs w:val="18"/>
        </w:rPr>
        <w:t>单渡线和交叉渡线的线间距</w:t>
      </w:r>
    </w:p>
    <w:tbl>
      <w:tblPr>
        <w:tblStyle w:val="88"/>
        <w:tblW w:w="4870" w:type="dxa"/>
        <w:tblInd w:w="53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9"/>
        <w:gridCol w:w="1355"/>
        <w:gridCol w:w="1084"/>
        <w:gridCol w:w="1292"/>
      </w:tblGrid>
      <w:tr w14:paraId="2EB99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139" w:type="dxa"/>
            <w:vMerge w:val="restart"/>
            <w:tcBorders>
              <w:top w:val="single" w:color="auto" w:sz="4" w:space="0"/>
              <w:left w:val="single" w:color="auto" w:sz="4" w:space="0"/>
              <w:bottom w:val="single" w:color="auto" w:sz="4" w:space="0"/>
              <w:right w:val="single" w:color="auto" w:sz="4" w:space="0"/>
            </w:tcBorders>
            <w:vAlign w:val="center"/>
          </w:tcPr>
          <w:p w14:paraId="7BEA9B74">
            <w:pPr>
              <w:autoSpaceDE w:val="0"/>
              <w:autoSpaceDN w:val="0"/>
              <w:spacing w:line="240" w:lineRule="auto"/>
              <w:jc w:val="center"/>
              <w:rPr>
                <w:kern w:val="0"/>
                <w:sz w:val="15"/>
                <w:szCs w:val="15"/>
              </w:rPr>
            </w:pPr>
            <w:r>
              <w:rPr>
                <w:kern w:val="0"/>
                <w:sz w:val="15"/>
                <w:szCs w:val="15"/>
              </w:rPr>
              <w:t>道岔型号</w:t>
            </w:r>
          </w:p>
        </w:tc>
        <w:tc>
          <w:tcPr>
            <w:tcW w:w="1355" w:type="dxa"/>
            <w:vMerge w:val="restart"/>
            <w:tcBorders>
              <w:top w:val="single" w:color="auto" w:sz="4" w:space="0"/>
              <w:left w:val="single" w:color="auto" w:sz="4" w:space="0"/>
              <w:bottom w:val="single" w:color="auto" w:sz="4" w:space="0"/>
              <w:right w:val="single" w:color="auto" w:sz="4" w:space="0"/>
            </w:tcBorders>
            <w:vAlign w:val="center"/>
          </w:tcPr>
          <w:p w14:paraId="725AA2A7">
            <w:pPr>
              <w:autoSpaceDE w:val="0"/>
              <w:autoSpaceDN w:val="0"/>
              <w:spacing w:line="240" w:lineRule="auto"/>
              <w:jc w:val="center"/>
              <w:rPr>
                <w:kern w:val="0"/>
                <w:sz w:val="15"/>
                <w:szCs w:val="15"/>
              </w:rPr>
            </w:pPr>
            <w:r>
              <w:rPr>
                <w:kern w:val="0"/>
                <w:sz w:val="15"/>
                <w:szCs w:val="15"/>
              </w:rPr>
              <w:t>导曲线半径（m）</w:t>
            </w:r>
          </w:p>
        </w:tc>
        <w:tc>
          <w:tcPr>
            <w:tcW w:w="2376" w:type="dxa"/>
            <w:gridSpan w:val="2"/>
            <w:tcBorders>
              <w:top w:val="single" w:color="auto" w:sz="4" w:space="0"/>
              <w:left w:val="single" w:color="auto" w:sz="4" w:space="0"/>
              <w:bottom w:val="single" w:color="auto" w:sz="4" w:space="0"/>
              <w:right w:val="single" w:color="auto" w:sz="4" w:space="0"/>
            </w:tcBorders>
            <w:vAlign w:val="center"/>
          </w:tcPr>
          <w:p w14:paraId="1A1EE811">
            <w:pPr>
              <w:autoSpaceDE w:val="0"/>
              <w:autoSpaceDN w:val="0"/>
              <w:spacing w:line="240" w:lineRule="auto"/>
              <w:jc w:val="center"/>
              <w:rPr>
                <w:kern w:val="0"/>
                <w:sz w:val="15"/>
                <w:szCs w:val="15"/>
              </w:rPr>
            </w:pPr>
            <w:r>
              <w:rPr>
                <w:kern w:val="0"/>
                <w:sz w:val="15"/>
                <w:szCs w:val="15"/>
              </w:rPr>
              <w:t>线间距（m）</w:t>
            </w:r>
          </w:p>
        </w:tc>
      </w:tr>
      <w:tr w14:paraId="47957F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7" w:hRule="atLeast"/>
        </w:trPr>
        <w:tc>
          <w:tcPr>
            <w:tcW w:w="1139" w:type="dxa"/>
            <w:vMerge w:val="continue"/>
            <w:tcBorders>
              <w:top w:val="single" w:color="auto" w:sz="4" w:space="0"/>
              <w:left w:val="single" w:color="auto" w:sz="4" w:space="0"/>
              <w:bottom w:val="single" w:color="auto" w:sz="4" w:space="0"/>
              <w:right w:val="single" w:color="auto" w:sz="4" w:space="0"/>
            </w:tcBorders>
            <w:vAlign w:val="center"/>
          </w:tcPr>
          <w:p w14:paraId="1FE35457">
            <w:pPr>
              <w:autoSpaceDE w:val="0"/>
              <w:autoSpaceDN w:val="0"/>
              <w:spacing w:line="240" w:lineRule="auto"/>
              <w:jc w:val="center"/>
              <w:rPr>
                <w:kern w:val="0"/>
                <w:sz w:val="15"/>
                <w:szCs w:val="15"/>
              </w:rPr>
            </w:pPr>
          </w:p>
        </w:tc>
        <w:tc>
          <w:tcPr>
            <w:tcW w:w="1355" w:type="dxa"/>
            <w:vMerge w:val="continue"/>
            <w:tcBorders>
              <w:top w:val="single" w:color="auto" w:sz="4" w:space="0"/>
              <w:left w:val="single" w:color="auto" w:sz="4" w:space="0"/>
              <w:bottom w:val="single" w:color="auto" w:sz="4" w:space="0"/>
              <w:right w:val="single" w:color="auto" w:sz="4" w:space="0"/>
            </w:tcBorders>
            <w:vAlign w:val="center"/>
          </w:tcPr>
          <w:p w14:paraId="6F27554F">
            <w:pPr>
              <w:autoSpaceDE w:val="0"/>
              <w:autoSpaceDN w:val="0"/>
              <w:spacing w:line="240" w:lineRule="auto"/>
              <w:jc w:val="center"/>
              <w:rPr>
                <w:kern w:val="0"/>
                <w:sz w:val="15"/>
                <w:szCs w:val="15"/>
              </w:rPr>
            </w:pPr>
          </w:p>
        </w:tc>
        <w:tc>
          <w:tcPr>
            <w:tcW w:w="1084" w:type="dxa"/>
            <w:tcBorders>
              <w:top w:val="single" w:color="auto" w:sz="4" w:space="0"/>
              <w:left w:val="single" w:color="auto" w:sz="4" w:space="0"/>
              <w:bottom w:val="single" w:color="auto" w:sz="4" w:space="0"/>
              <w:right w:val="single" w:color="auto" w:sz="4" w:space="0"/>
            </w:tcBorders>
            <w:vAlign w:val="center"/>
          </w:tcPr>
          <w:p w14:paraId="5300B162">
            <w:pPr>
              <w:autoSpaceDE w:val="0"/>
              <w:autoSpaceDN w:val="0"/>
              <w:spacing w:line="240" w:lineRule="auto"/>
              <w:jc w:val="center"/>
              <w:rPr>
                <w:kern w:val="0"/>
                <w:sz w:val="15"/>
                <w:szCs w:val="15"/>
              </w:rPr>
            </w:pPr>
            <w:r>
              <w:rPr>
                <w:kern w:val="0"/>
                <w:sz w:val="15"/>
                <w:szCs w:val="15"/>
              </w:rPr>
              <w:t>单渡线</w:t>
            </w:r>
          </w:p>
        </w:tc>
        <w:tc>
          <w:tcPr>
            <w:tcW w:w="1292" w:type="dxa"/>
            <w:tcBorders>
              <w:top w:val="single" w:color="auto" w:sz="4" w:space="0"/>
              <w:left w:val="single" w:color="auto" w:sz="4" w:space="0"/>
              <w:bottom w:val="single" w:color="auto" w:sz="4" w:space="0"/>
              <w:right w:val="single" w:color="auto" w:sz="4" w:space="0"/>
            </w:tcBorders>
            <w:vAlign w:val="center"/>
          </w:tcPr>
          <w:p w14:paraId="5CA1D5D7">
            <w:pPr>
              <w:autoSpaceDE w:val="0"/>
              <w:autoSpaceDN w:val="0"/>
              <w:spacing w:line="240" w:lineRule="auto"/>
              <w:jc w:val="center"/>
              <w:rPr>
                <w:kern w:val="0"/>
                <w:sz w:val="15"/>
                <w:szCs w:val="15"/>
              </w:rPr>
            </w:pPr>
            <w:r>
              <w:rPr>
                <w:kern w:val="0"/>
                <w:sz w:val="15"/>
                <w:szCs w:val="15"/>
              </w:rPr>
              <w:t>交叉渡线</w:t>
            </w:r>
          </w:p>
        </w:tc>
      </w:tr>
      <w:tr w14:paraId="51EBC8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1139" w:type="dxa"/>
            <w:tcBorders>
              <w:top w:val="single" w:color="auto" w:sz="4" w:space="0"/>
              <w:left w:val="single" w:color="auto" w:sz="4" w:space="0"/>
              <w:bottom w:val="single" w:color="auto" w:sz="4" w:space="0"/>
              <w:right w:val="single" w:color="auto" w:sz="4" w:space="0"/>
            </w:tcBorders>
            <w:vAlign w:val="center"/>
          </w:tcPr>
          <w:p w14:paraId="4D530978">
            <w:pPr>
              <w:autoSpaceDE w:val="0"/>
              <w:autoSpaceDN w:val="0"/>
              <w:spacing w:line="240" w:lineRule="auto"/>
              <w:jc w:val="center"/>
              <w:rPr>
                <w:kern w:val="0"/>
                <w:sz w:val="15"/>
                <w:szCs w:val="15"/>
              </w:rPr>
            </w:pPr>
            <w:r>
              <w:rPr>
                <w:rFonts w:hint="eastAsia"/>
                <w:kern w:val="0"/>
                <w:sz w:val="15"/>
                <w:szCs w:val="15"/>
              </w:rPr>
              <w:t>60kg/m-1/</w:t>
            </w:r>
            <w:r>
              <w:rPr>
                <w:kern w:val="0"/>
                <w:sz w:val="15"/>
                <w:szCs w:val="15"/>
              </w:rPr>
              <w:t>9</w:t>
            </w:r>
          </w:p>
        </w:tc>
        <w:tc>
          <w:tcPr>
            <w:tcW w:w="1355" w:type="dxa"/>
            <w:tcBorders>
              <w:top w:val="single" w:color="auto" w:sz="4" w:space="0"/>
              <w:left w:val="single" w:color="auto" w:sz="4" w:space="0"/>
              <w:bottom w:val="single" w:color="auto" w:sz="4" w:space="0"/>
              <w:right w:val="single" w:color="auto" w:sz="4" w:space="0"/>
            </w:tcBorders>
            <w:vAlign w:val="center"/>
          </w:tcPr>
          <w:p w14:paraId="059F3230">
            <w:pPr>
              <w:autoSpaceDE w:val="0"/>
              <w:autoSpaceDN w:val="0"/>
              <w:spacing w:line="240" w:lineRule="auto"/>
              <w:jc w:val="center"/>
              <w:rPr>
                <w:kern w:val="0"/>
                <w:sz w:val="15"/>
                <w:szCs w:val="15"/>
              </w:rPr>
            </w:pPr>
            <w:r>
              <w:rPr>
                <w:kern w:val="0"/>
                <w:sz w:val="15"/>
                <w:szCs w:val="15"/>
              </w:rPr>
              <w:t>200</w:t>
            </w:r>
          </w:p>
        </w:tc>
        <w:tc>
          <w:tcPr>
            <w:tcW w:w="1084" w:type="dxa"/>
            <w:tcBorders>
              <w:top w:val="single" w:color="auto" w:sz="4" w:space="0"/>
              <w:left w:val="single" w:color="auto" w:sz="4" w:space="0"/>
              <w:bottom w:val="single" w:color="auto" w:sz="4" w:space="0"/>
              <w:right w:val="single" w:color="auto" w:sz="4" w:space="0"/>
            </w:tcBorders>
            <w:vAlign w:val="center"/>
          </w:tcPr>
          <w:p w14:paraId="47551D00">
            <w:pPr>
              <w:autoSpaceDE w:val="0"/>
              <w:autoSpaceDN w:val="0"/>
              <w:spacing w:line="240" w:lineRule="auto"/>
              <w:jc w:val="center"/>
              <w:rPr>
                <w:kern w:val="0"/>
                <w:sz w:val="15"/>
                <w:szCs w:val="15"/>
              </w:rPr>
            </w:pPr>
            <w:r>
              <w:rPr>
                <w:rFonts w:hint="eastAsia" w:ascii="宋体" w:hAnsi="宋体"/>
                <w:kern w:val="0"/>
                <w:sz w:val="15"/>
                <w:szCs w:val="15"/>
              </w:rPr>
              <w:t>≥</w:t>
            </w:r>
            <w:r>
              <w:rPr>
                <w:kern w:val="0"/>
                <w:sz w:val="15"/>
                <w:szCs w:val="15"/>
              </w:rPr>
              <w:t>4.2</w:t>
            </w:r>
          </w:p>
        </w:tc>
        <w:tc>
          <w:tcPr>
            <w:tcW w:w="1292" w:type="dxa"/>
            <w:tcBorders>
              <w:top w:val="single" w:color="auto" w:sz="4" w:space="0"/>
              <w:left w:val="single" w:color="auto" w:sz="4" w:space="0"/>
              <w:bottom w:val="single" w:color="auto" w:sz="4" w:space="0"/>
              <w:right w:val="single" w:color="auto" w:sz="4" w:space="0"/>
            </w:tcBorders>
            <w:vAlign w:val="center"/>
          </w:tcPr>
          <w:p w14:paraId="2746605E">
            <w:pPr>
              <w:autoSpaceDE w:val="0"/>
              <w:autoSpaceDN w:val="0"/>
              <w:spacing w:line="240" w:lineRule="auto"/>
              <w:jc w:val="center"/>
              <w:rPr>
                <w:kern w:val="0"/>
                <w:sz w:val="15"/>
                <w:szCs w:val="15"/>
              </w:rPr>
            </w:pPr>
            <w:r>
              <w:rPr>
                <w:kern w:val="0"/>
                <w:sz w:val="15"/>
                <w:szCs w:val="15"/>
              </w:rPr>
              <w:t>5.0</w:t>
            </w:r>
          </w:p>
        </w:tc>
      </w:tr>
      <w:tr w14:paraId="02079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1139" w:type="dxa"/>
            <w:tcBorders>
              <w:top w:val="single" w:color="auto" w:sz="4" w:space="0"/>
              <w:left w:val="single" w:color="auto" w:sz="4" w:space="0"/>
              <w:bottom w:val="single" w:color="auto" w:sz="4" w:space="0"/>
              <w:right w:val="single" w:color="auto" w:sz="4" w:space="0"/>
            </w:tcBorders>
            <w:vAlign w:val="center"/>
          </w:tcPr>
          <w:p w14:paraId="5D663C4A">
            <w:pPr>
              <w:autoSpaceDE w:val="0"/>
              <w:autoSpaceDN w:val="0"/>
              <w:spacing w:line="240" w:lineRule="auto"/>
              <w:jc w:val="center"/>
              <w:rPr>
                <w:kern w:val="0"/>
                <w:sz w:val="15"/>
                <w:szCs w:val="15"/>
              </w:rPr>
            </w:pPr>
            <w:r>
              <w:rPr>
                <w:rFonts w:hint="eastAsia"/>
                <w:kern w:val="0"/>
                <w:sz w:val="15"/>
                <w:szCs w:val="15"/>
              </w:rPr>
              <w:t>60kg/m-1/12</w:t>
            </w:r>
          </w:p>
        </w:tc>
        <w:tc>
          <w:tcPr>
            <w:tcW w:w="1355" w:type="dxa"/>
            <w:tcBorders>
              <w:top w:val="single" w:color="auto" w:sz="4" w:space="0"/>
              <w:left w:val="single" w:color="auto" w:sz="4" w:space="0"/>
              <w:bottom w:val="single" w:color="auto" w:sz="4" w:space="0"/>
              <w:right w:val="single" w:color="auto" w:sz="4" w:space="0"/>
            </w:tcBorders>
            <w:vAlign w:val="center"/>
          </w:tcPr>
          <w:p w14:paraId="3623CB1C">
            <w:pPr>
              <w:autoSpaceDE w:val="0"/>
              <w:autoSpaceDN w:val="0"/>
              <w:spacing w:line="240" w:lineRule="auto"/>
              <w:jc w:val="center"/>
              <w:rPr>
                <w:kern w:val="0"/>
                <w:sz w:val="15"/>
                <w:szCs w:val="15"/>
              </w:rPr>
            </w:pPr>
            <w:r>
              <w:rPr>
                <w:rFonts w:hint="eastAsia"/>
                <w:kern w:val="0"/>
                <w:sz w:val="15"/>
                <w:szCs w:val="15"/>
              </w:rPr>
              <w:t>350</w:t>
            </w:r>
          </w:p>
        </w:tc>
        <w:tc>
          <w:tcPr>
            <w:tcW w:w="1084" w:type="dxa"/>
            <w:tcBorders>
              <w:top w:val="single" w:color="auto" w:sz="4" w:space="0"/>
              <w:left w:val="single" w:color="auto" w:sz="4" w:space="0"/>
              <w:bottom w:val="single" w:color="auto" w:sz="4" w:space="0"/>
              <w:right w:val="single" w:color="auto" w:sz="4" w:space="0"/>
            </w:tcBorders>
          </w:tcPr>
          <w:p w14:paraId="1633BE0D">
            <w:pPr>
              <w:autoSpaceDE w:val="0"/>
              <w:autoSpaceDN w:val="0"/>
              <w:spacing w:line="240" w:lineRule="auto"/>
              <w:jc w:val="center"/>
              <w:rPr>
                <w:kern w:val="0"/>
                <w:sz w:val="15"/>
                <w:szCs w:val="15"/>
              </w:rPr>
            </w:pPr>
            <w:r>
              <w:rPr>
                <w:rFonts w:hint="eastAsia" w:ascii="宋体" w:hAnsi="宋体"/>
                <w:kern w:val="0"/>
                <w:sz w:val="15"/>
                <w:szCs w:val="15"/>
              </w:rPr>
              <w:t>≥4</w:t>
            </w:r>
            <w:r>
              <w:rPr>
                <w:kern w:val="0"/>
                <w:sz w:val="15"/>
                <w:szCs w:val="15"/>
              </w:rPr>
              <w:t>.</w:t>
            </w:r>
            <w:r>
              <w:rPr>
                <w:rFonts w:hint="eastAsia"/>
                <w:kern w:val="0"/>
                <w:sz w:val="15"/>
                <w:szCs w:val="15"/>
              </w:rPr>
              <w:t>6</w:t>
            </w:r>
          </w:p>
        </w:tc>
        <w:tc>
          <w:tcPr>
            <w:tcW w:w="1292" w:type="dxa"/>
            <w:tcBorders>
              <w:top w:val="single" w:color="auto" w:sz="4" w:space="0"/>
              <w:left w:val="single" w:color="auto" w:sz="4" w:space="0"/>
              <w:bottom w:val="single" w:color="auto" w:sz="4" w:space="0"/>
              <w:right w:val="single" w:color="auto" w:sz="4" w:space="0"/>
            </w:tcBorders>
          </w:tcPr>
          <w:p w14:paraId="5A0EBA22">
            <w:pPr>
              <w:autoSpaceDE w:val="0"/>
              <w:autoSpaceDN w:val="0"/>
              <w:spacing w:line="240" w:lineRule="auto"/>
              <w:jc w:val="center"/>
              <w:rPr>
                <w:kern w:val="0"/>
                <w:sz w:val="15"/>
                <w:szCs w:val="15"/>
              </w:rPr>
            </w:pPr>
            <w:r>
              <w:rPr>
                <w:rFonts w:hint="eastAsia"/>
                <w:kern w:val="0"/>
                <w:sz w:val="15"/>
                <w:szCs w:val="15"/>
              </w:rPr>
              <w:t>5.0</w:t>
            </w:r>
          </w:p>
        </w:tc>
      </w:tr>
    </w:tbl>
    <w:p w14:paraId="78B15794">
      <w:pPr>
        <w:spacing w:line="240" w:lineRule="auto"/>
        <w:ind w:firstLine="300" w:firstLineChars="200"/>
        <w:jc w:val="left"/>
        <w:rPr>
          <w:sz w:val="15"/>
          <w:szCs w:val="15"/>
        </w:rPr>
      </w:pPr>
      <w:r>
        <w:rPr>
          <w:sz w:val="15"/>
          <w:szCs w:val="15"/>
        </w:rPr>
        <w:t>注：</w:t>
      </w:r>
      <w:r>
        <w:rPr>
          <w:rFonts w:hint="eastAsia"/>
          <w:sz w:val="15"/>
          <w:szCs w:val="15"/>
        </w:rPr>
        <w:t xml:space="preserve">1  </w:t>
      </w:r>
      <w:r>
        <w:rPr>
          <w:sz w:val="15"/>
          <w:szCs w:val="15"/>
        </w:rPr>
        <w:t>正线道岔</w:t>
      </w:r>
      <w:r>
        <w:rPr>
          <w:rFonts w:hint="eastAsia"/>
          <w:sz w:val="15"/>
          <w:szCs w:val="15"/>
        </w:rPr>
        <w:t>：</w:t>
      </w:r>
      <w:r>
        <w:rPr>
          <w:sz w:val="15"/>
          <w:szCs w:val="15"/>
        </w:rPr>
        <w:t>含折返线、出入线在正线接轨的道岔</w:t>
      </w:r>
      <w:r>
        <w:rPr>
          <w:rFonts w:hint="eastAsia"/>
          <w:sz w:val="15"/>
          <w:szCs w:val="15"/>
        </w:rPr>
        <w:t>；</w:t>
      </w:r>
    </w:p>
    <w:p w14:paraId="4679B650">
      <w:pPr>
        <w:spacing w:line="240" w:lineRule="auto"/>
        <w:ind w:firstLine="600" w:firstLineChars="400"/>
        <w:jc w:val="left"/>
        <w:rPr>
          <w:sz w:val="15"/>
          <w:szCs w:val="15"/>
        </w:rPr>
      </w:pPr>
      <w:r>
        <w:rPr>
          <w:rFonts w:hint="eastAsia"/>
          <w:sz w:val="15"/>
          <w:szCs w:val="15"/>
        </w:rPr>
        <w:t>2  对于单渡线、交叉渡线的线间距不符合标准规定的应予特殊设计。</w:t>
      </w:r>
    </w:p>
    <w:p w14:paraId="4653FB0C">
      <w:pPr>
        <w:pStyle w:val="7"/>
        <w:ind w:firstLine="420"/>
        <w:rPr>
          <w:rFonts w:ascii="宋体" w:hAnsi="宋体" w:cs="宋体"/>
          <w:szCs w:val="20"/>
        </w:rPr>
      </w:pPr>
      <w:r>
        <w:rPr>
          <w:rFonts w:hint="eastAsia"/>
          <w:lang w:bidi="ar"/>
        </w:rPr>
        <w:t>道岔宜靠近车站设置，其道岔前端，尖轨端部至有效站台端部距离宜采用12m</w:t>
      </w:r>
      <w:r>
        <w:rPr>
          <w:rFonts w:hint="eastAsia" w:ascii="Arial" w:hAnsi="Arial" w:cs="Arial"/>
          <w:sz w:val="20"/>
          <w:szCs w:val="20"/>
        </w:rPr>
        <w:t>；</w:t>
      </w:r>
    </w:p>
    <w:p w14:paraId="1ED2C8FD">
      <w:pPr>
        <w:pStyle w:val="7"/>
        <w:ind w:firstLine="420"/>
        <w:rPr>
          <w:rFonts w:eastAsia="黑体"/>
          <w:sz w:val="28"/>
        </w:rPr>
      </w:pPr>
      <w:bookmarkStart w:id="281" w:name="_Hlk183379947"/>
      <w:r>
        <w:rPr>
          <w:lang w:bidi="ar"/>
        </w:rPr>
        <w:t>道岔应设在直线地段，</w:t>
      </w:r>
      <w:bookmarkStart w:id="282" w:name="_Hlk183381288"/>
      <w:r>
        <w:rPr>
          <w:lang w:bidi="ar"/>
        </w:rPr>
        <w:t>道岔两端基本轨端部至平、竖曲线端部应保持一定的直线距离，</w:t>
      </w:r>
      <w:bookmarkEnd w:id="281"/>
      <w:bookmarkEnd w:id="282"/>
      <w:r>
        <w:rPr>
          <w:lang w:bidi="ar"/>
        </w:rPr>
        <w:t>其值不应小于表7.2.</w:t>
      </w:r>
      <w:r>
        <w:rPr>
          <w:rFonts w:hint="eastAsia"/>
          <w:lang w:bidi="ar"/>
        </w:rPr>
        <w:t>4</w:t>
      </w:r>
      <w:r>
        <w:rPr>
          <w:lang w:bidi="ar"/>
        </w:rPr>
        <w:t>-2 的规定</w:t>
      </w:r>
      <w:r>
        <w:rPr>
          <w:rFonts w:hint="eastAsia"/>
          <w:lang w:bidi="ar"/>
        </w:rPr>
        <w:t>。</w:t>
      </w:r>
    </w:p>
    <w:p w14:paraId="17754C48">
      <w:pPr>
        <w:jc w:val="center"/>
        <w:rPr>
          <w:rFonts w:eastAsia="黑体" w:cs="黑体"/>
          <w:sz w:val="18"/>
          <w:szCs w:val="18"/>
        </w:rPr>
      </w:pPr>
      <w:r>
        <w:rPr>
          <w:rFonts w:eastAsia="黑体" w:cs="黑体"/>
          <w:sz w:val="18"/>
          <w:szCs w:val="18"/>
        </w:rPr>
        <w:t>表7.2.</w:t>
      </w:r>
      <w:r>
        <w:rPr>
          <w:rFonts w:hint="eastAsia" w:eastAsia="黑体" w:cs="黑体"/>
          <w:sz w:val="18"/>
          <w:szCs w:val="18"/>
        </w:rPr>
        <w:t>4</w:t>
      </w:r>
      <w:r>
        <w:rPr>
          <w:rFonts w:eastAsia="黑体" w:cs="黑体"/>
          <w:sz w:val="18"/>
          <w:szCs w:val="18"/>
        </w:rPr>
        <w:t>-2  道岔两端与平、竖曲线端部的最小距离</w:t>
      </w:r>
      <w:r>
        <w:rPr>
          <w:rFonts w:hint="eastAsia" w:eastAsia="黑体" w:cs="黑体"/>
          <w:sz w:val="18"/>
          <w:szCs w:val="18"/>
        </w:rPr>
        <w:t>（m）</w:t>
      </w:r>
    </w:p>
    <w:tbl>
      <w:tblPr>
        <w:tblStyle w:val="88"/>
        <w:tblW w:w="5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1413"/>
        <w:gridCol w:w="1619"/>
      </w:tblGrid>
      <w:tr w14:paraId="6DB2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exact"/>
          <w:jc w:val="center"/>
        </w:trPr>
        <w:tc>
          <w:tcPr>
            <w:tcW w:w="2107" w:type="dxa"/>
            <w:vMerge w:val="restart"/>
            <w:vAlign w:val="center"/>
          </w:tcPr>
          <w:p w14:paraId="09FC2CBE">
            <w:pPr>
              <w:autoSpaceDE w:val="0"/>
              <w:autoSpaceDN w:val="0"/>
              <w:spacing w:line="240" w:lineRule="auto"/>
              <w:jc w:val="center"/>
              <w:rPr>
                <w:kern w:val="0"/>
                <w:sz w:val="15"/>
                <w:szCs w:val="15"/>
              </w:rPr>
            </w:pPr>
            <w:r>
              <w:rPr>
                <w:kern w:val="0"/>
                <w:sz w:val="15"/>
                <w:szCs w:val="15"/>
              </w:rPr>
              <w:t>项  目</w:t>
            </w:r>
          </w:p>
        </w:tc>
        <w:tc>
          <w:tcPr>
            <w:tcW w:w="3032" w:type="dxa"/>
            <w:gridSpan w:val="2"/>
            <w:vAlign w:val="center"/>
          </w:tcPr>
          <w:p w14:paraId="2A4D2C8C">
            <w:pPr>
              <w:autoSpaceDE w:val="0"/>
              <w:autoSpaceDN w:val="0"/>
              <w:spacing w:line="240" w:lineRule="auto"/>
              <w:jc w:val="center"/>
              <w:rPr>
                <w:kern w:val="0"/>
                <w:sz w:val="15"/>
                <w:szCs w:val="15"/>
              </w:rPr>
            </w:pPr>
            <w:r>
              <w:rPr>
                <w:kern w:val="0"/>
                <w:sz w:val="15"/>
                <w:szCs w:val="15"/>
              </w:rPr>
              <w:t>道岔</w:t>
            </w:r>
            <w:r>
              <w:rPr>
                <w:rFonts w:hint="eastAsia"/>
                <w:kern w:val="0"/>
                <w:sz w:val="15"/>
                <w:szCs w:val="15"/>
              </w:rPr>
              <w:t>前或后</w:t>
            </w:r>
            <w:r>
              <w:rPr>
                <w:kern w:val="0"/>
                <w:sz w:val="15"/>
                <w:szCs w:val="15"/>
              </w:rPr>
              <w:t>端至平面曲线</w:t>
            </w:r>
            <w:r>
              <w:rPr>
                <w:rFonts w:hint="eastAsia"/>
                <w:kern w:val="0"/>
                <w:sz w:val="15"/>
                <w:szCs w:val="15"/>
              </w:rPr>
              <w:t>、</w:t>
            </w:r>
            <w:r>
              <w:rPr>
                <w:kern w:val="0"/>
                <w:sz w:val="15"/>
                <w:szCs w:val="15"/>
              </w:rPr>
              <w:t>竖曲线端</w:t>
            </w:r>
          </w:p>
        </w:tc>
      </w:tr>
      <w:tr w14:paraId="6B63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exact"/>
          <w:jc w:val="center"/>
        </w:trPr>
        <w:tc>
          <w:tcPr>
            <w:tcW w:w="2107" w:type="dxa"/>
            <w:vMerge w:val="continue"/>
            <w:vAlign w:val="center"/>
          </w:tcPr>
          <w:p w14:paraId="7DAA2F77">
            <w:pPr>
              <w:autoSpaceDE w:val="0"/>
              <w:autoSpaceDN w:val="0"/>
              <w:spacing w:line="240" w:lineRule="auto"/>
              <w:jc w:val="center"/>
              <w:rPr>
                <w:kern w:val="0"/>
                <w:sz w:val="15"/>
                <w:szCs w:val="15"/>
              </w:rPr>
            </w:pPr>
          </w:p>
        </w:tc>
        <w:tc>
          <w:tcPr>
            <w:tcW w:w="3032" w:type="dxa"/>
            <w:gridSpan w:val="2"/>
            <w:vAlign w:val="center"/>
          </w:tcPr>
          <w:p w14:paraId="04EBF121">
            <w:pPr>
              <w:autoSpaceDE w:val="0"/>
              <w:autoSpaceDN w:val="0"/>
              <w:spacing w:line="240" w:lineRule="auto"/>
              <w:jc w:val="center"/>
              <w:rPr>
                <w:kern w:val="0"/>
                <w:sz w:val="15"/>
                <w:szCs w:val="15"/>
              </w:rPr>
            </w:pPr>
            <w:r>
              <w:rPr>
                <w:kern w:val="0"/>
                <w:sz w:val="15"/>
                <w:szCs w:val="15"/>
              </w:rPr>
              <w:t>正线60kg/m</w:t>
            </w:r>
          </w:p>
          <w:p w14:paraId="6A8E2D11">
            <w:pPr>
              <w:autoSpaceDE w:val="0"/>
              <w:autoSpaceDN w:val="0"/>
              <w:spacing w:line="240" w:lineRule="auto"/>
              <w:jc w:val="center"/>
              <w:rPr>
                <w:kern w:val="0"/>
                <w:sz w:val="15"/>
                <w:szCs w:val="15"/>
              </w:rPr>
            </w:pPr>
          </w:p>
        </w:tc>
      </w:tr>
      <w:tr w14:paraId="0578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exact"/>
          <w:jc w:val="center"/>
        </w:trPr>
        <w:tc>
          <w:tcPr>
            <w:tcW w:w="2107" w:type="dxa"/>
            <w:vAlign w:val="center"/>
          </w:tcPr>
          <w:p w14:paraId="70B73F2D">
            <w:pPr>
              <w:autoSpaceDE w:val="0"/>
              <w:autoSpaceDN w:val="0"/>
              <w:spacing w:line="240" w:lineRule="auto"/>
              <w:jc w:val="center"/>
              <w:rPr>
                <w:kern w:val="0"/>
                <w:sz w:val="15"/>
                <w:szCs w:val="15"/>
              </w:rPr>
            </w:pPr>
            <w:r>
              <w:rPr>
                <w:kern w:val="0"/>
                <w:sz w:val="15"/>
                <w:szCs w:val="15"/>
              </w:rPr>
              <w:t>道岔型号</w:t>
            </w:r>
          </w:p>
        </w:tc>
        <w:tc>
          <w:tcPr>
            <w:tcW w:w="1413" w:type="dxa"/>
            <w:vAlign w:val="center"/>
          </w:tcPr>
          <w:p w14:paraId="40FFA166">
            <w:pPr>
              <w:autoSpaceDE w:val="0"/>
              <w:autoSpaceDN w:val="0"/>
              <w:spacing w:line="240" w:lineRule="auto"/>
              <w:jc w:val="center"/>
              <w:rPr>
                <w:kern w:val="0"/>
                <w:sz w:val="15"/>
                <w:szCs w:val="15"/>
              </w:rPr>
            </w:pPr>
            <w:r>
              <w:rPr>
                <w:kern w:val="0"/>
                <w:sz w:val="15"/>
                <w:szCs w:val="15"/>
              </w:rPr>
              <w:t>1/9</w:t>
            </w:r>
          </w:p>
        </w:tc>
        <w:tc>
          <w:tcPr>
            <w:tcW w:w="1619" w:type="dxa"/>
            <w:vAlign w:val="center"/>
          </w:tcPr>
          <w:p w14:paraId="29DFB03B">
            <w:pPr>
              <w:autoSpaceDE w:val="0"/>
              <w:autoSpaceDN w:val="0"/>
              <w:spacing w:line="240" w:lineRule="auto"/>
              <w:jc w:val="center"/>
              <w:rPr>
                <w:kern w:val="0"/>
                <w:sz w:val="15"/>
                <w:szCs w:val="15"/>
              </w:rPr>
            </w:pPr>
            <w:r>
              <w:rPr>
                <w:rFonts w:hint="eastAsia"/>
                <w:kern w:val="0"/>
                <w:sz w:val="15"/>
                <w:szCs w:val="15"/>
              </w:rPr>
              <w:t>1/12</w:t>
            </w:r>
          </w:p>
        </w:tc>
      </w:tr>
      <w:tr w14:paraId="5552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2107" w:type="dxa"/>
            <w:vAlign w:val="center"/>
          </w:tcPr>
          <w:p w14:paraId="7C4654D6">
            <w:pPr>
              <w:autoSpaceDE w:val="0"/>
              <w:autoSpaceDN w:val="0"/>
              <w:spacing w:line="240" w:lineRule="auto"/>
              <w:jc w:val="center"/>
              <w:rPr>
                <w:kern w:val="0"/>
                <w:sz w:val="15"/>
                <w:szCs w:val="15"/>
              </w:rPr>
            </w:pPr>
            <w:r>
              <w:rPr>
                <w:rFonts w:hint="eastAsia"/>
                <w:kern w:val="0"/>
                <w:sz w:val="15"/>
                <w:szCs w:val="15"/>
              </w:rPr>
              <w:t>≤100km/h</w:t>
            </w:r>
          </w:p>
        </w:tc>
        <w:tc>
          <w:tcPr>
            <w:tcW w:w="3032" w:type="dxa"/>
            <w:gridSpan w:val="2"/>
            <w:vAlign w:val="center"/>
          </w:tcPr>
          <w:p w14:paraId="31318F47">
            <w:pPr>
              <w:autoSpaceDE w:val="0"/>
              <w:autoSpaceDN w:val="0"/>
              <w:spacing w:line="240" w:lineRule="auto"/>
              <w:jc w:val="center"/>
              <w:rPr>
                <w:kern w:val="0"/>
                <w:sz w:val="15"/>
                <w:szCs w:val="15"/>
              </w:rPr>
            </w:pPr>
            <w:r>
              <w:rPr>
                <w:kern w:val="0"/>
                <w:sz w:val="15"/>
                <w:szCs w:val="15"/>
              </w:rPr>
              <w:t>2</w:t>
            </w:r>
            <w:r>
              <w:rPr>
                <w:rFonts w:hint="eastAsia"/>
                <w:kern w:val="0"/>
                <w:sz w:val="15"/>
                <w:szCs w:val="15"/>
              </w:rPr>
              <w:t>（</w:t>
            </w:r>
            <w:r>
              <w:rPr>
                <w:kern w:val="0"/>
                <w:sz w:val="15"/>
                <w:szCs w:val="15"/>
              </w:rPr>
              <w:t>道岔前端</w:t>
            </w:r>
            <w:r>
              <w:rPr>
                <w:rFonts w:hint="eastAsia"/>
                <w:kern w:val="0"/>
                <w:sz w:val="15"/>
                <w:szCs w:val="15"/>
              </w:rPr>
              <w:t>）</w:t>
            </w:r>
            <w:r>
              <w:rPr>
                <w:kern w:val="0"/>
                <w:sz w:val="15"/>
                <w:szCs w:val="15"/>
              </w:rPr>
              <w:t>/5（道岔</w:t>
            </w:r>
            <w:r>
              <w:rPr>
                <w:rFonts w:hint="eastAsia"/>
                <w:kern w:val="0"/>
                <w:sz w:val="15"/>
                <w:szCs w:val="15"/>
              </w:rPr>
              <w:t>后</w:t>
            </w:r>
            <w:r>
              <w:rPr>
                <w:kern w:val="0"/>
                <w:sz w:val="15"/>
                <w:szCs w:val="15"/>
              </w:rPr>
              <w:t>端）</w:t>
            </w:r>
          </w:p>
        </w:tc>
      </w:tr>
      <w:tr w14:paraId="5D11D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2107" w:type="dxa"/>
            <w:vAlign w:val="center"/>
          </w:tcPr>
          <w:p w14:paraId="548FE15A">
            <w:pPr>
              <w:autoSpaceDE w:val="0"/>
              <w:autoSpaceDN w:val="0"/>
              <w:spacing w:line="240" w:lineRule="auto"/>
              <w:jc w:val="center"/>
              <w:rPr>
                <w:kern w:val="0"/>
                <w:sz w:val="15"/>
                <w:szCs w:val="15"/>
              </w:rPr>
            </w:pPr>
            <w:r>
              <w:rPr>
                <w:rFonts w:hint="eastAsia"/>
                <w:kern w:val="0"/>
                <w:sz w:val="15"/>
                <w:szCs w:val="15"/>
              </w:rPr>
              <w:t>100-1</w:t>
            </w:r>
            <w:r>
              <w:rPr>
                <w:kern w:val="0"/>
                <w:sz w:val="15"/>
                <w:szCs w:val="15"/>
              </w:rPr>
              <w:t>4</w:t>
            </w:r>
            <w:r>
              <w:rPr>
                <w:rFonts w:hint="eastAsia"/>
                <w:kern w:val="0"/>
                <w:sz w:val="15"/>
                <w:szCs w:val="15"/>
              </w:rPr>
              <w:t>0km/h</w:t>
            </w:r>
          </w:p>
        </w:tc>
        <w:tc>
          <w:tcPr>
            <w:tcW w:w="3032" w:type="dxa"/>
            <w:gridSpan w:val="2"/>
            <w:vAlign w:val="center"/>
          </w:tcPr>
          <w:p w14:paraId="2EC52B10">
            <w:pPr>
              <w:autoSpaceDE w:val="0"/>
              <w:autoSpaceDN w:val="0"/>
              <w:spacing w:line="240" w:lineRule="auto"/>
              <w:jc w:val="center"/>
              <w:rPr>
                <w:kern w:val="0"/>
                <w:sz w:val="15"/>
                <w:szCs w:val="15"/>
              </w:rPr>
            </w:pPr>
            <w:r>
              <w:rPr>
                <w:rFonts w:hint="eastAsia"/>
                <w:kern w:val="0"/>
                <w:sz w:val="15"/>
                <w:szCs w:val="15"/>
              </w:rPr>
              <w:t>A车25米，B车20米</w:t>
            </w:r>
          </w:p>
        </w:tc>
      </w:tr>
    </w:tbl>
    <w:p w14:paraId="1091EA1D">
      <w:pPr>
        <w:autoSpaceDE w:val="0"/>
        <w:autoSpaceDN w:val="0"/>
        <w:spacing w:line="240" w:lineRule="auto"/>
        <w:ind w:firstLine="300" w:firstLineChars="200"/>
        <w:rPr>
          <w:kern w:val="0"/>
          <w:sz w:val="15"/>
          <w:szCs w:val="15"/>
        </w:rPr>
      </w:pPr>
      <w:r>
        <w:rPr>
          <w:rFonts w:hint="eastAsia"/>
          <w:kern w:val="0"/>
          <w:sz w:val="15"/>
          <w:szCs w:val="15"/>
        </w:rPr>
        <w:t>注：在困难情况下，道岔轨枕不可分开的部分不得进入平、竖曲线；</w:t>
      </w:r>
    </w:p>
    <w:p w14:paraId="48CF04F2">
      <w:pPr>
        <w:pStyle w:val="7"/>
        <w:ind w:firstLine="420"/>
      </w:pPr>
      <w:r>
        <w:t>道岔附带曲线可不设缓和曲线和超高，但其曲线半径不应小于道岔导曲线半径；</w:t>
      </w:r>
    </w:p>
    <w:p w14:paraId="48FD8A69">
      <w:pPr>
        <w:pStyle w:val="7"/>
        <w:ind w:firstLine="420"/>
      </w:pPr>
      <w:r>
        <w:t>两组道岔之间应设置直线段钢轨连接，其钢轨长度不应小于表7</w:t>
      </w:r>
      <w:r>
        <w:rPr>
          <w:rFonts w:eastAsia="Times New Roman"/>
        </w:rPr>
        <w:t>.2.4-3</w:t>
      </w:r>
      <w:r>
        <w:t>规定。</w:t>
      </w:r>
    </w:p>
    <w:p w14:paraId="41B3B776">
      <w:pPr>
        <w:widowControl/>
        <w:spacing w:line="240" w:lineRule="auto"/>
        <w:jc w:val="left"/>
        <w:rPr>
          <w:bCs/>
          <w:szCs w:val="28"/>
        </w:rPr>
      </w:pPr>
      <w:r>
        <w:br w:type="page"/>
      </w:r>
    </w:p>
    <w:p w14:paraId="2691F120">
      <w:pPr>
        <w:jc w:val="center"/>
      </w:pPr>
      <w:r>
        <w:rPr>
          <w:rFonts w:eastAsia="黑体" w:cs="黑体"/>
          <w:sz w:val="18"/>
          <w:szCs w:val="18"/>
        </w:rPr>
        <w:t>表7.2.4-3道岔间插入钢轨长度(m)</w:t>
      </w:r>
    </w:p>
    <w:tbl>
      <w:tblPr>
        <w:tblStyle w:val="88"/>
        <w:tblW w:w="6337" w:type="dxa"/>
        <w:tblInd w:w="118" w:type="dxa"/>
        <w:tblLayout w:type="fixed"/>
        <w:tblCellMar>
          <w:top w:w="0" w:type="dxa"/>
          <w:left w:w="108" w:type="dxa"/>
          <w:bottom w:w="0" w:type="dxa"/>
          <w:right w:w="108" w:type="dxa"/>
        </w:tblCellMar>
      </w:tblPr>
      <w:tblGrid>
        <w:gridCol w:w="1181"/>
        <w:gridCol w:w="2086"/>
        <w:gridCol w:w="844"/>
        <w:gridCol w:w="556"/>
        <w:gridCol w:w="557"/>
        <w:gridCol w:w="556"/>
        <w:gridCol w:w="557"/>
      </w:tblGrid>
      <w:tr w14:paraId="24377EC7">
        <w:tblPrEx>
          <w:tblCellMar>
            <w:top w:w="0" w:type="dxa"/>
            <w:left w:w="108" w:type="dxa"/>
            <w:bottom w:w="0" w:type="dxa"/>
            <w:right w:w="108" w:type="dxa"/>
          </w:tblCellMar>
        </w:tblPrEx>
        <w:trPr>
          <w:trHeight w:val="140" w:hRule="atLeast"/>
        </w:trPr>
        <w:tc>
          <w:tcPr>
            <w:tcW w:w="3267" w:type="dxa"/>
            <w:gridSpan w:val="2"/>
            <w:vMerge w:val="restart"/>
            <w:tcBorders>
              <w:top w:val="single" w:color="000000" w:sz="8" w:space="0"/>
              <w:left w:val="single" w:color="000000" w:sz="8" w:space="0"/>
              <w:bottom w:val="single" w:color="000000" w:sz="8" w:space="0"/>
              <w:right w:val="single" w:color="000000" w:sz="8" w:space="0"/>
            </w:tcBorders>
            <w:shd w:val="clear" w:color="000000" w:fill="FFFFFF"/>
            <w:vAlign w:val="center"/>
          </w:tcPr>
          <w:p w14:paraId="47DC2880">
            <w:pPr>
              <w:widowControl/>
              <w:spacing w:line="240" w:lineRule="auto"/>
              <w:jc w:val="center"/>
              <w:rPr>
                <w:rFonts w:ascii="宋体" w:hAnsi="宋体" w:cs="宋体"/>
                <w:kern w:val="0"/>
                <w:sz w:val="15"/>
                <w:szCs w:val="15"/>
              </w:rPr>
            </w:pPr>
            <w:r>
              <w:rPr>
                <w:rFonts w:hint="eastAsia" w:ascii="宋体" w:hAnsi="宋体" w:cs="宋体"/>
                <w:kern w:val="0"/>
                <w:sz w:val="15"/>
                <w:szCs w:val="15"/>
              </w:rPr>
              <w:t>道岔布置相对位置</w:t>
            </w:r>
          </w:p>
        </w:tc>
        <w:tc>
          <w:tcPr>
            <w:tcW w:w="844" w:type="dxa"/>
            <w:vMerge w:val="restart"/>
            <w:tcBorders>
              <w:top w:val="single" w:color="000000" w:sz="8" w:space="0"/>
              <w:left w:val="single" w:color="000000" w:sz="8" w:space="0"/>
              <w:bottom w:val="single" w:color="000000" w:sz="8" w:space="0"/>
              <w:right w:val="single" w:color="000000" w:sz="8" w:space="0"/>
            </w:tcBorders>
            <w:shd w:val="clear" w:color="000000" w:fill="FFFFFF"/>
            <w:vAlign w:val="center"/>
          </w:tcPr>
          <w:p w14:paraId="640A821A">
            <w:pPr>
              <w:widowControl/>
              <w:spacing w:line="240" w:lineRule="auto"/>
              <w:jc w:val="center"/>
              <w:rPr>
                <w:rFonts w:ascii="宋体" w:hAnsi="宋体" w:cs="宋体"/>
                <w:kern w:val="0"/>
                <w:sz w:val="15"/>
                <w:szCs w:val="15"/>
              </w:rPr>
            </w:pPr>
            <w:r>
              <w:rPr>
                <w:rFonts w:hint="eastAsia" w:ascii="宋体" w:hAnsi="宋体" w:cs="宋体"/>
                <w:kern w:val="0"/>
                <w:sz w:val="15"/>
                <w:szCs w:val="15"/>
              </w:rPr>
              <w:t>线别</w:t>
            </w:r>
          </w:p>
        </w:tc>
        <w:tc>
          <w:tcPr>
            <w:tcW w:w="1113" w:type="dxa"/>
            <w:gridSpan w:val="2"/>
            <w:tcBorders>
              <w:top w:val="single" w:color="000000" w:sz="8" w:space="0"/>
              <w:left w:val="nil"/>
              <w:bottom w:val="single" w:color="000000" w:sz="8" w:space="0"/>
              <w:right w:val="single" w:color="000000" w:sz="8" w:space="0"/>
            </w:tcBorders>
            <w:shd w:val="clear" w:color="000000" w:fill="FFFFFF"/>
            <w:vAlign w:val="center"/>
          </w:tcPr>
          <w:p w14:paraId="022E03DA">
            <w:pPr>
              <w:widowControl/>
              <w:spacing w:line="240" w:lineRule="auto"/>
              <w:jc w:val="center"/>
              <w:rPr>
                <w:rFonts w:ascii="宋体" w:hAnsi="宋体" w:cs="宋体"/>
                <w:kern w:val="0"/>
                <w:sz w:val="15"/>
                <w:szCs w:val="15"/>
              </w:rPr>
            </w:pPr>
            <w:r>
              <w:rPr>
                <w:rFonts w:hint="eastAsia" w:ascii="宋体" w:hAnsi="宋体" w:cs="宋体"/>
                <w:kern w:val="0"/>
                <w:sz w:val="15"/>
                <w:szCs w:val="15"/>
              </w:rPr>
              <w:t>v≤120</w:t>
            </w:r>
          </w:p>
        </w:tc>
        <w:tc>
          <w:tcPr>
            <w:tcW w:w="1113" w:type="dxa"/>
            <w:gridSpan w:val="2"/>
            <w:tcBorders>
              <w:top w:val="single" w:color="000000" w:sz="8" w:space="0"/>
              <w:left w:val="nil"/>
              <w:bottom w:val="single" w:color="000000" w:sz="8" w:space="0"/>
              <w:right w:val="single" w:color="000000" w:sz="8" w:space="0"/>
            </w:tcBorders>
            <w:shd w:val="clear" w:color="000000" w:fill="FFFFFF"/>
            <w:vAlign w:val="center"/>
          </w:tcPr>
          <w:p w14:paraId="3A5684F5">
            <w:pPr>
              <w:widowControl/>
              <w:spacing w:line="240" w:lineRule="auto"/>
              <w:jc w:val="center"/>
              <w:rPr>
                <w:rFonts w:ascii="宋体" w:hAnsi="宋体" w:cs="宋体"/>
                <w:kern w:val="0"/>
                <w:sz w:val="15"/>
                <w:szCs w:val="15"/>
              </w:rPr>
            </w:pPr>
            <w:r>
              <w:rPr>
                <w:rFonts w:hint="eastAsia" w:ascii="宋体" w:hAnsi="宋体" w:cs="宋体"/>
                <w:kern w:val="0"/>
                <w:sz w:val="15"/>
                <w:szCs w:val="15"/>
              </w:rPr>
              <w:t>120＜v≤140</w:t>
            </w:r>
          </w:p>
        </w:tc>
      </w:tr>
      <w:tr w14:paraId="2AAA78AD">
        <w:tblPrEx>
          <w:tblCellMar>
            <w:top w:w="0" w:type="dxa"/>
            <w:left w:w="108" w:type="dxa"/>
            <w:bottom w:w="0" w:type="dxa"/>
            <w:right w:w="108" w:type="dxa"/>
          </w:tblCellMar>
        </w:tblPrEx>
        <w:trPr>
          <w:trHeight w:val="140" w:hRule="atLeast"/>
        </w:trPr>
        <w:tc>
          <w:tcPr>
            <w:tcW w:w="3267"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00765A0">
            <w:pPr>
              <w:widowControl/>
              <w:spacing w:line="240" w:lineRule="auto"/>
              <w:jc w:val="left"/>
              <w:rPr>
                <w:rFonts w:ascii="宋体" w:hAnsi="宋体" w:cs="宋体"/>
                <w:kern w:val="0"/>
                <w:sz w:val="15"/>
                <w:szCs w:val="15"/>
              </w:rPr>
            </w:pPr>
          </w:p>
        </w:tc>
        <w:tc>
          <w:tcPr>
            <w:tcW w:w="84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6D2499F">
            <w:pPr>
              <w:widowControl/>
              <w:spacing w:line="240" w:lineRule="auto"/>
              <w:jc w:val="left"/>
              <w:rPr>
                <w:rFonts w:ascii="宋体" w:hAnsi="宋体" w:cs="宋体"/>
                <w:kern w:val="0"/>
                <w:sz w:val="15"/>
                <w:szCs w:val="15"/>
              </w:rPr>
            </w:pPr>
          </w:p>
        </w:tc>
        <w:tc>
          <w:tcPr>
            <w:tcW w:w="556" w:type="dxa"/>
            <w:tcBorders>
              <w:top w:val="nil"/>
              <w:left w:val="nil"/>
              <w:bottom w:val="single" w:color="000000" w:sz="8" w:space="0"/>
              <w:right w:val="single" w:color="000000" w:sz="8" w:space="0"/>
            </w:tcBorders>
            <w:shd w:val="clear" w:color="000000" w:fill="FFFFFF"/>
            <w:vAlign w:val="center"/>
          </w:tcPr>
          <w:p w14:paraId="3C5F2FD5">
            <w:pPr>
              <w:widowControl/>
              <w:spacing w:line="240" w:lineRule="auto"/>
              <w:jc w:val="center"/>
              <w:rPr>
                <w:rFonts w:ascii="宋体" w:hAnsi="宋体" w:cs="宋体"/>
                <w:kern w:val="0"/>
                <w:sz w:val="15"/>
                <w:szCs w:val="15"/>
              </w:rPr>
            </w:pPr>
            <w:r>
              <w:rPr>
                <w:rFonts w:hint="eastAsia" w:ascii="宋体" w:hAnsi="宋体" w:cs="宋体"/>
                <w:kern w:val="0"/>
                <w:sz w:val="15"/>
                <w:szCs w:val="15"/>
              </w:rPr>
              <w:t>一般地段</w:t>
            </w:r>
          </w:p>
        </w:tc>
        <w:tc>
          <w:tcPr>
            <w:tcW w:w="557" w:type="dxa"/>
            <w:tcBorders>
              <w:top w:val="nil"/>
              <w:left w:val="nil"/>
              <w:bottom w:val="single" w:color="000000" w:sz="8" w:space="0"/>
              <w:right w:val="single" w:color="000000" w:sz="8" w:space="0"/>
            </w:tcBorders>
            <w:shd w:val="clear" w:color="000000" w:fill="FFFFFF"/>
            <w:vAlign w:val="center"/>
          </w:tcPr>
          <w:p w14:paraId="2ABAC20A">
            <w:pPr>
              <w:widowControl/>
              <w:spacing w:line="240" w:lineRule="auto"/>
              <w:jc w:val="center"/>
              <w:rPr>
                <w:rFonts w:ascii="宋体" w:hAnsi="宋体" w:cs="宋体"/>
                <w:kern w:val="0"/>
                <w:sz w:val="15"/>
                <w:szCs w:val="15"/>
              </w:rPr>
            </w:pPr>
            <w:r>
              <w:rPr>
                <w:rFonts w:hint="eastAsia" w:ascii="宋体" w:hAnsi="宋体" w:cs="宋体"/>
                <w:kern w:val="0"/>
                <w:sz w:val="15"/>
                <w:szCs w:val="15"/>
              </w:rPr>
              <w:t>困难地段</w:t>
            </w:r>
          </w:p>
        </w:tc>
        <w:tc>
          <w:tcPr>
            <w:tcW w:w="556" w:type="dxa"/>
            <w:tcBorders>
              <w:top w:val="nil"/>
              <w:left w:val="nil"/>
              <w:bottom w:val="single" w:color="000000" w:sz="8" w:space="0"/>
              <w:right w:val="single" w:color="000000" w:sz="8" w:space="0"/>
            </w:tcBorders>
            <w:shd w:val="clear" w:color="000000" w:fill="FFFFFF"/>
            <w:vAlign w:val="center"/>
          </w:tcPr>
          <w:p w14:paraId="59B2D44B">
            <w:pPr>
              <w:widowControl/>
              <w:spacing w:line="240" w:lineRule="auto"/>
              <w:jc w:val="center"/>
              <w:rPr>
                <w:rFonts w:ascii="宋体" w:hAnsi="宋体" w:cs="宋体"/>
                <w:kern w:val="0"/>
                <w:sz w:val="15"/>
                <w:szCs w:val="15"/>
              </w:rPr>
            </w:pPr>
            <w:r>
              <w:rPr>
                <w:rFonts w:hint="eastAsia" w:ascii="宋体" w:hAnsi="宋体" w:cs="宋体"/>
                <w:kern w:val="0"/>
                <w:sz w:val="15"/>
                <w:szCs w:val="15"/>
              </w:rPr>
              <w:t>一般地段</w:t>
            </w:r>
          </w:p>
        </w:tc>
        <w:tc>
          <w:tcPr>
            <w:tcW w:w="557" w:type="dxa"/>
            <w:tcBorders>
              <w:top w:val="nil"/>
              <w:left w:val="nil"/>
              <w:bottom w:val="single" w:color="000000" w:sz="8" w:space="0"/>
              <w:right w:val="single" w:color="000000" w:sz="8" w:space="0"/>
            </w:tcBorders>
            <w:shd w:val="clear" w:color="000000" w:fill="FFFFFF"/>
            <w:vAlign w:val="center"/>
          </w:tcPr>
          <w:p w14:paraId="3C873935">
            <w:pPr>
              <w:widowControl/>
              <w:spacing w:line="240" w:lineRule="auto"/>
              <w:jc w:val="center"/>
              <w:rPr>
                <w:rFonts w:ascii="宋体" w:hAnsi="宋体" w:cs="宋体"/>
                <w:kern w:val="0"/>
                <w:sz w:val="15"/>
                <w:szCs w:val="15"/>
              </w:rPr>
            </w:pPr>
            <w:r>
              <w:rPr>
                <w:rFonts w:hint="eastAsia" w:ascii="宋体" w:hAnsi="宋体" w:cs="宋体"/>
                <w:kern w:val="0"/>
                <w:sz w:val="15"/>
                <w:szCs w:val="15"/>
              </w:rPr>
              <w:t>困难地段</w:t>
            </w:r>
          </w:p>
        </w:tc>
      </w:tr>
      <w:tr w14:paraId="4C77ED33">
        <w:tblPrEx>
          <w:tblCellMar>
            <w:top w:w="0" w:type="dxa"/>
            <w:left w:w="108" w:type="dxa"/>
            <w:bottom w:w="0" w:type="dxa"/>
            <w:right w:w="108" w:type="dxa"/>
          </w:tblCellMar>
        </w:tblPrEx>
        <w:trPr>
          <w:trHeight w:val="276" w:hRule="atLeast"/>
        </w:trPr>
        <w:tc>
          <w:tcPr>
            <w:tcW w:w="1181" w:type="dxa"/>
            <w:vMerge w:val="restart"/>
            <w:tcBorders>
              <w:top w:val="nil"/>
              <w:left w:val="single" w:color="000000" w:sz="8" w:space="0"/>
              <w:right w:val="single" w:color="000000" w:sz="8" w:space="0"/>
            </w:tcBorders>
            <w:shd w:val="clear" w:color="000000" w:fill="FFFFFF"/>
            <w:vAlign w:val="center"/>
          </w:tcPr>
          <w:p w14:paraId="68E45731">
            <w:pPr>
              <w:widowControl/>
              <w:spacing w:line="240" w:lineRule="auto"/>
              <w:jc w:val="center"/>
              <w:rPr>
                <w:rFonts w:ascii="宋体" w:hAnsi="宋体" w:cs="宋体"/>
                <w:kern w:val="0"/>
                <w:sz w:val="15"/>
                <w:szCs w:val="15"/>
              </w:rPr>
            </w:pPr>
            <w:r>
              <w:rPr>
                <w:rFonts w:hint="eastAsia" w:ascii="宋体" w:hAnsi="宋体" w:cs="宋体"/>
                <w:kern w:val="0"/>
                <w:sz w:val="15"/>
                <w:szCs w:val="15"/>
              </w:rPr>
              <w:t>两组道岔前端</w:t>
            </w:r>
          </w:p>
          <w:p w14:paraId="1AF1E48B">
            <w:pPr>
              <w:spacing w:line="240" w:lineRule="auto"/>
              <w:jc w:val="center"/>
              <w:rPr>
                <w:rFonts w:ascii="宋体" w:hAnsi="宋体" w:cs="宋体"/>
                <w:kern w:val="0"/>
                <w:sz w:val="15"/>
                <w:szCs w:val="15"/>
              </w:rPr>
            </w:pPr>
            <w:r>
              <w:rPr>
                <w:rFonts w:hint="eastAsia" w:ascii="宋体" w:hAnsi="宋体" w:cs="宋体"/>
                <w:kern w:val="0"/>
                <w:sz w:val="15"/>
                <w:szCs w:val="15"/>
              </w:rPr>
              <w:t>对向布置</w:t>
            </w:r>
          </w:p>
        </w:tc>
        <w:tc>
          <w:tcPr>
            <w:tcW w:w="2086" w:type="dxa"/>
            <w:vMerge w:val="restart"/>
            <w:tcBorders>
              <w:top w:val="nil"/>
              <w:left w:val="single" w:color="000000" w:sz="8" w:space="0"/>
              <w:bottom w:val="single" w:color="000000" w:sz="8" w:space="0"/>
              <w:right w:val="single" w:color="000000" w:sz="8" w:space="0"/>
            </w:tcBorders>
            <w:shd w:val="clear" w:color="000000" w:fill="FFFFFF"/>
          </w:tcPr>
          <w:p w14:paraId="4CD977FF">
            <w:pPr>
              <w:widowControl/>
              <w:spacing w:line="240" w:lineRule="auto"/>
              <w:jc w:val="center"/>
              <w:rPr>
                <w:rFonts w:ascii="宋体" w:hAnsi="宋体" w:cs="宋体"/>
                <w:kern w:val="0"/>
                <w:sz w:val="15"/>
                <w:szCs w:val="15"/>
              </w:rPr>
            </w:pPr>
            <w:r>
              <w:rPr>
                <w:rFonts w:ascii="宋体" w:hAnsi="宋体"/>
                <w:sz w:val="15"/>
                <w:szCs w:val="15"/>
              </w:rPr>
              <w:drawing>
                <wp:inline distT="0" distB="0" distL="0" distR="0">
                  <wp:extent cx="1181735" cy="436245"/>
                  <wp:effectExtent l="0" t="0" r="0"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1" cstate="print">
                            <a:extLst>
                              <a:ext uri="{28A0092B-C50C-407E-A947-70E740481C1C}">
                                <a14:useLocalDpi xmlns:a14="http://schemas.microsoft.com/office/drawing/2010/main" val="0"/>
                              </a:ext>
                            </a:extLst>
                          </a:blip>
                          <a:srcRect l="14859" r="14342" b="8421"/>
                          <a:stretch>
                            <a:fillRect/>
                          </a:stretch>
                        </pic:blipFill>
                        <pic:spPr>
                          <a:xfrm>
                            <a:off x="0" y="0"/>
                            <a:ext cx="1181735" cy="436245"/>
                          </a:xfrm>
                          <a:prstGeom prst="rect">
                            <a:avLst/>
                          </a:prstGeom>
                          <a:noFill/>
                          <a:ln>
                            <a:noFill/>
                          </a:ln>
                        </pic:spPr>
                      </pic:pic>
                    </a:graphicData>
                  </a:graphic>
                </wp:inline>
              </w:drawing>
            </w:r>
          </w:p>
        </w:tc>
        <w:tc>
          <w:tcPr>
            <w:tcW w:w="844" w:type="dxa"/>
            <w:tcBorders>
              <w:top w:val="nil"/>
              <w:left w:val="nil"/>
              <w:bottom w:val="single" w:color="000000" w:sz="8" w:space="0"/>
              <w:right w:val="single" w:color="000000" w:sz="8" w:space="0"/>
            </w:tcBorders>
            <w:shd w:val="clear" w:color="000000" w:fill="FFFFFF"/>
            <w:vAlign w:val="center"/>
          </w:tcPr>
          <w:p w14:paraId="4DDD40C3">
            <w:pPr>
              <w:widowControl/>
              <w:spacing w:line="240" w:lineRule="auto"/>
              <w:jc w:val="center"/>
              <w:rPr>
                <w:rFonts w:ascii="宋体" w:hAnsi="宋体" w:cs="宋体"/>
                <w:kern w:val="0"/>
                <w:sz w:val="15"/>
                <w:szCs w:val="15"/>
              </w:rPr>
            </w:pPr>
            <w:r>
              <w:rPr>
                <w:rFonts w:hint="eastAsia" w:ascii="宋体" w:hAnsi="宋体" w:cs="宋体"/>
                <w:kern w:val="0"/>
                <w:sz w:val="15"/>
                <w:szCs w:val="15"/>
              </w:rPr>
              <w:t>正、配线</w:t>
            </w:r>
          </w:p>
        </w:tc>
        <w:tc>
          <w:tcPr>
            <w:tcW w:w="556" w:type="dxa"/>
            <w:tcBorders>
              <w:top w:val="nil"/>
              <w:left w:val="nil"/>
              <w:bottom w:val="single" w:color="000000" w:sz="8" w:space="0"/>
              <w:right w:val="single" w:color="000000" w:sz="8" w:space="0"/>
            </w:tcBorders>
            <w:shd w:val="clear" w:color="000000" w:fill="FFFFFF"/>
            <w:vAlign w:val="center"/>
          </w:tcPr>
          <w:p w14:paraId="3C0A4B7C">
            <w:pPr>
              <w:widowControl/>
              <w:spacing w:line="240" w:lineRule="auto"/>
              <w:jc w:val="center"/>
              <w:rPr>
                <w:rFonts w:ascii="宋体" w:hAnsi="宋体" w:cs="宋体"/>
                <w:kern w:val="0"/>
                <w:sz w:val="15"/>
                <w:szCs w:val="15"/>
              </w:rPr>
            </w:pPr>
            <w:r>
              <w:rPr>
                <w:rFonts w:hint="eastAsia" w:ascii="宋体" w:hAnsi="宋体" w:cs="宋体"/>
                <w:kern w:val="0"/>
                <w:sz w:val="15"/>
                <w:szCs w:val="15"/>
              </w:rPr>
              <w:t>12.5</w:t>
            </w:r>
          </w:p>
        </w:tc>
        <w:tc>
          <w:tcPr>
            <w:tcW w:w="557" w:type="dxa"/>
            <w:tcBorders>
              <w:top w:val="nil"/>
              <w:left w:val="nil"/>
              <w:bottom w:val="single" w:color="000000" w:sz="8" w:space="0"/>
              <w:right w:val="single" w:color="000000" w:sz="8" w:space="0"/>
            </w:tcBorders>
            <w:shd w:val="clear" w:color="000000" w:fill="FFFFFF"/>
            <w:vAlign w:val="center"/>
          </w:tcPr>
          <w:p w14:paraId="71FEBB4C">
            <w:pPr>
              <w:widowControl/>
              <w:spacing w:line="240" w:lineRule="auto"/>
              <w:jc w:val="center"/>
              <w:rPr>
                <w:rFonts w:ascii="宋体" w:hAnsi="宋体" w:cs="宋体"/>
                <w:kern w:val="0"/>
                <w:sz w:val="15"/>
                <w:szCs w:val="15"/>
              </w:rPr>
            </w:pPr>
            <w:r>
              <w:rPr>
                <w:rFonts w:hint="eastAsia" w:ascii="宋体" w:hAnsi="宋体" w:cs="宋体"/>
                <w:kern w:val="0"/>
                <w:sz w:val="15"/>
                <w:szCs w:val="15"/>
              </w:rPr>
              <w:t>6.25</w:t>
            </w:r>
          </w:p>
        </w:tc>
        <w:tc>
          <w:tcPr>
            <w:tcW w:w="556" w:type="dxa"/>
            <w:tcBorders>
              <w:top w:val="nil"/>
              <w:left w:val="nil"/>
              <w:bottom w:val="single" w:color="000000" w:sz="8" w:space="0"/>
              <w:right w:val="single" w:color="000000" w:sz="8" w:space="0"/>
            </w:tcBorders>
            <w:shd w:val="clear" w:color="000000" w:fill="FFFFFF"/>
            <w:vAlign w:val="center"/>
          </w:tcPr>
          <w:p w14:paraId="546437FD">
            <w:pPr>
              <w:widowControl/>
              <w:spacing w:line="240" w:lineRule="auto"/>
              <w:jc w:val="center"/>
              <w:rPr>
                <w:rFonts w:ascii="宋体" w:hAnsi="宋体" w:cs="宋体"/>
                <w:kern w:val="0"/>
                <w:sz w:val="15"/>
                <w:szCs w:val="15"/>
              </w:rPr>
            </w:pPr>
            <w:r>
              <w:rPr>
                <w:rFonts w:hint="eastAsia" w:ascii="宋体" w:hAnsi="宋体" w:cs="宋体"/>
                <w:kern w:val="0"/>
                <w:sz w:val="15"/>
                <w:szCs w:val="15"/>
              </w:rPr>
              <w:t>12.5</w:t>
            </w:r>
          </w:p>
        </w:tc>
        <w:tc>
          <w:tcPr>
            <w:tcW w:w="557" w:type="dxa"/>
            <w:tcBorders>
              <w:top w:val="nil"/>
              <w:left w:val="nil"/>
              <w:bottom w:val="single" w:color="000000" w:sz="8" w:space="0"/>
              <w:right w:val="single" w:color="000000" w:sz="8" w:space="0"/>
            </w:tcBorders>
            <w:shd w:val="clear" w:color="000000" w:fill="FFFFFF"/>
            <w:vAlign w:val="center"/>
          </w:tcPr>
          <w:p w14:paraId="23C4B59C">
            <w:pPr>
              <w:widowControl/>
              <w:spacing w:line="240" w:lineRule="auto"/>
              <w:jc w:val="center"/>
              <w:rPr>
                <w:rFonts w:ascii="宋体" w:hAnsi="宋体" w:cs="宋体"/>
                <w:kern w:val="0"/>
                <w:sz w:val="15"/>
                <w:szCs w:val="15"/>
              </w:rPr>
            </w:pPr>
            <w:r>
              <w:rPr>
                <w:rFonts w:hint="eastAsia" w:ascii="宋体" w:hAnsi="宋体" w:cs="宋体"/>
                <w:kern w:val="0"/>
                <w:sz w:val="15"/>
                <w:szCs w:val="15"/>
              </w:rPr>
              <w:t>12.5</w:t>
            </w:r>
          </w:p>
        </w:tc>
      </w:tr>
      <w:tr w14:paraId="61F7C62A">
        <w:tblPrEx>
          <w:tblCellMar>
            <w:top w:w="0" w:type="dxa"/>
            <w:left w:w="108" w:type="dxa"/>
            <w:bottom w:w="0" w:type="dxa"/>
            <w:right w:w="108" w:type="dxa"/>
          </w:tblCellMar>
        </w:tblPrEx>
        <w:trPr>
          <w:trHeight w:val="140" w:hRule="atLeast"/>
        </w:trPr>
        <w:tc>
          <w:tcPr>
            <w:tcW w:w="1181" w:type="dxa"/>
            <w:vMerge w:val="continue"/>
            <w:tcBorders>
              <w:left w:val="single" w:color="000000" w:sz="8" w:space="0"/>
              <w:bottom w:val="single" w:color="000000" w:sz="8" w:space="0"/>
              <w:right w:val="single" w:color="000000" w:sz="8" w:space="0"/>
            </w:tcBorders>
            <w:shd w:val="clear" w:color="000000" w:fill="FFFFFF"/>
            <w:vAlign w:val="center"/>
          </w:tcPr>
          <w:p w14:paraId="2FD39AF7">
            <w:pPr>
              <w:widowControl/>
              <w:spacing w:line="240" w:lineRule="auto"/>
              <w:jc w:val="center"/>
              <w:rPr>
                <w:rFonts w:ascii="宋体" w:hAnsi="宋体" w:cs="宋体"/>
                <w:kern w:val="0"/>
                <w:sz w:val="15"/>
                <w:szCs w:val="15"/>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63ECBC9C">
            <w:pPr>
              <w:widowControl/>
              <w:spacing w:line="240" w:lineRule="auto"/>
              <w:jc w:val="left"/>
              <w:rPr>
                <w:rFonts w:ascii="宋体" w:hAnsi="宋体" w:cs="宋体"/>
                <w:kern w:val="0"/>
                <w:sz w:val="15"/>
                <w:szCs w:val="15"/>
              </w:rPr>
            </w:pPr>
          </w:p>
        </w:tc>
        <w:tc>
          <w:tcPr>
            <w:tcW w:w="844" w:type="dxa"/>
            <w:tcBorders>
              <w:top w:val="nil"/>
              <w:left w:val="nil"/>
              <w:bottom w:val="single" w:color="000000" w:sz="8" w:space="0"/>
              <w:right w:val="single" w:color="000000" w:sz="8" w:space="0"/>
            </w:tcBorders>
            <w:shd w:val="clear" w:color="000000" w:fill="FFFFFF"/>
            <w:vAlign w:val="center"/>
          </w:tcPr>
          <w:p w14:paraId="0C0CA66F">
            <w:pPr>
              <w:widowControl/>
              <w:spacing w:line="240" w:lineRule="auto"/>
              <w:jc w:val="center"/>
              <w:rPr>
                <w:rFonts w:ascii="宋体" w:hAnsi="宋体" w:cs="宋体"/>
                <w:kern w:val="0"/>
                <w:sz w:val="15"/>
                <w:szCs w:val="15"/>
              </w:rPr>
            </w:pPr>
            <w:r>
              <w:rPr>
                <w:rFonts w:hint="eastAsia" w:ascii="宋体" w:hAnsi="宋体" w:cs="宋体"/>
                <w:kern w:val="0"/>
                <w:sz w:val="15"/>
                <w:szCs w:val="15"/>
              </w:rPr>
              <w:t>车场线</w:t>
            </w:r>
          </w:p>
        </w:tc>
        <w:tc>
          <w:tcPr>
            <w:tcW w:w="556" w:type="dxa"/>
            <w:tcBorders>
              <w:top w:val="nil"/>
              <w:left w:val="nil"/>
              <w:bottom w:val="single" w:color="000000" w:sz="8" w:space="0"/>
              <w:right w:val="single" w:color="000000" w:sz="8" w:space="0"/>
            </w:tcBorders>
            <w:shd w:val="clear" w:color="000000" w:fill="FFFFFF"/>
            <w:vAlign w:val="center"/>
          </w:tcPr>
          <w:p w14:paraId="5C59AA2B">
            <w:pPr>
              <w:widowControl/>
              <w:spacing w:line="240" w:lineRule="auto"/>
              <w:jc w:val="center"/>
              <w:rPr>
                <w:rFonts w:ascii="宋体" w:hAnsi="宋体" w:cs="宋体"/>
                <w:kern w:val="0"/>
                <w:sz w:val="15"/>
                <w:szCs w:val="15"/>
              </w:rPr>
            </w:pPr>
            <w:r>
              <w:rPr>
                <w:rFonts w:hint="eastAsia" w:ascii="宋体" w:hAnsi="宋体" w:cs="宋体"/>
                <w:kern w:val="0"/>
                <w:sz w:val="15"/>
                <w:szCs w:val="15"/>
              </w:rPr>
              <w:t>4.5</w:t>
            </w:r>
          </w:p>
        </w:tc>
        <w:tc>
          <w:tcPr>
            <w:tcW w:w="557" w:type="dxa"/>
            <w:tcBorders>
              <w:top w:val="nil"/>
              <w:left w:val="nil"/>
              <w:bottom w:val="single" w:color="000000" w:sz="8" w:space="0"/>
              <w:right w:val="single" w:color="000000" w:sz="8" w:space="0"/>
            </w:tcBorders>
            <w:shd w:val="clear" w:color="000000" w:fill="FFFFFF"/>
            <w:vAlign w:val="center"/>
          </w:tcPr>
          <w:p w14:paraId="76E21626">
            <w:pPr>
              <w:widowControl/>
              <w:spacing w:line="240" w:lineRule="auto"/>
              <w:jc w:val="center"/>
              <w:rPr>
                <w:rFonts w:ascii="宋体" w:hAnsi="宋体" w:cs="宋体"/>
                <w:kern w:val="0"/>
                <w:sz w:val="15"/>
                <w:szCs w:val="15"/>
              </w:rPr>
            </w:pPr>
            <w:r>
              <w:rPr>
                <w:rFonts w:hint="eastAsia" w:ascii="宋体" w:hAnsi="宋体" w:cs="宋体"/>
                <w:kern w:val="0"/>
                <w:sz w:val="15"/>
                <w:szCs w:val="15"/>
              </w:rPr>
              <w:t>3</w:t>
            </w:r>
          </w:p>
        </w:tc>
        <w:tc>
          <w:tcPr>
            <w:tcW w:w="556" w:type="dxa"/>
            <w:tcBorders>
              <w:top w:val="nil"/>
              <w:left w:val="nil"/>
              <w:bottom w:val="single" w:color="000000" w:sz="8" w:space="0"/>
              <w:right w:val="single" w:color="000000" w:sz="8" w:space="0"/>
            </w:tcBorders>
            <w:shd w:val="clear" w:color="000000" w:fill="FFFFFF"/>
            <w:vAlign w:val="center"/>
          </w:tcPr>
          <w:p w14:paraId="5A78AA89">
            <w:pPr>
              <w:widowControl/>
              <w:spacing w:line="240" w:lineRule="auto"/>
              <w:jc w:val="center"/>
              <w:rPr>
                <w:rFonts w:ascii="宋体" w:hAnsi="宋体" w:cs="宋体"/>
                <w:kern w:val="0"/>
                <w:sz w:val="15"/>
                <w:szCs w:val="15"/>
              </w:rPr>
            </w:pPr>
            <w:r>
              <w:rPr>
                <w:rFonts w:hint="eastAsia" w:ascii="宋体" w:hAnsi="宋体" w:cs="宋体"/>
                <w:kern w:val="0"/>
                <w:sz w:val="15"/>
                <w:szCs w:val="15"/>
              </w:rPr>
              <w:t>-</w:t>
            </w:r>
          </w:p>
        </w:tc>
        <w:tc>
          <w:tcPr>
            <w:tcW w:w="557" w:type="dxa"/>
            <w:tcBorders>
              <w:top w:val="nil"/>
              <w:left w:val="nil"/>
              <w:bottom w:val="single" w:color="000000" w:sz="8" w:space="0"/>
              <w:right w:val="single" w:color="000000" w:sz="8" w:space="0"/>
            </w:tcBorders>
            <w:shd w:val="clear" w:color="000000" w:fill="FFFFFF"/>
            <w:vAlign w:val="center"/>
          </w:tcPr>
          <w:p w14:paraId="623337FD">
            <w:pPr>
              <w:widowControl/>
              <w:spacing w:line="240" w:lineRule="auto"/>
              <w:jc w:val="center"/>
              <w:rPr>
                <w:rFonts w:ascii="宋体" w:hAnsi="宋体" w:cs="宋体"/>
                <w:kern w:val="0"/>
                <w:sz w:val="15"/>
                <w:szCs w:val="15"/>
              </w:rPr>
            </w:pPr>
            <w:r>
              <w:rPr>
                <w:rFonts w:hint="eastAsia" w:ascii="宋体" w:hAnsi="宋体" w:cs="宋体"/>
                <w:kern w:val="0"/>
                <w:sz w:val="15"/>
                <w:szCs w:val="15"/>
              </w:rPr>
              <w:t>-</w:t>
            </w:r>
          </w:p>
        </w:tc>
      </w:tr>
      <w:tr w14:paraId="7D988BA3">
        <w:tblPrEx>
          <w:tblCellMar>
            <w:top w:w="0" w:type="dxa"/>
            <w:left w:w="108" w:type="dxa"/>
            <w:bottom w:w="0" w:type="dxa"/>
            <w:right w:w="108" w:type="dxa"/>
          </w:tblCellMar>
        </w:tblPrEx>
        <w:trPr>
          <w:trHeight w:val="276" w:hRule="atLeast"/>
        </w:trPr>
        <w:tc>
          <w:tcPr>
            <w:tcW w:w="1181" w:type="dxa"/>
            <w:vMerge w:val="restart"/>
            <w:tcBorders>
              <w:top w:val="nil"/>
              <w:left w:val="single" w:color="000000" w:sz="8" w:space="0"/>
              <w:right w:val="single" w:color="000000" w:sz="8" w:space="0"/>
            </w:tcBorders>
            <w:shd w:val="clear" w:color="000000" w:fill="FFFFFF"/>
            <w:vAlign w:val="center"/>
          </w:tcPr>
          <w:p w14:paraId="797A309E">
            <w:pPr>
              <w:widowControl/>
              <w:spacing w:line="240" w:lineRule="auto"/>
              <w:jc w:val="center"/>
              <w:rPr>
                <w:rFonts w:ascii="宋体" w:hAnsi="宋体" w:cs="宋体"/>
                <w:kern w:val="0"/>
                <w:sz w:val="15"/>
                <w:szCs w:val="15"/>
              </w:rPr>
            </w:pPr>
            <w:r>
              <w:rPr>
                <w:rFonts w:hint="eastAsia" w:ascii="宋体" w:hAnsi="宋体" w:cs="宋体"/>
                <w:kern w:val="0"/>
                <w:sz w:val="15"/>
                <w:szCs w:val="15"/>
              </w:rPr>
              <w:t>两组道岔前后</w:t>
            </w:r>
          </w:p>
          <w:p w14:paraId="5FA804CC">
            <w:pPr>
              <w:spacing w:line="240" w:lineRule="auto"/>
              <w:jc w:val="center"/>
              <w:rPr>
                <w:rFonts w:ascii="宋体" w:hAnsi="宋体" w:cs="宋体"/>
                <w:kern w:val="0"/>
                <w:sz w:val="15"/>
                <w:szCs w:val="15"/>
              </w:rPr>
            </w:pPr>
            <w:r>
              <w:rPr>
                <w:rFonts w:hint="eastAsia" w:ascii="宋体" w:hAnsi="宋体" w:cs="宋体"/>
                <w:kern w:val="0"/>
                <w:sz w:val="15"/>
                <w:szCs w:val="15"/>
              </w:rPr>
              <w:t>顺向布置</w:t>
            </w:r>
          </w:p>
        </w:tc>
        <w:tc>
          <w:tcPr>
            <w:tcW w:w="2086" w:type="dxa"/>
            <w:vMerge w:val="restart"/>
            <w:tcBorders>
              <w:top w:val="nil"/>
              <w:left w:val="single" w:color="000000" w:sz="8" w:space="0"/>
              <w:bottom w:val="single" w:color="000000" w:sz="8" w:space="0"/>
              <w:right w:val="single" w:color="000000" w:sz="8" w:space="0"/>
            </w:tcBorders>
            <w:shd w:val="clear" w:color="000000" w:fill="FFFFFF"/>
          </w:tcPr>
          <w:p w14:paraId="4BCCF96C">
            <w:pPr>
              <w:widowControl/>
              <w:spacing w:line="240" w:lineRule="auto"/>
              <w:jc w:val="center"/>
              <w:rPr>
                <w:rFonts w:ascii="宋体" w:hAnsi="宋体" w:cs="宋体"/>
                <w:kern w:val="0"/>
                <w:sz w:val="15"/>
                <w:szCs w:val="15"/>
              </w:rPr>
            </w:pPr>
            <w:r>
              <w:rPr>
                <w:rFonts w:ascii="宋体" w:hAnsi="宋体"/>
                <w:sz w:val="15"/>
                <w:szCs w:val="15"/>
              </w:rPr>
              <w:drawing>
                <wp:inline distT="0" distB="0" distL="0" distR="0">
                  <wp:extent cx="1245235" cy="3937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2" cstate="print">
                            <a:extLst>
                              <a:ext uri="{28A0092B-C50C-407E-A947-70E740481C1C}">
                                <a14:useLocalDpi xmlns:a14="http://schemas.microsoft.com/office/drawing/2010/main" val="0"/>
                              </a:ext>
                            </a:extLst>
                          </a:blip>
                          <a:srcRect l="7681" r="4842"/>
                          <a:stretch>
                            <a:fillRect/>
                          </a:stretch>
                        </pic:blipFill>
                        <pic:spPr>
                          <a:xfrm>
                            <a:off x="0" y="0"/>
                            <a:ext cx="1245235" cy="393700"/>
                          </a:xfrm>
                          <a:prstGeom prst="rect">
                            <a:avLst/>
                          </a:prstGeom>
                          <a:noFill/>
                          <a:ln>
                            <a:noFill/>
                          </a:ln>
                        </pic:spPr>
                      </pic:pic>
                    </a:graphicData>
                  </a:graphic>
                </wp:inline>
              </w:drawing>
            </w:r>
          </w:p>
        </w:tc>
        <w:tc>
          <w:tcPr>
            <w:tcW w:w="844" w:type="dxa"/>
            <w:tcBorders>
              <w:top w:val="nil"/>
              <w:left w:val="nil"/>
              <w:bottom w:val="single" w:color="000000" w:sz="8" w:space="0"/>
              <w:right w:val="single" w:color="000000" w:sz="8" w:space="0"/>
            </w:tcBorders>
            <w:shd w:val="clear" w:color="000000" w:fill="FFFFFF"/>
            <w:vAlign w:val="center"/>
          </w:tcPr>
          <w:p w14:paraId="118992FB">
            <w:pPr>
              <w:widowControl/>
              <w:spacing w:line="240" w:lineRule="auto"/>
              <w:jc w:val="center"/>
              <w:rPr>
                <w:rFonts w:ascii="宋体" w:hAnsi="宋体" w:cs="宋体"/>
                <w:kern w:val="0"/>
                <w:sz w:val="15"/>
                <w:szCs w:val="15"/>
              </w:rPr>
            </w:pPr>
            <w:r>
              <w:rPr>
                <w:rFonts w:hint="eastAsia" w:ascii="宋体" w:hAnsi="宋体" w:cs="宋体"/>
                <w:kern w:val="0"/>
                <w:sz w:val="15"/>
                <w:szCs w:val="15"/>
              </w:rPr>
              <w:t>正、配线</w:t>
            </w:r>
          </w:p>
        </w:tc>
        <w:tc>
          <w:tcPr>
            <w:tcW w:w="556" w:type="dxa"/>
            <w:tcBorders>
              <w:top w:val="nil"/>
              <w:left w:val="nil"/>
              <w:bottom w:val="single" w:color="000000" w:sz="8" w:space="0"/>
              <w:right w:val="single" w:color="000000" w:sz="8" w:space="0"/>
            </w:tcBorders>
            <w:shd w:val="clear" w:color="000000" w:fill="FFFFFF"/>
            <w:vAlign w:val="center"/>
          </w:tcPr>
          <w:p w14:paraId="65D86C7E">
            <w:pPr>
              <w:widowControl/>
              <w:spacing w:line="240" w:lineRule="auto"/>
              <w:jc w:val="center"/>
              <w:rPr>
                <w:rFonts w:ascii="宋体" w:hAnsi="宋体" w:cs="宋体"/>
                <w:kern w:val="0"/>
                <w:sz w:val="15"/>
                <w:szCs w:val="15"/>
              </w:rPr>
            </w:pPr>
            <w:r>
              <w:rPr>
                <w:rFonts w:hint="eastAsia" w:ascii="宋体" w:hAnsi="宋体" w:cs="宋体"/>
                <w:kern w:val="0"/>
                <w:sz w:val="15"/>
                <w:szCs w:val="15"/>
              </w:rPr>
              <w:t>6.25</w:t>
            </w:r>
          </w:p>
        </w:tc>
        <w:tc>
          <w:tcPr>
            <w:tcW w:w="557" w:type="dxa"/>
            <w:tcBorders>
              <w:top w:val="nil"/>
              <w:left w:val="nil"/>
              <w:bottom w:val="single" w:color="000000" w:sz="8" w:space="0"/>
              <w:right w:val="single" w:color="000000" w:sz="8" w:space="0"/>
            </w:tcBorders>
            <w:shd w:val="clear" w:color="000000" w:fill="FFFFFF"/>
            <w:vAlign w:val="center"/>
          </w:tcPr>
          <w:p w14:paraId="3AC6F84A">
            <w:pPr>
              <w:widowControl/>
              <w:spacing w:line="240" w:lineRule="auto"/>
              <w:jc w:val="center"/>
              <w:rPr>
                <w:rFonts w:ascii="宋体" w:hAnsi="宋体" w:cs="宋体"/>
                <w:kern w:val="0"/>
                <w:sz w:val="15"/>
                <w:szCs w:val="15"/>
              </w:rPr>
            </w:pPr>
            <w:r>
              <w:rPr>
                <w:rFonts w:hint="eastAsia" w:ascii="宋体" w:hAnsi="宋体" w:cs="宋体"/>
                <w:kern w:val="0"/>
                <w:sz w:val="15"/>
                <w:szCs w:val="15"/>
              </w:rPr>
              <w:t>4.5</w:t>
            </w:r>
          </w:p>
        </w:tc>
        <w:tc>
          <w:tcPr>
            <w:tcW w:w="556" w:type="dxa"/>
            <w:tcBorders>
              <w:top w:val="nil"/>
              <w:left w:val="nil"/>
              <w:bottom w:val="single" w:color="000000" w:sz="8" w:space="0"/>
              <w:right w:val="single" w:color="000000" w:sz="8" w:space="0"/>
            </w:tcBorders>
            <w:shd w:val="clear" w:color="000000" w:fill="FFFFFF"/>
            <w:vAlign w:val="center"/>
          </w:tcPr>
          <w:p w14:paraId="7E2FF28A">
            <w:pPr>
              <w:widowControl/>
              <w:spacing w:line="240" w:lineRule="auto"/>
              <w:jc w:val="center"/>
              <w:rPr>
                <w:rFonts w:ascii="宋体" w:hAnsi="宋体" w:cs="宋体"/>
                <w:kern w:val="0"/>
                <w:sz w:val="15"/>
                <w:szCs w:val="15"/>
              </w:rPr>
            </w:pPr>
            <w:r>
              <w:rPr>
                <w:rFonts w:hint="eastAsia" w:ascii="宋体" w:hAnsi="宋体" w:cs="宋体"/>
                <w:kern w:val="0"/>
                <w:sz w:val="15"/>
                <w:szCs w:val="15"/>
              </w:rPr>
              <w:t>12.5</w:t>
            </w:r>
          </w:p>
        </w:tc>
        <w:tc>
          <w:tcPr>
            <w:tcW w:w="557" w:type="dxa"/>
            <w:tcBorders>
              <w:top w:val="nil"/>
              <w:left w:val="nil"/>
              <w:bottom w:val="single" w:color="000000" w:sz="8" w:space="0"/>
              <w:right w:val="single" w:color="000000" w:sz="8" w:space="0"/>
            </w:tcBorders>
            <w:shd w:val="clear" w:color="000000" w:fill="FFFFFF"/>
            <w:vAlign w:val="center"/>
          </w:tcPr>
          <w:p w14:paraId="1078992A">
            <w:pPr>
              <w:widowControl/>
              <w:spacing w:line="240" w:lineRule="auto"/>
              <w:jc w:val="center"/>
              <w:rPr>
                <w:rFonts w:ascii="宋体" w:hAnsi="宋体" w:cs="宋体"/>
                <w:kern w:val="0"/>
                <w:sz w:val="15"/>
                <w:szCs w:val="15"/>
              </w:rPr>
            </w:pPr>
            <w:r>
              <w:rPr>
                <w:rFonts w:hint="eastAsia" w:ascii="宋体" w:hAnsi="宋体" w:cs="宋体"/>
                <w:kern w:val="0"/>
                <w:sz w:val="15"/>
                <w:szCs w:val="15"/>
              </w:rPr>
              <w:t>12.5</w:t>
            </w:r>
          </w:p>
        </w:tc>
      </w:tr>
      <w:tr w14:paraId="043C8A8B">
        <w:tblPrEx>
          <w:tblCellMar>
            <w:top w:w="0" w:type="dxa"/>
            <w:left w:w="108" w:type="dxa"/>
            <w:bottom w:w="0" w:type="dxa"/>
            <w:right w:w="108" w:type="dxa"/>
          </w:tblCellMar>
        </w:tblPrEx>
        <w:trPr>
          <w:trHeight w:val="140" w:hRule="atLeast"/>
        </w:trPr>
        <w:tc>
          <w:tcPr>
            <w:tcW w:w="1181" w:type="dxa"/>
            <w:vMerge w:val="continue"/>
            <w:tcBorders>
              <w:left w:val="single" w:color="000000" w:sz="8" w:space="0"/>
              <w:bottom w:val="single" w:color="000000" w:sz="8" w:space="0"/>
              <w:right w:val="single" w:color="000000" w:sz="8" w:space="0"/>
            </w:tcBorders>
            <w:shd w:val="clear" w:color="000000" w:fill="FFFFFF"/>
            <w:vAlign w:val="center"/>
          </w:tcPr>
          <w:p w14:paraId="6031F2EF">
            <w:pPr>
              <w:widowControl/>
              <w:spacing w:line="240" w:lineRule="auto"/>
              <w:jc w:val="center"/>
              <w:rPr>
                <w:rFonts w:ascii="宋体" w:hAnsi="宋体" w:cs="宋体"/>
                <w:kern w:val="0"/>
                <w:sz w:val="15"/>
                <w:szCs w:val="15"/>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7741AB70">
            <w:pPr>
              <w:widowControl/>
              <w:spacing w:line="240" w:lineRule="auto"/>
              <w:jc w:val="left"/>
              <w:rPr>
                <w:rFonts w:ascii="宋体" w:hAnsi="宋体" w:cs="宋体"/>
                <w:kern w:val="0"/>
                <w:sz w:val="15"/>
                <w:szCs w:val="15"/>
              </w:rPr>
            </w:pPr>
          </w:p>
        </w:tc>
        <w:tc>
          <w:tcPr>
            <w:tcW w:w="844" w:type="dxa"/>
            <w:tcBorders>
              <w:top w:val="nil"/>
              <w:left w:val="nil"/>
              <w:bottom w:val="single" w:color="000000" w:sz="8" w:space="0"/>
              <w:right w:val="single" w:color="000000" w:sz="8" w:space="0"/>
            </w:tcBorders>
            <w:shd w:val="clear" w:color="000000" w:fill="FFFFFF"/>
            <w:vAlign w:val="center"/>
          </w:tcPr>
          <w:p w14:paraId="2D5AE81E">
            <w:pPr>
              <w:widowControl/>
              <w:spacing w:line="240" w:lineRule="auto"/>
              <w:jc w:val="center"/>
              <w:rPr>
                <w:rFonts w:ascii="宋体" w:hAnsi="宋体" w:cs="宋体"/>
                <w:kern w:val="0"/>
                <w:sz w:val="15"/>
                <w:szCs w:val="15"/>
              </w:rPr>
            </w:pPr>
            <w:r>
              <w:rPr>
                <w:rFonts w:hint="eastAsia" w:ascii="宋体" w:hAnsi="宋体" w:cs="宋体"/>
                <w:kern w:val="0"/>
                <w:sz w:val="15"/>
                <w:szCs w:val="15"/>
              </w:rPr>
              <w:t>车场线</w:t>
            </w:r>
          </w:p>
        </w:tc>
        <w:tc>
          <w:tcPr>
            <w:tcW w:w="556" w:type="dxa"/>
            <w:tcBorders>
              <w:top w:val="nil"/>
              <w:left w:val="nil"/>
              <w:bottom w:val="single" w:color="000000" w:sz="8" w:space="0"/>
              <w:right w:val="single" w:color="000000" w:sz="8" w:space="0"/>
            </w:tcBorders>
            <w:shd w:val="clear" w:color="000000" w:fill="FFFFFF"/>
            <w:vAlign w:val="center"/>
          </w:tcPr>
          <w:p w14:paraId="13878744">
            <w:pPr>
              <w:widowControl/>
              <w:spacing w:line="240" w:lineRule="auto"/>
              <w:jc w:val="center"/>
              <w:rPr>
                <w:rFonts w:ascii="宋体" w:hAnsi="宋体" w:cs="宋体"/>
                <w:kern w:val="0"/>
                <w:sz w:val="15"/>
                <w:szCs w:val="15"/>
              </w:rPr>
            </w:pPr>
            <w:r>
              <w:rPr>
                <w:rFonts w:hint="eastAsia" w:ascii="宋体" w:hAnsi="宋体" w:cs="宋体"/>
                <w:kern w:val="0"/>
                <w:sz w:val="15"/>
                <w:szCs w:val="15"/>
              </w:rPr>
              <w:t>4.5</w:t>
            </w:r>
          </w:p>
        </w:tc>
        <w:tc>
          <w:tcPr>
            <w:tcW w:w="557" w:type="dxa"/>
            <w:tcBorders>
              <w:top w:val="nil"/>
              <w:left w:val="nil"/>
              <w:bottom w:val="single" w:color="000000" w:sz="8" w:space="0"/>
              <w:right w:val="single" w:color="000000" w:sz="8" w:space="0"/>
            </w:tcBorders>
            <w:shd w:val="clear" w:color="000000" w:fill="FFFFFF"/>
            <w:vAlign w:val="center"/>
          </w:tcPr>
          <w:p w14:paraId="515CF04D">
            <w:pPr>
              <w:widowControl/>
              <w:spacing w:line="240" w:lineRule="auto"/>
              <w:jc w:val="center"/>
              <w:rPr>
                <w:rFonts w:ascii="宋体" w:hAnsi="宋体" w:cs="宋体"/>
                <w:kern w:val="0"/>
                <w:sz w:val="15"/>
                <w:szCs w:val="15"/>
              </w:rPr>
            </w:pPr>
            <w:r>
              <w:rPr>
                <w:rFonts w:hint="eastAsia" w:ascii="宋体" w:hAnsi="宋体" w:cs="宋体"/>
                <w:kern w:val="0"/>
                <w:sz w:val="15"/>
                <w:szCs w:val="15"/>
              </w:rPr>
              <w:t>3</w:t>
            </w:r>
          </w:p>
        </w:tc>
        <w:tc>
          <w:tcPr>
            <w:tcW w:w="556" w:type="dxa"/>
            <w:tcBorders>
              <w:top w:val="nil"/>
              <w:left w:val="nil"/>
              <w:bottom w:val="single" w:color="000000" w:sz="8" w:space="0"/>
              <w:right w:val="single" w:color="000000" w:sz="8" w:space="0"/>
            </w:tcBorders>
            <w:shd w:val="clear" w:color="000000" w:fill="FFFFFF"/>
            <w:vAlign w:val="center"/>
          </w:tcPr>
          <w:p w14:paraId="757BA771">
            <w:pPr>
              <w:widowControl/>
              <w:spacing w:line="240" w:lineRule="auto"/>
              <w:jc w:val="center"/>
              <w:rPr>
                <w:rFonts w:ascii="宋体" w:hAnsi="宋体" w:cs="宋体"/>
                <w:kern w:val="0"/>
                <w:sz w:val="15"/>
                <w:szCs w:val="15"/>
              </w:rPr>
            </w:pPr>
            <w:r>
              <w:rPr>
                <w:rFonts w:hint="eastAsia" w:ascii="宋体" w:hAnsi="宋体" w:cs="宋体"/>
                <w:kern w:val="0"/>
                <w:sz w:val="15"/>
                <w:szCs w:val="15"/>
              </w:rPr>
              <w:t>-</w:t>
            </w:r>
          </w:p>
        </w:tc>
        <w:tc>
          <w:tcPr>
            <w:tcW w:w="557" w:type="dxa"/>
            <w:tcBorders>
              <w:top w:val="nil"/>
              <w:left w:val="nil"/>
              <w:bottom w:val="single" w:color="000000" w:sz="8" w:space="0"/>
              <w:right w:val="single" w:color="000000" w:sz="8" w:space="0"/>
            </w:tcBorders>
            <w:shd w:val="clear" w:color="000000" w:fill="FFFFFF"/>
            <w:vAlign w:val="center"/>
          </w:tcPr>
          <w:p w14:paraId="23D3825A">
            <w:pPr>
              <w:widowControl/>
              <w:spacing w:line="240" w:lineRule="auto"/>
              <w:jc w:val="center"/>
              <w:rPr>
                <w:rFonts w:ascii="宋体" w:hAnsi="宋体" w:cs="宋体"/>
                <w:kern w:val="0"/>
                <w:sz w:val="15"/>
                <w:szCs w:val="15"/>
              </w:rPr>
            </w:pPr>
            <w:r>
              <w:rPr>
                <w:rFonts w:hint="eastAsia" w:ascii="宋体" w:hAnsi="宋体" w:cs="宋体"/>
                <w:kern w:val="0"/>
                <w:sz w:val="15"/>
                <w:szCs w:val="15"/>
              </w:rPr>
              <w:t>-</w:t>
            </w:r>
          </w:p>
        </w:tc>
      </w:tr>
      <w:tr w14:paraId="1E75598A">
        <w:tblPrEx>
          <w:tblCellMar>
            <w:top w:w="0" w:type="dxa"/>
            <w:left w:w="108" w:type="dxa"/>
            <w:bottom w:w="0" w:type="dxa"/>
            <w:right w:w="108" w:type="dxa"/>
          </w:tblCellMar>
        </w:tblPrEx>
        <w:trPr>
          <w:trHeight w:val="276" w:hRule="atLeast"/>
        </w:trPr>
        <w:tc>
          <w:tcPr>
            <w:tcW w:w="1181" w:type="dxa"/>
            <w:vMerge w:val="restart"/>
            <w:tcBorders>
              <w:top w:val="nil"/>
              <w:left w:val="single" w:color="000000" w:sz="8" w:space="0"/>
              <w:right w:val="single" w:color="000000" w:sz="8" w:space="0"/>
            </w:tcBorders>
            <w:shd w:val="clear" w:color="000000" w:fill="FFFFFF"/>
            <w:vAlign w:val="center"/>
          </w:tcPr>
          <w:p w14:paraId="219BB3CA">
            <w:pPr>
              <w:widowControl/>
              <w:spacing w:line="240" w:lineRule="auto"/>
              <w:jc w:val="center"/>
              <w:rPr>
                <w:rFonts w:ascii="宋体" w:hAnsi="宋体" w:cs="宋体"/>
                <w:kern w:val="0"/>
                <w:sz w:val="15"/>
                <w:szCs w:val="15"/>
              </w:rPr>
            </w:pPr>
            <w:r>
              <w:rPr>
                <w:rFonts w:hint="eastAsia" w:ascii="宋体" w:hAnsi="宋体" w:cs="宋体"/>
                <w:kern w:val="0"/>
                <w:sz w:val="15"/>
                <w:szCs w:val="15"/>
              </w:rPr>
              <w:t>两组道岔根端</w:t>
            </w:r>
          </w:p>
          <w:p w14:paraId="6D4D162F">
            <w:pPr>
              <w:spacing w:line="240" w:lineRule="auto"/>
              <w:jc w:val="center"/>
              <w:rPr>
                <w:rFonts w:ascii="宋体" w:hAnsi="宋体" w:cs="宋体"/>
                <w:kern w:val="0"/>
                <w:sz w:val="15"/>
                <w:szCs w:val="15"/>
              </w:rPr>
            </w:pPr>
            <w:r>
              <w:rPr>
                <w:rFonts w:hint="eastAsia" w:ascii="宋体" w:hAnsi="宋体" w:cs="宋体"/>
                <w:kern w:val="0"/>
                <w:sz w:val="15"/>
                <w:szCs w:val="15"/>
              </w:rPr>
              <w:t>对向布置</w:t>
            </w:r>
          </w:p>
        </w:tc>
        <w:tc>
          <w:tcPr>
            <w:tcW w:w="2086" w:type="dxa"/>
            <w:vMerge w:val="restart"/>
            <w:tcBorders>
              <w:top w:val="nil"/>
              <w:left w:val="single" w:color="000000" w:sz="8" w:space="0"/>
              <w:bottom w:val="single" w:color="000000" w:sz="8" w:space="0"/>
              <w:right w:val="single" w:color="000000" w:sz="8" w:space="0"/>
            </w:tcBorders>
            <w:shd w:val="clear" w:color="000000" w:fill="FFFFFF"/>
          </w:tcPr>
          <w:p w14:paraId="4159060E">
            <w:pPr>
              <w:widowControl/>
              <w:spacing w:line="240" w:lineRule="auto"/>
              <w:jc w:val="center"/>
              <w:rPr>
                <w:rFonts w:ascii="宋体" w:hAnsi="宋体" w:cs="宋体"/>
                <w:kern w:val="0"/>
                <w:sz w:val="15"/>
                <w:szCs w:val="15"/>
              </w:rPr>
            </w:pPr>
            <w:r>
              <w:rPr>
                <w:rFonts w:ascii="宋体" w:hAnsi="宋体"/>
                <w:sz w:val="15"/>
                <w:szCs w:val="15"/>
              </w:rPr>
              <w:drawing>
                <wp:inline distT="0" distB="0" distL="0" distR="0">
                  <wp:extent cx="1153795" cy="309245"/>
                  <wp:effectExtent l="0" t="0" r="825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153795" cy="309245"/>
                          </a:xfrm>
                          <a:prstGeom prst="rect">
                            <a:avLst/>
                          </a:prstGeom>
                          <a:noFill/>
                          <a:ln>
                            <a:noFill/>
                          </a:ln>
                        </pic:spPr>
                      </pic:pic>
                    </a:graphicData>
                  </a:graphic>
                </wp:inline>
              </w:drawing>
            </w:r>
          </w:p>
        </w:tc>
        <w:tc>
          <w:tcPr>
            <w:tcW w:w="844" w:type="dxa"/>
            <w:tcBorders>
              <w:top w:val="nil"/>
              <w:left w:val="nil"/>
              <w:bottom w:val="single" w:color="000000" w:sz="8" w:space="0"/>
              <w:right w:val="single" w:color="000000" w:sz="8" w:space="0"/>
            </w:tcBorders>
            <w:shd w:val="clear" w:color="000000" w:fill="FFFFFF"/>
            <w:vAlign w:val="center"/>
          </w:tcPr>
          <w:p w14:paraId="0F4A2007">
            <w:pPr>
              <w:widowControl/>
              <w:spacing w:line="240" w:lineRule="auto"/>
              <w:jc w:val="center"/>
              <w:rPr>
                <w:rFonts w:ascii="宋体" w:hAnsi="宋体" w:cs="宋体"/>
                <w:kern w:val="0"/>
                <w:sz w:val="15"/>
                <w:szCs w:val="15"/>
              </w:rPr>
            </w:pPr>
            <w:r>
              <w:rPr>
                <w:rFonts w:hint="eastAsia" w:ascii="宋体" w:hAnsi="宋体" w:cs="宋体"/>
                <w:kern w:val="0"/>
                <w:sz w:val="15"/>
                <w:szCs w:val="15"/>
              </w:rPr>
              <w:t>正、配线</w:t>
            </w:r>
          </w:p>
        </w:tc>
        <w:tc>
          <w:tcPr>
            <w:tcW w:w="556" w:type="dxa"/>
            <w:tcBorders>
              <w:top w:val="nil"/>
              <w:left w:val="nil"/>
              <w:bottom w:val="single" w:color="000000" w:sz="8" w:space="0"/>
              <w:right w:val="single" w:color="000000" w:sz="8" w:space="0"/>
            </w:tcBorders>
            <w:shd w:val="clear" w:color="000000" w:fill="FFFFFF"/>
            <w:vAlign w:val="center"/>
          </w:tcPr>
          <w:p w14:paraId="29BB7753">
            <w:pPr>
              <w:widowControl/>
              <w:spacing w:line="240" w:lineRule="auto"/>
              <w:jc w:val="center"/>
              <w:rPr>
                <w:rFonts w:ascii="宋体" w:hAnsi="宋体" w:cs="宋体"/>
                <w:kern w:val="0"/>
                <w:sz w:val="15"/>
                <w:szCs w:val="15"/>
              </w:rPr>
            </w:pPr>
            <w:r>
              <w:rPr>
                <w:rFonts w:hint="eastAsia" w:ascii="宋体" w:hAnsi="宋体" w:cs="宋体"/>
                <w:kern w:val="0"/>
                <w:sz w:val="15"/>
                <w:szCs w:val="15"/>
              </w:rPr>
              <w:t>6.25</w:t>
            </w:r>
          </w:p>
        </w:tc>
        <w:tc>
          <w:tcPr>
            <w:tcW w:w="557" w:type="dxa"/>
            <w:tcBorders>
              <w:top w:val="nil"/>
              <w:left w:val="nil"/>
              <w:bottom w:val="single" w:color="000000" w:sz="8" w:space="0"/>
              <w:right w:val="single" w:color="000000" w:sz="8" w:space="0"/>
            </w:tcBorders>
            <w:shd w:val="clear" w:color="000000" w:fill="FFFFFF"/>
            <w:vAlign w:val="center"/>
          </w:tcPr>
          <w:p w14:paraId="17DD6945">
            <w:pPr>
              <w:widowControl/>
              <w:spacing w:line="240" w:lineRule="auto"/>
              <w:jc w:val="center"/>
              <w:rPr>
                <w:rFonts w:ascii="宋体" w:hAnsi="宋体" w:cs="宋体"/>
                <w:kern w:val="0"/>
                <w:sz w:val="15"/>
                <w:szCs w:val="15"/>
              </w:rPr>
            </w:pPr>
            <w:r>
              <w:rPr>
                <w:rFonts w:hint="eastAsia" w:ascii="宋体" w:hAnsi="宋体" w:cs="宋体"/>
                <w:kern w:val="0"/>
                <w:sz w:val="15"/>
                <w:szCs w:val="15"/>
              </w:rPr>
              <w:t>4.5</w:t>
            </w:r>
          </w:p>
        </w:tc>
        <w:tc>
          <w:tcPr>
            <w:tcW w:w="556" w:type="dxa"/>
            <w:tcBorders>
              <w:top w:val="nil"/>
              <w:left w:val="nil"/>
              <w:bottom w:val="single" w:color="000000" w:sz="8" w:space="0"/>
              <w:right w:val="single" w:color="000000" w:sz="8" w:space="0"/>
            </w:tcBorders>
            <w:shd w:val="clear" w:color="000000" w:fill="FFFFFF"/>
            <w:vAlign w:val="center"/>
          </w:tcPr>
          <w:p w14:paraId="241C45CC">
            <w:pPr>
              <w:widowControl/>
              <w:spacing w:line="240" w:lineRule="auto"/>
              <w:jc w:val="center"/>
              <w:rPr>
                <w:rFonts w:ascii="宋体" w:hAnsi="宋体" w:cs="宋体"/>
                <w:kern w:val="0"/>
                <w:sz w:val="15"/>
                <w:szCs w:val="15"/>
              </w:rPr>
            </w:pPr>
            <w:r>
              <w:rPr>
                <w:rFonts w:hint="eastAsia" w:ascii="宋体" w:hAnsi="宋体" w:cs="宋体"/>
                <w:kern w:val="0"/>
                <w:sz w:val="15"/>
                <w:szCs w:val="15"/>
              </w:rPr>
              <w:t>12.5</w:t>
            </w:r>
          </w:p>
        </w:tc>
        <w:tc>
          <w:tcPr>
            <w:tcW w:w="557" w:type="dxa"/>
            <w:tcBorders>
              <w:top w:val="nil"/>
              <w:left w:val="nil"/>
              <w:bottom w:val="single" w:color="000000" w:sz="8" w:space="0"/>
              <w:right w:val="single" w:color="000000" w:sz="8" w:space="0"/>
            </w:tcBorders>
            <w:shd w:val="clear" w:color="000000" w:fill="FFFFFF"/>
            <w:vAlign w:val="center"/>
          </w:tcPr>
          <w:p w14:paraId="6BAE72C1">
            <w:pPr>
              <w:widowControl/>
              <w:spacing w:line="240" w:lineRule="auto"/>
              <w:jc w:val="center"/>
              <w:rPr>
                <w:rFonts w:ascii="宋体" w:hAnsi="宋体" w:cs="宋体"/>
                <w:kern w:val="0"/>
                <w:sz w:val="15"/>
                <w:szCs w:val="15"/>
              </w:rPr>
            </w:pPr>
            <w:r>
              <w:rPr>
                <w:rFonts w:hint="eastAsia" w:ascii="宋体" w:hAnsi="宋体" w:cs="宋体"/>
                <w:kern w:val="0"/>
                <w:sz w:val="15"/>
                <w:szCs w:val="15"/>
              </w:rPr>
              <w:t>12.5</w:t>
            </w:r>
          </w:p>
        </w:tc>
      </w:tr>
      <w:tr w14:paraId="158D5885">
        <w:tblPrEx>
          <w:tblCellMar>
            <w:top w:w="0" w:type="dxa"/>
            <w:left w:w="108" w:type="dxa"/>
            <w:bottom w:w="0" w:type="dxa"/>
            <w:right w:w="108" w:type="dxa"/>
          </w:tblCellMar>
        </w:tblPrEx>
        <w:trPr>
          <w:trHeight w:val="140" w:hRule="atLeast"/>
        </w:trPr>
        <w:tc>
          <w:tcPr>
            <w:tcW w:w="1181" w:type="dxa"/>
            <w:vMerge w:val="continue"/>
            <w:tcBorders>
              <w:left w:val="single" w:color="000000" w:sz="8" w:space="0"/>
              <w:bottom w:val="single" w:color="000000" w:sz="8" w:space="0"/>
              <w:right w:val="single" w:color="000000" w:sz="8" w:space="0"/>
            </w:tcBorders>
            <w:shd w:val="clear" w:color="000000" w:fill="FFFFFF"/>
            <w:vAlign w:val="center"/>
          </w:tcPr>
          <w:p w14:paraId="16F8CDB0">
            <w:pPr>
              <w:widowControl/>
              <w:spacing w:line="240" w:lineRule="auto"/>
              <w:jc w:val="center"/>
              <w:rPr>
                <w:rFonts w:ascii="宋体" w:hAnsi="宋体" w:cs="宋体"/>
                <w:kern w:val="0"/>
                <w:sz w:val="15"/>
                <w:szCs w:val="15"/>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61F7A882">
            <w:pPr>
              <w:widowControl/>
              <w:spacing w:line="240" w:lineRule="auto"/>
              <w:jc w:val="left"/>
              <w:rPr>
                <w:rFonts w:ascii="宋体" w:hAnsi="宋体" w:cs="宋体"/>
                <w:kern w:val="0"/>
                <w:sz w:val="15"/>
                <w:szCs w:val="15"/>
              </w:rPr>
            </w:pPr>
          </w:p>
        </w:tc>
        <w:tc>
          <w:tcPr>
            <w:tcW w:w="844" w:type="dxa"/>
            <w:tcBorders>
              <w:top w:val="nil"/>
              <w:left w:val="nil"/>
              <w:bottom w:val="single" w:color="000000" w:sz="8" w:space="0"/>
              <w:right w:val="single" w:color="000000" w:sz="8" w:space="0"/>
            </w:tcBorders>
            <w:shd w:val="clear" w:color="000000" w:fill="FFFFFF"/>
            <w:vAlign w:val="center"/>
          </w:tcPr>
          <w:p w14:paraId="75087FAE">
            <w:pPr>
              <w:widowControl/>
              <w:spacing w:line="240" w:lineRule="auto"/>
              <w:jc w:val="center"/>
              <w:rPr>
                <w:rFonts w:ascii="宋体" w:hAnsi="宋体" w:cs="宋体"/>
                <w:kern w:val="0"/>
                <w:sz w:val="15"/>
                <w:szCs w:val="15"/>
              </w:rPr>
            </w:pPr>
            <w:r>
              <w:rPr>
                <w:rFonts w:hint="eastAsia" w:ascii="宋体" w:hAnsi="宋体" w:cs="宋体"/>
                <w:kern w:val="0"/>
                <w:sz w:val="15"/>
                <w:szCs w:val="15"/>
              </w:rPr>
              <w:t>车场线</w:t>
            </w:r>
          </w:p>
        </w:tc>
        <w:tc>
          <w:tcPr>
            <w:tcW w:w="556" w:type="dxa"/>
            <w:tcBorders>
              <w:top w:val="nil"/>
              <w:left w:val="nil"/>
              <w:bottom w:val="single" w:color="000000" w:sz="8" w:space="0"/>
              <w:right w:val="single" w:color="000000" w:sz="8" w:space="0"/>
            </w:tcBorders>
            <w:shd w:val="clear" w:color="000000" w:fill="FFFFFF"/>
            <w:vAlign w:val="center"/>
          </w:tcPr>
          <w:p w14:paraId="62172B19">
            <w:pPr>
              <w:widowControl/>
              <w:spacing w:line="240" w:lineRule="auto"/>
              <w:jc w:val="center"/>
              <w:rPr>
                <w:rFonts w:ascii="宋体" w:hAnsi="宋体" w:cs="宋体"/>
                <w:kern w:val="0"/>
                <w:sz w:val="15"/>
                <w:szCs w:val="15"/>
              </w:rPr>
            </w:pPr>
            <w:r>
              <w:rPr>
                <w:rFonts w:hint="eastAsia" w:ascii="宋体" w:hAnsi="宋体" w:cs="宋体"/>
                <w:kern w:val="0"/>
                <w:sz w:val="15"/>
                <w:szCs w:val="15"/>
              </w:rPr>
              <w:t>4.5</w:t>
            </w:r>
          </w:p>
        </w:tc>
        <w:tc>
          <w:tcPr>
            <w:tcW w:w="557" w:type="dxa"/>
            <w:tcBorders>
              <w:top w:val="nil"/>
              <w:left w:val="nil"/>
              <w:bottom w:val="single" w:color="000000" w:sz="8" w:space="0"/>
              <w:right w:val="single" w:color="000000" w:sz="8" w:space="0"/>
            </w:tcBorders>
            <w:shd w:val="clear" w:color="000000" w:fill="FFFFFF"/>
            <w:vAlign w:val="center"/>
          </w:tcPr>
          <w:p w14:paraId="2DDD45B6">
            <w:pPr>
              <w:widowControl/>
              <w:spacing w:line="240" w:lineRule="auto"/>
              <w:jc w:val="center"/>
              <w:rPr>
                <w:rFonts w:ascii="宋体" w:hAnsi="宋体" w:cs="宋体"/>
                <w:kern w:val="0"/>
                <w:sz w:val="15"/>
                <w:szCs w:val="15"/>
              </w:rPr>
            </w:pPr>
            <w:r>
              <w:rPr>
                <w:rFonts w:hint="eastAsia" w:ascii="宋体" w:hAnsi="宋体" w:cs="宋体"/>
                <w:kern w:val="0"/>
                <w:sz w:val="15"/>
                <w:szCs w:val="15"/>
              </w:rPr>
              <w:t>3</w:t>
            </w:r>
          </w:p>
        </w:tc>
        <w:tc>
          <w:tcPr>
            <w:tcW w:w="556" w:type="dxa"/>
            <w:tcBorders>
              <w:top w:val="nil"/>
              <w:left w:val="nil"/>
              <w:bottom w:val="single" w:color="000000" w:sz="8" w:space="0"/>
              <w:right w:val="single" w:color="000000" w:sz="8" w:space="0"/>
            </w:tcBorders>
            <w:shd w:val="clear" w:color="000000" w:fill="FFFFFF"/>
            <w:vAlign w:val="center"/>
          </w:tcPr>
          <w:p w14:paraId="1CC8129D">
            <w:pPr>
              <w:widowControl/>
              <w:spacing w:line="240" w:lineRule="auto"/>
              <w:jc w:val="center"/>
              <w:rPr>
                <w:rFonts w:ascii="宋体" w:hAnsi="宋体" w:cs="宋体"/>
                <w:kern w:val="0"/>
                <w:sz w:val="15"/>
                <w:szCs w:val="15"/>
              </w:rPr>
            </w:pPr>
            <w:r>
              <w:rPr>
                <w:rFonts w:hint="eastAsia" w:ascii="宋体" w:hAnsi="宋体" w:cs="宋体"/>
                <w:kern w:val="0"/>
                <w:sz w:val="15"/>
                <w:szCs w:val="15"/>
              </w:rPr>
              <w:t>-</w:t>
            </w:r>
          </w:p>
        </w:tc>
        <w:tc>
          <w:tcPr>
            <w:tcW w:w="557" w:type="dxa"/>
            <w:tcBorders>
              <w:top w:val="nil"/>
              <w:left w:val="nil"/>
              <w:bottom w:val="single" w:color="000000" w:sz="8" w:space="0"/>
              <w:right w:val="single" w:color="000000" w:sz="8" w:space="0"/>
            </w:tcBorders>
            <w:shd w:val="clear" w:color="000000" w:fill="FFFFFF"/>
            <w:vAlign w:val="center"/>
          </w:tcPr>
          <w:p w14:paraId="427ECD0E">
            <w:pPr>
              <w:widowControl/>
              <w:spacing w:line="240" w:lineRule="auto"/>
              <w:jc w:val="center"/>
              <w:rPr>
                <w:rFonts w:ascii="宋体" w:hAnsi="宋体" w:cs="宋体"/>
                <w:kern w:val="0"/>
                <w:sz w:val="15"/>
                <w:szCs w:val="15"/>
              </w:rPr>
            </w:pPr>
            <w:r>
              <w:rPr>
                <w:rFonts w:hint="eastAsia" w:ascii="宋体" w:hAnsi="宋体" w:cs="宋体"/>
                <w:kern w:val="0"/>
                <w:sz w:val="15"/>
                <w:szCs w:val="15"/>
              </w:rPr>
              <w:t>-</w:t>
            </w:r>
          </w:p>
        </w:tc>
      </w:tr>
    </w:tbl>
    <w:p w14:paraId="6A89B643">
      <w:pPr>
        <w:pStyle w:val="5"/>
      </w:pPr>
      <w:r>
        <w:t>正线平面其他规定：</w:t>
      </w:r>
    </w:p>
    <w:p w14:paraId="40222146">
      <w:pPr>
        <w:pStyle w:val="7"/>
        <w:ind w:firstLine="420"/>
      </w:pPr>
      <w:r>
        <w:rPr>
          <w:rFonts w:hint="eastAsia"/>
        </w:rPr>
        <w:t>线路平面设计应对平面曲线左偏和右偏情况进行统计分析，两者相差较大的线路，宜设置车辆掉头线或回转线；</w:t>
      </w:r>
    </w:p>
    <w:p w14:paraId="78635AB6">
      <w:pPr>
        <w:pStyle w:val="7"/>
        <w:ind w:firstLine="420"/>
      </w:pPr>
      <w:r>
        <w:rPr>
          <w:rFonts w:hint="eastAsia"/>
        </w:rPr>
        <w:t>采用快慢车运行的线路，越行站线路条件及其配线，应适应快车越行过站速度及慢车停站的需要，并应注意控制越行站规模。</w:t>
      </w:r>
    </w:p>
    <w:p w14:paraId="169BE19E">
      <w:pPr>
        <w:numPr>
          <w:ilvl w:val="1"/>
          <w:numId w:val="1"/>
        </w:numPr>
        <w:tabs>
          <w:tab w:val="left" w:pos="794"/>
        </w:tabs>
        <w:snapToGrid w:val="0"/>
        <w:spacing w:before="156" w:after="156" w:line="240" w:lineRule="auto"/>
        <w:jc w:val="center"/>
        <w:outlineLvl w:val="1"/>
        <w:rPr>
          <w:rFonts w:eastAsia="黑体"/>
          <w:bCs/>
          <w:szCs w:val="28"/>
        </w:rPr>
      </w:pPr>
      <w:bookmarkStart w:id="283" w:name="_Toc183888116"/>
      <w:bookmarkStart w:id="284" w:name="_Toc183888478"/>
      <w:bookmarkStart w:id="285" w:name="_Toc183765073"/>
      <w:bookmarkStart w:id="286" w:name="_Toc183790503"/>
      <w:bookmarkStart w:id="287" w:name="_Toc183882426"/>
      <w:bookmarkStart w:id="288" w:name="_Toc183882064"/>
      <w:r>
        <w:rPr>
          <w:rFonts w:eastAsia="黑体"/>
          <w:bCs/>
          <w:szCs w:val="28"/>
        </w:rPr>
        <w:t>线路纵断面</w:t>
      </w:r>
      <w:bookmarkEnd w:id="283"/>
      <w:bookmarkEnd w:id="284"/>
      <w:bookmarkEnd w:id="285"/>
      <w:bookmarkEnd w:id="286"/>
      <w:bookmarkEnd w:id="287"/>
      <w:bookmarkEnd w:id="288"/>
    </w:p>
    <w:p w14:paraId="752B3AA5">
      <w:pPr>
        <w:pStyle w:val="5"/>
      </w:pPr>
      <w:r>
        <w:t>线路坡度设计应符合下列规定：</w:t>
      </w:r>
    </w:p>
    <w:p w14:paraId="1675BA63">
      <w:pPr>
        <w:pStyle w:val="7"/>
        <w:ind w:firstLine="420"/>
      </w:pPr>
      <w:r>
        <w:t>正线的最大坡度不宜大于30‰，困难地段最大坡度可采用35‰，联络线、出入段线的最大坡度</w:t>
      </w:r>
      <w:r>
        <w:rPr>
          <w:rFonts w:hint="eastAsia"/>
        </w:rPr>
        <w:t>不宜超过35</w:t>
      </w:r>
      <w:r>
        <w:t>‰</w:t>
      </w:r>
      <w:r>
        <w:rPr>
          <w:rFonts w:hint="eastAsia"/>
        </w:rPr>
        <w:t>，困难地段不</w:t>
      </w:r>
      <w:r>
        <w:t>宜</w:t>
      </w:r>
      <w:r>
        <w:rPr>
          <w:rFonts w:hint="eastAsia"/>
        </w:rPr>
        <w:t>超过</w:t>
      </w:r>
      <w:r>
        <w:t>40‰；</w:t>
      </w:r>
    </w:p>
    <w:p w14:paraId="3D7C37EA">
      <w:pPr>
        <w:pStyle w:val="7"/>
        <w:ind w:firstLine="420"/>
      </w:pPr>
      <w:r>
        <w:rPr>
          <w:rFonts w:hint="eastAsia"/>
        </w:rPr>
        <w:t>区间隧道的线路最小坡度不宜小于</w:t>
      </w:r>
      <w:r>
        <w:t>5‰</w:t>
      </w:r>
      <w:r>
        <w:rPr>
          <w:rFonts w:hint="eastAsia"/>
        </w:rPr>
        <w:t>，困难情况下可采用</w:t>
      </w:r>
      <w:r>
        <w:t>2‰</w:t>
      </w:r>
      <w:r>
        <w:rPr>
          <w:rFonts w:hint="eastAsia"/>
        </w:rPr>
        <w:t>；当具有有效排水措施时，可采用平坡。</w:t>
      </w:r>
    </w:p>
    <w:p w14:paraId="6179DE94">
      <w:pPr>
        <w:pStyle w:val="7"/>
        <w:ind w:firstLine="420"/>
      </w:pPr>
      <w:r>
        <w:rPr>
          <w:rFonts w:hint="eastAsia"/>
        </w:rPr>
        <w:t>结合周边相临现状、规划道路高程和环境景观要求，当地面线进入地下时，有条件情况下线路宜设置反坡，且轨面最高点设计高程尽量不低于1/</w:t>
      </w:r>
      <w:r>
        <w:t>100</w:t>
      </w:r>
      <w:r>
        <w:rPr>
          <w:rFonts w:hint="eastAsia"/>
        </w:rPr>
        <w:t>洪水频率标准的潮水位、波浪爬高值和安全高之和。</w:t>
      </w:r>
    </w:p>
    <w:p w14:paraId="1B5CB40D">
      <w:pPr>
        <w:pStyle w:val="5"/>
      </w:pPr>
      <w:r>
        <w:t>车站及其配线坡度设计应符合下列规定：</w:t>
      </w:r>
    </w:p>
    <w:p w14:paraId="4E7419DC">
      <w:pPr>
        <w:pStyle w:val="7"/>
        <w:ind w:firstLine="420"/>
      </w:pPr>
      <w:r>
        <w:rPr>
          <w:rFonts w:hint="eastAsia"/>
        </w:rPr>
        <w:t>地下</w:t>
      </w:r>
      <w:r>
        <w:t>车站宜布置在纵断面的凸型部位上，</w:t>
      </w:r>
      <w:r>
        <w:rPr>
          <w:rFonts w:hint="eastAsia"/>
        </w:rPr>
        <w:t>应</w:t>
      </w:r>
      <w:r>
        <w:t>根据具体条件，按节能坡理念，设计合理的进出站坡度和坡段长度</w:t>
      </w:r>
      <w:r>
        <w:rPr>
          <w:rFonts w:hint="eastAsia"/>
        </w:rPr>
        <w:t>。</w:t>
      </w:r>
    </w:p>
    <w:p w14:paraId="5710DD2B">
      <w:pPr>
        <w:pStyle w:val="7"/>
        <w:ind w:firstLine="416"/>
      </w:pPr>
      <w:r>
        <w:rPr>
          <w:spacing w:val="-1"/>
        </w:rPr>
        <w:t>地下车站站</w:t>
      </w:r>
      <w:r>
        <w:t>台范围内</w:t>
      </w:r>
      <w:r>
        <w:rPr>
          <w:rFonts w:hint="eastAsia"/>
        </w:rPr>
        <w:t>的</w:t>
      </w:r>
      <w:r>
        <w:t>线路应设在一个坡道上，坡度宜采用</w:t>
      </w:r>
      <w:r>
        <w:rPr>
          <w:rFonts w:eastAsia="Times New Roman"/>
        </w:rPr>
        <w:t>2</w:t>
      </w:r>
      <w:r>
        <w:t>‰，在困难地段车站可设在不大于</w:t>
      </w:r>
      <w:r>
        <w:rPr>
          <w:rFonts w:eastAsia="Times New Roman"/>
        </w:rPr>
        <w:t>3</w:t>
      </w:r>
      <w:r>
        <w:t>‰的坡道上，当采取</w:t>
      </w:r>
      <w:r>
        <w:rPr>
          <w:spacing w:val="5"/>
        </w:rPr>
        <w:t>有</w:t>
      </w:r>
      <w:r>
        <w:t xml:space="preserve">效排水措施时，可采用平坡； </w:t>
      </w:r>
    </w:p>
    <w:p w14:paraId="3D01A911">
      <w:pPr>
        <w:pStyle w:val="7"/>
        <w:ind w:firstLine="420"/>
      </w:pPr>
      <w:r>
        <w:t>地面及高架车站站台范围内线路坡度宜采用平坡；</w:t>
      </w:r>
    </w:p>
    <w:p w14:paraId="03BFC0FA">
      <w:pPr>
        <w:pStyle w:val="7"/>
        <w:ind w:firstLine="416"/>
      </w:pPr>
      <w:r>
        <w:rPr>
          <w:spacing w:val="-1"/>
        </w:rPr>
        <w:t>停车线应布</w:t>
      </w:r>
      <w:r>
        <w:t>置在面向车挡或区间的下坡道上，隧道内的坡度宜为</w:t>
      </w:r>
      <w:r>
        <w:rPr>
          <w:rFonts w:eastAsia="Times New Roman"/>
        </w:rPr>
        <w:t>2</w:t>
      </w:r>
      <w:r>
        <w:t>‰，地面和高架桥上坡度不宜</w:t>
      </w:r>
      <w:r>
        <w:rPr>
          <w:spacing w:val="-10"/>
        </w:rPr>
        <w:t>大</w:t>
      </w:r>
      <w:r>
        <w:rPr>
          <w:spacing w:val="-6"/>
        </w:rPr>
        <w:t>于</w:t>
      </w:r>
      <w:r>
        <w:rPr>
          <w:rFonts w:eastAsia="Times New Roman"/>
          <w:spacing w:val="-6"/>
        </w:rPr>
        <w:t>1.5</w:t>
      </w:r>
      <w:r>
        <w:rPr>
          <w:spacing w:val="-6"/>
        </w:rPr>
        <w:t>‰；</w:t>
      </w:r>
    </w:p>
    <w:p w14:paraId="6E5AFB74">
      <w:pPr>
        <w:pStyle w:val="7"/>
        <w:ind w:firstLine="420"/>
      </w:pPr>
      <w:r>
        <w:t>整体道床道岔宜设在不大于</w:t>
      </w:r>
      <w:r>
        <w:rPr>
          <w:rFonts w:eastAsia="Times New Roman"/>
        </w:rPr>
        <w:t>5</w:t>
      </w:r>
      <w:r>
        <w:t>‰的坡道上，在困难地段可设在不大于</w:t>
      </w:r>
      <w:r>
        <w:rPr>
          <w:rFonts w:eastAsia="Times New Roman"/>
        </w:rPr>
        <w:t>10</w:t>
      </w:r>
      <w:r>
        <w:t>‰的坡道上；碎石道</w:t>
      </w:r>
      <w:r>
        <w:rPr>
          <w:spacing w:val="2"/>
        </w:rPr>
        <w:t>床</w:t>
      </w:r>
      <w:r>
        <w:rPr>
          <w:spacing w:val="1"/>
        </w:rPr>
        <w:t>道岔坡度不</w:t>
      </w:r>
      <w:r>
        <w:t>宜大于</w:t>
      </w:r>
      <w:r>
        <w:rPr>
          <w:rFonts w:eastAsia="Times New Roman"/>
        </w:rPr>
        <w:t>1.5</w:t>
      </w:r>
      <w:r>
        <w:t>‰。</w:t>
      </w:r>
    </w:p>
    <w:p w14:paraId="336D79AB">
      <w:pPr>
        <w:pStyle w:val="5"/>
      </w:pPr>
      <w:r>
        <w:t>坡段与竖曲线设计应符合下列规定：</w:t>
      </w:r>
      <w:r>
        <w:rPr>
          <w:rFonts w:hint="eastAsia"/>
        </w:rPr>
        <w:t xml:space="preserve"> </w:t>
      </w:r>
    </w:p>
    <w:p w14:paraId="09E15796">
      <w:pPr>
        <w:pStyle w:val="7"/>
        <w:ind w:firstLine="452"/>
      </w:pPr>
      <w:r>
        <w:rPr>
          <w:spacing w:val="8"/>
        </w:rPr>
        <w:t>线路</w:t>
      </w:r>
      <w:r>
        <w:rPr>
          <w:spacing w:val="6"/>
        </w:rPr>
        <w:t>坡</w:t>
      </w:r>
      <w:r>
        <w:t>段长度不宜小于远期列车长度，并应满足相邻竖曲线间的夹直线长度不小于</w:t>
      </w:r>
      <w:r>
        <w:rPr>
          <w:rFonts w:eastAsia="Times New Roman"/>
        </w:rPr>
        <w:t>50m</w:t>
      </w:r>
      <w:r>
        <w:t>；</w:t>
      </w:r>
    </w:p>
    <w:p w14:paraId="24E9CD64">
      <w:pPr>
        <w:pStyle w:val="7"/>
        <w:ind w:firstLine="420"/>
      </w:pPr>
      <w:r>
        <w:t>两相邻坡段的坡度代数差等于或大于</w:t>
      </w:r>
      <w:r>
        <w:rPr>
          <w:rFonts w:eastAsia="Times New Roman"/>
        </w:rPr>
        <w:t>2</w:t>
      </w:r>
      <w:r>
        <w:t>‰时，应设圆曲线型的竖曲线连接，竖曲线的半径</w:t>
      </w:r>
      <w:r>
        <w:rPr>
          <w:spacing w:val="1"/>
        </w:rPr>
        <w:t>不</w:t>
      </w:r>
      <w:r>
        <w:t>宜小</w:t>
      </w:r>
      <w:r>
        <w:rPr>
          <w:spacing w:val="-2"/>
        </w:rPr>
        <w:t>于表7</w:t>
      </w:r>
      <w:r>
        <w:rPr>
          <w:rFonts w:eastAsia="Times New Roman"/>
          <w:spacing w:val="-2"/>
        </w:rPr>
        <w:t>.3.</w:t>
      </w:r>
      <w:r>
        <w:rPr>
          <w:rFonts w:eastAsia="Times New Roman"/>
          <w:spacing w:val="-1"/>
        </w:rPr>
        <w:t>3</w:t>
      </w:r>
      <w:r>
        <w:rPr>
          <w:spacing w:val="-1"/>
        </w:rPr>
        <w:t>的规定。</w:t>
      </w:r>
    </w:p>
    <w:p w14:paraId="38793C23">
      <w:pPr>
        <w:adjustRightInd w:val="0"/>
        <w:snapToGrid w:val="0"/>
        <w:ind w:firstLine="400"/>
        <w:jc w:val="center"/>
        <w:rPr>
          <w:rFonts w:eastAsia="黑体" w:cs="黑体"/>
          <w:sz w:val="18"/>
          <w:szCs w:val="18"/>
        </w:rPr>
      </w:pPr>
      <w:r>
        <w:rPr>
          <w:rFonts w:eastAsia="黑体" w:cs="黑体"/>
          <w:sz w:val="18"/>
          <w:szCs w:val="18"/>
        </w:rPr>
        <w:t>表7.3.3  竖曲线半径(m)</w:t>
      </w:r>
    </w:p>
    <w:tbl>
      <w:tblPr>
        <w:tblStyle w:val="88"/>
        <w:tblW w:w="6370" w:type="dxa"/>
        <w:tblInd w:w="118" w:type="dxa"/>
        <w:tblLayout w:type="fixed"/>
        <w:tblCellMar>
          <w:top w:w="0" w:type="dxa"/>
          <w:left w:w="108" w:type="dxa"/>
          <w:bottom w:w="0" w:type="dxa"/>
          <w:right w:w="108" w:type="dxa"/>
        </w:tblCellMar>
      </w:tblPr>
      <w:tblGrid>
        <w:gridCol w:w="557"/>
        <w:gridCol w:w="1035"/>
        <w:gridCol w:w="796"/>
        <w:gridCol w:w="796"/>
        <w:gridCol w:w="796"/>
        <w:gridCol w:w="796"/>
        <w:gridCol w:w="796"/>
        <w:gridCol w:w="798"/>
      </w:tblGrid>
      <w:tr w14:paraId="20917194">
        <w:tblPrEx>
          <w:tblCellMar>
            <w:top w:w="0" w:type="dxa"/>
            <w:left w:w="108" w:type="dxa"/>
            <w:bottom w:w="0" w:type="dxa"/>
            <w:right w:w="108" w:type="dxa"/>
          </w:tblCellMar>
        </w:tblPrEx>
        <w:trPr>
          <w:trHeight w:val="388" w:hRule="atLeast"/>
        </w:trPr>
        <w:tc>
          <w:tcPr>
            <w:tcW w:w="1592" w:type="dxa"/>
            <w:gridSpan w:val="2"/>
            <w:vMerge w:val="restart"/>
            <w:tcBorders>
              <w:top w:val="single" w:color="000000" w:sz="8" w:space="0"/>
              <w:left w:val="single" w:color="000000" w:sz="8" w:space="0"/>
              <w:bottom w:val="single" w:color="000000" w:sz="8" w:space="0"/>
              <w:right w:val="single" w:color="000000" w:sz="8" w:space="0"/>
            </w:tcBorders>
            <w:vAlign w:val="center"/>
          </w:tcPr>
          <w:p w14:paraId="1E04D725">
            <w:pPr>
              <w:widowControl/>
              <w:spacing w:line="240" w:lineRule="auto"/>
              <w:jc w:val="center"/>
              <w:rPr>
                <w:rFonts w:ascii="宋体" w:hAnsi="宋体" w:cs="宋体"/>
                <w:kern w:val="0"/>
                <w:sz w:val="15"/>
                <w:szCs w:val="15"/>
              </w:rPr>
            </w:pPr>
            <w:r>
              <w:rPr>
                <w:rFonts w:hint="eastAsia" w:ascii="宋体" w:hAnsi="宋体" w:cs="宋体"/>
                <w:kern w:val="0"/>
                <w:sz w:val="15"/>
                <w:szCs w:val="15"/>
              </w:rPr>
              <w:t>线别</w:t>
            </w:r>
          </w:p>
        </w:tc>
        <w:tc>
          <w:tcPr>
            <w:tcW w:w="1592" w:type="dxa"/>
            <w:gridSpan w:val="2"/>
            <w:tcBorders>
              <w:top w:val="single" w:color="000000" w:sz="8" w:space="0"/>
              <w:left w:val="nil"/>
              <w:bottom w:val="single" w:color="000000" w:sz="8" w:space="0"/>
              <w:right w:val="single" w:color="000000" w:sz="8" w:space="0"/>
            </w:tcBorders>
            <w:vAlign w:val="center"/>
          </w:tcPr>
          <w:p w14:paraId="3ABE6468">
            <w:pPr>
              <w:widowControl/>
              <w:spacing w:line="240" w:lineRule="auto"/>
              <w:jc w:val="center"/>
              <w:rPr>
                <w:rFonts w:ascii="宋体" w:hAnsi="宋体" w:cs="宋体"/>
                <w:kern w:val="0"/>
                <w:sz w:val="15"/>
                <w:szCs w:val="15"/>
              </w:rPr>
            </w:pPr>
            <w:r>
              <w:rPr>
                <w:rFonts w:hint="eastAsia" w:ascii="宋体" w:hAnsi="宋体" w:cs="宋体"/>
                <w:kern w:val="0"/>
                <w:sz w:val="15"/>
                <w:szCs w:val="15"/>
              </w:rPr>
              <w:t>120km/h（不含） ~140km/h</w:t>
            </w:r>
          </w:p>
        </w:tc>
        <w:tc>
          <w:tcPr>
            <w:tcW w:w="1592" w:type="dxa"/>
            <w:gridSpan w:val="2"/>
            <w:tcBorders>
              <w:top w:val="single" w:color="000000" w:sz="8" w:space="0"/>
              <w:left w:val="nil"/>
              <w:bottom w:val="single" w:color="000000" w:sz="8" w:space="0"/>
              <w:right w:val="single" w:color="000000" w:sz="8" w:space="0"/>
            </w:tcBorders>
            <w:vAlign w:val="center"/>
          </w:tcPr>
          <w:p w14:paraId="351ECBF0">
            <w:pPr>
              <w:widowControl/>
              <w:spacing w:line="240" w:lineRule="auto"/>
              <w:jc w:val="center"/>
              <w:rPr>
                <w:rFonts w:ascii="宋体" w:hAnsi="宋体" w:cs="宋体"/>
                <w:kern w:val="0"/>
                <w:sz w:val="15"/>
                <w:szCs w:val="15"/>
              </w:rPr>
            </w:pPr>
            <w:r>
              <w:rPr>
                <w:rFonts w:hint="eastAsia" w:ascii="宋体" w:hAnsi="宋体" w:cs="宋体"/>
                <w:kern w:val="0"/>
                <w:sz w:val="15"/>
                <w:szCs w:val="15"/>
              </w:rPr>
              <w:t>100km/h（不含） ~120km/h</w:t>
            </w:r>
          </w:p>
        </w:tc>
        <w:tc>
          <w:tcPr>
            <w:tcW w:w="1594" w:type="dxa"/>
            <w:gridSpan w:val="2"/>
            <w:tcBorders>
              <w:top w:val="single" w:color="000000" w:sz="8" w:space="0"/>
              <w:left w:val="nil"/>
              <w:bottom w:val="single" w:color="000000" w:sz="8" w:space="0"/>
              <w:right w:val="single" w:color="000000" w:sz="8" w:space="0"/>
            </w:tcBorders>
            <w:vAlign w:val="center"/>
          </w:tcPr>
          <w:p w14:paraId="79828E13">
            <w:pPr>
              <w:widowControl/>
              <w:spacing w:line="240" w:lineRule="auto"/>
              <w:jc w:val="center"/>
              <w:rPr>
                <w:rFonts w:ascii="宋体" w:hAnsi="宋体" w:cs="宋体"/>
                <w:kern w:val="0"/>
                <w:sz w:val="15"/>
                <w:szCs w:val="15"/>
              </w:rPr>
            </w:pPr>
            <w:r>
              <w:rPr>
                <w:rFonts w:hint="eastAsia" w:ascii="宋体" w:hAnsi="宋体" w:cs="宋体"/>
                <w:kern w:val="0"/>
                <w:sz w:val="15"/>
                <w:szCs w:val="15"/>
              </w:rPr>
              <w:t>80 km/h ~100km/h</w:t>
            </w:r>
          </w:p>
        </w:tc>
      </w:tr>
      <w:tr w14:paraId="289D0BBC">
        <w:tblPrEx>
          <w:tblCellMar>
            <w:top w:w="0" w:type="dxa"/>
            <w:left w:w="108" w:type="dxa"/>
            <w:bottom w:w="0" w:type="dxa"/>
            <w:right w:w="108" w:type="dxa"/>
          </w:tblCellMar>
        </w:tblPrEx>
        <w:trPr>
          <w:trHeight w:val="262" w:hRule="atLeast"/>
        </w:trPr>
        <w:tc>
          <w:tcPr>
            <w:tcW w:w="1592" w:type="dxa"/>
            <w:gridSpan w:val="2"/>
            <w:vMerge w:val="continue"/>
            <w:tcBorders>
              <w:top w:val="single" w:color="000000" w:sz="8" w:space="0"/>
              <w:left w:val="single" w:color="000000" w:sz="8" w:space="0"/>
              <w:bottom w:val="single" w:color="000000" w:sz="8" w:space="0"/>
              <w:right w:val="single" w:color="000000" w:sz="8" w:space="0"/>
            </w:tcBorders>
            <w:vAlign w:val="center"/>
          </w:tcPr>
          <w:p w14:paraId="06BF0C37">
            <w:pPr>
              <w:widowControl/>
              <w:spacing w:line="240" w:lineRule="auto"/>
              <w:jc w:val="left"/>
              <w:rPr>
                <w:rFonts w:ascii="宋体" w:hAnsi="宋体" w:cs="宋体"/>
                <w:kern w:val="0"/>
                <w:sz w:val="15"/>
                <w:szCs w:val="15"/>
              </w:rPr>
            </w:pPr>
          </w:p>
        </w:tc>
        <w:tc>
          <w:tcPr>
            <w:tcW w:w="796" w:type="dxa"/>
            <w:tcBorders>
              <w:top w:val="nil"/>
              <w:left w:val="nil"/>
              <w:bottom w:val="single" w:color="000000" w:sz="8" w:space="0"/>
              <w:right w:val="single" w:color="000000" w:sz="8" w:space="0"/>
            </w:tcBorders>
            <w:vAlign w:val="center"/>
          </w:tcPr>
          <w:p w14:paraId="6A445E76">
            <w:pPr>
              <w:widowControl/>
              <w:spacing w:line="240" w:lineRule="auto"/>
              <w:jc w:val="center"/>
              <w:rPr>
                <w:rFonts w:ascii="宋体" w:hAnsi="宋体" w:cs="宋体"/>
                <w:kern w:val="0"/>
                <w:sz w:val="15"/>
                <w:szCs w:val="15"/>
              </w:rPr>
            </w:pPr>
            <w:r>
              <w:rPr>
                <w:rFonts w:hint="eastAsia" w:ascii="宋体" w:hAnsi="宋体" w:cs="宋体"/>
                <w:kern w:val="0"/>
                <w:sz w:val="15"/>
                <w:szCs w:val="15"/>
              </w:rPr>
              <w:t>一般情况</w:t>
            </w:r>
          </w:p>
        </w:tc>
        <w:tc>
          <w:tcPr>
            <w:tcW w:w="796" w:type="dxa"/>
            <w:tcBorders>
              <w:top w:val="nil"/>
              <w:left w:val="nil"/>
              <w:bottom w:val="single" w:color="000000" w:sz="8" w:space="0"/>
              <w:right w:val="single" w:color="000000" w:sz="8" w:space="0"/>
            </w:tcBorders>
            <w:vAlign w:val="center"/>
          </w:tcPr>
          <w:p w14:paraId="5BE8D5D1">
            <w:pPr>
              <w:widowControl/>
              <w:spacing w:line="240" w:lineRule="auto"/>
              <w:jc w:val="center"/>
              <w:rPr>
                <w:rFonts w:ascii="宋体" w:hAnsi="宋体" w:cs="宋体"/>
                <w:kern w:val="0"/>
                <w:sz w:val="15"/>
                <w:szCs w:val="15"/>
              </w:rPr>
            </w:pPr>
            <w:r>
              <w:rPr>
                <w:rFonts w:hint="eastAsia" w:ascii="宋体" w:hAnsi="宋体" w:cs="宋体"/>
                <w:kern w:val="0"/>
                <w:sz w:val="15"/>
                <w:szCs w:val="15"/>
              </w:rPr>
              <w:t>困难情况</w:t>
            </w:r>
          </w:p>
        </w:tc>
        <w:tc>
          <w:tcPr>
            <w:tcW w:w="796" w:type="dxa"/>
            <w:tcBorders>
              <w:top w:val="nil"/>
              <w:left w:val="nil"/>
              <w:bottom w:val="single" w:color="000000" w:sz="8" w:space="0"/>
              <w:right w:val="single" w:color="000000" w:sz="8" w:space="0"/>
            </w:tcBorders>
            <w:vAlign w:val="center"/>
          </w:tcPr>
          <w:p w14:paraId="0E5FA3EC">
            <w:pPr>
              <w:widowControl/>
              <w:spacing w:line="240" w:lineRule="auto"/>
              <w:jc w:val="center"/>
              <w:rPr>
                <w:rFonts w:ascii="宋体" w:hAnsi="宋体" w:cs="宋体"/>
                <w:kern w:val="0"/>
                <w:sz w:val="15"/>
                <w:szCs w:val="15"/>
              </w:rPr>
            </w:pPr>
            <w:r>
              <w:rPr>
                <w:rFonts w:hint="eastAsia" w:ascii="宋体" w:hAnsi="宋体" w:cs="宋体"/>
                <w:kern w:val="0"/>
                <w:sz w:val="15"/>
                <w:szCs w:val="15"/>
              </w:rPr>
              <w:t>一般情况</w:t>
            </w:r>
          </w:p>
        </w:tc>
        <w:tc>
          <w:tcPr>
            <w:tcW w:w="796" w:type="dxa"/>
            <w:tcBorders>
              <w:top w:val="nil"/>
              <w:left w:val="nil"/>
              <w:bottom w:val="single" w:color="000000" w:sz="8" w:space="0"/>
              <w:right w:val="single" w:color="000000" w:sz="8" w:space="0"/>
            </w:tcBorders>
            <w:vAlign w:val="center"/>
          </w:tcPr>
          <w:p w14:paraId="062044EB">
            <w:pPr>
              <w:widowControl/>
              <w:spacing w:line="240" w:lineRule="auto"/>
              <w:jc w:val="center"/>
              <w:rPr>
                <w:rFonts w:ascii="宋体" w:hAnsi="宋体" w:cs="宋体"/>
                <w:kern w:val="0"/>
                <w:sz w:val="15"/>
                <w:szCs w:val="15"/>
              </w:rPr>
            </w:pPr>
            <w:r>
              <w:rPr>
                <w:rFonts w:hint="eastAsia" w:ascii="宋体" w:hAnsi="宋体" w:cs="宋体"/>
                <w:kern w:val="0"/>
                <w:sz w:val="15"/>
                <w:szCs w:val="15"/>
              </w:rPr>
              <w:t>困难情况</w:t>
            </w:r>
          </w:p>
        </w:tc>
        <w:tc>
          <w:tcPr>
            <w:tcW w:w="796" w:type="dxa"/>
            <w:tcBorders>
              <w:top w:val="nil"/>
              <w:left w:val="nil"/>
              <w:bottom w:val="single" w:color="000000" w:sz="8" w:space="0"/>
              <w:right w:val="single" w:color="000000" w:sz="8" w:space="0"/>
            </w:tcBorders>
            <w:vAlign w:val="center"/>
          </w:tcPr>
          <w:p w14:paraId="1F0096FB">
            <w:pPr>
              <w:widowControl/>
              <w:spacing w:line="240" w:lineRule="auto"/>
              <w:jc w:val="center"/>
              <w:rPr>
                <w:rFonts w:ascii="宋体" w:hAnsi="宋体" w:cs="宋体"/>
                <w:kern w:val="0"/>
                <w:sz w:val="15"/>
                <w:szCs w:val="15"/>
              </w:rPr>
            </w:pPr>
            <w:r>
              <w:rPr>
                <w:rFonts w:hint="eastAsia" w:ascii="宋体" w:hAnsi="宋体" w:cs="宋体"/>
                <w:kern w:val="0"/>
                <w:sz w:val="15"/>
                <w:szCs w:val="15"/>
              </w:rPr>
              <w:t>一般情况</w:t>
            </w:r>
          </w:p>
        </w:tc>
        <w:tc>
          <w:tcPr>
            <w:tcW w:w="798" w:type="dxa"/>
            <w:tcBorders>
              <w:top w:val="nil"/>
              <w:left w:val="nil"/>
              <w:bottom w:val="single" w:color="000000" w:sz="8" w:space="0"/>
              <w:right w:val="single" w:color="000000" w:sz="8" w:space="0"/>
            </w:tcBorders>
            <w:vAlign w:val="center"/>
          </w:tcPr>
          <w:p w14:paraId="74ACEA15">
            <w:pPr>
              <w:widowControl/>
              <w:spacing w:line="240" w:lineRule="auto"/>
              <w:jc w:val="center"/>
              <w:rPr>
                <w:rFonts w:ascii="宋体" w:hAnsi="宋体" w:cs="宋体"/>
                <w:kern w:val="0"/>
                <w:sz w:val="15"/>
                <w:szCs w:val="15"/>
              </w:rPr>
            </w:pPr>
            <w:r>
              <w:rPr>
                <w:rFonts w:hint="eastAsia" w:ascii="宋体" w:hAnsi="宋体" w:cs="宋体"/>
                <w:kern w:val="0"/>
                <w:sz w:val="15"/>
                <w:szCs w:val="15"/>
              </w:rPr>
              <w:t>困难情况</w:t>
            </w:r>
          </w:p>
        </w:tc>
      </w:tr>
      <w:tr w14:paraId="2AFF6D0E">
        <w:tblPrEx>
          <w:tblCellMar>
            <w:top w:w="0" w:type="dxa"/>
            <w:left w:w="108" w:type="dxa"/>
            <w:bottom w:w="0" w:type="dxa"/>
            <w:right w:w="108" w:type="dxa"/>
          </w:tblCellMar>
        </w:tblPrEx>
        <w:trPr>
          <w:trHeight w:val="126" w:hRule="atLeast"/>
        </w:trPr>
        <w:tc>
          <w:tcPr>
            <w:tcW w:w="557" w:type="dxa"/>
            <w:vMerge w:val="restart"/>
            <w:tcBorders>
              <w:top w:val="nil"/>
              <w:left w:val="single" w:color="000000" w:sz="8" w:space="0"/>
              <w:bottom w:val="single" w:color="000000" w:sz="8" w:space="0"/>
              <w:right w:val="single" w:color="000000" w:sz="8" w:space="0"/>
            </w:tcBorders>
            <w:vAlign w:val="center"/>
          </w:tcPr>
          <w:p w14:paraId="2BD7F88D">
            <w:pPr>
              <w:widowControl/>
              <w:spacing w:line="240" w:lineRule="auto"/>
              <w:jc w:val="center"/>
              <w:rPr>
                <w:rFonts w:ascii="宋体" w:hAnsi="宋体" w:cs="宋体"/>
                <w:kern w:val="0"/>
                <w:sz w:val="15"/>
                <w:szCs w:val="15"/>
              </w:rPr>
            </w:pPr>
            <w:r>
              <w:rPr>
                <w:rFonts w:hint="eastAsia" w:ascii="宋体" w:hAnsi="宋体" w:cs="宋体"/>
                <w:kern w:val="0"/>
                <w:sz w:val="15"/>
                <w:szCs w:val="15"/>
              </w:rPr>
              <w:t>正线</w:t>
            </w:r>
          </w:p>
        </w:tc>
        <w:tc>
          <w:tcPr>
            <w:tcW w:w="1035" w:type="dxa"/>
            <w:tcBorders>
              <w:top w:val="nil"/>
              <w:left w:val="nil"/>
              <w:bottom w:val="single" w:color="000000" w:sz="8" w:space="0"/>
              <w:right w:val="single" w:color="000000" w:sz="8" w:space="0"/>
            </w:tcBorders>
            <w:vAlign w:val="center"/>
          </w:tcPr>
          <w:p w14:paraId="1766F71E">
            <w:pPr>
              <w:widowControl/>
              <w:spacing w:line="240" w:lineRule="auto"/>
              <w:jc w:val="center"/>
              <w:rPr>
                <w:rFonts w:ascii="宋体" w:hAnsi="宋体" w:cs="宋体"/>
                <w:kern w:val="0"/>
                <w:sz w:val="15"/>
                <w:szCs w:val="15"/>
              </w:rPr>
            </w:pPr>
            <w:r>
              <w:rPr>
                <w:rFonts w:hint="eastAsia" w:ascii="宋体" w:hAnsi="宋体" w:cs="宋体"/>
                <w:kern w:val="0"/>
                <w:sz w:val="15"/>
                <w:szCs w:val="15"/>
              </w:rPr>
              <w:t>区间</w:t>
            </w:r>
          </w:p>
        </w:tc>
        <w:tc>
          <w:tcPr>
            <w:tcW w:w="796" w:type="dxa"/>
            <w:tcBorders>
              <w:top w:val="nil"/>
              <w:left w:val="nil"/>
              <w:bottom w:val="single" w:color="000000" w:sz="8" w:space="0"/>
              <w:right w:val="single" w:color="000000" w:sz="8" w:space="0"/>
            </w:tcBorders>
            <w:vAlign w:val="center"/>
          </w:tcPr>
          <w:p w14:paraId="6422EEB9">
            <w:pPr>
              <w:widowControl/>
              <w:spacing w:line="240" w:lineRule="auto"/>
              <w:jc w:val="center"/>
              <w:rPr>
                <w:rFonts w:ascii="宋体" w:hAnsi="宋体" w:cs="宋体"/>
                <w:kern w:val="0"/>
                <w:sz w:val="15"/>
                <w:szCs w:val="15"/>
              </w:rPr>
            </w:pPr>
            <w:r>
              <w:rPr>
                <w:rFonts w:hint="eastAsia" w:ascii="宋体" w:hAnsi="宋体" w:cs="宋体"/>
                <w:kern w:val="0"/>
                <w:sz w:val="15"/>
                <w:szCs w:val="15"/>
              </w:rPr>
              <w:t>8000</w:t>
            </w:r>
          </w:p>
        </w:tc>
        <w:tc>
          <w:tcPr>
            <w:tcW w:w="796" w:type="dxa"/>
            <w:tcBorders>
              <w:top w:val="nil"/>
              <w:left w:val="nil"/>
              <w:bottom w:val="single" w:color="000000" w:sz="8" w:space="0"/>
              <w:right w:val="single" w:color="000000" w:sz="8" w:space="0"/>
            </w:tcBorders>
            <w:vAlign w:val="center"/>
          </w:tcPr>
          <w:p w14:paraId="2B2D0B38">
            <w:pPr>
              <w:widowControl/>
              <w:spacing w:line="240" w:lineRule="auto"/>
              <w:jc w:val="center"/>
              <w:rPr>
                <w:rFonts w:ascii="宋体" w:hAnsi="宋体" w:cs="宋体"/>
                <w:kern w:val="0"/>
                <w:sz w:val="15"/>
                <w:szCs w:val="15"/>
              </w:rPr>
            </w:pPr>
            <w:r>
              <w:rPr>
                <w:rFonts w:hint="eastAsia" w:ascii="宋体" w:hAnsi="宋体" w:cs="宋体"/>
                <w:kern w:val="0"/>
                <w:sz w:val="15"/>
                <w:szCs w:val="15"/>
              </w:rPr>
              <w:t>5000</w:t>
            </w:r>
          </w:p>
        </w:tc>
        <w:tc>
          <w:tcPr>
            <w:tcW w:w="796" w:type="dxa"/>
            <w:tcBorders>
              <w:top w:val="nil"/>
              <w:left w:val="nil"/>
              <w:bottom w:val="single" w:color="000000" w:sz="8" w:space="0"/>
              <w:right w:val="single" w:color="000000" w:sz="8" w:space="0"/>
            </w:tcBorders>
            <w:vAlign w:val="center"/>
          </w:tcPr>
          <w:p w14:paraId="7A143F47">
            <w:pPr>
              <w:widowControl/>
              <w:spacing w:line="240" w:lineRule="auto"/>
              <w:jc w:val="center"/>
              <w:rPr>
                <w:rFonts w:ascii="宋体" w:hAnsi="宋体" w:cs="宋体"/>
                <w:kern w:val="0"/>
                <w:sz w:val="15"/>
                <w:szCs w:val="15"/>
              </w:rPr>
            </w:pPr>
            <w:r>
              <w:rPr>
                <w:rFonts w:hint="eastAsia" w:ascii="宋体" w:hAnsi="宋体" w:cs="宋体"/>
                <w:kern w:val="0"/>
                <w:sz w:val="15"/>
                <w:szCs w:val="15"/>
              </w:rPr>
              <w:t>6000</w:t>
            </w:r>
          </w:p>
        </w:tc>
        <w:tc>
          <w:tcPr>
            <w:tcW w:w="796" w:type="dxa"/>
            <w:tcBorders>
              <w:top w:val="nil"/>
              <w:left w:val="nil"/>
              <w:bottom w:val="single" w:color="000000" w:sz="8" w:space="0"/>
              <w:right w:val="single" w:color="000000" w:sz="8" w:space="0"/>
            </w:tcBorders>
            <w:vAlign w:val="center"/>
          </w:tcPr>
          <w:p w14:paraId="75CC821F">
            <w:pPr>
              <w:widowControl/>
              <w:spacing w:line="240" w:lineRule="auto"/>
              <w:jc w:val="center"/>
              <w:rPr>
                <w:rFonts w:ascii="宋体" w:hAnsi="宋体" w:cs="宋体"/>
                <w:kern w:val="0"/>
                <w:sz w:val="15"/>
                <w:szCs w:val="15"/>
              </w:rPr>
            </w:pPr>
            <w:r>
              <w:rPr>
                <w:rFonts w:hint="eastAsia" w:ascii="宋体" w:hAnsi="宋体" w:cs="宋体"/>
                <w:kern w:val="0"/>
                <w:sz w:val="15"/>
                <w:szCs w:val="15"/>
              </w:rPr>
              <w:t>4000</w:t>
            </w:r>
          </w:p>
        </w:tc>
        <w:tc>
          <w:tcPr>
            <w:tcW w:w="796" w:type="dxa"/>
            <w:tcBorders>
              <w:top w:val="nil"/>
              <w:left w:val="nil"/>
              <w:bottom w:val="single" w:color="000000" w:sz="8" w:space="0"/>
              <w:right w:val="single" w:color="000000" w:sz="8" w:space="0"/>
            </w:tcBorders>
            <w:vAlign w:val="center"/>
          </w:tcPr>
          <w:p w14:paraId="41A8DEDD">
            <w:pPr>
              <w:widowControl/>
              <w:spacing w:line="240" w:lineRule="auto"/>
              <w:jc w:val="center"/>
              <w:rPr>
                <w:rFonts w:ascii="宋体" w:hAnsi="宋体" w:cs="宋体"/>
                <w:kern w:val="0"/>
                <w:sz w:val="15"/>
                <w:szCs w:val="15"/>
              </w:rPr>
            </w:pPr>
            <w:r>
              <w:rPr>
                <w:rFonts w:hint="eastAsia" w:ascii="宋体" w:hAnsi="宋体" w:cs="宋体"/>
                <w:kern w:val="0"/>
                <w:sz w:val="15"/>
                <w:szCs w:val="15"/>
              </w:rPr>
              <w:t>5000</w:t>
            </w:r>
          </w:p>
        </w:tc>
        <w:tc>
          <w:tcPr>
            <w:tcW w:w="798" w:type="dxa"/>
            <w:tcBorders>
              <w:top w:val="nil"/>
              <w:left w:val="nil"/>
              <w:bottom w:val="single" w:color="000000" w:sz="8" w:space="0"/>
              <w:right w:val="single" w:color="000000" w:sz="8" w:space="0"/>
            </w:tcBorders>
            <w:vAlign w:val="center"/>
          </w:tcPr>
          <w:p w14:paraId="067AAB04">
            <w:pPr>
              <w:widowControl/>
              <w:spacing w:line="240" w:lineRule="auto"/>
              <w:jc w:val="center"/>
              <w:rPr>
                <w:rFonts w:ascii="宋体" w:hAnsi="宋体" w:cs="宋体"/>
                <w:kern w:val="0"/>
                <w:sz w:val="15"/>
                <w:szCs w:val="15"/>
              </w:rPr>
            </w:pPr>
            <w:r>
              <w:rPr>
                <w:rFonts w:hint="eastAsia" w:ascii="宋体" w:hAnsi="宋体" w:cs="宋体"/>
                <w:kern w:val="0"/>
                <w:sz w:val="15"/>
                <w:szCs w:val="15"/>
              </w:rPr>
              <w:t>2500</w:t>
            </w:r>
          </w:p>
        </w:tc>
      </w:tr>
      <w:tr w14:paraId="02865306">
        <w:tblPrEx>
          <w:tblCellMar>
            <w:top w:w="0" w:type="dxa"/>
            <w:left w:w="108" w:type="dxa"/>
            <w:bottom w:w="0" w:type="dxa"/>
            <w:right w:w="108" w:type="dxa"/>
          </w:tblCellMar>
        </w:tblPrEx>
        <w:trPr>
          <w:trHeight w:val="249" w:hRule="atLeast"/>
        </w:trPr>
        <w:tc>
          <w:tcPr>
            <w:tcW w:w="557" w:type="dxa"/>
            <w:vMerge w:val="continue"/>
            <w:tcBorders>
              <w:top w:val="nil"/>
              <w:left w:val="single" w:color="000000" w:sz="8" w:space="0"/>
              <w:bottom w:val="single" w:color="000000" w:sz="8" w:space="0"/>
              <w:right w:val="single" w:color="000000" w:sz="8" w:space="0"/>
            </w:tcBorders>
            <w:vAlign w:val="center"/>
          </w:tcPr>
          <w:p w14:paraId="24077932">
            <w:pPr>
              <w:widowControl/>
              <w:spacing w:line="240" w:lineRule="auto"/>
              <w:jc w:val="left"/>
              <w:rPr>
                <w:rFonts w:ascii="宋体" w:hAnsi="宋体" w:cs="宋体"/>
                <w:kern w:val="0"/>
                <w:sz w:val="15"/>
                <w:szCs w:val="15"/>
              </w:rPr>
            </w:pPr>
          </w:p>
        </w:tc>
        <w:tc>
          <w:tcPr>
            <w:tcW w:w="1035" w:type="dxa"/>
            <w:tcBorders>
              <w:top w:val="nil"/>
              <w:left w:val="nil"/>
              <w:bottom w:val="single" w:color="000000" w:sz="8" w:space="0"/>
              <w:right w:val="single" w:color="000000" w:sz="8" w:space="0"/>
            </w:tcBorders>
            <w:vAlign w:val="center"/>
          </w:tcPr>
          <w:p w14:paraId="4DC1351A">
            <w:pPr>
              <w:widowControl/>
              <w:spacing w:line="240" w:lineRule="auto"/>
              <w:jc w:val="center"/>
              <w:rPr>
                <w:rFonts w:ascii="宋体" w:hAnsi="宋体" w:cs="宋体"/>
                <w:kern w:val="0"/>
                <w:sz w:val="15"/>
                <w:szCs w:val="15"/>
              </w:rPr>
            </w:pPr>
            <w:r>
              <w:rPr>
                <w:rFonts w:hint="eastAsia" w:ascii="宋体" w:hAnsi="宋体" w:cs="宋体"/>
                <w:kern w:val="0"/>
                <w:sz w:val="15"/>
                <w:szCs w:val="15"/>
              </w:rPr>
              <w:t>站台端部</w:t>
            </w:r>
          </w:p>
        </w:tc>
        <w:tc>
          <w:tcPr>
            <w:tcW w:w="796" w:type="dxa"/>
            <w:tcBorders>
              <w:top w:val="nil"/>
              <w:left w:val="nil"/>
              <w:bottom w:val="single" w:color="000000" w:sz="8" w:space="0"/>
              <w:right w:val="single" w:color="000000" w:sz="8" w:space="0"/>
            </w:tcBorders>
            <w:vAlign w:val="center"/>
          </w:tcPr>
          <w:p w14:paraId="081EFA4B">
            <w:pPr>
              <w:widowControl/>
              <w:spacing w:line="240" w:lineRule="auto"/>
              <w:jc w:val="center"/>
              <w:rPr>
                <w:rFonts w:ascii="宋体" w:hAnsi="宋体" w:cs="宋体"/>
                <w:kern w:val="0"/>
                <w:sz w:val="15"/>
                <w:szCs w:val="15"/>
              </w:rPr>
            </w:pPr>
            <w:r>
              <w:rPr>
                <w:rFonts w:hint="eastAsia" w:ascii="宋体" w:hAnsi="宋体" w:cs="宋体"/>
                <w:kern w:val="0"/>
                <w:sz w:val="15"/>
                <w:szCs w:val="15"/>
              </w:rPr>
              <w:t>3000</w:t>
            </w:r>
          </w:p>
        </w:tc>
        <w:tc>
          <w:tcPr>
            <w:tcW w:w="796" w:type="dxa"/>
            <w:tcBorders>
              <w:top w:val="nil"/>
              <w:left w:val="nil"/>
              <w:bottom w:val="single" w:color="000000" w:sz="8" w:space="0"/>
              <w:right w:val="single" w:color="000000" w:sz="8" w:space="0"/>
            </w:tcBorders>
            <w:vAlign w:val="center"/>
          </w:tcPr>
          <w:p w14:paraId="2774CC8A">
            <w:pPr>
              <w:widowControl/>
              <w:spacing w:line="240" w:lineRule="auto"/>
              <w:jc w:val="center"/>
              <w:rPr>
                <w:rFonts w:ascii="宋体" w:hAnsi="宋体" w:cs="宋体"/>
                <w:kern w:val="0"/>
                <w:sz w:val="15"/>
                <w:szCs w:val="15"/>
              </w:rPr>
            </w:pPr>
            <w:r>
              <w:rPr>
                <w:rFonts w:hint="eastAsia" w:ascii="宋体" w:hAnsi="宋体" w:cs="宋体"/>
                <w:kern w:val="0"/>
                <w:sz w:val="15"/>
                <w:szCs w:val="15"/>
              </w:rPr>
              <w:t>2000</w:t>
            </w:r>
          </w:p>
        </w:tc>
        <w:tc>
          <w:tcPr>
            <w:tcW w:w="796" w:type="dxa"/>
            <w:tcBorders>
              <w:top w:val="nil"/>
              <w:left w:val="nil"/>
              <w:bottom w:val="single" w:color="000000" w:sz="8" w:space="0"/>
              <w:right w:val="single" w:color="000000" w:sz="8" w:space="0"/>
            </w:tcBorders>
            <w:vAlign w:val="center"/>
          </w:tcPr>
          <w:p w14:paraId="46D793F0">
            <w:pPr>
              <w:widowControl/>
              <w:spacing w:line="240" w:lineRule="auto"/>
              <w:jc w:val="center"/>
              <w:rPr>
                <w:rFonts w:ascii="宋体" w:hAnsi="宋体" w:cs="宋体"/>
                <w:kern w:val="0"/>
                <w:sz w:val="15"/>
                <w:szCs w:val="15"/>
              </w:rPr>
            </w:pPr>
            <w:r>
              <w:rPr>
                <w:rFonts w:hint="eastAsia" w:ascii="宋体" w:hAnsi="宋体" w:cs="宋体"/>
                <w:kern w:val="0"/>
                <w:sz w:val="15"/>
                <w:szCs w:val="15"/>
              </w:rPr>
              <w:t>3000</w:t>
            </w:r>
          </w:p>
        </w:tc>
        <w:tc>
          <w:tcPr>
            <w:tcW w:w="796" w:type="dxa"/>
            <w:tcBorders>
              <w:top w:val="nil"/>
              <w:left w:val="nil"/>
              <w:bottom w:val="single" w:color="000000" w:sz="8" w:space="0"/>
              <w:right w:val="single" w:color="000000" w:sz="8" w:space="0"/>
            </w:tcBorders>
            <w:vAlign w:val="center"/>
          </w:tcPr>
          <w:p w14:paraId="575334CE">
            <w:pPr>
              <w:widowControl/>
              <w:spacing w:line="240" w:lineRule="auto"/>
              <w:jc w:val="center"/>
              <w:rPr>
                <w:rFonts w:ascii="宋体" w:hAnsi="宋体" w:cs="宋体"/>
                <w:kern w:val="0"/>
                <w:sz w:val="15"/>
                <w:szCs w:val="15"/>
              </w:rPr>
            </w:pPr>
            <w:r>
              <w:rPr>
                <w:rFonts w:hint="eastAsia" w:ascii="宋体" w:hAnsi="宋体" w:cs="宋体"/>
                <w:kern w:val="0"/>
                <w:sz w:val="15"/>
                <w:szCs w:val="15"/>
              </w:rPr>
              <w:t>2000</w:t>
            </w:r>
          </w:p>
        </w:tc>
        <w:tc>
          <w:tcPr>
            <w:tcW w:w="796" w:type="dxa"/>
            <w:tcBorders>
              <w:top w:val="nil"/>
              <w:left w:val="nil"/>
              <w:bottom w:val="single" w:color="000000" w:sz="8" w:space="0"/>
              <w:right w:val="single" w:color="000000" w:sz="8" w:space="0"/>
            </w:tcBorders>
            <w:vAlign w:val="center"/>
          </w:tcPr>
          <w:p w14:paraId="2E1D9BC7">
            <w:pPr>
              <w:widowControl/>
              <w:spacing w:line="240" w:lineRule="auto"/>
              <w:jc w:val="center"/>
              <w:rPr>
                <w:rFonts w:ascii="宋体" w:hAnsi="宋体" w:cs="宋体"/>
                <w:kern w:val="0"/>
                <w:sz w:val="15"/>
                <w:szCs w:val="15"/>
              </w:rPr>
            </w:pPr>
            <w:r>
              <w:rPr>
                <w:rFonts w:hint="eastAsia" w:ascii="宋体" w:hAnsi="宋体" w:cs="宋体"/>
                <w:kern w:val="0"/>
                <w:sz w:val="15"/>
                <w:szCs w:val="15"/>
              </w:rPr>
              <w:t>3000</w:t>
            </w:r>
          </w:p>
        </w:tc>
        <w:tc>
          <w:tcPr>
            <w:tcW w:w="798" w:type="dxa"/>
            <w:tcBorders>
              <w:top w:val="nil"/>
              <w:left w:val="nil"/>
              <w:bottom w:val="single" w:color="000000" w:sz="8" w:space="0"/>
              <w:right w:val="single" w:color="000000" w:sz="8" w:space="0"/>
            </w:tcBorders>
            <w:vAlign w:val="center"/>
          </w:tcPr>
          <w:p w14:paraId="40EDEC12">
            <w:pPr>
              <w:widowControl/>
              <w:spacing w:line="240" w:lineRule="auto"/>
              <w:jc w:val="center"/>
              <w:rPr>
                <w:rFonts w:ascii="宋体" w:hAnsi="宋体" w:cs="宋体"/>
                <w:kern w:val="0"/>
                <w:sz w:val="15"/>
                <w:szCs w:val="15"/>
              </w:rPr>
            </w:pPr>
            <w:r>
              <w:rPr>
                <w:rFonts w:hint="eastAsia" w:ascii="宋体" w:hAnsi="宋体" w:cs="宋体"/>
                <w:kern w:val="0"/>
                <w:sz w:val="15"/>
                <w:szCs w:val="15"/>
              </w:rPr>
              <w:t>2000</w:t>
            </w:r>
          </w:p>
        </w:tc>
      </w:tr>
      <w:tr w14:paraId="53A0014A">
        <w:tblPrEx>
          <w:tblCellMar>
            <w:top w:w="0" w:type="dxa"/>
            <w:left w:w="108" w:type="dxa"/>
            <w:bottom w:w="0" w:type="dxa"/>
            <w:right w:w="108" w:type="dxa"/>
          </w:tblCellMar>
        </w:tblPrEx>
        <w:trPr>
          <w:trHeight w:val="246" w:hRule="atLeast"/>
        </w:trPr>
        <w:tc>
          <w:tcPr>
            <w:tcW w:w="1592" w:type="dxa"/>
            <w:gridSpan w:val="2"/>
            <w:tcBorders>
              <w:top w:val="single" w:color="000000" w:sz="8" w:space="0"/>
              <w:left w:val="single" w:color="000000" w:sz="8" w:space="0"/>
              <w:bottom w:val="single" w:color="000000" w:sz="8" w:space="0"/>
              <w:right w:val="single" w:color="000000" w:sz="8" w:space="0"/>
            </w:tcBorders>
            <w:vAlign w:val="center"/>
          </w:tcPr>
          <w:p w14:paraId="762BB08B">
            <w:pPr>
              <w:widowControl/>
              <w:spacing w:line="240" w:lineRule="auto"/>
              <w:jc w:val="center"/>
              <w:rPr>
                <w:rFonts w:ascii="宋体" w:hAnsi="宋体" w:cs="宋体"/>
                <w:kern w:val="0"/>
                <w:sz w:val="15"/>
                <w:szCs w:val="15"/>
              </w:rPr>
            </w:pPr>
            <w:r>
              <w:rPr>
                <w:rFonts w:hint="eastAsia" w:ascii="宋体" w:hAnsi="宋体" w:cs="宋体"/>
                <w:kern w:val="0"/>
                <w:sz w:val="15"/>
                <w:szCs w:val="15"/>
              </w:rPr>
              <w:t>联络线、出入段线、车场线</w:t>
            </w:r>
          </w:p>
        </w:tc>
        <w:tc>
          <w:tcPr>
            <w:tcW w:w="4778" w:type="dxa"/>
            <w:gridSpan w:val="6"/>
            <w:tcBorders>
              <w:top w:val="single" w:color="000000" w:sz="8" w:space="0"/>
              <w:left w:val="nil"/>
              <w:bottom w:val="single" w:color="000000" w:sz="8" w:space="0"/>
              <w:right w:val="single" w:color="000000" w:sz="8" w:space="0"/>
            </w:tcBorders>
            <w:vAlign w:val="center"/>
          </w:tcPr>
          <w:p w14:paraId="0520BA84">
            <w:pPr>
              <w:widowControl/>
              <w:spacing w:line="240" w:lineRule="auto"/>
              <w:jc w:val="center"/>
              <w:rPr>
                <w:rFonts w:ascii="宋体" w:hAnsi="宋体" w:cs="宋体"/>
                <w:kern w:val="0"/>
                <w:sz w:val="15"/>
                <w:szCs w:val="15"/>
              </w:rPr>
            </w:pPr>
            <w:r>
              <w:rPr>
                <w:rFonts w:hint="eastAsia" w:ascii="宋体" w:hAnsi="宋体" w:cs="宋体"/>
                <w:kern w:val="0"/>
                <w:sz w:val="15"/>
                <w:szCs w:val="15"/>
              </w:rPr>
              <w:t>2000</w:t>
            </w:r>
          </w:p>
        </w:tc>
      </w:tr>
    </w:tbl>
    <w:p w14:paraId="3C5E5B96">
      <w:pPr>
        <w:pStyle w:val="7"/>
        <w:ind w:firstLine="440"/>
      </w:pPr>
      <w:r>
        <w:rPr>
          <w:spacing w:val="5"/>
        </w:rPr>
        <w:t>越</w:t>
      </w:r>
      <w:r>
        <w:t>行车站前后的竖曲线半径宜按区间标准执行；</w:t>
      </w:r>
    </w:p>
    <w:p w14:paraId="0AEC4BF5">
      <w:pPr>
        <w:pStyle w:val="7"/>
        <w:ind w:firstLine="420"/>
      </w:pPr>
      <w:r>
        <w:t>车站站台和道岔范围内不得设置竖曲线，竖曲线离开道岔端部的距离应符合表7.2.</w:t>
      </w:r>
      <w:r>
        <w:rPr>
          <w:rFonts w:hint="eastAsia"/>
        </w:rPr>
        <w:t>5-</w:t>
      </w:r>
      <w:r>
        <w:t>2 的规定</w:t>
      </w:r>
      <w:r>
        <w:rPr>
          <w:spacing w:val="4"/>
        </w:rPr>
        <w:t>。</w:t>
      </w:r>
    </w:p>
    <w:p w14:paraId="262AADE7">
      <w:pPr>
        <w:pStyle w:val="5"/>
      </w:pPr>
      <w:r>
        <w:t>正线纵段面其他规定：</w:t>
      </w:r>
    </w:p>
    <w:p w14:paraId="4E5E3DBA">
      <w:pPr>
        <w:pStyle w:val="7"/>
        <w:ind w:firstLine="420"/>
      </w:pPr>
      <w:r>
        <w:t>正线坡度大于24‰</w:t>
      </w:r>
      <w:r>
        <w:rPr>
          <w:rFonts w:hint="eastAsia"/>
        </w:rPr>
        <w:t>、</w:t>
      </w:r>
      <w:r>
        <w:t>连续高差达16m以上的长大陡坡地段，应根据线路平纵断面和气候条件，核查车辆的编组及其牵引和制动的动力性能，以及故障运行能力。长大坡段不宜与平面小半径曲线重叠</w:t>
      </w:r>
      <w:r>
        <w:rPr>
          <w:rFonts w:hint="eastAsia"/>
        </w:rPr>
        <w:t>，</w:t>
      </w:r>
      <w:r>
        <w:t>同时应对其道床排水沟断面尺寸进行校核。</w:t>
      </w:r>
      <w:r>
        <w:rPr>
          <w:rFonts w:hint="eastAsia"/>
        </w:rPr>
        <w:t>既有线延伸或互通时出现的长大陡坡，应核查既有车辆的牵引和制动的动力性能。</w:t>
      </w:r>
    </w:p>
    <w:p w14:paraId="1072D500">
      <w:pPr>
        <w:pStyle w:val="7"/>
        <w:ind w:firstLine="420"/>
      </w:pPr>
      <w:r>
        <w:rPr>
          <w:rFonts w:hint="eastAsia"/>
        </w:rPr>
        <w:t>区间纵断面设计</w:t>
      </w:r>
      <w:r>
        <w:t>的最低点位置</w:t>
      </w:r>
      <w:r>
        <w:rPr>
          <w:rFonts w:hint="eastAsia"/>
        </w:rPr>
        <w:t>宜</w:t>
      </w:r>
      <w:r>
        <w:t>与区间排水泵房和区间联络通道位置结合，当排水管采用竖井引出方式时，地面应具有竖井实施条件。</w:t>
      </w:r>
    </w:p>
    <w:p w14:paraId="20621EF8">
      <w:pPr>
        <w:pStyle w:val="7"/>
        <w:ind w:firstLine="460"/>
      </w:pPr>
      <w:r>
        <w:rPr>
          <w:spacing w:val="10"/>
        </w:rPr>
        <w:t>竖</w:t>
      </w:r>
      <w:r>
        <w:rPr>
          <w:spacing w:val="9"/>
        </w:rPr>
        <w:t>曲</w:t>
      </w:r>
      <w:r>
        <w:t>线与缓和曲线(或超高顺坡段)在碎石道床地段不得重叠。整体道床曲线半径</w:t>
      </w:r>
      <w:r>
        <w:rPr>
          <w:rFonts w:eastAsia="Times New Roman"/>
        </w:rPr>
        <w:t>400m</w:t>
      </w:r>
      <w:r>
        <w:t>以下地段，宜避免竖缓重叠，当出现竖、缓两种曲线重叠时，轨道的超高顺坡率不得大于</w:t>
      </w:r>
      <w:r>
        <w:rPr>
          <w:rFonts w:eastAsia="Times New Roman"/>
        </w:rPr>
        <w:t>2.0</w:t>
      </w:r>
      <w:r>
        <w:t>‰</w:t>
      </w:r>
      <w:r>
        <w:rPr>
          <w:spacing w:val="3"/>
        </w:rPr>
        <w:t>；</w:t>
      </w:r>
    </w:p>
    <w:p w14:paraId="6F4ACBE2">
      <w:pPr>
        <w:pStyle w:val="7"/>
        <w:ind w:firstLine="420"/>
      </w:pPr>
      <w:r>
        <w:t>双线单洞结构形式，左右线高程对应点的高差不应超过</w:t>
      </w:r>
      <w:r>
        <w:rPr>
          <w:rFonts w:eastAsia="Times New Roman"/>
        </w:rPr>
        <w:t>20mm</w:t>
      </w:r>
      <w:r>
        <w:t>。</w:t>
      </w:r>
    </w:p>
    <w:p w14:paraId="237C9B5C">
      <w:pPr>
        <w:numPr>
          <w:ilvl w:val="1"/>
          <w:numId w:val="1"/>
        </w:numPr>
        <w:tabs>
          <w:tab w:val="left" w:pos="794"/>
        </w:tabs>
        <w:snapToGrid w:val="0"/>
        <w:spacing w:before="156" w:after="156" w:line="240" w:lineRule="auto"/>
        <w:jc w:val="center"/>
        <w:outlineLvl w:val="1"/>
        <w:rPr>
          <w:rFonts w:eastAsia="黑体"/>
          <w:bCs/>
          <w:szCs w:val="28"/>
        </w:rPr>
      </w:pPr>
      <w:bookmarkStart w:id="289" w:name="_Toc183790504"/>
      <w:bookmarkStart w:id="290" w:name="_Toc183888117"/>
      <w:bookmarkStart w:id="291" w:name="_Toc183882065"/>
      <w:bookmarkStart w:id="292" w:name="_Toc183882427"/>
      <w:bookmarkStart w:id="293" w:name="_Toc183765074"/>
      <w:bookmarkStart w:id="294" w:name="_Toc183888479"/>
      <w:r>
        <w:rPr>
          <w:rFonts w:hint="eastAsia" w:eastAsia="黑体"/>
          <w:bCs/>
          <w:szCs w:val="28"/>
        </w:rPr>
        <w:t>配线设置</w:t>
      </w:r>
      <w:bookmarkEnd w:id="289"/>
      <w:bookmarkEnd w:id="290"/>
      <w:bookmarkEnd w:id="291"/>
      <w:bookmarkEnd w:id="292"/>
      <w:bookmarkEnd w:id="293"/>
      <w:bookmarkEnd w:id="294"/>
    </w:p>
    <w:p w14:paraId="7E60CE71">
      <w:pPr>
        <w:pStyle w:val="5"/>
      </w:pPr>
      <w:r>
        <w:rPr>
          <w:rFonts w:hint="eastAsia"/>
        </w:rPr>
        <w:t>配线设置应满足运营配线的要求，当工程条件受限时，应在运营功能和工程实施条件之间做方案比选综合选择。</w:t>
      </w:r>
    </w:p>
    <w:p w14:paraId="62DCC3D4">
      <w:pPr>
        <w:pStyle w:val="5"/>
      </w:pPr>
      <w:r>
        <w:rPr>
          <w:rFonts w:hint="eastAsia"/>
        </w:rPr>
        <w:t>折返线、停车线的计算长度为运营期列车最大编组长度与安全防护距离之和。安全防护距离长度应符合下列规定：</w:t>
      </w:r>
    </w:p>
    <w:p w14:paraId="4A5182BE">
      <w:pPr>
        <w:pStyle w:val="7"/>
        <w:ind w:firstLine="420"/>
      </w:pPr>
      <w:r>
        <w:rPr>
          <w:rFonts w:hint="eastAsia"/>
        </w:rPr>
        <w:t>安全防护距离为列车目标停车点至车挡的距离、列车目标停车点至道岔基本轨缝或道岔处警冲标间的距离。</w:t>
      </w:r>
    </w:p>
    <w:p w14:paraId="34118DFD">
      <w:pPr>
        <w:pStyle w:val="7"/>
        <w:ind w:firstLine="420"/>
      </w:pPr>
      <w:r>
        <w:rPr>
          <w:rFonts w:hint="eastAsia"/>
        </w:rPr>
        <w:t>采用站前折返时，折返线末端安全防护距离不应小于50m；</w:t>
      </w:r>
    </w:p>
    <w:p w14:paraId="2080EA05">
      <w:pPr>
        <w:pStyle w:val="7"/>
        <w:ind w:firstLine="420"/>
      </w:pPr>
      <w:r>
        <w:rPr>
          <w:rFonts w:hint="eastAsia"/>
        </w:rPr>
        <w:t>采用站后折返时，折返线道岔为12号道岔的折返线末端安全防护距离不应小于50m；折返线道岔为9号道岔的折返线末端安全防护距离不应小于40m；</w:t>
      </w:r>
    </w:p>
    <w:p w14:paraId="0C9E83C2">
      <w:pPr>
        <w:pStyle w:val="7"/>
        <w:ind w:firstLine="420"/>
      </w:pPr>
      <w:r>
        <w:rPr>
          <w:rFonts w:hint="eastAsia"/>
        </w:rPr>
        <w:t>停车线末端安全防护距离不应小于40m；</w:t>
      </w:r>
    </w:p>
    <w:p w14:paraId="383156F5">
      <w:pPr>
        <w:pStyle w:val="7"/>
        <w:ind w:firstLine="420"/>
      </w:pPr>
      <w:r>
        <w:rPr>
          <w:rFonts w:hint="eastAsia"/>
        </w:rPr>
        <w:t>快慢车越行站的越行线与正线汇合方向安全防护距离不应小于50m；</w:t>
      </w:r>
    </w:p>
    <w:p w14:paraId="57E1D8A8">
      <w:pPr>
        <w:pStyle w:val="7"/>
        <w:ind w:firstLine="420"/>
      </w:pPr>
      <w:r>
        <w:rPr>
          <w:rFonts w:hint="eastAsia"/>
        </w:rPr>
        <w:t>其他配线的安全防护距离不应小于40m。</w:t>
      </w:r>
    </w:p>
    <w:p w14:paraId="0E419534"/>
    <w:p w14:paraId="05059C26"/>
    <w:p w14:paraId="43441062">
      <w:pPr>
        <w:ind w:firstLine="460" w:firstLineChars="200"/>
        <w:rPr>
          <w:rFonts w:eastAsia="等线"/>
          <w:spacing w:val="10"/>
        </w:rPr>
        <w:sectPr>
          <w:pgSz w:w="7938" w:h="11510"/>
          <w:pgMar w:top="1247" w:right="907" w:bottom="1247" w:left="907" w:header="737" w:footer="737" w:gutter="0"/>
          <w:cols w:space="720" w:num="1"/>
          <w:titlePg/>
          <w:docGrid w:linePitch="272" w:charSpace="0"/>
        </w:sectPr>
      </w:pPr>
    </w:p>
    <w:p w14:paraId="25354A62">
      <w:pPr>
        <w:pStyle w:val="3"/>
      </w:pPr>
      <w:bookmarkStart w:id="295" w:name="_Toc183888118"/>
      <w:bookmarkStart w:id="296" w:name="_Toc183888480"/>
      <w:bookmarkStart w:id="297" w:name="_Toc183765075"/>
      <w:bookmarkStart w:id="298" w:name="_Toc183699866"/>
      <w:bookmarkStart w:id="299" w:name="_Toc183735410"/>
      <w:bookmarkStart w:id="300" w:name="_Toc183790505"/>
      <w:bookmarkStart w:id="301" w:name="_Toc183882066"/>
      <w:bookmarkStart w:id="302" w:name="_Toc183683494"/>
      <w:bookmarkStart w:id="303" w:name="_Toc183882428"/>
      <w:r>
        <w:t>轨</w:t>
      </w:r>
      <w:r>
        <w:rPr>
          <w:rFonts w:hint="eastAsia"/>
        </w:rPr>
        <w:t xml:space="preserve">    </w:t>
      </w:r>
      <w:r>
        <w:t>道</w:t>
      </w:r>
      <w:bookmarkEnd w:id="263"/>
      <w:bookmarkEnd w:id="295"/>
      <w:bookmarkEnd w:id="296"/>
      <w:bookmarkEnd w:id="297"/>
      <w:bookmarkEnd w:id="298"/>
      <w:bookmarkEnd w:id="299"/>
      <w:bookmarkEnd w:id="300"/>
      <w:bookmarkEnd w:id="301"/>
      <w:bookmarkEnd w:id="302"/>
      <w:bookmarkEnd w:id="303"/>
    </w:p>
    <w:p w14:paraId="08734FB9">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304" w:name="_Toc168061196"/>
      <w:bookmarkStart w:id="305" w:name="_Toc168061643"/>
      <w:bookmarkStart w:id="306" w:name="_Toc183882429"/>
      <w:bookmarkStart w:id="307" w:name="_Toc174611641"/>
      <w:bookmarkStart w:id="308" w:name="_Toc181796371"/>
      <w:bookmarkStart w:id="309" w:name="_Toc183882067"/>
      <w:bookmarkStart w:id="310" w:name="_Toc183888481"/>
      <w:bookmarkStart w:id="311" w:name="_Toc183888119"/>
      <w:bookmarkStart w:id="312" w:name="_Toc183765076"/>
      <w:bookmarkStart w:id="313" w:name="_Toc174612445"/>
      <w:bookmarkStart w:id="314" w:name="_Toc183790506"/>
      <w:bookmarkStart w:id="315" w:name="_Toc168059387"/>
      <w:r>
        <w:rPr>
          <w:rFonts w:eastAsia="黑体"/>
          <w:bCs/>
          <w:szCs w:val="28"/>
        </w:rPr>
        <w:t>一般规定</w:t>
      </w:r>
      <w:bookmarkEnd w:id="304"/>
      <w:bookmarkEnd w:id="305"/>
      <w:bookmarkEnd w:id="306"/>
      <w:bookmarkEnd w:id="307"/>
      <w:bookmarkEnd w:id="308"/>
      <w:bookmarkEnd w:id="309"/>
      <w:bookmarkEnd w:id="310"/>
      <w:bookmarkEnd w:id="311"/>
      <w:bookmarkEnd w:id="312"/>
      <w:bookmarkEnd w:id="313"/>
      <w:bookmarkEnd w:id="314"/>
      <w:bookmarkEnd w:id="315"/>
    </w:p>
    <w:p w14:paraId="4AC60F93">
      <w:pPr>
        <w:pStyle w:val="5"/>
      </w:pPr>
      <w:r>
        <w:rPr>
          <w:rFonts w:hint="eastAsia"/>
        </w:rPr>
        <w:t>轨道结构应具有足够的强度和适量弹性，满足安全性、稳定性、平顺性、耐久性、绝缘性及环保的要求。</w:t>
      </w:r>
    </w:p>
    <w:p w14:paraId="2B504A0D">
      <w:pPr>
        <w:pStyle w:val="5"/>
      </w:pPr>
      <w:r>
        <w:rPr>
          <w:rFonts w:hint="eastAsia"/>
        </w:rPr>
        <w:t>结合线网中各条线的使用条件、养护维修要求等，经技术经济比选后确定轨道结构类型。</w:t>
      </w:r>
    </w:p>
    <w:p w14:paraId="4235B1C9">
      <w:pPr>
        <w:pStyle w:val="5"/>
      </w:pPr>
      <w:r>
        <w:rPr>
          <w:rFonts w:hint="eastAsia"/>
        </w:rPr>
        <w:t>轨道结构部件及工程材料应符合国家或行业的相关要求，宜选用北京地铁通用产品，新产品、新材料和新工艺应按相关程序选用，全线轨道产品宜统一。</w:t>
      </w:r>
    </w:p>
    <w:p w14:paraId="20F2366D">
      <w:pPr>
        <w:pStyle w:val="5"/>
      </w:pPr>
      <w:r>
        <w:rPr>
          <w:rFonts w:hint="eastAsia"/>
        </w:rPr>
        <w:t>当线路按困难条件设计时，轨道结构应采取加强措施。</w:t>
      </w:r>
    </w:p>
    <w:p w14:paraId="071EB53D">
      <w:pPr>
        <w:pStyle w:val="5"/>
      </w:pPr>
      <w:r>
        <w:rPr>
          <w:rFonts w:hint="eastAsia"/>
        </w:rPr>
        <w:t>无砟轨道道床、混凝土轨枕的设计工作年限为</w:t>
      </w:r>
      <w:r>
        <w:t>100</w:t>
      </w:r>
      <w:r>
        <w:rPr>
          <w:rFonts w:hint="eastAsia"/>
        </w:rPr>
        <w:t>年。</w:t>
      </w:r>
    </w:p>
    <w:p w14:paraId="401B9D22">
      <w:pPr>
        <w:pStyle w:val="5"/>
      </w:pPr>
      <w:r>
        <w:rPr>
          <w:rFonts w:hint="eastAsia"/>
        </w:rPr>
        <w:t>轨道结构设计应结合智能化的要求，配备必要的监测、检测、维修设备，并将检测数据多维融合。</w:t>
      </w:r>
    </w:p>
    <w:p w14:paraId="7E67EF20">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316" w:name="_Toc168061644"/>
      <w:bookmarkStart w:id="317" w:name="_Toc183882068"/>
      <w:bookmarkStart w:id="318" w:name="_Toc183790507"/>
      <w:bookmarkStart w:id="319" w:name="_Toc183765077"/>
      <w:bookmarkStart w:id="320" w:name="_Toc174612446"/>
      <w:bookmarkStart w:id="321" w:name="_Toc168059388"/>
      <w:bookmarkStart w:id="322" w:name="_Toc181796372"/>
      <w:bookmarkStart w:id="323" w:name="_Toc168061197"/>
      <w:bookmarkStart w:id="324" w:name="_Toc183888120"/>
      <w:bookmarkStart w:id="325" w:name="_Toc174611642"/>
      <w:bookmarkStart w:id="326" w:name="_Toc183888482"/>
      <w:bookmarkStart w:id="327" w:name="_Toc183882430"/>
      <w:r>
        <w:rPr>
          <w:rFonts w:eastAsia="黑体"/>
          <w:bCs/>
          <w:szCs w:val="28"/>
        </w:rPr>
        <w:t>基本技术要求</w:t>
      </w:r>
      <w:bookmarkEnd w:id="316"/>
      <w:bookmarkEnd w:id="317"/>
      <w:bookmarkEnd w:id="318"/>
      <w:bookmarkEnd w:id="319"/>
      <w:bookmarkEnd w:id="320"/>
      <w:bookmarkEnd w:id="321"/>
      <w:bookmarkEnd w:id="322"/>
      <w:bookmarkEnd w:id="323"/>
      <w:bookmarkEnd w:id="324"/>
      <w:bookmarkEnd w:id="325"/>
      <w:bookmarkEnd w:id="326"/>
      <w:bookmarkEnd w:id="327"/>
    </w:p>
    <w:p w14:paraId="744D8D4B">
      <w:pPr>
        <w:pStyle w:val="5"/>
      </w:pPr>
      <w:r>
        <w:t>钢轨应根据轮轨</w:t>
      </w:r>
      <w:r>
        <w:rPr>
          <w:rFonts w:hint="eastAsia"/>
        </w:rPr>
        <w:t>踏面廓形</w:t>
      </w:r>
      <w:r>
        <w:t>匹配的要求设置轨底坡</w:t>
      </w:r>
      <w:r>
        <w:rPr>
          <w:rFonts w:hint="eastAsia"/>
        </w:rPr>
        <w:t>,宜为1/4</w:t>
      </w:r>
      <w:r>
        <w:t>0</w:t>
      </w:r>
      <w:r>
        <w:rPr>
          <w:rFonts w:hint="eastAsia"/>
        </w:rPr>
        <w:t>或</w:t>
      </w:r>
      <w:r>
        <w:t>1</w:t>
      </w:r>
      <w:r>
        <w:rPr>
          <w:rFonts w:hint="eastAsia"/>
        </w:rPr>
        <w:t>/3</w:t>
      </w:r>
      <w:r>
        <w:t>0</w:t>
      </w:r>
      <w:r>
        <w:rPr>
          <w:rFonts w:hint="eastAsia"/>
        </w:rPr>
        <w:t>，施工后轨底坡宜在1/35</w:t>
      </w:r>
      <w:r>
        <w:t>~1</w:t>
      </w:r>
      <w:r>
        <w:rPr>
          <w:rFonts w:hint="eastAsia"/>
        </w:rPr>
        <w:t>/45（轨底坡选用1/</w:t>
      </w:r>
      <w:r>
        <w:t>40</w:t>
      </w:r>
      <w:r>
        <w:rPr>
          <w:rFonts w:hint="eastAsia"/>
        </w:rPr>
        <w:t>时）或者1</w:t>
      </w:r>
      <w:r>
        <w:t>/25~1/35</w:t>
      </w:r>
      <w:r>
        <w:rPr>
          <w:rFonts w:hint="eastAsia"/>
        </w:rPr>
        <w:t>（轨底坡选用1/30）</w:t>
      </w:r>
      <w:r>
        <w:t>。在无轨底坡的两道岔间</w:t>
      </w:r>
      <w:r>
        <w:rPr>
          <w:rFonts w:hint="eastAsia"/>
        </w:rPr>
        <w:t>线路</w:t>
      </w:r>
      <w:r>
        <w:t>长度不足50m地段，不设置轨底坡。</w:t>
      </w:r>
    </w:p>
    <w:p w14:paraId="5E325B06">
      <w:pPr>
        <w:pStyle w:val="5"/>
      </w:pPr>
      <w:r>
        <w:t>标准轨距为1435mm，半径</w:t>
      </w:r>
      <w:r>
        <w:rPr>
          <w:rFonts w:hint="eastAsia"/>
        </w:rPr>
        <w:t>小于</w:t>
      </w:r>
      <w:r>
        <w:t>250m曲线地段，应进行轨距加宽，加宽值应符合表8.2.2的规定。</w:t>
      </w:r>
    </w:p>
    <w:p w14:paraId="4CDADADB">
      <w:pPr>
        <w:pStyle w:val="198"/>
      </w:pPr>
      <w:r>
        <w:rPr>
          <w:bCs/>
        </w:rPr>
        <w:br w:type="page"/>
      </w:r>
      <w:r>
        <w:t>表8.2.2</w:t>
      </w:r>
      <w:r>
        <w:rPr>
          <w:rFonts w:hint="eastAsia"/>
        </w:rPr>
        <w:t xml:space="preserve">  </w:t>
      </w:r>
      <w:r>
        <w:t>曲线地段轨距加宽值</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19"/>
        <w:gridCol w:w="2106"/>
        <w:gridCol w:w="2115"/>
      </w:tblGrid>
      <w:tr w14:paraId="2E67A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3" w:hRule="atLeast"/>
          <w:jc w:val="center"/>
        </w:trPr>
        <w:tc>
          <w:tcPr>
            <w:tcW w:w="2119" w:type="dxa"/>
            <w:vMerge w:val="restart"/>
            <w:tcBorders>
              <w:left w:val="single" w:color="000000" w:sz="6" w:space="0"/>
              <w:bottom w:val="nil"/>
            </w:tcBorders>
            <w:vAlign w:val="center"/>
          </w:tcPr>
          <w:p w14:paraId="030AF00F">
            <w:pPr>
              <w:autoSpaceDE w:val="0"/>
              <w:autoSpaceDN w:val="0"/>
              <w:spacing w:line="240" w:lineRule="auto"/>
              <w:jc w:val="center"/>
              <w:rPr>
                <w:kern w:val="0"/>
                <w:sz w:val="15"/>
                <w:szCs w:val="15"/>
              </w:rPr>
            </w:pPr>
            <w:r>
              <w:rPr>
                <w:kern w:val="0"/>
                <w:sz w:val="15"/>
                <w:szCs w:val="15"/>
              </w:rPr>
              <w:t>曲线半径R(m)</w:t>
            </w:r>
          </w:p>
        </w:tc>
        <w:tc>
          <w:tcPr>
            <w:tcW w:w="4221" w:type="dxa"/>
            <w:gridSpan w:val="2"/>
            <w:tcBorders>
              <w:right w:val="single" w:color="000000" w:sz="6" w:space="0"/>
            </w:tcBorders>
            <w:vAlign w:val="center"/>
          </w:tcPr>
          <w:p w14:paraId="55A82386">
            <w:pPr>
              <w:autoSpaceDE w:val="0"/>
              <w:autoSpaceDN w:val="0"/>
              <w:spacing w:line="240" w:lineRule="auto"/>
              <w:jc w:val="center"/>
              <w:rPr>
                <w:kern w:val="0"/>
                <w:sz w:val="15"/>
                <w:szCs w:val="15"/>
              </w:rPr>
            </w:pPr>
            <w:r>
              <w:rPr>
                <w:kern w:val="0"/>
                <w:sz w:val="15"/>
                <w:szCs w:val="15"/>
              </w:rPr>
              <w:t>加宽值(mm)</w:t>
            </w:r>
          </w:p>
        </w:tc>
      </w:tr>
      <w:tr w14:paraId="45769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2" w:hRule="atLeast"/>
          <w:jc w:val="center"/>
        </w:trPr>
        <w:tc>
          <w:tcPr>
            <w:tcW w:w="2119" w:type="dxa"/>
            <w:vMerge w:val="continue"/>
            <w:tcBorders>
              <w:top w:val="nil"/>
              <w:left w:val="single" w:color="000000" w:sz="6" w:space="0"/>
            </w:tcBorders>
            <w:vAlign w:val="center"/>
          </w:tcPr>
          <w:p w14:paraId="5AA75815">
            <w:pPr>
              <w:autoSpaceDE w:val="0"/>
              <w:autoSpaceDN w:val="0"/>
              <w:spacing w:line="240" w:lineRule="auto"/>
              <w:jc w:val="center"/>
              <w:rPr>
                <w:kern w:val="0"/>
                <w:sz w:val="15"/>
                <w:szCs w:val="15"/>
              </w:rPr>
            </w:pPr>
          </w:p>
        </w:tc>
        <w:tc>
          <w:tcPr>
            <w:tcW w:w="2106" w:type="dxa"/>
            <w:vAlign w:val="center"/>
          </w:tcPr>
          <w:p w14:paraId="60EB0C25">
            <w:pPr>
              <w:autoSpaceDE w:val="0"/>
              <w:autoSpaceDN w:val="0"/>
              <w:spacing w:line="240" w:lineRule="auto"/>
              <w:jc w:val="center"/>
              <w:rPr>
                <w:kern w:val="0"/>
                <w:sz w:val="15"/>
                <w:szCs w:val="15"/>
              </w:rPr>
            </w:pPr>
            <w:r>
              <w:rPr>
                <w:kern w:val="0"/>
                <w:sz w:val="15"/>
                <w:szCs w:val="15"/>
              </w:rPr>
              <w:t>A型车</w:t>
            </w:r>
          </w:p>
        </w:tc>
        <w:tc>
          <w:tcPr>
            <w:tcW w:w="2115" w:type="dxa"/>
            <w:tcBorders>
              <w:right w:val="single" w:color="000000" w:sz="6" w:space="0"/>
            </w:tcBorders>
            <w:vAlign w:val="center"/>
          </w:tcPr>
          <w:p w14:paraId="343DE493">
            <w:pPr>
              <w:autoSpaceDE w:val="0"/>
              <w:autoSpaceDN w:val="0"/>
              <w:spacing w:line="240" w:lineRule="auto"/>
              <w:jc w:val="center"/>
              <w:rPr>
                <w:kern w:val="0"/>
                <w:sz w:val="15"/>
                <w:szCs w:val="15"/>
              </w:rPr>
            </w:pPr>
            <w:r>
              <w:rPr>
                <w:kern w:val="0"/>
                <w:sz w:val="15"/>
                <w:szCs w:val="15"/>
              </w:rPr>
              <w:t>B型车</w:t>
            </w:r>
          </w:p>
        </w:tc>
      </w:tr>
      <w:tr w14:paraId="6F90B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3" w:hRule="atLeast"/>
          <w:jc w:val="center"/>
        </w:trPr>
        <w:tc>
          <w:tcPr>
            <w:tcW w:w="2119" w:type="dxa"/>
            <w:tcBorders>
              <w:left w:val="single" w:color="000000" w:sz="6" w:space="0"/>
            </w:tcBorders>
            <w:vAlign w:val="center"/>
          </w:tcPr>
          <w:p w14:paraId="724848E8">
            <w:pPr>
              <w:autoSpaceDE w:val="0"/>
              <w:autoSpaceDN w:val="0"/>
              <w:spacing w:line="240" w:lineRule="auto"/>
              <w:jc w:val="center"/>
              <w:rPr>
                <w:kern w:val="0"/>
                <w:sz w:val="15"/>
                <w:szCs w:val="15"/>
              </w:rPr>
            </w:pPr>
            <w:r>
              <w:rPr>
                <w:kern w:val="0"/>
                <w:sz w:val="15"/>
                <w:szCs w:val="15"/>
              </w:rPr>
              <w:t>250＞R≥200</w:t>
            </w:r>
          </w:p>
        </w:tc>
        <w:tc>
          <w:tcPr>
            <w:tcW w:w="2106" w:type="dxa"/>
            <w:vAlign w:val="center"/>
          </w:tcPr>
          <w:p w14:paraId="5A21D182">
            <w:pPr>
              <w:autoSpaceDE w:val="0"/>
              <w:autoSpaceDN w:val="0"/>
              <w:spacing w:line="240" w:lineRule="auto"/>
              <w:jc w:val="center"/>
              <w:rPr>
                <w:kern w:val="0"/>
                <w:sz w:val="15"/>
                <w:szCs w:val="15"/>
              </w:rPr>
            </w:pPr>
            <w:r>
              <w:rPr>
                <w:kern w:val="0"/>
                <w:sz w:val="15"/>
                <w:szCs w:val="15"/>
              </w:rPr>
              <w:t>5</w:t>
            </w:r>
          </w:p>
        </w:tc>
        <w:tc>
          <w:tcPr>
            <w:tcW w:w="2115" w:type="dxa"/>
            <w:tcBorders>
              <w:right w:val="single" w:color="000000" w:sz="6" w:space="0"/>
            </w:tcBorders>
            <w:vAlign w:val="center"/>
          </w:tcPr>
          <w:p w14:paraId="5E6F5159">
            <w:pPr>
              <w:autoSpaceDE w:val="0"/>
              <w:autoSpaceDN w:val="0"/>
              <w:spacing w:line="240" w:lineRule="auto"/>
              <w:jc w:val="center"/>
              <w:rPr>
                <w:kern w:val="0"/>
                <w:sz w:val="15"/>
                <w:szCs w:val="15"/>
              </w:rPr>
            </w:pPr>
            <w:r>
              <w:rPr>
                <w:kern w:val="0"/>
                <w:sz w:val="15"/>
                <w:szCs w:val="15"/>
              </w:rPr>
              <w:t>—</w:t>
            </w:r>
          </w:p>
        </w:tc>
      </w:tr>
      <w:tr w14:paraId="57325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2119" w:type="dxa"/>
            <w:tcBorders>
              <w:left w:val="single" w:color="000000" w:sz="6" w:space="0"/>
            </w:tcBorders>
            <w:vAlign w:val="center"/>
          </w:tcPr>
          <w:p w14:paraId="1EC15AEB">
            <w:pPr>
              <w:autoSpaceDE w:val="0"/>
              <w:autoSpaceDN w:val="0"/>
              <w:spacing w:line="240" w:lineRule="auto"/>
              <w:jc w:val="center"/>
              <w:rPr>
                <w:kern w:val="0"/>
                <w:sz w:val="15"/>
                <w:szCs w:val="15"/>
              </w:rPr>
            </w:pPr>
            <w:r>
              <w:rPr>
                <w:kern w:val="0"/>
                <w:sz w:val="15"/>
                <w:szCs w:val="15"/>
              </w:rPr>
              <w:t>200＞R≥150</w:t>
            </w:r>
          </w:p>
        </w:tc>
        <w:tc>
          <w:tcPr>
            <w:tcW w:w="2106" w:type="dxa"/>
            <w:vAlign w:val="center"/>
          </w:tcPr>
          <w:p w14:paraId="7AC9B75E">
            <w:pPr>
              <w:autoSpaceDE w:val="0"/>
              <w:autoSpaceDN w:val="0"/>
              <w:spacing w:line="240" w:lineRule="auto"/>
              <w:jc w:val="center"/>
              <w:rPr>
                <w:kern w:val="0"/>
                <w:sz w:val="15"/>
                <w:szCs w:val="15"/>
              </w:rPr>
            </w:pPr>
            <w:r>
              <w:rPr>
                <w:kern w:val="0"/>
                <w:sz w:val="15"/>
                <w:szCs w:val="15"/>
              </w:rPr>
              <w:t>10</w:t>
            </w:r>
          </w:p>
        </w:tc>
        <w:tc>
          <w:tcPr>
            <w:tcW w:w="2115" w:type="dxa"/>
            <w:tcBorders>
              <w:right w:val="single" w:color="000000" w:sz="6" w:space="0"/>
            </w:tcBorders>
            <w:vAlign w:val="center"/>
          </w:tcPr>
          <w:p w14:paraId="278C94B9">
            <w:pPr>
              <w:autoSpaceDE w:val="0"/>
              <w:autoSpaceDN w:val="0"/>
              <w:spacing w:line="240" w:lineRule="auto"/>
              <w:jc w:val="center"/>
              <w:rPr>
                <w:kern w:val="0"/>
                <w:sz w:val="15"/>
                <w:szCs w:val="15"/>
              </w:rPr>
            </w:pPr>
            <w:r>
              <w:rPr>
                <w:kern w:val="0"/>
                <w:sz w:val="15"/>
                <w:szCs w:val="15"/>
              </w:rPr>
              <w:t>5</w:t>
            </w:r>
          </w:p>
        </w:tc>
      </w:tr>
    </w:tbl>
    <w:p w14:paraId="4108BB9E">
      <w:pPr>
        <w:ind w:firstLine="420" w:firstLineChars="200"/>
      </w:pPr>
      <w:r>
        <w:t>轨距加宽值应在缓和曲线范围内递减。无缓和曲线时，应在直线地段递减。递减率不宜大于2‰，困难地段不应大于3‰。</w:t>
      </w:r>
    </w:p>
    <w:p w14:paraId="07127B7C">
      <w:pPr>
        <w:pStyle w:val="5"/>
      </w:pPr>
      <w:r>
        <w:rPr>
          <w:rFonts w:hint="eastAsia"/>
        </w:rPr>
        <w:t>曲线超高应</w:t>
      </w:r>
      <w:r>
        <w:t>符合下列规定：</w:t>
      </w:r>
    </w:p>
    <w:p w14:paraId="6B180AC7">
      <w:pPr>
        <w:tabs>
          <w:tab w:val="left" w:pos="709"/>
          <w:tab w:val="left" w:pos="794"/>
          <w:tab w:val="left" w:pos="851"/>
        </w:tabs>
        <w:ind w:firstLine="422" w:firstLineChars="200"/>
        <w:outlineLvl w:val="2"/>
        <w:rPr>
          <w:bCs/>
        </w:rPr>
      </w:pPr>
      <w:r>
        <w:rPr>
          <w:b/>
          <w:bCs/>
        </w:rPr>
        <w:t xml:space="preserve">1 </w:t>
      </w:r>
      <w:r>
        <w:rPr>
          <w:bCs/>
        </w:rPr>
        <w:t xml:space="preserve"> 最高设计速度不大于100km/h时，设置的最大超高为120mm</w:t>
      </w:r>
      <w:r>
        <w:rPr>
          <w:rFonts w:hint="eastAsia"/>
          <w:bCs/>
        </w:rPr>
        <w:t>，</w:t>
      </w:r>
      <w:r>
        <w:rPr>
          <w:bCs/>
        </w:rPr>
        <w:t>未被平衡超高允许值不宜大于61mm；</w:t>
      </w:r>
    </w:p>
    <w:p w14:paraId="1462601E">
      <w:pPr>
        <w:tabs>
          <w:tab w:val="left" w:pos="709"/>
          <w:tab w:val="left" w:pos="794"/>
          <w:tab w:val="left" w:pos="851"/>
        </w:tabs>
        <w:ind w:firstLine="422" w:firstLineChars="200"/>
        <w:outlineLvl w:val="2"/>
        <w:rPr>
          <w:bCs/>
        </w:rPr>
      </w:pPr>
      <w:r>
        <w:rPr>
          <w:rFonts w:hint="eastAsia"/>
          <w:b/>
          <w:bCs/>
        </w:rPr>
        <w:t>2</w:t>
      </w:r>
      <w:r>
        <w:rPr>
          <w:bCs/>
        </w:rPr>
        <w:t xml:space="preserve">  最高设计速度100km/h~140km/h时，设置的最大超高为150mm</w:t>
      </w:r>
      <w:r>
        <w:rPr>
          <w:rFonts w:hint="eastAsia"/>
          <w:bCs/>
        </w:rPr>
        <w:t>，</w:t>
      </w:r>
      <w:r>
        <w:rPr>
          <w:bCs/>
        </w:rPr>
        <w:t>未被平衡超高允许值</w:t>
      </w:r>
      <w:r>
        <w:rPr>
          <w:rFonts w:hint="eastAsia"/>
          <w:bCs/>
        </w:rPr>
        <w:t>不宜大于</w:t>
      </w:r>
      <w:r>
        <w:rPr>
          <w:bCs/>
        </w:rPr>
        <w:t>61mm,困难时不应大于90mm</w:t>
      </w:r>
      <w:r>
        <w:rPr>
          <w:rFonts w:hint="eastAsia"/>
          <w:bCs/>
        </w:rPr>
        <w:t>；</w:t>
      </w:r>
    </w:p>
    <w:p w14:paraId="1D0E2110">
      <w:pPr>
        <w:tabs>
          <w:tab w:val="left" w:pos="709"/>
          <w:tab w:val="left" w:pos="794"/>
          <w:tab w:val="left" w:pos="851"/>
        </w:tabs>
        <w:ind w:firstLine="422" w:firstLineChars="200"/>
        <w:outlineLvl w:val="2"/>
        <w:rPr>
          <w:bCs/>
        </w:rPr>
      </w:pPr>
      <w:r>
        <w:rPr>
          <w:rFonts w:hint="eastAsia"/>
          <w:b/>
          <w:bCs/>
        </w:rPr>
        <w:t>3</w:t>
      </w:r>
      <w:r>
        <w:rPr>
          <w:bCs/>
        </w:rPr>
        <w:t xml:space="preserve">  车站站台有效长度范围内曲线超高不应大于15mm。</w:t>
      </w:r>
    </w:p>
    <w:p w14:paraId="42172533">
      <w:pPr>
        <w:tabs>
          <w:tab w:val="left" w:pos="709"/>
          <w:tab w:val="left" w:pos="794"/>
          <w:tab w:val="left" w:pos="851"/>
        </w:tabs>
        <w:ind w:firstLine="420" w:firstLineChars="200"/>
        <w:outlineLvl w:val="2"/>
        <w:rPr>
          <w:bCs/>
        </w:rPr>
      </w:pPr>
      <w:r>
        <w:rPr>
          <w:rFonts w:hint="eastAsia"/>
          <w:bCs/>
        </w:rPr>
        <w:t>曲线超高值应按下列公式计算：</w:t>
      </w:r>
    </w:p>
    <w:p w14:paraId="0CFAECD2">
      <w:pPr>
        <w:wordWrap w:val="0"/>
        <w:spacing w:line="360" w:lineRule="auto"/>
        <w:ind w:firstLine="420" w:firstLineChars="200"/>
        <w:jc w:val="right"/>
        <w:rPr>
          <w:szCs w:val="18"/>
        </w:rPr>
      </w:pPr>
      <w:r>
        <w:rPr>
          <w:position w:val="-20"/>
        </w:rPr>
        <w:object>
          <v:shape id="_x0000_i1033" o:spt="75" type="#_x0000_t75" style="height:29.15pt;width:47.05pt;" o:ole="t" fillcolor="#6D6D6D" filled="f" o:preferrelative="t" stroked="f" coordsize="21600,21600">
            <v:path/>
            <v:fill on="f" focussize="0,0"/>
            <v:stroke on="f" joinstyle="miter"/>
            <v:imagedata r:id="rId75" o:title=""/>
            <o:lock v:ext="edit" aspectratio="t"/>
            <w10:wrap type="none"/>
            <w10:anchorlock/>
          </v:shape>
          <o:OLEObject Type="Embed" ProgID="Equation.3" ShapeID="_x0000_i1033" DrawAspect="Content" ObjectID="_1468075733" r:id="rId74">
            <o:LockedField>false</o:LockedField>
          </o:OLEObject>
        </w:object>
      </w:r>
      <w:r>
        <w:rPr>
          <w:rFonts w:hint="eastAsia"/>
          <w:szCs w:val="18"/>
        </w:rPr>
        <w:t xml:space="preserve">                         （</w:t>
      </w:r>
      <w:r>
        <w:rPr>
          <w:szCs w:val="18"/>
        </w:rPr>
        <w:t>8</w:t>
      </w:r>
      <w:r>
        <w:rPr>
          <w:rFonts w:hint="eastAsia"/>
          <w:szCs w:val="18"/>
        </w:rPr>
        <w:t>.2.3）</w:t>
      </w:r>
    </w:p>
    <w:p w14:paraId="115BFF38">
      <w:pPr>
        <w:rPr>
          <w:szCs w:val="18"/>
        </w:rPr>
      </w:pPr>
      <w:r>
        <w:rPr>
          <w:rFonts w:hint="eastAsia"/>
          <w:szCs w:val="18"/>
        </w:rPr>
        <w:t>式中：</w:t>
      </w:r>
      <w:r>
        <w:rPr>
          <w:rFonts w:hint="eastAsia"/>
          <w:i/>
          <w:iCs/>
          <w:szCs w:val="18"/>
        </w:rPr>
        <w:t>h</w:t>
      </w:r>
      <w:r>
        <w:rPr>
          <w:rFonts w:hint="eastAsia"/>
          <w:i/>
          <w:iCs/>
          <w:sz w:val="6"/>
          <w:szCs w:val="18"/>
        </w:rPr>
        <w:t xml:space="preserve"> </w:t>
      </w:r>
      <w:r>
        <w:rPr>
          <w:rFonts w:hint="eastAsia" w:ascii="Times" w:hAnsi="Times"/>
          <w:szCs w:val="18"/>
        </w:rPr>
        <w:t>——</w:t>
      </w:r>
      <w:r>
        <w:rPr>
          <w:rFonts w:hint="eastAsia"/>
          <w:szCs w:val="18"/>
        </w:rPr>
        <w:t>超高值（mm）；</w:t>
      </w:r>
    </w:p>
    <w:p w14:paraId="115AD366">
      <w:pPr>
        <w:ind w:firstLine="577" w:firstLineChars="275"/>
        <w:rPr>
          <w:szCs w:val="18"/>
        </w:rPr>
      </w:pPr>
      <w:r>
        <w:rPr>
          <w:rFonts w:hint="eastAsia"/>
          <w:i/>
          <w:iCs/>
          <w:szCs w:val="18"/>
        </w:rPr>
        <w:t>v</w:t>
      </w:r>
      <w:r>
        <w:rPr>
          <w:rFonts w:hint="eastAsia"/>
          <w:szCs w:val="18"/>
          <w:vertAlign w:val="subscript"/>
        </w:rPr>
        <w:t>c</w:t>
      </w:r>
      <w:r>
        <w:rPr>
          <w:rFonts w:hint="eastAsia" w:ascii="Times" w:hAnsi="Times"/>
          <w:szCs w:val="18"/>
        </w:rPr>
        <w:t>——</w:t>
      </w:r>
      <w:r>
        <w:rPr>
          <w:rFonts w:hint="eastAsia"/>
          <w:szCs w:val="18"/>
        </w:rPr>
        <w:t>列车通过曲线的平均运行速度（km/h）；</w:t>
      </w:r>
    </w:p>
    <w:p w14:paraId="646CB18A">
      <w:pPr>
        <w:ind w:firstLine="621" w:firstLineChars="296"/>
        <w:rPr>
          <w:bCs/>
        </w:rPr>
      </w:pPr>
      <w:r>
        <w:rPr>
          <w:rFonts w:hint="eastAsia"/>
          <w:i/>
          <w:iCs/>
          <w:szCs w:val="18"/>
        </w:rPr>
        <w:t>R</w:t>
      </w:r>
      <w:r>
        <w:rPr>
          <w:rFonts w:hint="eastAsia" w:ascii="Times" w:hAnsi="Times"/>
          <w:szCs w:val="18"/>
        </w:rPr>
        <w:t>——</w:t>
      </w:r>
      <w:r>
        <w:rPr>
          <w:rFonts w:hint="eastAsia"/>
          <w:szCs w:val="18"/>
        </w:rPr>
        <w:t>曲线半径（m）。</w:t>
      </w:r>
    </w:p>
    <w:p w14:paraId="38E3F1E5">
      <w:pPr>
        <w:pStyle w:val="5"/>
      </w:pPr>
      <w:r>
        <w:t>曲线超高设置应符合下列规定：</w:t>
      </w:r>
    </w:p>
    <w:p w14:paraId="1BC3B436">
      <w:pPr>
        <w:numPr>
          <w:ilvl w:val="4"/>
          <w:numId w:val="1"/>
        </w:numPr>
        <w:tabs>
          <w:tab w:val="clear" w:pos="567"/>
        </w:tabs>
        <w:ind w:firstLine="420"/>
        <w:jc w:val="left"/>
        <w:outlineLvl w:val="4"/>
        <w:rPr>
          <w:bCs/>
          <w:szCs w:val="28"/>
        </w:rPr>
      </w:pPr>
      <w:r>
        <w:rPr>
          <w:bCs/>
          <w:szCs w:val="28"/>
        </w:rPr>
        <w:t>地下线曲线超高宜按半超高设置；高架线、地面线宜按全超高设置；</w:t>
      </w:r>
    </w:p>
    <w:p w14:paraId="3DE5432D">
      <w:pPr>
        <w:numPr>
          <w:ilvl w:val="4"/>
          <w:numId w:val="1"/>
        </w:numPr>
        <w:tabs>
          <w:tab w:val="clear" w:pos="567"/>
        </w:tabs>
        <w:ind w:firstLine="420"/>
        <w:jc w:val="left"/>
        <w:outlineLvl w:val="4"/>
        <w:rPr>
          <w:bCs/>
          <w:szCs w:val="28"/>
        </w:rPr>
      </w:pPr>
      <w:r>
        <w:rPr>
          <w:bCs/>
          <w:szCs w:val="28"/>
        </w:rPr>
        <w:t>曲线超高应在缓和曲线内递减。无缓和曲线时，应在直线段递减；</w:t>
      </w:r>
    </w:p>
    <w:p w14:paraId="1F4EDABC">
      <w:pPr>
        <w:numPr>
          <w:ilvl w:val="4"/>
          <w:numId w:val="1"/>
        </w:numPr>
        <w:tabs>
          <w:tab w:val="clear" w:pos="567"/>
        </w:tabs>
        <w:ind w:firstLine="420"/>
        <w:jc w:val="left"/>
        <w:outlineLvl w:val="4"/>
        <w:rPr>
          <w:bCs/>
          <w:szCs w:val="28"/>
        </w:rPr>
      </w:pPr>
      <w:r>
        <w:rPr>
          <w:bCs/>
          <w:szCs w:val="28"/>
        </w:rPr>
        <w:t>最高设计速度不大于100km/h,设置半超高的曲线超高顺坡率不宜大于2‰;最高设计速度</w:t>
      </w:r>
      <w:r>
        <w:rPr>
          <w:rFonts w:hint="eastAsia"/>
          <w:bCs/>
          <w:szCs w:val="28"/>
        </w:rPr>
        <w:t>为</w:t>
      </w:r>
      <w:r>
        <w:rPr>
          <w:bCs/>
          <w:szCs w:val="28"/>
        </w:rPr>
        <w:t>100~140km/h时，</w:t>
      </w:r>
      <w:r>
        <w:rPr>
          <w:rFonts w:hint="eastAsia"/>
          <w:bCs/>
          <w:szCs w:val="28"/>
        </w:rPr>
        <w:t>超高顺坡率不大于1/（</w:t>
      </w:r>
      <w:r>
        <w:rPr>
          <w:bCs/>
          <w:szCs w:val="28"/>
        </w:rPr>
        <w:t>8V</w:t>
      </w:r>
      <w:r>
        <w:rPr>
          <w:rFonts w:hint="eastAsia"/>
          <w:bCs/>
          <w:szCs w:val="28"/>
        </w:rPr>
        <w:t>），V为曲线的通过速度（单位为km</w:t>
      </w:r>
      <w:r>
        <w:rPr>
          <w:bCs/>
          <w:szCs w:val="28"/>
        </w:rPr>
        <w:t>/h</w:t>
      </w:r>
      <w:r>
        <w:rPr>
          <w:rFonts w:hint="eastAsia"/>
          <w:bCs/>
          <w:szCs w:val="28"/>
        </w:rPr>
        <w:t>）。</w:t>
      </w:r>
    </w:p>
    <w:p w14:paraId="2F2A196B">
      <w:pPr>
        <w:pStyle w:val="5"/>
      </w:pPr>
      <w:r>
        <w:t>轨道结构高度应根据轨下基础及道床型式确定。表8.2.5</w:t>
      </w:r>
      <w:r>
        <w:rPr>
          <w:rFonts w:hint="eastAsia"/>
        </w:rPr>
        <w:t>为轨道结构高度的最大值</w:t>
      </w:r>
      <w:r>
        <w:t>。</w:t>
      </w:r>
    </w:p>
    <w:p w14:paraId="7D1DDD68">
      <w:pPr>
        <w:pStyle w:val="198"/>
        <w:rPr>
          <w:kern w:val="0"/>
          <w:sz w:val="15"/>
          <w:szCs w:val="15"/>
        </w:rPr>
      </w:pPr>
      <w:r>
        <w:t>表8.2.5</w:t>
      </w:r>
      <w:r>
        <w:rPr>
          <w:rFonts w:hint="eastAsia"/>
        </w:rPr>
        <w:t xml:space="preserve"> </w:t>
      </w:r>
      <w:r>
        <w:t>无砟轨道地段的轨道结构高度（mm）</w:t>
      </w:r>
    </w:p>
    <w:tbl>
      <w:tblPr>
        <w:tblStyle w:val="88"/>
        <w:tblW w:w="6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200"/>
        <w:gridCol w:w="1211"/>
        <w:gridCol w:w="1160"/>
        <w:gridCol w:w="1339"/>
      </w:tblGrid>
      <w:tr w14:paraId="0DF7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30"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DC3E02E">
            <w:pPr>
              <w:autoSpaceDE w:val="0"/>
              <w:autoSpaceDN w:val="0"/>
              <w:spacing w:line="240" w:lineRule="auto"/>
              <w:jc w:val="center"/>
              <w:rPr>
                <w:kern w:val="0"/>
                <w:sz w:val="15"/>
                <w:szCs w:val="15"/>
              </w:rPr>
            </w:pPr>
            <w:r>
              <w:rPr>
                <w:kern w:val="0"/>
                <w:sz w:val="15"/>
                <w:szCs w:val="15"/>
              </w:rPr>
              <w:t>结构型式</w:t>
            </w:r>
          </w:p>
        </w:tc>
        <w:tc>
          <w:tcPr>
            <w:tcW w:w="24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E7C3939">
            <w:pPr>
              <w:autoSpaceDE w:val="0"/>
              <w:autoSpaceDN w:val="0"/>
              <w:spacing w:line="240" w:lineRule="auto"/>
              <w:jc w:val="center"/>
              <w:rPr>
                <w:kern w:val="0"/>
                <w:sz w:val="15"/>
                <w:szCs w:val="15"/>
              </w:rPr>
            </w:pPr>
            <w:r>
              <w:rPr>
                <w:kern w:val="0"/>
                <w:sz w:val="15"/>
                <w:szCs w:val="15"/>
              </w:rPr>
              <w:t>现浇道床</w:t>
            </w:r>
          </w:p>
        </w:tc>
        <w:tc>
          <w:tcPr>
            <w:tcW w:w="2499"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EAC2AEE">
            <w:pPr>
              <w:autoSpaceDE w:val="0"/>
              <w:autoSpaceDN w:val="0"/>
              <w:spacing w:line="240" w:lineRule="auto"/>
              <w:jc w:val="center"/>
              <w:rPr>
                <w:kern w:val="0"/>
                <w:sz w:val="15"/>
                <w:szCs w:val="15"/>
              </w:rPr>
            </w:pPr>
            <w:r>
              <w:rPr>
                <w:rFonts w:hint="eastAsia"/>
                <w:kern w:val="0"/>
                <w:sz w:val="15"/>
                <w:szCs w:val="15"/>
              </w:rPr>
              <w:t>装配式（或</w:t>
            </w:r>
            <w:r>
              <w:rPr>
                <w:kern w:val="0"/>
                <w:sz w:val="15"/>
                <w:szCs w:val="15"/>
              </w:rPr>
              <w:t>预制板</w:t>
            </w:r>
            <w:r>
              <w:rPr>
                <w:rFonts w:hint="eastAsia"/>
                <w:kern w:val="0"/>
                <w:sz w:val="15"/>
                <w:szCs w:val="15"/>
              </w:rPr>
              <w:t>）</w:t>
            </w:r>
            <w:r>
              <w:rPr>
                <w:kern w:val="0"/>
                <w:sz w:val="15"/>
                <w:szCs w:val="15"/>
              </w:rPr>
              <w:t>道床</w:t>
            </w:r>
          </w:p>
        </w:tc>
      </w:tr>
      <w:tr w14:paraId="7225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30"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514EE6D">
            <w:pPr>
              <w:autoSpaceDE w:val="0"/>
              <w:autoSpaceDN w:val="0"/>
              <w:spacing w:line="240" w:lineRule="auto"/>
              <w:jc w:val="center"/>
              <w:rPr>
                <w:kern w:val="0"/>
                <w:sz w:val="15"/>
                <w:szCs w:val="15"/>
              </w:rPr>
            </w:pPr>
          </w:p>
        </w:tc>
        <w:tc>
          <w:tcPr>
            <w:tcW w:w="12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F0BCA60">
            <w:pPr>
              <w:autoSpaceDE w:val="0"/>
              <w:autoSpaceDN w:val="0"/>
              <w:spacing w:line="240" w:lineRule="auto"/>
              <w:jc w:val="center"/>
              <w:rPr>
                <w:kern w:val="0"/>
                <w:sz w:val="15"/>
                <w:szCs w:val="15"/>
              </w:rPr>
            </w:pPr>
            <w:r>
              <w:rPr>
                <w:kern w:val="0"/>
                <w:sz w:val="15"/>
                <w:szCs w:val="15"/>
              </w:rPr>
              <w:t>一般或中等减振</w:t>
            </w:r>
          </w:p>
        </w:tc>
        <w:tc>
          <w:tcPr>
            <w:tcW w:w="12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25FAB9A">
            <w:pPr>
              <w:autoSpaceDE w:val="0"/>
              <w:autoSpaceDN w:val="0"/>
              <w:spacing w:line="240" w:lineRule="auto"/>
              <w:jc w:val="center"/>
              <w:rPr>
                <w:kern w:val="0"/>
                <w:sz w:val="15"/>
                <w:szCs w:val="15"/>
              </w:rPr>
            </w:pPr>
            <w:r>
              <w:rPr>
                <w:kern w:val="0"/>
                <w:sz w:val="15"/>
                <w:szCs w:val="15"/>
              </w:rPr>
              <w:t>高等或特殊减振</w:t>
            </w:r>
          </w:p>
        </w:tc>
        <w:tc>
          <w:tcPr>
            <w:tcW w:w="116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B470DE8">
            <w:pPr>
              <w:autoSpaceDE w:val="0"/>
              <w:autoSpaceDN w:val="0"/>
              <w:spacing w:line="240" w:lineRule="auto"/>
              <w:jc w:val="center"/>
              <w:rPr>
                <w:kern w:val="0"/>
                <w:sz w:val="15"/>
                <w:szCs w:val="15"/>
              </w:rPr>
            </w:pPr>
            <w:r>
              <w:rPr>
                <w:kern w:val="0"/>
                <w:sz w:val="15"/>
                <w:szCs w:val="15"/>
              </w:rPr>
              <w:t>一般或中等减振</w:t>
            </w:r>
          </w:p>
        </w:tc>
        <w:tc>
          <w:tcPr>
            <w:tcW w:w="1339"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FED6AC1">
            <w:pPr>
              <w:autoSpaceDE w:val="0"/>
              <w:autoSpaceDN w:val="0"/>
              <w:spacing w:line="240" w:lineRule="auto"/>
              <w:jc w:val="center"/>
              <w:rPr>
                <w:kern w:val="0"/>
                <w:sz w:val="15"/>
                <w:szCs w:val="15"/>
              </w:rPr>
            </w:pPr>
            <w:r>
              <w:rPr>
                <w:kern w:val="0"/>
                <w:sz w:val="15"/>
                <w:szCs w:val="15"/>
              </w:rPr>
              <w:t>高等或特殊减振</w:t>
            </w:r>
          </w:p>
        </w:tc>
      </w:tr>
      <w:tr w14:paraId="6677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7B41671">
            <w:pPr>
              <w:autoSpaceDE w:val="0"/>
              <w:autoSpaceDN w:val="0"/>
              <w:spacing w:line="240" w:lineRule="auto"/>
              <w:jc w:val="center"/>
              <w:rPr>
                <w:kern w:val="0"/>
                <w:sz w:val="15"/>
                <w:szCs w:val="15"/>
              </w:rPr>
            </w:pPr>
            <w:r>
              <w:rPr>
                <w:kern w:val="0"/>
                <w:sz w:val="15"/>
                <w:szCs w:val="15"/>
              </w:rPr>
              <w:t>矩形隧道、双线马蹄型隧道（仰拱回填）</w:t>
            </w:r>
          </w:p>
        </w:tc>
        <w:tc>
          <w:tcPr>
            <w:tcW w:w="12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2CDA638">
            <w:pPr>
              <w:autoSpaceDE w:val="0"/>
              <w:autoSpaceDN w:val="0"/>
              <w:spacing w:line="240" w:lineRule="auto"/>
              <w:jc w:val="center"/>
              <w:rPr>
                <w:kern w:val="0"/>
                <w:sz w:val="15"/>
                <w:szCs w:val="15"/>
              </w:rPr>
            </w:pPr>
            <w:r>
              <w:rPr>
                <w:kern w:val="0"/>
                <w:sz w:val="15"/>
                <w:szCs w:val="15"/>
              </w:rPr>
              <w:t>560</w:t>
            </w:r>
          </w:p>
        </w:tc>
        <w:tc>
          <w:tcPr>
            <w:tcW w:w="12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66EA2E3">
            <w:pPr>
              <w:autoSpaceDE w:val="0"/>
              <w:autoSpaceDN w:val="0"/>
              <w:spacing w:line="240" w:lineRule="auto"/>
              <w:jc w:val="center"/>
              <w:rPr>
                <w:kern w:val="0"/>
                <w:sz w:val="15"/>
                <w:szCs w:val="15"/>
              </w:rPr>
            </w:pPr>
            <w:r>
              <w:rPr>
                <w:kern w:val="0"/>
                <w:sz w:val="15"/>
                <w:szCs w:val="15"/>
              </w:rPr>
              <w:t>750</w:t>
            </w:r>
          </w:p>
        </w:tc>
        <w:tc>
          <w:tcPr>
            <w:tcW w:w="116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D6BB1B5">
            <w:pPr>
              <w:autoSpaceDE w:val="0"/>
              <w:autoSpaceDN w:val="0"/>
              <w:spacing w:line="240" w:lineRule="auto"/>
              <w:jc w:val="center"/>
              <w:rPr>
                <w:kern w:val="0"/>
                <w:sz w:val="15"/>
                <w:szCs w:val="15"/>
              </w:rPr>
            </w:pPr>
            <w:r>
              <w:rPr>
                <w:kern w:val="0"/>
                <w:sz w:val="15"/>
                <w:szCs w:val="15"/>
              </w:rPr>
              <w:t>560~650</w:t>
            </w:r>
          </w:p>
        </w:tc>
        <w:tc>
          <w:tcPr>
            <w:tcW w:w="1339"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78D6563">
            <w:pPr>
              <w:autoSpaceDE w:val="0"/>
              <w:autoSpaceDN w:val="0"/>
              <w:spacing w:line="240" w:lineRule="auto"/>
              <w:jc w:val="center"/>
              <w:rPr>
                <w:kern w:val="0"/>
                <w:sz w:val="15"/>
                <w:szCs w:val="15"/>
              </w:rPr>
            </w:pPr>
            <w:r>
              <w:rPr>
                <w:kern w:val="0"/>
                <w:sz w:val="15"/>
                <w:szCs w:val="15"/>
              </w:rPr>
              <w:t>750</w:t>
            </w:r>
          </w:p>
        </w:tc>
      </w:tr>
      <w:tr w14:paraId="3DA6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4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F58F306">
            <w:pPr>
              <w:autoSpaceDE w:val="0"/>
              <w:autoSpaceDN w:val="0"/>
              <w:spacing w:line="240" w:lineRule="auto"/>
              <w:jc w:val="center"/>
              <w:rPr>
                <w:kern w:val="0"/>
                <w:sz w:val="15"/>
                <w:szCs w:val="15"/>
              </w:rPr>
            </w:pPr>
            <w:r>
              <w:rPr>
                <w:kern w:val="0"/>
                <w:sz w:val="15"/>
                <w:szCs w:val="15"/>
              </w:rPr>
              <w:t>单线马蹄形隧道（仰拱不回填时）</w:t>
            </w:r>
          </w:p>
        </w:tc>
        <w:tc>
          <w:tcPr>
            <w:tcW w:w="12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26FF3AF">
            <w:pPr>
              <w:autoSpaceDE w:val="0"/>
              <w:autoSpaceDN w:val="0"/>
              <w:spacing w:line="240" w:lineRule="auto"/>
              <w:jc w:val="center"/>
              <w:rPr>
                <w:kern w:val="0"/>
                <w:sz w:val="15"/>
                <w:szCs w:val="15"/>
              </w:rPr>
            </w:pPr>
            <w:r>
              <w:rPr>
                <w:kern w:val="0"/>
                <w:sz w:val="15"/>
                <w:szCs w:val="15"/>
              </w:rPr>
              <w:t>650</w:t>
            </w:r>
          </w:p>
        </w:tc>
        <w:tc>
          <w:tcPr>
            <w:tcW w:w="12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BE47DDA">
            <w:pPr>
              <w:autoSpaceDE w:val="0"/>
              <w:autoSpaceDN w:val="0"/>
              <w:spacing w:line="240" w:lineRule="auto"/>
              <w:jc w:val="center"/>
              <w:rPr>
                <w:kern w:val="0"/>
                <w:sz w:val="15"/>
                <w:szCs w:val="15"/>
              </w:rPr>
            </w:pPr>
            <w:r>
              <w:rPr>
                <w:kern w:val="0"/>
                <w:sz w:val="15"/>
                <w:szCs w:val="15"/>
              </w:rPr>
              <w:t>840</w:t>
            </w:r>
          </w:p>
        </w:tc>
        <w:tc>
          <w:tcPr>
            <w:tcW w:w="116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7BD0903">
            <w:pPr>
              <w:autoSpaceDE w:val="0"/>
              <w:autoSpaceDN w:val="0"/>
              <w:spacing w:line="240" w:lineRule="auto"/>
              <w:jc w:val="center"/>
              <w:rPr>
                <w:kern w:val="0"/>
                <w:sz w:val="15"/>
                <w:szCs w:val="15"/>
              </w:rPr>
            </w:pPr>
            <w:r>
              <w:rPr>
                <w:kern w:val="0"/>
                <w:sz w:val="15"/>
                <w:szCs w:val="15"/>
              </w:rPr>
              <w:t>650</w:t>
            </w:r>
          </w:p>
        </w:tc>
        <w:tc>
          <w:tcPr>
            <w:tcW w:w="1339"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A0F7275">
            <w:pPr>
              <w:autoSpaceDE w:val="0"/>
              <w:autoSpaceDN w:val="0"/>
              <w:spacing w:line="240" w:lineRule="auto"/>
              <w:jc w:val="center"/>
              <w:rPr>
                <w:kern w:val="0"/>
                <w:sz w:val="15"/>
                <w:szCs w:val="15"/>
              </w:rPr>
            </w:pPr>
            <w:r>
              <w:rPr>
                <w:kern w:val="0"/>
                <w:sz w:val="15"/>
                <w:szCs w:val="15"/>
              </w:rPr>
              <w:t>840</w:t>
            </w:r>
          </w:p>
        </w:tc>
      </w:tr>
      <w:tr w14:paraId="2B54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4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5D71CD0">
            <w:pPr>
              <w:autoSpaceDE w:val="0"/>
              <w:autoSpaceDN w:val="0"/>
              <w:spacing w:line="240" w:lineRule="auto"/>
              <w:jc w:val="center"/>
              <w:rPr>
                <w:kern w:val="0"/>
                <w:sz w:val="15"/>
                <w:szCs w:val="15"/>
              </w:rPr>
            </w:pPr>
            <w:r>
              <w:rPr>
                <w:kern w:val="0"/>
                <w:sz w:val="15"/>
                <w:szCs w:val="15"/>
              </w:rPr>
              <w:t>单线圆形隧道</w:t>
            </w:r>
          </w:p>
        </w:tc>
        <w:tc>
          <w:tcPr>
            <w:tcW w:w="12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8792FD3">
            <w:pPr>
              <w:autoSpaceDE w:val="0"/>
              <w:autoSpaceDN w:val="0"/>
              <w:spacing w:line="240" w:lineRule="auto"/>
              <w:jc w:val="center"/>
              <w:rPr>
                <w:kern w:val="0"/>
                <w:sz w:val="15"/>
                <w:szCs w:val="15"/>
              </w:rPr>
            </w:pPr>
            <w:r>
              <w:rPr>
                <w:kern w:val="0"/>
                <w:sz w:val="15"/>
                <w:szCs w:val="15"/>
              </w:rPr>
              <w:t>760</w:t>
            </w:r>
          </w:p>
        </w:tc>
        <w:tc>
          <w:tcPr>
            <w:tcW w:w="12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C2CB0CF">
            <w:pPr>
              <w:autoSpaceDE w:val="0"/>
              <w:autoSpaceDN w:val="0"/>
              <w:spacing w:line="240" w:lineRule="auto"/>
              <w:jc w:val="center"/>
              <w:rPr>
                <w:kern w:val="0"/>
                <w:sz w:val="15"/>
                <w:szCs w:val="15"/>
              </w:rPr>
            </w:pPr>
            <w:r>
              <w:rPr>
                <w:kern w:val="0"/>
                <w:sz w:val="15"/>
                <w:szCs w:val="15"/>
              </w:rPr>
              <w:t>850</w:t>
            </w:r>
          </w:p>
        </w:tc>
        <w:tc>
          <w:tcPr>
            <w:tcW w:w="116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987B20B">
            <w:pPr>
              <w:autoSpaceDE w:val="0"/>
              <w:autoSpaceDN w:val="0"/>
              <w:spacing w:line="240" w:lineRule="auto"/>
              <w:jc w:val="center"/>
              <w:rPr>
                <w:kern w:val="0"/>
                <w:sz w:val="15"/>
                <w:szCs w:val="15"/>
              </w:rPr>
            </w:pPr>
            <w:r>
              <w:rPr>
                <w:kern w:val="0"/>
                <w:sz w:val="15"/>
                <w:szCs w:val="15"/>
              </w:rPr>
              <w:t>800</w:t>
            </w:r>
          </w:p>
        </w:tc>
        <w:tc>
          <w:tcPr>
            <w:tcW w:w="1339"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5C6165A">
            <w:pPr>
              <w:autoSpaceDE w:val="0"/>
              <w:autoSpaceDN w:val="0"/>
              <w:spacing w:line="240" w:lineRule="auto"/>
              <w:jc w:val="center"/>
              <w:rPr>
                <w:kern w:val="0"/>
                <w:sz w:val="15"/>
                <w:szCs w:val="15"/>
              </w:rPr>
            </w:pPr>
            <w:r>
              <w:rPr>
                <w:kern w:val="0"/>
                <w:sz w:val="15"/>
                <w:szCs w:val="15"/>
              </w:rPr>
              <w:t>850</w:t>
            </w:r>
          </w:p>
        </w:tc>
      </w:tr>
      <w:tr w14:paraId="6D75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074D853">
            <w:pPr>
              <w:autoSpaceDE w:val="0"/>
              <w:autoSpaceDN w:val="0"/>
              <w:spacing w:line="240" w:lineRule="auto"/>
              <w:jc w:val="center"/>
              <w:rPr>
                <w:kern w:val="0"/>
                <w:sz w:val="15"/>
                <w:szCs w:val="15"/>
              </w:rPr>
            </w:pPr>
            <w:r>
              <w:rPr>
                <w:kern w:val="0"/>
                <w:sz w:val="15"/>
                <w:szCs w:val="15"/>
              </w:rPr>
              <w:t>高架桥</w:t>
            </w:r>
          </w:p>
        </w:tc>
        <w:tc>
          <w:tcPr>
            <w:tcW w:w="12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D9BC80F">
            <w:pPr>
              <w:autoSpaceDE w:val="0"/>
              <w:autoSpaceDN w:val="0"/>
              <w:spacing w:line="240" w:lineRule="auto"/>
              <w:jc w:val="center"/>
              <w:rPr>
                <w:kern w:val="0"/>
                <w:sz w:val="15"/>
                <w:szCs w:val="15"/>
              </w:rPr>
            </w:pPr>
            <w:r>
              <w:rPr>
                <w:kern w:val="0"/>
                <w:sz w:val="15"/>
                <w:szCs w:val="15"/>
              </w:rPr>
              <w:t>520</w:t>
            </w:r>
          </w:p>
        </w:tc>
        <w:tc>
          <w:tcPr>
            <w:tcW w:w="12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C56D478">
            <w:pPr>
              <w:autoSpaceDE w:val="0"/>
              <w:autoSpaceDN w:val="0"/>
              <w:spacing w:line="240" w:lineRule="auto"/>
              <w:jc w:val="center"/>
              <w:rPr>
                <w:kern w:val="0"/>
                <w:sz w:val="15"/>
                <w:szCs w:val="15"/>
              </w:rPr>
            </w:pPr>
            <w:r>
              <w:rPr>
                <w:kern w:val="0"/>
                <w:sz w:val="15"/>
                <w:szCs w:val="15"/>
              </w:rPr>
              <w:t>650</w:t>
            </w:r>
          </w:p>
        </w:tc>
        <w:tc>
          <w:tcPr>
            <w:tcW w:w="116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A21E487">
            <w:pPr>
              <w:autoSpaceDE w:val="0"/>
              <w:autoSpaceDN w:val="0"/>
              <w:spacing w:line="240" w:lineRule="auto"/>
              <w:jc w:val="center"/>
              <w:rPr>
                <w:kern w:val="0"/>
                <w:sz w:val="15"/>
                <w:szCs w:val="15"/>
              </w:rPr>
            </w:pPr>
            <w:r>
              <w:rPr>
                <w:kern w:val="0"/>
                <w:sz w:val="15"/>
                <w:szCs w:val="15"/>
              </w:rPr>
              <w:t>520~650</w:t>
            </w:r>
          </w:p>
        </w:tc>
        <w:tc>
          <w:tcPr>
            <w:tcW w:w="1339"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148B5DB">
            <w:pPr>
              <w:autoSpaceDE w:val="0"/>
              <w:autoSpaceDN w:val="0"/>
              <w:spacing w:line="240" w:lineRule="auto"/>
              <w:jc w:val="center"/>
              <w:rPr>
                <w:kern w:val="0"/>
                <w:sz w:val="15"/>
                <w:szCs w:val="15"/>
              </w:rPr>
            </w:pPr>
            <w:r>
              <w:rPr>
                <w:kern w:val="0"/>
                <w:sz w:val="15"/>
                <w:szCs w:val="15"/>
              </w:rPr>
              <w:t>520~650</w:t>
            </w:r>
          </w:p>
        </w:tc>
      </w:tr>
    </w:tbl>
    <w:p w14:paraId="4D5090C7">
      <w:pPr>
        <w:spacing w:line="240" w:lineRule="auto"/>
        <w:ind w:left="945" w:leftChars="200" w:hanging="525" w:hangingChars="350"/>
        <w:jc w:val="left"/>
        <w:rPr>
          <w:sz w:val="15"/>
          <w:szCs w:val="15"/>
        </w:rPr>
      </w:pPr>
      <w:r>
        <w:rPr>
          <w:sz w:val="15"/>
          <w:szCs w:val="15"/>
        </w:rPr>
        <w:t>注：1</w:t>
      </w:r>
      <w:r>
        <w:rPr>
          <w:rFonts w:hint="eastAsia"/>
          <w:sz w:val="15"/>
          <w:szCs w:val="15"/>
        </w:rPr>
        <w:t xml:space="preserve">  </w:t>
      </w:r>
      <w:r>
        <w:rPr>
          <w:sz w:val="15"/>
          <w:szCs w:val="15"/>
        </w:rPr>
        <w:t>圆形隧道以盾构内径5.5m为例，盾构内径不同时可根据工程条件调整轨道结构高度。</w:t>
      </w:r>
    </w:p>
    <w:p w14:paraId="26CEFDEF">
      <w:pPr>
        <w:spacing w:line="240" w:lineRule="auto"/>
        <w:ind w:firstLine="750" w:firstLineChars="500"/>
        <w:jc w:val="left"/>
        <w:rPr>
          <w:rFonts w:ascii="宋体" w:hAnsi="宋体" w:cs="宋体"/>
          <w:sz w:val="15"/>
          <w:szCs w:val="15"/>
        </w:rPr>
      </w:pPr>
      <w:r>
        <w:rPr>
          <w:sz w:val="15"/>
          <w:szCs w:val="15"/>
        </w:rPr>
        <w:t>2</w:t>
      </w:r>
      <w:r>
        <w:rPr>
          <w:rFonts w:hint="eastAsia"/>
          <w:sz w:val="15"/>
          <w:szCs w:val="15"/>
        </w:rPr>
        <w:t xml:space="preserve">  </w:t>
      </w:r>
      <w:r>
        <w:rPr>
          <w:sz w:val="15"/>
          <w:szCs w:val="15"/>
        </w:rPr>
        <w:t>预制板轨道结构高度可结合预制轨道结构类型适当调整。</w:t>
      </w:r>
    </w:p>
    <w:p w14:paraId="6DF072EB">
      <w:pPr>
        <w:pStyle w:val="5"/>
      </w:pPr>
      <w:r>
        <w:t>轨枕及扣件铺设数量应</w:t>
      </w:r>
      <w:r>
        <w:rPr>
          <w:rFonts w:hint="eastAsia"/>
        </w:rPr>
        <w:t>不低于</w:t>
      </w:r>
      <w:r>
        <w:t>表8.2.6的规定，减振轨道结构扣件铺设数量应经轮轨耦合动力学分析计算确定，且应按级加密。洗车线、立柱式检查坑的扣件间距分别不宜大于1000mm、1250mm。</w:t>
      </w:r>
    </w:p>
    <w:p w14:paraId="3C758AF2">
      <w:pPr>
        <w:pStyle w:val="198"/>
      </w:pPr>
      <w:r>
        <w:t>表8.2.6</w:t>
      </w:r>
      <w:r>
        <w:rPr>
          <w:rFonts w:hint="eastAsia"/>
        </w:rPr>
        <w:t xml:space="preserve">  </w:t>
      </w:r>
      <w:r>
        <w:t>轨枕及扣件铺设数量(对/km)</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2"/>
        <w:gridCol w:w="1548"/>
        <w:gridCol w:w="1427"/>
        <w:gridCol w:w="898"/>
        <w:gridCol w:w="885"/>
      </w:tblGrid>
      <w:tr w14:paraId="62D5D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00" w:hRule="atLeast"/>
        </w:trPr>
        <w:tc>
          <w:tcPr>
            <w:tcW w:w="1582" w:type="dxa"/>
            <w:vMerge w:val="restart"/>
            <w:tcBorders>
              <w:left w:val="single" w:color="000000" w:sz="6" w:space="0"/>
              <w:bottom w:val="nil"/>
            </w:tcBorders>
            <w:vAlign w:val="center"/>
          </w:tcPr>
          <w:p w14:paraId="04603D36">
            <w:pPr>
              <w:autoSpaceDE w:val="0"/>
              <w:autoSpaceDN w:val="0"/>
              <w:spacing w:line="240" w:lineRule="auto"/>
              <w:jc w:val="center"/>
              <w:rPr>
                <w:kern w:val="0"/>
                <w:sz w:val="15"/>
                <w:szCs w:val="15"/>
              </w:rPr>
            </w:pPr>
            <w:r>
              <w:rPr>
                <w:kern w:val="0"/>
                <w:sz w:val="15"/>
                <w:szCs w:val="15"/>
              </w:rPr>
              <w:t>道床型式</w:t>
            </w:r>
          </w:p>
        </w:tc>
        <w:tc>
          <w:tcPr>
            <w:tcW w:w="2975" w:type="dxa"/>
            <w:gridSpan w:val="2"/>
            <w:vAlign w:val="center"/>
          </w:tcPr>
          <w:p w14:paraId="7B18E52E">
            <w:pPr>
              <w:autoSpaceDE w:val="0"/>
              <w:autoSpaceDN w:val="0"/>
              <w:spacing w:line="240" w:lineRule="auto"/>
              <w:jc w:val="center"/>
              <w:rPr>
                <w:kern w:val="0"/>
                <w:sz w:val="15"/>
                <w:szCs w:val="15"/>
              </w:rPr>
            </w:pPr>
            <w:r>
              <w:rPr>
                <w:kern w:val="0"/>
                <w:sz w:val="15"/>
                <w:szCs w:val="15"/>
              </w:rPr>
              <w:t>正线、出入线</w:t>
            </w:r>
            <w:r>
              <w:rPr>
                <w:rFonts w:hint="eastAsia"/>
                <w:kern w:val="0"/>
                <w:sz w:val="15"/>
                <w:szCs w:val="15"/>
              </w:rPr>
              <w:t>、试车线</w:t>
            </w:r>
          </w:p>
        </w:tc>
        <w:tc>
          <w:tcPr>
            <w:tcW w:w="898" w:type="dxa"/>
            <w:vMerge w:val="restart"/>
            <w:tcBorders>
              <w:bottom w:val="nil"/>
            </w:tcBorders>
            <w:vAlign w:val="center"/>
          </w:tcPr>
          <w:p w14:paraId="051D0821">
            <w:pPr>
              <w:autoSpaceDE w:val="0"/>
              <w:autoSpaceDN w:val="0"/>
              <w:spacing w:line="240" w:lineRule="auto"/>
              <w:jc w:val="center"/>
              <w:rPr>
                <w:kern w:val="0"/>
                <w:sz w:val="15"/>
                <w:szCs w:val="15"/>
              </w:rPr>
            </w:pPr>
          </w:p>
          <w:p w14:paraId="45CD9B8D">
            <w:pPr>
              <w:autoSpaceDE w:val="0"/>
              <w:autoSpaceDN w:val="0"/>
              <w:spacing w:line="240" w:lineRule="auto"/>
              <w:jc w:val="center"/>
              <w:rPr>
                <w:kern w:val="0"/>
                <w:sz w:val="15"/>
                <w:szCs w:val="15"/>
              </w:rPr>
            </w:pPr>
            <w:r>
              <w:rPr>
                <w:kern w:val="0"/>
                <w:sz w:val="15"/>
                <w:szCs w:val="15"/>
              </w:rPr>
              <w:t>配线</w:t>
            </w:r>
          </w:p>
        </w:tc>
        <w:tc>
          <w:tcPr>
            <w:tcW w:w="885" w:type="dxa"/>
            <w:vMerge w:val="restart"/>
            <w:tcBorders>
              <w:bottom w:val="nil"/>
              <w:right w:val="single" w:color="000000" w:sz="6" w:space="0"/>
            </w:tcBorders>
            <w:vAlign w:val="center"/>
          </w:tcPr>
          <w:p w14:paraId="7BD54796">
            <w:pPr>
              <w:autoSpaceDE w:val="0"/>
              <w:autoSpaceDN w:val="0"/>
              <w:spacing w:line="240" w:lineRule="auto"/>
              <w:jc w:val="center"/>
              <w:rPr>
                <w:kern w:val="0"/>
                <w:sz w:val="15"/>
                <w:szCs w:val="15"/>
              </w:rPr>
            </w:pPr>
          </w:p>
          <w:p w14:paraId="40283DC1">
            <w:pPr>
              <w:autoSpaceDE w:val="0"/>
              <w:autoSpaceDN w:val="0"/>
              <w:spacing w:line="240" w:lineRule="auto"/>
              <w:jc w:val="center"/>
              <w:rPr>
                <w:kern w:val="0"/>
                <w:sz w:val="15"/>
                <w:szCs w:val="15"/>
              </w:rPr>
            </w:pPr>
            <w:r>
              <w:rPr>
                <w:rFonts w:hint="eastAsia"/>
                <w:kern w:val="0"/>
                <w:sz w:val="15"/>
                <w:szCs w:val="15"/>
              </w:rPr>
              <w:t>其他</w:t>
            </w:r>
            <w:r>
              <w:rPr>
                <w:kern w:val="0"/>
                <w:sz w:val="15"/>
                <w:szCs w:val="15"/>
              </w:rPr>
              <w:t>车场线</w:t>
            </w:r>
          </w:p>
        </w:tc>
      </w:tr>
      <w:tr w14:paraId="4C56F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9" w:hRule="atLeast"/>
        </w:trPr>
        <w:tc>
          <w:tcPr>
            <w:tcW w:w="1582" w:type="dxa"/>
            <w:vMerge w:val="continue"/>
            <w:tcBorders>
              <w:top w:val="nil"/>
              <w:left w:val="single" w:color="000000" w:sz="6" w:space="0"/>
            </w:tcBorders>
            <w:vAlign w:val="center"/>
          </w:tcPr>
          <w:p w14:paraId="4190B718">
            <w:pPr>
              <w:autoSpaceDE w:val="0"/>
              <w:autoSpaceDN w:val="0"/>
              <w:spacing w:line="240" w:lineRule="auto"/>
              <w:jc w:val="center"/>
              <w:rPr>
                <w:kern w:val="0"/>
                <w:sz w:val="15"/>
                <w:szCs w:val="15"/>
              </w:rPr>
            </w:pPr>
          </w:p>
        </w:tc>
        <w:tc>
          <w:tcPr>
            <w:tcW w:w="1548" w:type="dxa"/>
            <w:vAlign w:val="center"/>
          </w:tcPr>
          <w:p w14:paraId="67CCDC79">
            <w:pPr>
              <w:autoSpaceDE w:val="0"/>
              <w:autoSpaceDN w:val="0"/>
              <w:spacing w:line="240" w:lineRule="auto"/>
              <w:jc w:val="center"/>
              <w:rPr>
                <w:kern w:val="0"/>
                <w:sz w:val="15"/>
                <w:szCs w:val="15"/>
              </w:rPr>
            </w:pPr>
            <w:r>
              <w:rPr>
                <w:kern w:val="0"/>
                <w:sz w:val="15"/>
                <w:szCs w:val="15"/>
              </w:rPr>
              <w:t>直线及R&gt;400m、坡度i&lt;20‰</w:t>
            </w:r>
          </w:p>
        </w:tc>
        <w:tc>
          <w:tcPr>
            <w:tcW w:w="1427" w:type="dxa"/>
            <w:vAlign w:val="center"/>
          </w:tcPr>
          <w:p w14:paraId="3932F61C">
            <w:pPr>
              <w:autoSpaceDE w:val="0"/>
              <w:autoSpaceDN w:val="0"/>
              <w:spacing w:line="240" w:lineRule="auto"/>
              <w:jc w:val="center"/>
              <w:rPr>
                <w:kern w:val="0"/>
                <w:sz w:val="15"/>
                <w:szCs w:val="15"/>
              </w:rPr>
            </w:pPr>
            <w:r>
              <w:rPr>
                <w:kern w:val="0"/>
                <w:sz w:val="15"/>
                <w:szCs w:val="15"/>
              </w:rPr>
              <w:t>R≤400m或坡度i≥20‰</w:t>
            </w:r>
          </w:p>
        </w:tc>
        <w:tc>
          <w:tcPr>
            <w:tcW w:w="898" w:type="dxa"/>
            <w:vMerge w:val="continue"/>
            <w:tcBorders>
              <w:top w:val="nil"/>
            </w:tcBorders>
            <w:vAlign w:val="center"/>
          </w:tcPr>
          <w:p w14:paraId="73185614">
            <w:pPr>
              <w:autoSpaceDE w:val="0"/>
              <w:autoSpaceDN w:val="0"/>
              <w:spacing w:line="240" w:lineRule="auto"/>
              <w:jc w:val="center"/>
              <w:rPr>
                <w:kern w:val="0"/>
                <w:sz w:val="15"/>
                <w:szCs w:val="15"/>
              </w:rPr>
            </w:pPr>
          </w:p>
        </w:tc>
        <w:tc>
          <w:tcPr>
            <w:tcW w:w="885" w:type="dxa"/>
            <w:vMerge w:val="continue"/>
            <w:tcBorders>
              <w:top w:val="nil"/>
              <w:right w:val="single" w:color="000000" w:sz="6" w:space="0"/>
            </w:tcBorders>
            <w:vAlign w:val="center"/>
          </w:tcPr>
          <w:p w14:paraId="07AB292B">
            <w:pPr>
              <w:autoSpaceDE w:val="0"/>
              <w:autoSpaceDN w:val="0"/>
              <w:spacing w:line="240" w:lineRule="auto"/>
              <w:jc w:val="center"/>
              <w:rPr>
                <w:kern w:val="0"/>
                <w:sz w:val="15"/>
                <w:szCs w:val="15"/>
              </w:rPr>
            </w:pPr>
          </w:p>
        </w:tc>
      </w:tr>
      <w:tr w14:paraId="515F1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9" w:hRule="atLeast"/>
        </w:trPr>
        <w:tc>
          <w:tcPr>
            <w:tcW w:w="1582" w:type="dxa"/>
            <w:tcBorders>
              <w:left w:val="single" w:color="000000" w:sz="6" w:space="0"/>
            </w:tcBorders>
            <w:vAlign w:val="center"/>
          </w:tcPr>
          <w:p w14:paraId="3FA74FB9">
            <w:pPr>
              <w:autoSpaceDE w:val="0"/>
              <w:autoSpaceDN w:val="0"/>
              <w:spacing w:line="240" w:lineRule="auto"/>
              <w:jc w:val="center"/>
              <w:rPr>
                <w:kern w:val="0"/>
                <w:sz w:val="15"/>
                <w:szCs w:val="15"/>
              </w:rPr>
            </w:pPr>
            <w:r>
              <w:rPr>
                <w:kern w:val="0"/>
                <w:sz w:val="15"/>
                <w:szCs w:val="15"/>
              </w:rPr>
              <w:t>无砟道床</w:t>
            </w:r>
          </w:p>
        </w:tc>
        <w:tc>
          <w:tcPr>
            <w:tcW w:w="1548" w:type="dxa"/>
            <w:vAlign w:val="center"/>
          </w:tcPr>
          <w:p w14:paraId="10AA47FF">
            <w:pPr>
              <w:autoSpaceDE w:val="0"/>
              <w:autoSpaceDN w:val="0"/>
              <w:spacing w:line="240" w:lineRule="auto"/>
              <w:jc w:val="center"/>
              <w:rPr>
                <w:kern w:val="0"/>
                <w:sz w:val="15"/>
                <w:szCs w:val="15"/>
              </w:rPr>
            </w:pPr>
            <w:r>
              <w:rPr>
                <w:kern w:val="0"/>
                <w:sz w:val="15"/>
                <w:szCs w:val="15"/>
              </w:rPr>
              <w:t>1600~1680</w:t>
            </w:r>
          </w:p>
        </w:tc>
        <w:tc>
          <w:tcPr>
            <w:tcW w:w="1427" w:type="dxa"/>
            <w:vAlign w:val="center"/>
          </w:tcPr>
          <w:p w14:paraId="6F98C8AB">
            <w:pPr>
              <w:autoSpaceDE w:val="0"/>
              <w:autoSpaceDN w:val="0"/>
              <w:spacing w:line="240" w:lineRule="auto"/>
              <w:jc w:val="center"/>
              <w:rPr>
                <w:kern w:val="0"/>
                <w:sz w:val="15"/>
                <w:szCs w:val="15"/>
              </w:rPr>
            </w:pPr>
            <w:r>
              <w:rPr>
                <w:kern w:val="0"/>
                <w:sz w:val="15"/>
                <w:szCs w:val="15"/>
              </w:rPr>
              <w:t>1680~1760</w:t>
            </w:r>
          </w:p>
        </w:tc>
        <w:tc>
          <w:tcPr>
            <w:tcW w:w="898" w:type="dxa"/>
            <w:vAlign w:val="center"/>
          </w:tcPr>
          <w:p w14:paraId="53572974">
            <w:pPr>
              <w:autoSpaceDE w:val="0"/>
              <w:autoSpaceDN w:val="0"/>
              <w:spacing w:line="240" w:lineRule="auto"/>
              <w:jc w:val="center"/>
              <w:rPr>
                <w:kern w:val="0"/>
                <w:sz w:val="15"/>
                <w:szCs w:val="15"/>
              </w:rPr>
            </w:pPr>
            <w:r>
              <w:rPr>
                <w:kern w:val="0"/>
                <w:sz w:val="15"/>
                <w:szCs w:val="15"/>
              </w:rPr>
              <w:t>1600</w:t>
            </w:r>
          </w:p>
        </w:tc>
        <w:tc>
          <w:tcPr>
            <w:tcW w:w="885" w:type="dxa"/>
            <w:tcBorders>
              <w:right w:val="single" w:color="000000" w:sz="6" w:space="0"/>
            </w:tcBorders>
            <w:vAlign w:val="center"/>
          </w:tcPr>
          <w:p w14:paraId="51DE1F2E">
            <w:pPr>
              <w:autoSpaceDE w:val="0"/>
              <w:autoSpaceDN w:val="0"/>
              <w:spacing w:line="240" w:lineRule="auto"/>
              <w:jc w:val="center"/>
              <w:rPr>
                <w:kern w:val="0"/>
                <w:sz w:val="15"/>
                <w:szCs w:val="15"/>
              </w:rPr>
            </w:pPr>
            <w:r>
              <w:rPr>
                <w:kern w:val="0"/>
                <w:sz w:val="15"/>
                <w:szCs w:val="15"/>
              </w:rPr>
              <w:t>1440</w:t>
            </w:r>
          </w:p>
        </w:tc>
      </w:tr>
      <w:tr w14:paraId="445E2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4" w:hRule="atLeast"/>
        </w:trPr>
        <w:tc>
          <w:tcPr>
            <w:tcW w:w="1582" w:type="dxa"/>
            <w:tcBorders>
              <w:left w:val="single" w:color="000000" w:sz="6" w:space="0"/>
            </w:tcBorders>
            <w:vAlign w:val="center"/>
          </w:tcPr>
          <w:p w14:paraId="4740D392">
            <w:pPr>
              <w:autoSpaceDE w:val="0"/>
              <w:autoSpaceDN w:val="0"/>
              <w:spacing w:line="240" w:lineRule="auto"/>
              <w:jc w:val="center"/>
              <w:rPr>
                <w:kern w:val="0"/>
                <w:sz w:val="15"/>
                <w:szCs w:val="15"/>
              </w:rPr>
            </w:pPr>
            <w:r>
              <w:rPr>
                <w:kern w:val="0"/>
                <w:sz w:val="15"/>
                <w:szCs w:val="15"/>
              </w:rPr>
              <w:t>混凝土枕有砟道床</w:t>
            </w:r>
          </w:p>
        </w:tc>
        <w:tc>
          <w:tcPr>
            <w:tcW w:w="1548" w:type="dxa"/>
            <w:vAlign w:val="center"/>
          </w:tcPr>
          <w:p w14:paraId="1D0173A3">
            <w:pPr>
              <w:autoSpaceDE w:val="0"/>
              <w:autoSpaceDN w:val="0"/>
              <w:spacing w:line="240" w:lineRule="auto"/>
              <w:jc w:val="center"/>
              <w:rPr>
                <w:kern w:val="0"/>
                <w:sz w:val="15"/>
                <w:szCs w:val="15"/>
              </w:rPr>
            </w:pPr>
            <w:r>
              <w:rPr>
                <w:kern w:val="0"/>
                <w:sz w:val="15"/>
                <w:szCs w:val="15"/>
              </w:rPr>
              <w:t>1680</w:t>
            </w:r>
          </w:p>
        </w:tc>
        <w:tc>
          <w:tcPr>
            <w:tcW w:w="1427" w:type="dxa"/>
            <w:vAlign w:val="center"/>
          </w:tcPr>
          <w:p w14:paraId="5BBE07C2">
            <w:pPr>
              <w:autoSpaceDE w:val="0"/>
              <w:autoSpaceDN w:val="0"/>
              <w:spacing w:line="240" w:lineRule="auto"/>
              <w:jc w:val="center"/>
              <w:rPr>
                <w:kern w:val="0"/>
                <w:sz w:val="15"/>
                <w:szCs w:val="15"/>
              </w:rPr>
            </w:pPr>
            <w:r>
              <w:rPr>
                <w:kern w:val="0"/>
                <w:sz w:val="15"/>
                <w:szCs w:val="15"/>
              </w:rPr>
              <w:t>1680~1760</w:t>
            </w:r>
          </w:p>
        </w:tc>
        <w:tc>
          <w:tcPr>
            <w:tcW w:w="898" w:type="dxa"/>
            <w:vAlign w:val="center"/>
          </w:tcPr>
          <w:p w14:paraId="243C8BA0">
            <w:pPr>
              <w:autoSpaceDE w:val="0"/>
              <w:autoSpaceDN w:val="0"/>
              <w:spacing w:line="240" w:lineRule="auto"/>
              <w:jc w:val="center"/>
              <w:rPr>
                <w:kern w:val="0"/>
                <w:sz w:val="15"/>
                <w:szCs w:val="15"/>
              </w:rPr>
            </w:pPr>
            <w:r>
              <w:rPr>
                <w:kern w:val="0"/>
                <w:sz w:val="15"/>
                <w:szCs w:val="15"/>
              </w:rPr>
              <w:t>1680</w:t>
            </w:r>
          </w:p>
        </w:tc>
        <w:tc>
          <w:tcPr>
            <w:tcW w:w="885" w:type="dxa"/>
            <w:tcBorders>
              <w:right w:val="single" w:color="000000" w:sz="6" w:space="0"/>
            </w:tcBorders>
            <w:vAlign w:val="center"/>
          </w:tcPr>
          <w:p w14:paraId="41C52D0D">
            <w:pPr>
              <w:autoSpaceDE w:val="0"/>
              <w:autoSpaceDN w:val="0"/>
              <w:spacing w:line="240" w:lineRule="auto"/>
              <w:jc w:val="center"/>
              <w:rPr>
                <w:kern w:val="0"/>
                <w:sz w:val="15"/>
                <w:szCs w:val="15"/>
              </w:rPr>
            </w:pPr>
            <w:r>
              <w:rPr>
                <w:kern w:val="0"/>
                <w:sz w:val="15"/>
                <w:szCs w:val="15"/>
              </w:rPr>
              <w:t>1440</w:t>
            </w:r>
          </w:p>
        </w:tc>
      </w:tr>
      <w:tr w14:paraId="513E6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4" w:hRule="atLeast"/>
        </w:trPr>
        <w:tc>
          <w:tcPr>
            <w:tcW w:w="1582" w:type="dxa"/>
            <w:tcBorders>
              <w:left w:val="single" w:color="000000" w:sz="6" w:space="0"/>
            </w:tcBorders>
            <w:vAlign w:val="center"/>
          </w:tcPr>
          <w:p w14:paraId="6A1EBF21">
            <w:pPr>
              <w:autoSpaceDE w:val="0"/>
              <w:autoSpaceDN w:val="0"/>
              <w:spacing w:line="240" w:lineRule="auto"/>
              <w:jc w:val="center"/>
              <w:rPr>
                <w:kern w:val="0"/>
                <w:sz w:val="15"/>
                <w:szCs w:val="15"/>
              </w:rPr>
            </w:pPr>
            <w:r>
              <w:rPr>
                <w:kern w:val="0"/>
                <w:sz w:val="15"/>
                <w:szCs w:val="15"/>
              </w:rPr>
              <w:t>无缝线路混凝土枕有砟道床</w:t>
            </w:r>
          </w:p>
        </w:tc>
        <w:tc>
          <w:tcPr>
            <w:tcW w:w="1548" w:type="dxa"/>
            <w:vAlign w:val="center"/>
          </w:tcPr>
          <w:p w14:paraId="38974BD3">
            <w:pPr>
              <w:autoSpaceDE w:val="0"/>
              <w:autoSpaceDN w:val="0"/>
              <w:spacing w:line="240" w:lineRule="auto"/>
              <w:jc w:val="center"/>
              <w:rPr>
                <w:kern w:val="0"/>
                <w:sz w:val="15"/>
                <w:szCs w:val="15"/>
              </w:rPr>
            </w:pPr>
            <w:r>
              <w:rPr>
                <w:kern w:val="0"/>
                <w:sz w:val="15"/>
                <w:szCs w:val="15"/>
              </w:rPr>
              <w:t>1680~1760</w:t>
            </w:r>
          </w:p>
        </w:tc>
        <w:tc>
          <w:tcPr>
            <w:tcW w:w="1427" w:type="dxa"/>
            <w:vAlign w:val="center"/>
          </w:tcPr>
          <w:p w14:paraId="1F44BAA4">
            <w:pPr>
              <w:autoSpaceDE w:val="0"/>
              <w:autoSpaceDN w:val="0"/>
              <w:spacing w:line="240" w:lineRule="auto"/>
              <w:jc w:val="center"/>
              <w:rPr>
                <w:kern w:val="0"/>
                <w:sz w:val="15"/>
                <w:szCs w:val="15"/>
              </w:rPr>
            </w:pPr>
            <w:r>
              <w:rPr>
                <w:kern w:val="0"/>
                <w:sz w:val="15"/>
                <w:szCs w:val="15"/>
              </w:rPr>
              <w:t>1760~1840</w:t>
            </w:r>
          </w:p>
        </w:tc>
        <w:tc>
          <w:tcPr>
            <w:tcW w:w="898" w:type="dxa"/>
            <w:vAlign w:val="center"/>
          </w:tcPr>
          <w:p w14:paraId="2AB8E904">
            <w:pPr>
              <w:autoSpaceDE w:val="0"/>
              <w:autoSpaceDN w:val="0"/>
              <w:spacing w:line="240" w:lineRule="auto"/>
              <w:jc w:val="center"/>
              <w:rPr>
                <w:kern w:val="0"/>
                <w:sz w:val="15"/>
                <w:szCs w:val="15"/>
              </w:rPr>
            </w:pPr>
            <w:r>
              <w:rPr>
                <w:kern w:val="0"/>
                <w:sz w:val="15"/>
                <w:szCs w:val="15"/>
              </w:rPr>
              <w:t>—</w:t>
            </w:r>
          </w:p>
        </w:tc>
        <w:tc>
          <w:tcPr>
            <w:tcW w:w="885" w:type="dxa"/>
            <w:tcBorders>
              <w:right w:val="single" w:color="000000" w:sz="6" w:space="0"/>
            </w:tcBorders>
            <w:vAlign w:val="center"/>
          </w:tcPr>
          <w:p w14:paraId="12D00437">
            <w:pPr>
              <w:autoSpaceDE w:val="0"/>
              <w:autoSpaceDN w:val="0"/>
              <w:spacing w:line="240" w:lineRule="auto"/>
              <w:jc w:val="center"/>
              <w:rPr>
                <w:kern w:val="0"/>
                <w:sz w:val="15"/>
                <w:szCs w:val="15"/>
              </w:rPr>
            </w:pPr>
            <w:r>
              <w:rPr>
                <w:kern w:val="0"/>
                <w:sz w:val="15"/>
                <w:szCs w:val="15"/>
              </w:rPr>
              <w:t>—</w:t>
            </w:r>
          </w:p>
        </w:tc>
      </w:tr>
      <w:tr w14:paraId="309E0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8" w:hRule="atLeast"/>
        </w:trPr>
        <w:tc>
          <w:tcPr>
            <w:tcW w:w="1582" w:type="dxa"/>
            <w:tcBorders>
              <w:left w:val="single" w:color="000000" w:sz="6" w:space="0"/>
            </w:tcBorders>
            <w:vAlign w:val="center"/>
          </w:tcPr>
          <w:p w14:paraId="62652410">
            <w:pPr>
              <w:autoSpaceDE w:val="0"/>
              <w:autoSpaceDN w:val="0"/>
              <w:spacing w:line="240" w:lineRule="auto"/>
              <w:jc w:val="center"/>
              <w:rPr>
                <w:kern w:val="0"/>
                <w:sz w:val="15"/>
                <w:szCs w:val="15"/>
              </w:rPr>
            </w:pPr>
            <w:r>
              <w:rPr>
                <w:kern w:val="0"/>
                <w:sz w:val="15"/>
                <w:szCs w:val="15"/>
              </w:rPr>
              <w:t>木枕有砟道床</w:t>
            </w:r>
          </w:p>
        </w:tc>
        <w:tc>
          <w:tcPr>
            <w:tcW w:w="1548" w:type="dxa"/>
            <w:vAlign w:val="center"/>
          </w:tcPr>
          <w:p w14:paraId="5D2556B9">
            <w:pPr>
              <w:autoSpaceDE w:val="0"/>
              <w:autoSpaceDN w:val="0"/>
              <w:spacing w:line="240" w:lineRule="auto"/>
              <w:jc w:val="center"/>
              <w:rPr>
                <w:kern w:val="0"/>
                <w:sz w:val="15"/>
                <w:szCs w:val="15"/>
              </w:rPr>
            </w:pPr>
            <w:r>
              <w:rPr>
                <w:kern w:val="0"/>
                <w:sz w:val="15"/>
                <w:szCs w:val="15"/>
              </w:rPr>
              <w:t>1680~1760</w:t>
            </w:r>
          </w:p>
        </w:tc>
        <w:tc>
          <w:tcPr>
            <w:tcW w:w="1427" w:type="dxa"/>
            <w:vAlign w:val="center"/>
          </w:tcPr>
          <w:p w14:paraId="7C7CDA09">
            <w:pPr>
              <w:autoSpaceDE w:val="0"/>
              <w:autoSpaceDN w:val="0"/>
              <w:spacing w:line="240" w:lineRule="auto"/>
              <w:jc w:val="center"/>
              <w:rPr>
                <w:kern w:val="0"/>
                <w:sz w:val="15"/>
                <w:szCs w:val="15"/>
              </w:rPr>
            </w:pPr>
            <w:r>
              <w:rPr>
                <w:kern w:val="0"/>
                <w:sz w:val="15"/>
                <w:szCs w:val="15"/>
              </w:rPr>
              <w:t>1760~1840</w:t>
            </w:r>
          </w:p>
        </w:tc>
        <w:tc>
          <w:tcPr>
            <w:tcW w:w="898" w:type="dxa"/>
            <w:vAlign w:val="center"/>
          </w:tcPr>
          <w:p w14:paraId="5CC57B83">
            <w:pPr>
              <w:autoSpaceDE w:val="0"/>
              <w:autoSpaceDN w:val="0"/>
              <w:spacing w:line="240" w:lineRule="auto"/>
              <w:jc w:val="center"/>
              <w:rPr>
                <w:kern w:val="0"/>
                <w:sz w:val="15"/>
                <w:szCs w:val="15"/>
              </w:rPr>
            </w:pPr>
            <w:r>
              <w:rPr>
                <w:kern w:val="0"/>
                <w:sz w:val="15"/>
                <w:szCs w:val="15"/>
              </w:rPr>
              <w:t>1680</w:t>
            </w:r>
          </w:p>
        </w:tc>
        <w:tc>
          <w:tcPr>
            <w:tcW w:w="885" w:type="dxa"/>
            <w:tcBorders>
              <w:right w:val="single" w:color="000000" w:sz="6" w:space="0"/>
            </w:tcBorders>
            <w:vAlign w:val="center"/>
          </w:tcPr>
          <w:p w14:paraId="1F202E54">
            <w:pPr>
              <w:autoSpaceDE w:val="0"/>
              <w:autoSpaceDN w:val="0"/>
              <w:spacing w:line="240" w:lineRule="auto"/>
              <w:jc w:val="center"/>
              <w:rPr>
                <w:kern w:val="0"/>
                <w:sz w:val="15"/>
                <w:szCs w:val="15"/>
              </w:rPr>
            </w:pPr>
            <w:r>
              <w:rPr>
                <w:kern w:val="0"/>
                <w:sz w:val="15"/>
                <w:szCs w:val="15"/>
              </w:rPr>
              <w:t>1440</w:t>
            </w:r>
          </w:p>
        </w:tc>
      </w:tr>
    </w:tbl>
    <w:p w14:paraId="39C8958E">
      <w:pPr>
        <w:pStyle w:val="5"/>
      </w:pPr>
      <w:r>
        <w:t>线路开通运营前，应对</w:t>
      </w:r>
      <w:r>
        <w:rPr>
          <w:rFonts w:hint="eastAsia"/>
        </w:rPr>
        <w:t>线路进行精测，对轨道</w:t>
      </w:r>
      <w:r>
        <w:t>进行精调精测、钢轨预打磨。</w:t>
      </w:r>
    </w:p>
    <w:p w14:paraId="5F1E4A4A">
      <w:pPr>
        <w:pStyle w:val="5"/>
      </w:pPr>
      <w:r>
        <w:t>设计速度</w:t>
      </w:r>
      <w:r>
        <w:rPr>
          <w:rFonts w:hint="eastAsia"/>
        </w:rPr>
        <w:t>大</w:t>
      </w:r>
      <w:r>
        <w:t>于100km/h</w:t>
      </w:r>
      <w:r>
        <w:rPr>
          <w:rFonts w:hint="eastAsia"/>
        </w:rPr>
        <w:t>，轨道铺设精度满足《市域（郊）铁路设计规范》T</w:t>
      </w:r>
      <w:r>
        <w:t>B10624</w:t>
      </w:r>
      <w:r>
        <w:rPr>
          <w:rFonts w:hint="eastAsia"/>
        </w:rPr>
        <w:t>轨道静态铺设精度要求。</w:t>
      </w:r>
    </w:p>
    <w:p w14:paraId="2814F3B1">
      <w:pPr>
        <w:pStyle w:val="5"/>
      </w:pPr>
      <w:r>
        <w:rPr>
          <w:rFonts w:hint="eastAsia"/>
        </w:rPr>
        <w:t>每条线至少铺设一处实时监测点，应能监测：轮轨关系、钢轨位移、隧道振动等。</w:t>
      </w:r>
    </w:p>
    <w:p w14:paraId="46D59BFA">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328" w:name="_Toc183882069"/>
      <w:bookmarkStart w:id="329" w:name="_Toc168059389"/>
      <w:bookmarkStart w:id="330" w:name="_Toc181796373"/>
      <w:bookmarkStart w:id="331" w:name="_Toc183765078"/>
      <w:bookmarkStart w:id="332" w:name="_Toc183790508"/>
      <w:bookmarkStart w:id="333" w:name="_Toc183882431"/>
      <w:bookmarkStart w:id="334" w:name="_Toc183888121"/>
      <w:bookmarkStart w:id="335" w:name="_Toc174612447"/>
      <w:bookmarkStart w:id="336" w:name="_Toc174611643"/>
      <w:bookmarkStart w:id="337" w:name="_Toc168061645"/>
      <w:bookmarkStart w:id="338" w:name="_Toc168061198"/>
      <w:bookmarkStart w:id="339" w:name="_Toc183888483"/>
      <w:r>
        <w:rPr>
          <w:rFonts w:eastAsia="黑体"/>
          <w:bCs/>
          <w:szCs w:val="28"/>
        </w:rPr>
        <w:t>轨道部件</w:t>
      </w:r>
      <w:bookmarkEnd w:id="328"/>
      <w:bookmarkEnd w:id="329"/>
      <w:bookmarkEnd w:id="330"/>
      <w:bookmarkEnd w:id="331"/>
      <w:bookmarkEnd w:id="332"/>
      <w:bookmarkEnd w:id="333"/>
      <w:bookmarkEnd w:id="334"/>
      <w:bookmarkEnd w:id="335"/>
      <w:bookmarkEnd w:id="336"/>
      <w:bookmarkEnd w:id="337"/>
      <w:bookmarkEnd w:id="338"/>
      <w:bookmarkEnd w:id="339"/>
    </w:p>
    <w:p w14:paraId="0BCD9506">
      <w:pPr>
        <w:pStyle w:val="5"/>
      </w:pPr>
      <w:r>
        <w:t>钢轨应符合下列规定：</w:t>
      </w:r>
    </w:p>
    <w:p w14:paraId="68DABA6E">
      <w:pPr>
        <w:pStyle w:val="7"/>
        <w:ind w:firstLine="420"/>
      </w:pPr>
      <w:r>
        <w:t>正线、配线钢轨应采用60kg/m钢轨</w:t>
      </w:r>
      <w:r>
        <w:rPr>
          <w:rFonts w:hint="eastAsia"/>
        </w:rPr>
        <w:t>或者6</w:t>
      </w:r>
      <w:r>
        <w:t>0N</w:t>
      </w:r>
      <w:r>
        <w:rPr>
          <w:rFonts w:hint="eastAsia"/>
        </w:rPr>
        <w:t>钢轨</w:t>
      </w:r>
      <w:r>
        <w:t>，钢轨抗拉强度</w:t>
      </w:r>
      <w:r>
        <w:rPr>
          <w:rFonts w:hint="eastAsia"/>
        </w:rPr>
        <w:t>不小</w:t>
      </w:r>
      <w:r>
        <w:t>于880MPa。正线半径小于600m曲线地段，宜采用全长热处理钢轨；</w:t>
      </w:r>
    </w:p>
    <w:p w14:paraId="2A2EF118">
      <w:pPr>
        <w:pStyle w:val="7"/>
        <w:ind w:firstLine="420"/>
      </w:pPr>
      <w:r>
        <w:t>车场线宜采用50kg/m钢轨；</w:t>
      </w:r>
    </w:p>
    <w:p w14:paraId="65E3E51B">
      <w:pPr>
        <w:pStyle w:val="7"/>
        <w:ind w:firstLine="420"/>
      </w:pPr>
      <w:r>
        <w:t>有缝线路的钢轨接头应采用对接，曲线内股应采用厂制缩短轨。半径不大于200m的曲线地段，钢轨接头应采用错接，错接距离不应小于3m；</w:t>
      </w:r>
    </w:p>
    <w:p w14:paraId="72D93045">
      <w:pPr>
        <w:pStyle w:val="7"/>
        <w:ind w:firstLine="420"/>
      </w:pPr>
      <w:r>
        <w:t>不同轨型的钢轨应采用异型钢轨连接；</w:t>
      </w:r>
    </w:p>
    <w:p w14:paraId="111DC3C0">
      <w:pPr>
        <w:pStyle w:val="7"/>
        <w:ind w:firstLine="420"/>
      </w:pPr>
      <w:r>
        <w:t>连接于钢轨上的轨连线等</w:t>
      </w:r>
      <w:r>
        <w:rPr>
          <w:rFonts w:hint="eastAsia"/>
        </w:rPr>
        <w:t>线缆</w:t>
      </w:r>
      <w:r>
        <w:t>，应连接到钢轨轨腰上，且不得造成钢轨损伤。</w:t>
      </w:r>
    </w:p>
    <w:p w14:paraId="3DEB59D1">
      <w:pPr>
        <w:pStyle w:val="7"/>
        <w:ind w:firstLine="420"/>
      </w:pPr>
      <w:r>
        <w:rPr>
          <w:rFonts w:hint="eastAsia"/>
        </w:rPr>
        <w:t>钢轨沿线金属设备与钢轨的安装间距不小于3</w:t>
      </w:r>
      <w:r>
        <w:t>0</w:t>
      </w:r>
      <w:r>
        <w:rPr>
          <w:rFonts w:hint="eastAsia"/>
        </w:rPr>
        <w:t>mm。</w:t>
      </w:r>
    </w:p>
    <w:p w14:paraId="08E18231">
      <w:pPr>
        <w:pStyle w:val="5"/>
      </w:pPr>
      <w:r>
        <w:t>扣件应符合下列规定，零部件的技术性能应符合扣件产品相关技术条件的规定：</w:t>
      </w:r>
    </w:p>
    <w:p w14:paraId="4E4C4E6B">
      <w:pPr>
        <w:pStyle w:val="7"/>
        <w:ind w:firstLine="420"/>
      </w:pPr>
      <w:r>
        <w:t>无砟轨道应采用弹性分扣件；</w:t>
      </w:r>
    </w:p>
    <w:p w14:paraId="606936AF">
      <w:pPr>
        <w:pStyle w:val="7"/>
        <w:ind w:firstLine="420"/>
      </w:pPr>
      <w:r>
        <w:t>机械化施工地段有砟轨道宜采用弹性不分开式扣件；</w:t>
      </w:r>
    </w:p>
    <w:p w14:paraId="3F63D348">
      <w:pPr>
        <w:pStyle w:val="7"/>
        <w:ind w:firstLine="420"/>
      </w:pPr>
      <w:r>
        <w:t>无砟轨道和有砟轨道用扣件的垂直静刚度宜分别为20~40kN/mm和40~60kN/mm,</w:t>
      </w:r>
      <w:r>
        <w:rPr>
          <w:rFonts w:hint="eastAsia"/>
        </w:rPr>
        <w:t xml:space="preserve"> 弹性垫板动静比不应大于1.5</w:t>
      </w:r>
      <w:r>
        <w:t>；</w:t>
      </w:r>
    </w:p>
    <w:p w14:paraId="73AD46B9">
      <w:pPr>
        <w:pStyle w:val="7"/>
        <w:ind w:firstLine="420"/>
      </w:pPr>
      <w:bookmarkStart w:id="340" w:name="_bookmark53"/>
      <w:bookmarkEnd w:id="340"/>
      <w:bookmarkStart w:id="341" w:name="_bookmark208"/>
      <w:bookmarkEnd w:id="341"/>
      <w:r>
        <w:t>单个扣件节点绝缘部件的工作电阻应不小于10</w:t>
      </w:r>
      <w:r>
        <w:rPr>
          <w:vertAlign w:val="superscript"/>
        </w:rPr>
        <w:t>8</w:t>
      </w:r>
      <w:r>
        <w:t>Ω；</w:t>
      </w:r>
    </w:p>
    <w:p w14:paraId="597F11AE">
      <w:pPr>
        <w:pStyle w:val="7"/>
        <w:ind w:firstLine="420"/>
      </w:pPr>
      <w:r>
        <w:rPr>
          <w:rFonts w:hint="eastAsia"/>
        </w:rPr>
        <w:t>普通扣件T型螺栓、螺母、平垫圈、锚固螺栓、弹条、双层弹簧垫圈等金属件均应进行防锈防腐蚀处理，且不影响扣件的使用功能。</w:t>
      </w:r>
    </w:p>
    <w:p w14:paraId="7AD61E64">
      <w:pPr>
        <w:pStyle w:val="5"/>
      </w:pPr>
      <w:r>
        <w:t>轨枕应符合下列规定，技术性能应符合轨枕产品有关技术条件的规定：</w:t>
      </w:r>
    </w:p>
    <w:p w14:paraId="0358EEE6">
      <w:pPr>
        <w:numPr>
          <w:ilvl w:val="4"/>
          <w:numId w:val="1"/>
        </w:numPr>
        <w:tabs>
          <w:tab w:val="clear" w:pos="567"/>
        </w:tabs>
        <w:ind w:firstLine="420"/>
        <w:jc w:val="left"/>
        <w:outlineLvl w:val="4"/>
        <w:rPr>
          <w:bCs/>
          <w:szCs w:val="28"/>
        </w:rPr>
      </w:pPr>
      <w:r>
        <w:rPr>
          <w:rFonts w:hint="eastAsia"/>
          <w:bCs/>
          <w:szCs w:val="28"/>
        </w:rPr>
        <w:t>宜采用混凝土轨枕，个别地段经技术经济比较可采用其他类型的轨枕；</w:t>
      </w:r>
    </w:p>
    <w:p w14:paraId="05D197BE">
      <w:pPr>
        <w:numPr>
          <w:ilvl w:val="4"/>
          <w:numId w:val="1"/>
        </w:numPr>
        <w:tabs>
          <w:tab w:val="clear" w:pos="567"/>
        </w:tabs>
        <w:ind w:firstLine="420"/>
        <w:jc w:val="left"/>
        <w:outlineLvl w:val="4"/>
        <w:rPr>
          <w:bCs/>
          <w:szCs w:val="28"/>
        </w:rPr>
      </w:pPr>
      <w:r>
        <w:rPr>
          <w:rFonts w:hint="eastAsia"/>
          <w:bCs/>
          <w:szCs w:val="28"/>
        </w:rPr>
        <w:t>轨枕设计时，应设计接触轨等轨旁设备的安装预埋件。</w:t>
      </w:r>
    </w:p>
    <w:p w14:paraId="54B7119D">
      <w:pPr>
        <w:numPr>
          <w:ilvl w:val="4"/>
          <w:numId w:val="1"/>
        </w:numPr>
        <w:tabs>
          <w:tab w:val="clear" w:pos="567"/>
        </w:tabs>
        <w:ind w:firstLine="420"/>
        <w:jc w:val="left"/>
        <w:outlineLvl w:val="4"/>
        <w:rPr>
          <w:bCs/>
          <w:szCs w:val="28"/>
        </w:rPr>
      </w:pPr>
      <w:r>
        <w:rPr>
          <w:rFonts w:hint="eastAsia"/>
          <w:bCs/>
          <w:szCs w:val="28"/>
        </w:rPr>
        <w:t>道岔间不足5</w:t>
      </w:r>
      <w:r>
        <w:rPr>
          <w:bCs/>
          <w:szCs w:val="28"/>
        </w:rPr>
        <w:t>0</w:t>
      </w:r>
      <w:r>
        <w:rPr>
          <w:rFonts w:hint="eastAsia"/>
          <w:bCs/>
          <w:szCs w:val="28"/>
        </w:rPr>
        <w:t>m地段，宜采用道岔同类型普通岔枕。</w:t>
      </w:r>
    </w:p>
    <w:p w14:paraId="0E2B99B7">
      <w:pPr>
        <w:pStyle w:val="5"/>
      </w:pPr>
      <w:r>
        <w:t>道岔结构应符合下列规定：</w:t>
      </w:r>
    </w:p>
    <w:p w14:paraId="39B4C79D">
      <w:pPr>
        <w:numPr>
          <w:ilvl w:val="4"/>
          <w:numId w:val="1"/>
        </w:numPr>
        <w:tabs>
          <w:tab w:val="clear" w:pos="567"/>
        </w:tabs>
        <w:ind w:firstLine="420"/>
        <w:jc w:val="left"/>
        <w:outlineLvl w:val="4"/>
        <w:rPr>
          <w:bCs/>
          <w:szCs w:val="28"/>
        </w:rPr>
      </w:pPr>
      <w:r>
        <w:rPr>
          <w:rFonts w:hint="eastAsia"/>
          <w:bCs/>
          <w:szCs w:val="28"/>
        </w:rPr>
        <w:t>道岔号数应结合行车等相关专业需求综合确定，宜选用7号、9号、12号等道岔。</w:t>
      </w:r>
      <w:r>
        <w:rPr>
          <w:bCs/>
          <w:szCs w:val="28"/>
        </w:rPr>
        <w:t>9</w:t>
      </w:r>
      <w:r>
        <w:rPr>
          <w:rFonts w:hint="eastAsia"/>
          <w:bCs/>
          <w:szCs w:val="28"/>
        </w:rPr>
        <w:t>号、</w:t>
      </w:r>
      <w:r>
        <w:rPr>
          <w:bCs/>
          <w:szCs w:val="28"/>
        </w:rPr>
        <w:t>12</w:t>
      </w:r>
      <w:r>
        <w:rPr>
          <w:rFonts w:hint="eastAsia"/>
          <w:bCs/>
          <w:szCs w:val="28"/>
        </w:rPr>
        <w:t>号道岔应采用负割线型弹性可弯曲尖轨系列道岔，</w:t>
      </w:r>
      <w:r>
        <w:rPr>
          <w:bCs/>
          <w:szCs w:val="28"/>
        </w:rPr>
        <w:t>7</w:t>
      </w:r>
      <w:r>
        <w:rPr>
          <w:rFonts w:hint="eastAsia"/>
          <w:bCs/>
          <w:szCs w:val="28"/>
        </w:rPr>
        <w:t>号道岔应采用曲尖轨系列道岔，技术性能应符合道岔产品相关技术条件的规定；道岔的通过速度见表8</w:t>
      </w:r>
      <w:r>
        <w:rPr>
          <w:bCs/>
          <w:szCs w:val="28"/>
        </w:rPr>
        <w:t>.3.4</w:t>
      </w:r>
      <w:r>
        <w:rPr>
          <w:rFonts w:hint="eastAsia"/>
          <w:bCs/>
          <w:szCs w:val="28"/>
        </w:rPr>
        <w:t>。</w:t>
      </w:r>
    </w:p>
    <w:p w14:paraId="675AAC79">
      <w:pPr>
        <w:pStyle w:val="198"/>
      </w:pPr>
      <w:r>
        <w:t>表8.3.4</w:t>
      </w:r>
      <w:r>
        <w:rPr>
          <w:rFonts w:hint="eastAsia"/>
        </w:rPr>
        <w:t xml:space="preserve">  道岔通过速度表（km/</w:t>
      </w:r>
      <w:r>
        <w:t>h</w:t>
      </w:r>
      <w:r>
        <w:rPr>
          <w:rFonts w:hint="eastAsia"/>
        </w:rPr>
        <w:t>）</w:t>
      </w:r>
    </w:p>
    <w:tbl>
      <w:tblPr>
        <w:tblStyle w:val="88"/>
        <w:tblW w:w="6340" w:type="dxa"/>
        <w:tblInd w:w="0" w:type="dxa"/>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01"/>
        <w:gridCol w:w="1102"/>
        <w:gridCol w:w="2154"/>
        <w:gridCol w:w="1983"/>
      </w:tblGrid>
      <w:tr w14:paraId="1D887B87">
        <w:tblPrEx>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9" w:hRule="atLeast"/>
        </w:trPr>
        <w:tc>
          <w:tcPr>
            <w:tcW w:w="2203" w:type="dxa"/>
            <w:gridSpan w:val="2"/>
            <w:vAlign w:val="center"/>
          </w:tcPr>
          <w:p w14:paraId="1C978104">
            <w:pPr>
              <w:autoSpaceDE w:val="0"/>
              <w:autoSpaceDN w:val="0"/>
              <w:spacing w:line="240" w:lineRule="auto"/>
              <w:jc w:val="center"/>
              <w:rPr>
                <w:kern w:val="0"/>
                <w:sz w:val="15"/>
                <w:szCs w:val="15"/>
              </w:rPr>
            </w:pPr>
            <w:r>
              <w:rPr>
                <w:rFonts w:hint="eastAsia"/>
                <w:kern w:val="0"/>
                <w:sz w:val="15"/>
                <w:szCs w:val="15"/>
              </w:rPr>
              <w:t>道岔型号</w:t>
            </w:r>
          </w:p>
        </w:tc>
        <w:tc>
          <w:tcPr>
            <w:tcW w:w="2154" w:type="dxa"/>
            <w:vAlign w:val="center"/>
          </w:tcPr>
          <w:p w14:paraId="7B3D2EDF">
            <w:pPr>
              <w:autoSpaceDE w:val="0"/>
              <w:autoSpaceDN w:val="0"/>
              <w:spacing w:line="240" w:lineRule="auto"/>
              <w:jc w:val="center"/>
              <w:rPr>
                <w:kern w:val="0"/>
                <w:sz w:val="15"/>
                <w:szCs w:val="15"/>
              </w:rPr>
            </w:pPr>
            <w:r>
              <w:rPr>
                <w:rFonts w:hint="eastAsia"/>
                <w:kern w:val="0"/>
                <w:sz w:val="15"/>
                <w:szCs w:val="15"/>
              </w:rPr>
              <w:t>直向通过</w:t>
            </w:r>
          </w:p>
        </w:tc>
        <w:tc>
          <w:tcPr>
            <w:tcW w:w="1983" w:type="dxa"/>
            <w:vAlign w:val="center"/>
          </w:tcPr>
          <w:p w14:paraId="753C1898">
            <w:pPr>
              <w:autoSpaceDE w:val="0"/>
              <w:autoSpaceDN w:val="0"/>
              <w:spacing w:line="240" w:lineRule="auto"/>
              <w:jc w:val="center"/>
              <w:rPr>
                <w:kern w:val="0"/>
                <w:sz w:val="15"/>
                <w:szCs w:val="15"/>
              </w:rPr>
            </w:pPr>
            <w:r>
              <w:rPr>
                <w:rFonts w:hint="eastAsia"/>
                <w:kern w:val="0"/>
                <w:sz w:val="15"/>
                <w:szCs w:val="15"/>
              </w:rPr>
              <w:t>侧向通过</w:t>
            </w:r>
          </w:p>
        </w:tc>
      </w:tr>
      <w:tr w14:paraId="16295AE3">
        <w:tblPrEx>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9" w:hRule="atLeast"/>
        </w:trPr>
        <w:tc>
          <w:tcPr>
            <w:tcW w:w="2203" w:type="dxa"/>
            <w:gridSpan w:val="2"/>
            <w:vAlign w:val="center"/>
          </w:tcPr>
          <w:p w14:paraId="17F7AAB5">
            <w:pPr>
              <w:autoSpaceDE w:val="0"/>
              <w:autoSpaceDN w:val="0"/>
              <w:spacing w:line="240" w:lineRule="auto"/>
              <w:jc w:val="center"/>
              <w:rPr>
                <w:kern w:val="0"/>
                <w:sz w:val="15"/>
                <w:szCs w:val="15"/>
              </w:rPr>
            </w:pPr>
            <w:r>
              <w:rPr>
                <w:kern w:val="0"/>
                <w:sz w:val="15"/>
                <w:szCs w:val="15"/>
              </w:rPr>
              <w:t>50</w:t>
            </w:r>
            <w:r>
              <w:rPr>
                <w:rFonts w:hint="eastAsia"/>
                <w:kern w:val="0"/>
                <w:sz w:val="15"/>
                <w:szCs w:val="15"/>
              </w:rPr>
              <w:t>kg</w:t>
            </w:r>
            <w:r>
              <w:rPr>
                <w:kern w:val="0"/>
                <w:sz w:val="15"/>
                <w:szCs w:val="15"/>
              </w:rPr>
              <w:t>/m</w:t>
            </w:r>
            <w:r>
              <w:rPr>
                <w:rFonts w:hint="eastAsia"/>
                <w:kern w:val="0"/>
                <w:sz w:val="15"/>
                <w:szCs w:val="15"/>
              </w:rPr>
              <w:t>钢轨7号道岔</w:t>
            </w:r>
          </w:p>
        </w:tc>
        <w:tc>
          <w:tcPr>
            <w:tcW w:w="2154" w:type="dxa"/>
            <w:vAlign w:val="center"/>
          </w:tcPr>
          <w:p w14:paraId="135CB23B">
            <w:pPr>
              <w:autoSpaceDE w:val="0"/>
              <w:autoSpaceDN w:val="0"/>
              <w:spacing w:line="240" w:lineRule="auto"/>
              <w:jc w:val="center"/>
              <w:rPr>
                <w:kern w:val="0"/>
                <w:sz w:val="15"/>
                <w:szCs w:val="15"/>
              </w:rPr>
            </w:pPr>
            <w:r>
              <w:rPr>
                <w:kern w:val="0"/>
                <w:sz w:val="15"/>
                <w:szCs w:val="15"/>
              </w:rPr>
              <w:t>60</w:t>
            </w:r>
          </w:p>
        </w:tc>
        <w:tc>
          <w:tcPr>
            <w:tcW w:w="1983" w:type="dxa"/>
            <w:vAlign w:val="center"/>
          </w:tcPr>
          <w:p w14:paraId="662E380E">
            <w:pPr>
              <w:autoSpaceDE w:val="0"/>
              <w:autoSpaceDN w:val="0"/>
              <w:spacing w:line="240" w:lineRule="auto"/>
              <w:jc w:val="center"/>
              <w:rPr>
                <w:kern w:val="0"/>
                <w:sz w:val="15"/>
                <w:szCs w:val="15"/>
              </w:rPr>
            </w:pPr>
            <w:r>
              <w:rPr>
                <w:kern w:val="0"/>
                <w:sz w:val="15"/>
                <w:szCs w:val="15"/>
              </w:rPr>
              <w:t>25</w:t>
            </w:r>
          </w:p>
        </w:tc>
      </w:tr>
      <w:tr w14:paraId="0BC814FE">
        <w:tblPrEx>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4" w:hRule="atLeast"/>
        </w:trPr>
        <w:tc>
          <w:tcPr>
            <w:tcW w:w="1101" w:type="dxa"/>
            <w:vMerge w:val="restart"/>
            <w:vAlign w:val="center"/>
          </w:tcPr>
          <w:p w14:paraId="4B907C39">
            <w:pPr>
              <w:autoSpaceDE w:val="0"/>
              <w:autoSpaceDN w:val="0"/>
              <w:spacing w:line="240" w:lineRule="auto"/>
              <w:jc w:val="center"/>
              <w:rPr>
                <w:kern w:val="0"/>
                <w:sz w:val="15"/>
                <w:szCs w:val="15"/>
              </w:rPr>
            </w:pPr>
            <w:r>
              <w:rPr>
                <w:rFonts w:hint="eastAsia"/>
                <w:kern w:val="0"/>
                <w:sz w:val="15"/>
                <w:szCs w:val="15"/>
              </w:rPr>
              <w:t>6</w:t>
            </w:r>
            <w:r>
              <w:rPr>
                <w:kern w:val="0"/>
                <w:sz w:val="15"/>
                <w:szCs w:val="15"/>
              </w:rPr>
              <w:t>0</w:t>
            </w:r>
            <w:r>
              <w:rPr>
                <w:rFonts w:hint="eastAsia"/>
                <w:kern w:val="0"/>
                <w:sz w:val="15"/>
                <w:szCs w:val="15"/>
              </w:rPr>
              <w:t>kg/</w:t>
            </w:r>
            <w:r>
              <w:rPr>
                <w:kern w:val="0"/>
                <w:sz w:val="15"/>
                <w:szCs w:val="15"/>
              </w:rPr>
              <w:t>m</w:t>
            </w:r>
            <w:r>
              <w:rPr>
                <w:rFonts w:hint="eastAsia"/>
                <w:kern w:val="0"/>
                <w:sz w:val="15"/>
                <w:szCs w:val="15"/>
              </w:rPr>
              <w:t>钢轨9号道岔</w:t>
            </w:r>
          </w:p>
        </w:tc>
        <w:tc>
          <w:tcPr>
            <w:tcW w:w="1102" w:type="dxa"/>
            <w:vAlign w:val="center"/>
          </w:tcPr>
          <w:p w14:paraId="00FA74AC">
            <w:pPr>
              <w:autoSpaceDE w:val="0"/>
              <w:autoSpaceDN w:val="0"/>
              <w:spacing w:line="240" w:lineRule="auto"/>
              <w:jc w:val="center"/>
              <w:rPr>
                <w:kern w:val="0"/>
                <w:sz w:val="15"/>
                <w:szCs w:val="15"/>
              </w:rPr>
            </w:pPr>
            <w:r>
              <w:rPr>
                <w:rFonts w:hint="eastAsia"/>
                <w:kern w:val="0"/>
                <w:sz w:val="15"/>
                <w:szCs w:val="15"/>
              </w:rPr>
              <w:t>固定辙叉</w:t>
            </w:r>
          </w:p>
        </w:tc>
        <w:tc>
          <w:tcPr>
            <w:tcW w:w="2154" w:type="dxa"/>
            <w:vAlign w:val="center"/>
          </w:tcPr>
          <w:p w14:paraId="235A956C">
            <w:pPr>
              <w:autoSpaceDE w:val="0"/>
              <w:autoSpaceDN w:val="0"/>
              <w:spacing w:line="240" w:lineRule="auto"/>
              <w:jc w:val="center"/>
              <w:rPr>
                <w:kern w:val="0"/>
                <w:sz w:val="15"/>
                <w:szCs w:val="15"/>
              </w:rPr>
            </w:pPr>
            <w:r>
              <w:rPr>
                <w:rFonts w:hint="eastAsia"/>
                <w:kern w:val="0"/>
                <w:sz w:val="15"/>
                <w:szCs w:val="15"/>
              </w:rPr>
              <w:t>1</w:t>
            </w:r>
            <w:r>
              <w:rPr>
                <w:kern w:val="0"/>
                <w:sz w:val="15"/>
                <w:szCs w:val="15"/>
              </w:rPr>
              <w:t>20</w:t>
            </w:r>
          </w:p>
        </w:tc>
        <w:tc>
          <w:tcPr>
            <w:tcW w:w="1983" w:type="dxa"/>
            <w:vAlign w:val="center"/>
          </w:tcPr>
          <w:p w14:paraId="652306C8">
            <w:pPr>
              <w:autoSpaceDE w:val="0"/>
              <w:autoSpaceDN w:val="0"/>
              <w:spacing w:line="240" w:lineRule="auto"/>
              <w:jc w:val="center"/>
              <w:rPr>
                <w:kern w:val="0"/>
                <w:sz w:val="15"/>
                <w:szCs w:val="15"/>
              </w:rPr>
            </w:pPr>
            <w:r>
              <w:rPr>
                <w:rFonts w:hint="eastAsia"/>
                <w:kern w:val="0"/>
                <w:sz w:val="15"/>
                <w:szCs w:val="15"/>
              </w:rPr>
              <w:t>3</w:t>
            </w:r>
            <w:r>
              <w:rPr>
                <w:kern w:val="0"/>
                <w:sz w:val="15"/>
                <w:szCs w:val="15"/>
              </w:rPr>
              <w:t>5</w:t>
            </w:r>
          </w:p>
        </w:tc>
      </w:tr>
      <w:tr w14:paraId="17C4952D">
        <w:tblPrEx>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4" w:hRule="atLeast"/>
        </w:trPr>
        <w:tc>
          <w:tcPr>
            <w:tcW w:w="1101" w:type="dxa"/>
            <w:vMerge w:val="continue"/>
            <w:vAlign w:val="center"/>
          </w:tcPr>
          <w:p w14:paraId="15DA067A">
            <w:pPr>
              <w:autoSpaceDE w:val="0"/>
              <w:autoSpaceDN w:val="0"/>
              <w:spacing w:line="240" w:lineRule="auto"/>
              <w:jc w:val="center"/>
              <w:rPr>
                <w:kern w:val="0"/>
                <w:sz w:val="15"/>
                <w:szCs w:val="15"/>
              </w:rPr>
            </w:pPr>
          </w:p>
        </w:tc>
        <w:tc>
          <w:tcPr>
            <w:tcW w:w="1102" w:type="dxa"/>
            <w:vAlign w:val="center"/>
          </w:tcPr>
          <w:p w14:paraId="6837449E">
            <w:pPr>
              <w:autoSpaceDE w:val="0"/>
              <w:autoSpaceDN w:val="0"/>
              <w:spacing w:line="240" w:lineRule="auto"/>
              <w:jc w:val="center"/>
              <w:rPr>
                <w:kern w:val="0"/>
                <w:sz w:val="15"/>
                <w:szCs w:val="15"/>
              </w:rPr>
            </w:pPr>
            <w:r>
              <w:rPr>
                <w:rFonts w:hint="eastAsia"/>
                <w:kern w:val="0"/>
                <w:sz w:val="15"/>
                <w:szCs w:val="15"/>
              </w:rPr>
              <w:t>可动心辙叉</w:t>
            </w:r>
          </w:p>
        </w:tc>
        <w:tc>
          <w:tcPr>
            <w:tcW w:w="2154" w:type="dxa"/>
            <w:vAlign w:val="center"/>
          </w:tcPr>
          <w:p w14:paraId="2B505A7C">
            <w:pPr>
              <w:autoSpaceDE w:val="0"/>
              <w:autoSpaceDN w:val="0"/>
              <w:spacing w:line="240" w:lineRule="auto"/>
              <w:jc w:val="center"/>
              <w:rPr>
                <w:kern w:val="0"/>
                <w:sz w:val="15"/>
                <w:szCs w:val="15"/>
              </w:rPr>
            </w:pPr>
            <w:r>
              <w:rPr>
                <w:kern w:val="0"/>
                <w:sz w:val="15"/>
                <w:szCs w:val="15"/>
              </w:rPr>
              <w:t>140</w:t>
            </w:r>
          </w:p>
        </w:tc>
        <w:tc>
          <w:tcPr>
            <w:tcW w:w="1983" w:type="dxa"/>
            <w:vAlign w:val="center"/>
          </w:tcPr>
          <w:p w14:paraId="44AC0EE7">
            <w:pPr>
              <w:autoSpaceDE w:val="0"/>
              <w:autoSpaceDN w:val="0"/>
              <w:spacing w:line="240" w:lineRule="auto"/>
              <w:jc w:val="center"/>
              <w:rPr>
                <w:kern w:val="0"/>
                <w:sz w:val="15"/>
                <w:szCs w:val="15"/>
              </w:rPr>
            </w:pPr>
            <w:r>
              <w:rPr>
                <w:kern w:val="0"/>
                <w:sz w:val="15"/>
                <w:szCs w:val="15"/>
              </w:rPr>
              <w:t>35</w:t>
            </w:r>
          </w:p>
        </w:tc>
      </w:tr>
      <w:tr w14:paraId="51D58958">
        <w:tblPrEx>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4" w:hRule="atLeast"/>
        </w:trPr>
        <w:tc>
          <w:tcPr>
            <w:tcW w:w="1101" w:type="dxa"/>
            <w:vMerge w:val="restart"/>
            <w:vAlign w:val="center"/>
          </w:tcPr>
          <w:p w14:paraId="6B9BB058">
            <w:pPr>
              <w:autoSpaceDE w:val="0"/>
              <w:autoSpaceDN w:val="0"/>
              <w:spacing w:line="240" w:lineRule="auto"/>
              <w:jc w:val="center"/>
              <w:rPr>
                <w:kern w:val="0"/>
                <w:sz w:val="15"/>
                <w:szCs w:val="15"/>
              </w:rPr>
            </w:pPr>
            <w:r>
              <w:rPr>
                <w:rFonts w:hint="eastAsia"/>
                <w:kern w:val="0"/>
                <w:sz w:val="15"/>
                <w:szCs w:val="15"/>
              </w:rPr>
              <w:t>6</w:t>
            </w:r>
            <w:r>
              <w:rPr>
                <w:kern w:val="0"/>
                <w:sz w:val="15"/>
                <w:szCs w:val="15"/>
              </w:rPr>
              <w:t>0</w:t>
            </w:r>
            <w:r>
              <w:rPr>
                <w:rFonts w:hint="eastAsia"/>
                <w:kern w:val="0"/>
                <w:sz w:val="15"/>
                <w:szCs w:val="15"/>
              </w:rPr>
              <w:t>kg/</w:t>
            </w:r>
            <w:r>
              <w:rPr>
                <w:kern w:val="0"/>
                <w:sz w:val="15"/>
                <w:szCs w:val="15"/>
              </w:rPr>
              <w:t>m</w:t>
            </w:r>
            <w:r>
              <w:rPr>
                <w:rFonts w:hint="eastAsia"/>
                <w:kern w:val="0"/>
                <w:sz w:val="15"/>
                <w:szCs w:val="15"/>
              </w:rPr>
              <w:t>钢轨</w:t>
            </w:r>
            <w:r>
              <w:rPr>
                <w:kern w:val="0"/>
                <w:sz w:val="15"/>
                <w:szCs w:val="15"/>
              </w:rPr>
              <w:t>12</w:t>
            </w:r>
            <w:r>
              <w:rPr>
                <w:rFonts w:hint="eastAsia"/>
                <w:kern w:val="0"/>
                <w:sz w:val="15"/>
                <w:szCs w:val="15"/>
              </w:rPr>
              <w:t>号道岔</w:t>
            </w:r>
          </w:p>
        </w:tc>
        <w:tc>
          <w:tcPr>
            <w:tcW w:w="1102" w:type="dxa"/>
            <w:vAlign w:val="center"/>
          </w:tcPr>
          <w:p w14:paraId="4EC9075F">
            <w:pPr>
              <w:autoSpaceDE w:val="0"/>
              <w:autoSpaceDN w:val="0"/>
              <w:spacing w:line="240" w:lineRule="auto"/>
              <w:jc w:val="center"/>
              <w:rPr>
                <w:kern w:val="0"/>
                <w:sz w:val="15"/>
                <w:szCs w:val="15"/>
              </w:rPr>
            </w:pPr>
            <w:r>
              <w:rPr>
                <w:rFonts w:hint="eastAsia"/>
                <w:kern w:val="0"/>
                <w:sz w:val="15"/>
                <w:szCs w:val="15"/>
              </w:rPr>
              <w:t>固定辙叉</w:t>
            </w:r>
          </w:p>
        </w:tc>
        <w:tc>
          <w:tcPr>
            <w:tcW w:w="2154" w:type="dxa"/>
            <w:vAlign w:val="center"/>
          </w:tcPr>
          <w:p w14:paraId="112C9477">
            <w:pPr>
              <w:autoSpaceDE w:val="0"/>
              <w:autoSpaceDN w:val="0"/>
              <w:spacing w:line="240" w:lineRule="auto"/>
              <w:jc w:val="center"/>
              <w:rPr>
                <w:kern w:val="0"/>
                <w:sz w:val="15"/>
                <w:szCs w:val="15"/>
              </w:rPr>
            </w:pPr>
            <w:r>
              <w:rPr>
                <w:rFonts w:hint="eastAsia"/>
                <w:kern w:val="0"/>
                <w:sz w:val="15"/>
                <w:szCs w:val="15"/>
              </w:rPr>
              <w:t>1</w:t>
            </w:r>
            <w:r>
              <w:rPr>
                <w:kern w:val="0"/>
                <w:sz w:val="15"/>
                <w:szCs w:val="15"/>
              </w:rPr>
              <w:t>20</w:t>
            </w:r>
          </w:p>
        </w:tc>
        <w:tc>
          <w:tcPr>
            <w:tcW w:w="1983" w:type="dxa"/>
            <w:vAlign w:val="center"/>
          </w:tcPr>
          <w:p w14:paraId="7648619C">
            <w:pPr>
              <w:autoSpaceDE w:val="0"/>
              <w:autoSpaceDN w:val="0"/>
              <w:spacing w:line="240" w:lineRule="auto"/>
              <w:jc w:val="center"/>
              <w:rPr>
                <w:kern w:val="0"/>
                <w:sz w:val="15"/>
                <w:szCs w:val="15"/>
              </w:rPr>
            </w:pPr>
            <w:r>
              <w:rPr>
                <w:rFonts w:hint="eastAsia"/>
                <w:kern w:val="0"/>
                <w:sz w:val="15"/>
                <w:szCs w:val="15"/>
              </w:rPr>
              <w:t>5</w:t>
            </w:r>
            <w:r>
              <w:rPr>
                <w:kern w:val="0"/>
                <w:sz w:val="15"/>
                <w:szCs w:val="15"/>
              </w:rPr>
              <w:t>0</w:t>
            </w:r>
          </w:p>
        </w:tc>
      </w:tr>
      <w:tr w14:paraId="377FB841">
        <w:tblPrEx>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4" w:hRule="atLeast"/>
        </w:trPr>
        <w:tc>
          <w:tcPr>
            <w:tcW w:w="1101" w:type="dxa"/>
            <w:vMerge w:val="continue"/>
            <w:vAlign w:val="center"/>
          </w:tcPr>
          <w:p w14:paraId="0802CF90">
            <w:pPr>
              <w:autoSpaceDE w:val="0"/>
              <w:autoSpaceDN w:val="0"/>
              <w:spacing w:line="240" w:lineRule="auto"/>
              <w:jc w:val="center"/>
              <w:rPr>
                <w:kern w:val="0"/>
                <w:sz w:val="15"/>
                <w:szCs w:val="15"/>
              </w:rPr>
            </w:pPr>
          </w:p>
        </w:tc>
        <w:tc>
          <w:tcPr>
            <w:tcW w:w="1102" w:type="dxa"/>
            <w:vAlign w:val="center"/>
          </w:tcPr>
          <w:p w14:paraId="6EE16B93">
            <w:pPr>
              <w:autoSpaceDE w:val="0"/>
              <w:autoSpaceDN w:val="0"/>
              <w:spacing w:line="240" w:lineRule="auto"/>
              <w:jc w:val="center"/>
              <w:rPr>
                <w:kern w:val="0"/>
                <w:sz w:val="15"/>
                <w:szCs w:val="15"/>
              </w:rPr>
            </w:pPr>
            <w:r>
              <w:rPr>
                <w:rFonts w:hint="eastAsia"/>
                <w:kern w:val="0"/>
                <w:sz w:val="15"/>
                <w:szCs w:val="15"/>
              </w:rPr>
              <w:t>可动心辙叉</w:t>
            </w:r>
          </w:p>
        </w:tc>
        <w:tc>
          <w:tcPr>
            <w:tcW w:w="2154" w:type="dxa"/>
            <w:vAlign w:val="center"/>
          </w:tcPr>
          <w:p w14:paraId="58E8E34E">
            <w:pPr>
              <w:autoSpaceDE w:val="0"/>
              <w:autoSpaceDN w:val="0"/>
              <w:spacing w:line="240" w:lineRule="auto"/>
              <w:jc w:val="center"/>
              <w:rPr>
                <w:kern w:val="0"/>
                <w:sz w:val="15"/>
                <w:szCs w:val="15"/>
              </w:rPr>
            </w:pPr>
            <w:r>
              <w:rPr>
                <w:rFonts w:hint="eastAsia"/>
                <w:kern w:val="0"/>
                <w:sz w:val="15"/>
                <w:szCs w:val="15"/>
              </w:rPr>
              <w:t>1</w:t>
            </w:r>
            <w:r>
              <w:rPr>
                <w:kern w:val="0"/>
                <w:sz w:val="15"/>
                <w:szCs w:val="15"/>
              </w:rPr>
              <w:t>60</w:t>
            </w:r>
          </w:p>
        </w:tc>
        <w:tc>
          <w:tcPr>
            <w:tcW w:w="1983" w:type="dxa"/>
            <w:vAlign w:val="center"/>
          </w:tcPr>
          <w:p w14:paraId="79651FBE">
            <w:pPr>
              <w:autoSpaceDE w:val="0"/>
              <w:autoSpaceDN w:val="0"/>
              <w:spacing w:line="240" w:lineRule="auto"/>
              <w:jc w:val="center"/>
              <w:rPr>
                <w:kern w:val="0"/>
                <w:sz w:val="15"/>
                <w:szCs w:val="15"/>
              </w:rPr>
            </w:pPr>
            <w:r>
              <w:rPr>
                <w:rFonts w:hint="eastAsia"/>
                <w:kern w:val="0"/>
                <w:sz w:val="15"/>
                <w:szCs w:val="15"/>
              </w:rPr>
              <w:t>5</w:t>
            </w:r>
            <w:r>
              <w:rPr>
                <w:kern w:val="0"/>
                <w:sz w:val="15"/>
                <w:szCs w:val="15"/>
              </w:rPr>
              <w:t>0</w:t>
            </w:r>
          </w:p>
        </w:tc>
      </w:tr>
      <w:tr w14:paraId="0FE459FA">
        <w:tblPrEx>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4" w:hRule="atLeast"/>
        </w:trPr>
        <w:tc>
          <w:tcPr>
            <w:tcW w:w="2203" w:type="dxa"/>
            <w:gridSpan w:val="2"/>
            <w:vAlign w:val="center"/>
          </w:tcPr>
          <w:p w14:paraId="39CC75BF">
            <w:pPr>
              <w:autoSpaceDE w:val="0"/>
              <w:autoSpaceDN w:val="0"/>
              <w:spacing w:line="240" w:lineRule="auto"/>
              <w:jc w:val="center"/>
              <w:rPr>
                <w:kern w:val="0"/>
                <w:sz w:val="15"/>
                <w:szCs w:val="15"/>
              </w:rPr>
            </w:pPr>
            <w:r>
              <w:rPr>
                <w:kern w:val="0"/>
                <w:sz w:val="15"/>
                <w:szCs w:val="15"/>
              </w:rPr>
              <w:t>60</w:t>
            </w:r>
            <w:r>
              <w:rPr>
                <w:rFonts w:hint="eastAsia"/>
                <w:kern w:val="0"/>
                <w:sz w:val="15"/>
                <w:szCs w:val="15"/>
              </w:rPr>
              <w:t>kg</w:t>
            </w:r>
            <w:r>
              <w:rPr>
                <w:kern w:val="0"/>
                <w:sz w:val="15"/>
                <w:szCs w:val="15"/>
              </w:rPr>
              <w:t>/m</w:t>
            </w:r>
            <w:r>
              <w:rPr>
                <w:rFonts w:hint="eastAsia"/>
                <w:kern w:val="0"/>
                <w:sz w:val="15"/>
                <w:szCs w:val="15"/>
              </w:rPr>
              <w:t>钢轨</w:t>
            </w:r>
            <w:r>
              <w:rPr>
                <w:kern w:val="0"/>
                <w:sz w:val="15"/>
                <w:szCs w:val="15"/>
              </w:rPr>
              <w:t>18</w:t>
            </w:r>
            <w:r>
              <w:rPr>
                <w:rFonts w:hint="eastAsia"/>
                <w:kern w:val="0"/>
                <w:sz w:val="15"/>
                <w:szCs w:val="15"/>
              </w:rPr>
              <w:t>号道岔</w:t>
            </w:r>
          </w:p>
        </w:tc>
        <w:tc>
          <w:tcPr>
            <w:tcW w:w="2154" w:type="dxa"/>
            <w:vAlign w:val="center"/>
          </w:tcPr>
          <w:p w14:paraId="73CDFBF2">
            <w:pPr>
              <w:autoSpaceDE w:val="0"/>
              <w:autoSpaceDN w:val="0"/>
              <w:spacing w:line="240" w:lineRule="auto"/>
              <w:jc w:val="center"/>
              <w:rPr>
                <w:kern w:val="0"/>
                <w:sz w:val="15"/>
                <w:szCs w:val="15"/>
              </w:rPr>
            </w:pPr>
            <w:r>
              <w:rPr>
                <w:kern w:val="0"/>
                <w:sz w:val="15"/>
                <w:szCs w:val="15"/>
              </w:rPr>
              <w:t>160</w:t>
            </w:r>
          </w:p>
        </w:tc>
        <w:tc>
          <w:tcPr>
            <w:tcW w:w="1983" w:type="dxa"/>
            <w:vAlign w:val="center"/>
          </w:tcPr>
          <w:p w14:paraId="404771C5">
            <w:pPr>
              <w:autoSpaceDE w:val="0"/>
              <w:autoSpaceDN w:val="0"/>
              <w:spacing w:line="240" w:lineRule="auto"/>
              <w:jc w:val="center"/>
              <w:rPr>
                <w:kern w:val="0"/>
                <w:sz w:val="15"/>
                <w:szCs w:val="15"/>
              </w:rPr>
            </w:pPr>
            <w:r>
              <w:rPr>
                <w:kern w:val="0"/>
                <w:sz w:val="15"/>
                <w:szCs w:val="15"/>
              </w:rPr>
              <w:t>80</w:t>
            </w:r>
          </w:p>
        </w:tc>
      </w:tr>
    </w:tbl>
    <w:p w14:paraId="465C8344">
      <w:pPr>
        <w:spacing w:line="240" w:lineRule="auto"/>
        <w:ind w:left="870" w:leftChars="200" w:hanging="450" w:hangingChars="300"/>
        <w:jc w:val="left"/>
        <w:rPr>
          <w:bCs/>
          <w:szCs w:val="28"/>
        </w:rPr>
      </w:pPr>
      <w:r>
        <w:rPr>
          <w:rFonts w:hint="eastAsia"/>
          <w:sz w:val="15"/>
          <w:szCs w:val="15"/>
        </w:rPr>
        <w:t>注：  道岔的直向和侧向通过速度是一般的要求，具体项目中根据选用的道岔具体型号来确定。</w:t>
      </w:r>
    </w:p>
    <w:p w14:paraId="6624B16D">
      <w:pPr>
        <w:numPr>
          <w:ilvl w:val="4"/>
          <w:numId w:val="1"/>
        </w:numPr>
        <w:tabs>
          <w:tab w:val="clear" w:pos="567"/>
        </w:tabs>
        <w:ind w:firstLine="420"/>
        <w:jc w:val="left"/>
        <w:outlineLvl w:val="4"/>
        <w:rPr>
          <w:bCs/>
          <w:szCs w:val="28"/>
        </w:rPr>
      </w:pPr>
      <w:r>
        <w:rPr>
          <w:rFonts w:hint="eastAsia"/>
          <w:bCs/>
          <w:szCs w:val="28"/>
        </w:rPr>
        <w:t>道岔的钢轨类型宜与相邻钢轨类型一致，并不得低于相邻钢轨的强度等级及材质要求。；</w:t>
      </w:r>
    </w:p>
    <w:p w14:paraId="28B787C1">
      <w:pPr>
        <w:numPr>
          <w:ilvl w:val="4"/>
          <w:numId w:val="1"/>
        </w:numPr>
        <w:tabs>
          <w:tab w:val="clear" w:pos="567"/>
        </w:tabs>
        <w:ind w:firstLine="420"/>
        <w:jc w:val="left"/>
        <w:outlineLvl w:val="4"/>
        <w:rPr>
          <w:bCs/>
          <w:szCs w:val="28"/>
        </w:rPr>
      </w:pPr>
      <w:r>
        <w:rPr>
          <w:rFonts w:hint="eastAsia"/>
          <w:bCs/>
          <w:szCs w:val="28"/>
        </w:rPr>
        <w:t>采用弹性分开式扣件，扣压件型式宜与相邻区间的扣压件一致；</w:t>
      </w:r>
    </w:p>
    <w:p w14:paraId="23DFB2D5">
      <w:pPr>
        <w:numPr>
          <w:ilvl w:val="4"/>
          <w:numId w:val="1"/>
        </w:numPr>
        <w:tabs>
          <w:tab w:val="clear" w:pos="567"/>
        </w:tabs>
        <w:ind w:firstLine="420"/>
        <w:jc w:val="left"/>
        <w:outlineLvl w:val="4"/>
        <w:rPr>
          <w:bCs/>
          <w:szCs w:val="28"/>
        </w:rPr>
      </w:pPr>
      <w:r>
        <w:rPr>
          <w:rFonts w:hint="eastAsia"/>
          <w:bCs/>
          <w:szCs w:val="28"/>
        </w:rPr>
        <w:t>道床形式宜与同一区间一致，轨枕宜采用配套的混凝土岔枕；</w:t>
      </w:r>
    </w:p>
    <w:p w14:paraId="57DC664D">
      <w:pPr>
        <w:numPr>
          <w:ilvl w:val="4"/>
          <w:numId w:val="1"/>
        </w:numPr>
        <w:tabs>
          <w:tab w:val="clear" w:pos="567"/>
        </w:tabs>
        <w:ind w:firstLine="420"/>
        <w:jc w:val="left"/>
        <w:outlineLvl w:val="4"/>
        <w:rPr>
          <w:bCs/>
          <w:szCs w:val="28"/>
        </w:rPr>
      </w:pPr>
      <w:r>
        <w:rPr>
          <w:rFonts w:hint="eastAsia"/>
          <w:bCs/>
          <w:szCs w:val="28"/>
        </w:rPr>
        <w:t>道岔转辙器和辙叉范围内不应设置隧道变形缝或梁缝；道岔转辙器接头距离构筑物变形缝或梁缝不宜小于2m。</w:t>
      </w:r>
    </w:p>
    <w:p w14:paraId="3D4D7868">
      <w:pPr>
        <w:pStyle w:val="5"/>
      </w:pPr>
      <w:r>
        <w:t>钢轨伸缩调节器设置应符合下列规定：</w:t>
      </w:r>
    </w:p>
    <w:p w14:paraId="6010FEDA">
      <w:pPr>
        <w:numPr>
          <w:ilvl w:val="4"/>
          <w:numId w:val="1"/>
        </w:numPr>
        <w:tabs>
          <w:tab w:val="clear" w:pos="567"/>
        </w:tabs>
        <w:ind w:firstLine="420"/>
        <w:jc w:val="left"/>
        <w:outlineLvl w:val="4"/>
        <w:rPr>
          <w:bCs/>
          <w:szCs w:val="28"/>
        </w:rPr>
      </w:pPr>
      <w:r>
        <w:rPr>
          <w:rFonts w:hint="eastAsia"/>
          <w:bCs/>
          <w:szCs w:val="28"/>
        </w:rPr>
        <w:t>钢轨伸缩调节器的设置应根据桥上无缝线路计算确定，技术性能应符合钢轨伸缩调节器产品有关技术条件的规定；</w:t>
      </w:r>
    </w:p>
    <w:p w14:paraId="070DDF92">
      <w:pPr>
        <w:numPr>
          <w:ilvl w:val="4"/>
          <w:numId w:val="1"/>
        </w:numPr>
        <w:tabs>
          <w:tab w:val="clear" w:pos="567"/>
        </w:tabs>
        <w:ind w:firstLine="420"/>
        <w:jc w:val="left"/>
        <w:outlineLvl w:val="4"/>
        <w:rPr>
          <w:bCs/>
          <w:szCs w:val="28"/>
        </w:rPr>
      </w:pPr>
      <w:r>
        <w:rPr>
          <w:rFonts w:hint="eastAsia"/>
          <w:bCs/>
          <w:szCs w:val="28"/>
        </w:rPr>
        <w:t>钢轨伸缩调节器宜设置在直线地段，当位于曲线地段时，应满足伸缩调节器的铺设范围要求，基本轨始端、尖轨跟端焊接接头距离梁缝、钢梁横梁、支座中心不应小于2m；</w:t>
      </w:r>
    </w:p>
    <w:p w14:paraId="3A468682">
      <w:pPr>
        <w:numPr>
          <w:ilvl w:val="4"/>
          <w:numId w:val="1"/>
        </w:numPr>
        <w:tabs>
          <w:tab w:val="clear" w:pos="567"/>
        </w:tabs>
        <w:ind w:firstLine="420"/>
        <w:jc w:val="left"/>
        <w:outlineLvl w:val="4"/>
        <w:rPr>
          <w:bCs/>
          <w:szCs w:val="28"/>
        </w:rPr>
      </w:pPr>
      <w:bookmarkStart w:id="342" w:name="_Toc174612448"/>
      <w:bookmarkStart w:id="343" w:name="_Toc174611644"/>
      <w:r>
        <w:rPr>
          <w:rFonts w:hint="eastAsia"/>
          <w:bCs/>
          <w:szCs w:val="28"/>
        </w:rPr>
        <w:t>钢轨伸缩调节器基本轨应与相邻钢轨轨型和材质相同</w:t>
      </w:r>
      <w:bookmarkEnd w:id="342"/>
      <w:bookmarkEnd w:id="343"/>
      <w:r>
        <w:rPr>
          <w:rFonts w:hint="eastAsia"/>
          <w:bCs/>
          <w:szCs w:val="28"/>
        </w:rPr>
        <w:t>。</w:t>
      </w:r>
    </w:p>
    <w:p w14:paraId="3EA2F1FB">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344" w:name="_Toc183790509"/>
      <w:bookmarkStart w:id="345" w:name="_Toc181796374"/>
      <w:bookmarkStart w:id="346" w:name="_Toc183882070"/>
      <w:bookmarkStart w:id="347" w:name="_Toc183765079"/>
      <w:bookmarkStart w:id="348" w:name="_Toc183882432"/>
      <w:bookmarkStart w:id="349" w:name="_Toc183888122"/>
      <w:bookmarkStart w:id="350" w:name="_Toc183888484"/>
      <w:r>
        <w:rPr>
          <w:rFonts w:hint="eastAsia" w:eastAsia="黑体"/>
          <w:bCs/>
          <w:szCs w:val="28"/>
        </w:rPr>
        <w:t>道床结构</w:t>
      </w:r>
      <w:bookmarkEnd w:id="344"/>
      <w:bookmarkEnd w:id="345"/>
      <w:bookmarkEnd w:id="346"/>
      <w:bookmarkEnd w:id="347"/>
      <w:bookmarkEnd w:id="348"/>
      <w:bookmarkEnd w:id="349"/>
      <w:bookmarkEnd w:id="350"/>
    </w:p>
    <w:p w14:paraId="0C2A1256">
      <w:pPr>
        <w:pStyle w:val="5"/>
      </w:pPr>
      <w:r>
        <w:t>道床结构型式应符合下列规定：</w:t>
      </w:r>
    </w:p>
    <w:p w14:paraId="450E3326">
      <w:pPr>
        <w:numPr>
          <w:ilvl w:val="4"/>
          <w:numId w:val="1"/>
        </w:numPr>
        <w:tabs>
          <w:tab w:val="clear" w:pos="567"/>
        </w:tabs>
        <w:ind w:firstLine="420"/>
        <w:jc w:val="left"/>
        <w:outlineLvl w:val="4"/>
        <w:rPr>
          <w:bCs/>
          <w:szCs w:val="28"/>
        </w:rPr>
      </w:pPr>
      <w:r>
        <w:rPr>
          <w:bCs/>
          <w:szCs w:val="28"/>
        </w:rPr>
        <w:t>地下线、高架线及车场库内线应采用无砟道床。长度较短的单体桥且两端</w:t>
      </w:r>
      <w:r>
        <w:rPr>
          <w:rFonts w:hint="eastAsia"/>
          <w:bCs/>
          <w:szCs w:val="28"/>
        </w:rPr>
        <w:t>道床类型相同，宜采用与两端一致的道床类型</w:t>
      </w:r>
    </w:p>
    <w:p w14:paraId="4CCD24B3">
      <w:pPr>
        <w:numPr>
          <w:ilvl w:val="4"/>
          <w:numId w:val="1"/>
        </w:numPr>
        <w:tabs>
          <w:tab w:val="clear" w:pos="567"/>
        </w:tabs>
        <w:ind w:firstLine="420"/>
        <w:jc w:val="left"/>
        <w:outlineLvl w:val="4"/>
        <w:rPr>
          <w:bCs/>
          <w:szCs w:val="28"/>
        </w:rPr>
      </w:pPr>
      <w:r>
        <w:rPr>
          <w:bCs/>
          <w:szCs w:val="28"/>
        </w:rPr>
        <w:t>地面线宜采用有砟道床，若采用无砟道床应结合工程地质条件、环保要求、养护维修条件及其他特殊技术要求等进行技术经济比选后确定；</w:t>
      </w:r>
    </w:p>
    <w:p w14:paraId="7505D671">
      <w:pPr>
        <w:numPr>
          <w:ilvl w:val="4"/>
          <w:numId w:val="1"/>
        </w:numPr>
        <w:tabs>
          <w:tab w:val="clear" w:pos="567"/>
        </w:tabs>
        <w:ind w:firstLine="420"/>
        <w:jc w:val="left"/>
        <w:outlineLvl w:val="4"/>
        <w:rPr>
          <w:bCs/>
          <w:szCs w:val="28"/>
        </w:rPr>
      </w:pPr>
      <w:r>
        <w:rPr>
          <w:bCs/>
          <w:szCs w:val="28"/>
        </w:rPr>
        <w:t>同一曲线宜采用一种道床结构型式。</w:t>
      </w:r>
    </w:p>
    <w:p w14:paraId="7C00B112">
      <w:pPr>
        <w:numPr>
          <w:ilvl w:val="4"/>
          <w:numId w:val="1"/>
        </w:numPr>
        <w:tabs>
          <w:tab w:val="clear" w:pos="567"/>
        </w:tabs>
        <w:ind w:firstLine="420"/>
        <w:jc w:val="left"/>
        <w:outlineLvl w:val="4"/>
        <w:rPr>
          <w:bCs/>
          <w:szCs w:val="28"/>
        </w:rPr>
      </w:pPr>
      <w:r>
        <w:rPr>
          <w:rFonts w:hint="eastAsia"/>
          <w:bCs/>
          <w:szCs w:val="28"/>
        </w:rPr>
        <w:t>当采用基标铺轨时，</w:t>
      </w:r>
      <w:r>
        <w:rPr>
          <w:bCs/>
          <w:szCs w:val="28"/>
        </w:rPr>
        <w:t>应保留控制基标。</w:t>
      </w:r>
      <w:r>
        <w:rPr>
          <w:rFonts w:hint="eastAsia"/>
          <w:bCs/>
          <w:szCs w:val="28"/>
        </w:rPr>
        <w:t>当采用任意设站控制网铺轨时，应保留控制点。</w:t>
      </w:r>
    </w:p>
    <w:p w14:paraId="419601D7">
      <w:pPr>
        <w:numPr>
          <w:ilvl w:val="4"/>
          <w:numId w:val="1"/>
        </w:numPr>
        <w:tabs>
          <w:tab w:val="clear" w:pos="567"/>
        </w:tabs>
        <w:ind w:firstLine="420"/>
        <w:jc w:val="left"/>
        <w:outlineLvl w:val="4"/>
        <w:rPr>
          <w:bCs/>
          <w:szCs w:val="28"/>
        </w:rPr>
      </w:pPr>
      <w:r>
        <w:rPr>
          <w:rFonts w:hint="eastAsia"/>
          <w:bCs/>
          <w:szCs w:val="28"/>
        </w:rPr>
        <w:t>道床结构的配筋量在满足轨道强度检算的基础上，根据杂散电流和综合接地的防护要求，应与相关专业综合统筹设计，共同采取防护措施。</w:t>
      </w:r>
    </w:p>
    <w:p w14:paraId="32D16A26">
      <w:pPr>
        <w:numPr>
          <w:ilvl w:val="4"/>
          <w:numId w:val="1"/>
        </w:numPr>
        <w:tabs>
          <w:tab w:val="clear" w:pos="567"/>
        </w:tabs>
        <w:ind w:firstLine="420"/>
        <w:jc w:val="left"/>
        <w:outlineLvl w:val="4"/>
        <w:rPr>
          <w:bCs/>
          <w:szCs w:val="28"/>
        </w:rPr>
      </w:pPr>
      <w:r>
        <w:rPr>
          <w:bCs/>
          <w:szCs w:val="28"/>
        </w:rPr>
        <w:t>道床面低于钢轨底面不宜小于70mm</w:t>
      </w:r>
      <w:r>
        <w:rPr>
          <w:rFonts w:hint="eastAsia"/>
          <w:bCs/>
          <w:szCs w:val="28"/>
        </w:rPr>
        <w:t>。</w:t>
      </w:r>
    </w:p>
    <w:p w14:paraId="26E213DD">
      <w:pPr>
        <w:pStyle w:val="5"/>
      </w:pPr>
      <w:r>
        <w:t>无砟道床结构宜符合下列规定：</w:t>
      </w:r>
    </w:p>
    <w:p w14:paraId="4A20D9E1">
      <w:pPr>
        <w:numPr>
          <w:ilvl w:val="4"/>
          <w:numId w:val="1"/>
        </w:numPr>
        <w:tabs>
          <w:tab w:val="clear" w:pos="567"/>
        </w:tabs>
        <w:ind w:firstLine="420"/>
        <w:jc w:val="left"/>
        <w:outlineLvl w:val="4"/>
        <w:rPr>
          <w:bCs/>
          <w:szCs w:val="28"/>
        </w:rPr>
      </w:pPr>
      <w:r>
        <w:rPr>
          <w:rFonts w:hint="eastAsia"/>
          <w:bCs/>
          <w:szCs w:val="28"/>
        </w:rPr>
        <w:t>隧道内和U型槽结构地段混凝土强度不应低于C</w:t>
      </w:r>
      <w:r>
        <w:rPr>
          <w:bCs/>
          <w:szCs w:val="28"/>
        </w:rPr>
        <w:t>35</w:t>
      </w:r>
      <w:r>
        <w:rPr>
          <w:rFonts w:hint="eastAsia"/>
          <w:bCs/>
          <w:szCs w:val="28"/>
        </w:rPr>
        <w:t>，高架线混凝土强度不应低于C</w:t>
      </w:r>
      <w:r>
        <w:rPr>
          <w:bCs/>
          <w:szCs w:val="28"/>
        </w:rPr>
        <w:t>40</w:t>
      </w:r>
      <w:r>
        <w:rPr>
          <w:rFonts w:hint="eastAsia"/>
          <w:bCs/>
          <w:szCs w:val="28"/>
        </w:rPr>
        <w:t>。</w:t>
      </w:r>
    </w:p>
    <w:p w14:paraId="69536959">
      <w:pPr>
        <w:numPr>
          <w:ilvl w:val="4"/>
          <w:numId w:val="1"/>
        </w:numPr>
        <w:tabs>
          <w:tab w:val="clear" w:pos="567"/>
        </w:tabs>
        <w:ind w:firstLine="420"/>
        <w:jc w:val="left"/>
        <w:outlineLvl w:val="4"/>
        <w:rPr>
          <w:bCs/>
          <w:szCs w:val="28"/>
        </w:rPr>
      </w:pPr>
      <w:r>
        <w:rPr>
          <w:rFonts w:hint="eastAsia"/>
          <w:bCs/>
          <w:szCs w:val="28"/>
        </w:rPr>
        <w:t>隧道内混凝土道床伸缩缝间距不宜大于12m，U型槽结构地段及其洞口内50m范围、隧道联络通道处、高架桥和库内线不宜大于6.2</w:t>
      </w:r>
      <w:r>
        <w:rPr>
          <w:bCs/>
          <w:szCs w:val="28"/>
        </w:rPr>
        <w:t>5</w:t>
      </w:r>
      <w:r>
        <w:rPr>
          <w:rFonts w:hint="eastAsia"/>
          <w:bCs/>
          <w:szCs w:val="28"/>
        </w:rPr>
        <w:t>m。在结构变形缝和高架桥梁缝处应设置道床伸缩缝。</w:t>
      </w:r>
    </w:p>
    <w:p w14:paraId="3FFD68A7">
      <w:pPr>
        <w:numPr>
          <w:ilvl w:val="4"/>
          <w:numId w:val="1"/>
        </w:numPr>
        <w:tabs>
          <w:tab w:val="clear" w:pos="567"/>
        </w:tabs>
        <w:ind w:firstLine="420"/>
        <w:jc w:val="left"/>
        <w:outlineLvl w:val="4"/>
        <w:rPr>
          <w:bCs/>
          <w:szCs w:val="28"/>
        </w:rPr>
      </w:pPr>
      <w:r>
        <w:rPr>
          <w:rFonts w:hint="eastAsia"/>
          <w:bCs/>
          <w:szCs w:val="28"/>
        </w:rPr>
        <w:t>道床面横向排水坡不宜小于2.5%，道岔道床横向排水坡宜为1%～2%。</w:t>
      </w:r>
    </w:p>
    <w:p w14:paraId="77A4A907">
      <w:pPr>
        <w:numPr>
          <w:ilvl w:val="4"/>
          <w:numId w:val="1"/>
        </w:numPr>
        <w:tabs>
          <w:tab w:val="clear" w:pos="567"/>
        </w:tabs>
        <w:ind w:firstLine="420"/>
        <w:jc w:val="left"/>
        <w:outlineLvl w:val="4"/>
        <w:rPr>
          <w:bCs/>
          <w:szCs w:val="28"/>
        </w:rPr>
      </w:pPr>
      <w:r>
        <w:rPr>
          <w:rFonts w:hint="eastAsia"/>
          <w:bCs/>
          <w:szCs w:val="28"/>
        </w:rPr>
        <w:t>轨枕式道床的枕下混凝土厚度不宜小于</w:t>
      </w:r>
      <w:r>
        <w:rPr>
          <w:bCs/>
          <w:szCs w:val="28"/>
        </w:rPr>
        <w:t>110mm；</w:t>
      </w:r>
    </w:p>
    <w:p w14:paraId="02F573FF">
      <w:pPr>
        <w:pStyle w:val="5"/>
      </w:pPr>
      <w:bookmarkStart w:id="351" w:name="_Hlk154829946"/>
      <w:r>
        <w:rPr>
          <w:rFonts w:hint="eastAsia"/>
        </w:rPr>
        <w:t>装配式预制板轨道</w:t>
      </w:r>
      <w:bookmarkEnd w:id="351"/>
      <w:r>
        <w:rPr>
          <w:rFonts w:hint="eastAsia"/>
        </w:rPr>
        <w:t>应符合下列规定：</w:t>
      </w:r>
    </w:p>
    <w:p w14:paraId="1D6FBA42">
      <w:pPr>
        <w:ind w:firstLine="422" w:firstLineChars="200"/>
      </w:pPr>
      <w:r>
        <w:rPr>
          <w:rStyle w:val="176"/>
          <w:rFonts w:hint="eastAsia"/>
          <w:b/>
        </w:rPr>
        <w:t xml:space="preserve">1  </w:t>
      </w:r>
      <w:r>
        <w:rPr>
          <w:rFonts w:hint="eastAsia"/>
        </w:rPr>
        <w:t>应满足设计标准化、生产工厂化、施工装配化、管理信息化的要求。</w:t>
      </w:r>
    </w:p>
    <w:p w14:paraId="6249276E">
      <w:pPr>
        <w:ind w:firstLine="422" w:firstLineChars="200"/>
      </w:pPr>
      <w:r>
        <w:rPr>
          <w:rFonts w:hint="eastAsia"/>
          <w:b/>
        </w:rPr>
        <w:t xml:space="preserve">2 </w:t>
      </w:r>
      <w:r>
        <w:rPr>
          <w:rFonts w:hint="eastAsia"/>
        </w:rPr>
        <w:t xml:space="preserve"> 道床结构宜由预制板、隔离层、填充层、底座及限位结构等部分组成，地下线及高架线可不设底座。</w:t>
      </w:r>
    </w:p>
    <w:p w14:paraId="2B7A934F">
      <w:pPr>
        <w:ind w:firstLine="422" w:firstLineChars="200"/>
      </w:pPr>
      <w:r>
        <w:rPr>
          <w:rFonts w:hint="eastAsia"/>
          <w:b/>
        </w:rPr>
        <w:t xml:space="preserve">3 </w:t>
      </w:r>
      <w:r>
        <w:rPr>
          <w:rFonts w:hint="eastAsia"/>
        </w:rPr>
        <w:t xml:space="preserve"> 预制板混凝土强度等级不应低于C50。</w:t>
      </w:r>
    </w:p>
    <w:p w14:paraId="18720A34">
      <w:pPr>
        <w:ind w:firstLine="422" w:firstLineChars="200"/>
      </w:pPr>
      <w:r>
        <w:rPr>
          <w:rFonts w:hint="eastAsia"/>
          <w:b/>
        </w:rPr>
        <w:t xml:space="preserve">4  </w:t>
      </w:r>
      <w:r>
        <w:rPr>
          <w:rFonts w:hint="eastAsia"/>
        </w:rPr>
        <w:t>预制板下填充层根据装配式预制板的要求采用匹配的灌注材料。</w:t>
      </w:r>
    </w:p>
    <w:p w14:paraId="69FE31D3">
      <w:pPr>
        <w:ind w:firstLine="422" w:firstLineChars="200"/>
      </w:pPr>
      <w:r>
        <w:rPr>
          <w:rFonts w:hint="eastAsia"/>
          <w:b/>
        </w:rPr>
        <w:t xml:space="preserve">5  </w:t>
      </w:r>
      <w:r>
        <w:rPr>
          <w:rFonts w:hint="eastAsia"/>
        </w:rPr>
        <w:t>预制板与填充层之间，应采用柔性限位设计。若隔离层具有减振功能，应通过构造设计避免减振失效。</w:t>
      </w:r>
    </w:p>
    <w:p w14:paraId="57CA49B0">
      <w:pPr>
        <w:ind w:firstLine="422" w:firstLineChars="200"/>
      </w:pPr>
      <w:r>
        <w:rPr>
          <w:b/>
        </w:rPr>
        <w:t>6</w:t>
      </w:r>
      <w:r>
        <w:rPr>
          <w:rFonts w:hint="eastAsia"/>
          <w:b/>
        </w:rPr>
        <w:t xml:space="preserve"> </w:t>
      </w:r>
      <w:r>
        <w:rPr>
          <w:rFonts w:hint="eastAsia"/>
        </w:rPr>
        <w:t xml:space="preserve"> 排水设计宜避免预制板与填充层、填充层与底座等结合面长期浸水。结合面长期浸水时应采取防水抗渗措施。</w:t>
      </w:r>
    </w:p>
    <w:p w14:paraId="0679BD35">
      <w:pPr>
        <w:ind w:firstLine="422" w:firstLineChars="200"/>
      </w:pPr>
      <w:r>
        <w:rPr>
          <w:rFonts w:hint="eastAsia"/>
          <w:b/>
        </w:rPr>
        <w:t xml:space="preserve">8 </w:t>
      </w:r>
      <w:r>
        <w:rPr>
          <w:rFonts w:hint="eastAsia"/>
        </w:rPr>
        <w:t xml:space="preserve"> 曲线超高应在板下填充层或底座上设置。</w:t>
      </w:r>
    </w:p>
    <w:p w14:paraId="075C4CAF">
      <w:pPr>
        <w:ind w:firstLine="422" w:firstLineChars="200"/>
      </w:pPr>
      <w:r>
        <w:rPr>
          <w:rFonts w:hint="eastAsia"/>
          <w:b/>
        </w:rPr>
        <w:t>9</w:t>
      </w:r>
      <w:r>
        <w:rPr>
          <w:b/>
        </w:rPr>
        <w:t xml:space="preserve"> </w:t>
      </w:r>
      <w:r>
        <w:rPr>
          <w:rFonts w:hint="eastAsia"/>
          <w:b/>
        </w:rPr>
        <w:t xml:space="preserve"> </w:t>
      </w:r>
      <w:r>
        <w:rPr>
          <w:rFonts w:hint="eastAsia"/>
        </w:rPr>
        <w:t>填充层或底座的伸缩缝间距</w:t>
      </w:r>
      <w:r>
        <w:t>应符合本</w:t>
      </w:r>
      <w:r>
        <w:rPr>
          <w:rFonts w:hint="eastAsia"/>
        </w:rPr>
        <w:t>标准</w:t>
      </w:r>
      <w:r>
        <w:t>第8.4.2</w:t>
      </w:r>
      <w:r>
        <w:rPr>
          <w:rFonts w:hint="eastAsia"/>
        </w:rPr>
        <w:t>第</w:t>
      </w:r>
      <w:r>
        <w:t>2</w:t>
      </w:r>
      <w:r>
        <w:rPr>
          <w:rFonts w:hint="eastAsia"/>
        </w:rPr>
        <w:t>款的规定。</w:t>
      </w:r>
    </w:p>
    <w:p w14:paraId="7AF6926A">
      <w:pPr>
        <w:ind w:firstLine="422" w:firstLineChars="200"/>
      </w:pPr>
      <w:r>
        <w:rPr>
          <w:rFonts w:hint="eastAsia"/>
          <w:b/>
        </w:rPr>
        <w:t>1</w:t>
      </w:r>
      <w:r>
        <w:rPr>
          <w:b/>
        </w:rPr>
        <w:t>0</w:t>
      </w:r>
      <w:r>
        <w:t xml:space="preserve">  </w:t>
      </w:r>
      <w:r>
        <w:rPr>
          <w:rFonts w:hint="eastAsia"/>
        </w:rPr>
        <w:t>库内</w:t>
      </w:r>
      <w:r>
        <w:rPr>
          <w:rFonts w:hint="eastAsia"/>
          <w:bCs/>
          <w:szCs w:val="28"/>
        </w:rPr>
        <w:t>无砟轨道结构型式应保证铺轨精度达到要求。</w:t>
      </w:r>
    </w:p>
    <w:p w14:paraId="605BD93A">
      <w:pPr>
        <w:pStyle w:val="5"/>
      </w:pPr>
      <w:r>
        <w:t>有砟道床结构应符合下列规定：</w:t>
      </w:r>
    </w:p>
    <w:p w14:paraId="3EA9757D">
      <w:pPr>
        <w:numPr>
          <w:ilvl w:val="4"/>
          <w:numId w:val="1"/>
        </w:numPr>
        <w:tabs>
          <w:tab w:val="clear" w:pos="567"/>
        </w:tabs>
        <w:ind w:firstLine="420"/>
        <w:jc w:val="left"/>
        <w:outlineLvl w:val="4"/>
        <w:rPr>
          <w:bCs/>
          <w:szCs w:val="28"/>
        </w:rPr>
      </w:pPr>
      <w:r>
        <w:rPr>
          <w:bCs/>
          <w:szCs w:val="28"/>
        </w:rPr>
        <w:t>采用一级及以上道砟，道床材料应符合现行行业标准《铁路碎石道砟》TB/T2140和《铁路碎石道床底砟》TB/T2897的规定；</w:t>
      </w:r>
    </w:p>
    <w:p w14:paraId="060D1A13">
      <w:pPr>
        <w:numPr>
          <w:ilvl w:val="4"/>
          <w:numId w:val="1"/>
        </w:numPr>
        <w:tabs>
          <w:tab w:val="clear" w:pos="567"/>
        </w:tabs>
        <w:ind w:firstLine="420"/>
        <w:jc w:val="left"/>
        <w:outlineLvl w:val="4"/>
        <w:rPr>
          <w:bCs/>
          <w:szCs w:val="28"/>
        </w:rPr>
      </w:pPr>
      <w:r>
        <w:rPr>
          <w:bCs/>
          <w:szCs w:val="28"/>
        </w:rPr>
        <w:t>在无缝线路锁定前，有砟道床的密实度不得小于1.7t/m</w:t>
      </w:r>
      <w:r>
        <w:rPr>
          <w:bCs/>
          <w:szCs w:val="28"/>
          <w:vertAlign w:val="superscript"/>
        </w:rPr>
        <w:t>3</w:t>
      </w:r>
      <w:r>
        <w:rPr>
          <w:bCs/>
          <w:szCs w:val="28"/>
        </w:rPr>
        <w:t>，纵向阻力不得小于10kN/枕，横向阻力不得小于9kN/枕；</w:t>
      </w:r>
    </w:p>
    <w:p w14:paraId="3FAE0054">
      <w:pPr>
        <w:numPr>
          <w:ilvl w:val="4"/>
          <w:numId w:val="1"/>
        </w:numPr>
        <w:tabs>
          <w:tab w:val="clear" w:pos="567"/>
        </w:tabs>
        <w:ind w:firstLine="420"/>
        <w:jc w:val="left"/>
        <w:outlineLvl w:val="4"/>
        <w:rPr>
          <w:bCs/>
          <w:szCs w:val="28"/>
        </w:rPr>
      </w:pPr>
      <w:r>
        <w:rPr>
          <w:bCs/>
          <w:szCs w:val="28"/>
        </w:rPr>
        <w:t>有砟道床最小厚度不宜小于表8.4.</w:t>
      </w:r>
      <w:r>
        <w:rPr>
          <w:rFonts w:hint="eastAsia"/>
          <w:bCs/>
          <w:szCs w:val="28"/>
        </w:rPr>
        <w:t>4</w:t>
      </w:r>
      <w:r>
        <w:rPr>
          <w:bCs/>
          <w:szCs w:val="28"/>
        </w:rPr>
        <w:t>的规定；</w:t>
      </w:r>
    </w:p>
    <w:p w14:paraId="114F5D8D">
      <w:pPr>
        <w:ind w:left="420"/>
        <w:jc w:val="left"/>
        <w:outlineLvl w:val="4"/>
        <w:rPr>
          <w:bCs/>
          <w:szCs w:val="28"/>
        </w:rPr>
      </w:pPr>
    </w:p>
    <w:p w14:paraId="2CC4A531">
      <w:pPr>
        <w:pStyle w:val="198"/>
      </w:pPr>
      <w:r>
        <w:t>表8.4.</w:t>
      </w:r>
      <w:r>
        <w:rPr>
          <w:rFonts w:hint="eastAsia"/>
        </w:rPr>
        <w:t xml:space="preserve">4  </w:t>
      </w:r>
      <w:r>
        <w:t>有砟道床最小厚度</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55"/>
        <w:gridCol w:w="819"/>
        <w:gridCol w:w="1580"/>
        <w:gridCol w:w="1586"/>
      </w:tblGrid>
      <w:tr w14:paraId="79907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5" w:hRule="atLeast"/>
        </w:trPr>
        <w:tc>
          <w:tcPr>
            <w:tcW w:w="2355" w:type="dxa"/>
            <w:vMerge w:val="restart"/>
            <w:tcBorders>
              <w:left w:val="single" w:color="000000" w:sz="6" w:space="0"/>
              <w:bottom w:val="nil"/>
            </w:tcBorders>
            <w:vAlign w:val="center"/>
          </w:tcPr>
          <w:p w14:paraId="0F0220C5">
            <w:pPr>
              <w:autoSpaceDE w:val="0"/>
              <w:autoSpaceDN w:val="0"/>
              <w:spacing w:line="240" w:lineRule="auto"/>
              <w:jc w:val="center"/>
              <w:rPr>
                <w:kern w:val="0"/>
                <w:sz w:val="15"/>
                <w:szCs w:val="15"/>
              </w:rPr>
            </w:pPr>
            <w:r>
              <w:rPr>
                <w:kern w:val="0"/>
                <w:sz w:val="15"/>
                <w:szCs w:val="15"/>
              </w:rPr>
              <w:t>下部结构类型</w:t>
            </w:r>
          </w:p>
        </w:tc>
        <w:tc>
          <w:tcPr>
            <w:tcW w:w="3985" w:type="dxa"/>
            <w:gridSpan w:val="3"/>
            <w:tcBorders>
              <w:right w:val="single" w:color="000000" w:sz="6" w:space="0"/>
            </w:tcBorders>
            <w:vAlign w:val="center"/>
          </w:tcPr>
          <w:p w14:paraId="5FAFE27B">
            <w:pPr>
              <w:autoSpaceDE w:val="0"/>
              <w:autoSpaceDN w:val="0"/>
              <w:spacing w:line="240" w:lineRule="auto"/>
              <w:jc w:val="center"/>
              <w:rPr>
                <w:kern w:val="0"/>
                <w:sz w:val="15"/>
                <w:szCs w:val="15"/>
              </w:rPr>
            </w:pPr>
            <w:r>
              <w:rPr>
                <w:kern w:val="0"/>
                <w:sz w:val="15"/>
                <w:szCs w:val="15"/>
              </w:rPr>
              <w:t>道床厚度(mm)</w:t>
            </w:r>
          </w:p>
        </w:tc>
      </w:tr>
      <w:tr w14:paraId="77A15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1" w:hRule="atLeast"/>
        </w:trPr>
        <w:tc>
          <w:tcPr>
            <w:tcW w:w="2355" w:type="dxa"/>
            <w:vMerge w:val="continue"/>
            <w:tcBorders>
              <w:top w:val="nil"/>
              <w:left w:val="single" w:color="000000" w:sz="6" w:space="0"/>
            </w:tcBorders>
            <w:vAlign w:val="center"/>
          </w:tcPr>
          <w:p w14:paraId="370033BC">
            <w:pPr>
              <w:autoSpaceDE w:val="0"/>
              <w:autoSpaceDN w:val="0"/>
              <w:spacing w:line="240" w:lineRule="auto"/>
              <w:jc w:val="center"/>
              <w:rPr>
                <w:kern w:val="0"/>
                <w:sz w:val="15"/>
                <w:szCs w:val="15"/>
              </w:rPr>
            </w:pPr>
          </w:p>
        </w:tc>
        <w:tc>
          <w:tcPr>
            <w:tcW w:w="2399" w:type="dxa"/>
            <w:gridSpan w:val="2"/>
            <w:vAlign w:val="center"/>
          </w:tcPr>
          <w:p w14:paraId="1DCD8A71">
            <w:pPr>
              <w:autoSpaceDE w:val="0"/>
              <w:autoSpaceDN w:val="0"/>
              <w:spacing w:line="240" w:lineRule="auto"/>
              <w:jc w:val="center"/>
              <w:rPr>
                <w:kern w:val="0"/>
                <w:sz w:val="15"/>
                <w:szCs w:val="15"/>
              </w:rPr>
            </w:pPr>
            <w:r>
              <w:rPr>
                <w:kern w:val="0"/>
                <w:sz w:val="15"/>
                <w:szCs w:val="15"/>
              </w:rPr>
              <w:t>正线、配线</w:t>
            </w:r>
          </w:p>
        </w:tc>
        <w:tc>
          <w:tcPr>
            <w:tcW w:w="1586" w:type="dxa"/>
            <w:tcBorders>
              <w:right w:val="single" w:color="000000" w:sz="6" w:space="0"/>
            </w:tcBorders>
            <w:vAlign w:val="center"/>
          </w:tcPr>
          <w:p w14:paraId="7144CE0A">
            <w:pPr>
              <w:autoSpaceDE w:val="0"/>
              <w:autoSpaceDN w:val="0"/>
              <w:spacing w:line="240" w:lineRule="auto"/>
              <w:jc w:val="center"/>
              <w:rPr>
                <w:kern w:val="0"/>
                <w:sz w:val="15"/>
                <w:szCs w:val="15"/>
              </w:rPr>
            </w:pPr>
            <w:r>
              <w:rPr>
                <w:kern w:val="0"/>
                <w:sz w:val="15"/>
                <w:szCs w:val="15"/>
              </w:rPr>
              <w:t>车场线</w:t>
            </w:r>
          </w:p>
        </w:tc>
      </w:tr>
      <w:tr w14:paraId="09FE9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2" w:hRule="atLeast"/>
        </w:trPr>
        <w:tc>
          <w:tcPr>
            <w:tcW w:w="2355" w:type="dxa"/>
            <w:vMerge w:val="restart"/>
            <w:tcBorders>
              <w:left w:val="single" w:color="000000" w:sz="6" w:space="0"/>
              <w:bottom w:val="nil"/>
            </w:tcBorders>
            <w:vAlign w:val="center"/>
          </w:tcPr>
          <w:p w14:paraId="02920E10">
            <w:pPr>
              <w:autoSpaceDE w:val="0"/>
              <w:autoSpaceDN w:val="0"/>
              <w:spacing w:line="240" w:lineRule="auto"/>
              <w:jc w:val="center"/>
              <w:rPr>
                <w:kern w:val="0"/>
                <w:sz w:val="15"/>
                <w:szCs w:val="15"/>
              </w:rPr>
            </w:pPr>
            <w:r>
              <w:rPr>
                <w:kern w:val="0"/>
                <w:sz w:val="15"/>
                <w:szCs w:val="15"/>
              </w:rPr>
              <w:t>非渗水土路基</w:t>
            </w:r>
          </w:p>
        </w:tc>
        <w:tc>
          <w:tcPr>
            <w:tcW w:w="819" w:type="dxa"/>
            <w:vMerge w:val="restart"/>
            <w:tcBorders>
              <w:bottom w:val="nil"/>
            </w:tcBorders>
            <w:vAlign w:val="center"/>
          </w:tcPr>
          <w:p w14:paraId="383233EF">
            <w:pPr>
              <w:autoSpaceDE w:val="0"/>
              <w:autoSpaceDN w:val="0"/>
              <w:spacing w:line="240" w:lineRule="auto"/>
              <w:jc w:val="center"/>
              <w:rPr>
                <w:kern w:val="0"/>
                <w:sz w:val="15"/>
                <w:szCs w:val="15"/>
              </w:rPr>
            </w:pPr>
            <w:r>
              <w:rPr>
                <w:kern w:val="0"/>
                <w:sz w:val="15"/>
                <w:szCs w:val="15"/>
              </w:rPr>
              <w:t>双层</w:t>
            </w:r>
          </w:p>
        </w:tc>
        <w:tc>
          <w:tcPr>
            <w:tcW w:w="1580" w:type="dxa"/>
            <w:vAlign w:val="center"/>
          </w:tcPr>
          <w:p w14:paraId="78FF3389">
            <w:pPr>
              <w:autoSpaceDE w:val="0"/>
              <w:autoSpaceDN w:val="0"/>
              <w:spacing w:line="240" w:lineRule="auto"/>
              <w:jc w:val="center"/>
              <w:rPr>
                <w:kern w:val="0"/>
                <w:sz w:val="15"/>
                <w:szCs w:val="15"/>
              </w:rPr>
            </w:pPr>
            <w:r>
              <w:rPr>
                <w:kern w:val="0"/>
                <w:sz w:val="15"/>
                <w:szCs w:val="15"/>
              </w:rPr>
              <w:t>道砟250</w:t>
            </w:r>
          </w:p>
        </w:tc>
        <w:tc>
          <w:tcPr>
            <w:tcW w:w="1586" w:type="dxa"/>
            <w:vMerge w:val="restart"/>
            <w:tcBorders>
              <w:bottom w:val="nil"/>
              <w:right w:val="single" w:color="000000" w:sz="6" w:space="0"/>
            </w:tcBorders>
            <w:vAlign w:val="center"/>
          </w:tcPr>
          <w:p w14:paraId="71690C32">
            <w:pPr>
              <w:autoSpaceDE w:val="0"/>
              <w:autoSpaceDN w:val="0"/>
              <w:spacing w:line="240" w:lineRule="auto"/>
              <w:jc w:val="center"/>
              <w:rPr>
                <w:kern w:val="0"/>
                <w:sz w:val="15"/>
                <w:szCs w:val="15"/>
              </w:rPr>
            </w:pPr>
          </w:p>
          <w:p w14:paraId="6605DD10">
            <w:pPr>
              <w:autoSpaceDE w:val="0"/>
              <w:autoSpaceDN w:val="0"/>
              <w:spacing w:line="240" w:lineRule="auto"/>
              <w:jc w:val="center"/>
              <w:rPr>
                <w:kern w:val="0"/>
                <w:sz w:val="15"/>
                <w:szCs w:val="15"/>
              </w:rPr>
            </w:pPr>
            <w:r>
              <w:rPr>
                <w:kern w:val="0"/>
                <w:sz w:val="15"/>
                <w:szCs w:val="15"/>
              </w:rPr>
              <w:t>单层250</w:t>
            </w:r>
          </w:p>
        </w:tc>
      </w:tr>
      <w:tr w14:paraId="55F90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9" w:hRule="atLeast"/>
        </w:trPr>
        <w:tc>
          <w:tcPr>
            <w:tcW w:w="2355" w:type="dxa"/>
            <w:vMerge w:val="continue"/>
            <w:tcBorders>
              <w:top w:val="nil"/>
              <w:left w:val="single" w:color="000000" w:sz="6" w:space="0"/>
            </w:tcBorders>
            <w:vAlign w:val="center"/>
          </w:tcPr>
          <w:p w14:paraId="06B02A9E">
            <w:pPr>
              <w:autoSpaceDE w:val="0"/>
              <w:autoSpaceDN w:val="0"/>
              <w:spacing w:line="240" w:lineRule="auto"/>
              <w:jc w:val="center"/>
              <w:rPr>
                <w:kern w:val="0"/>
                <w:sz w:val="15"/>
                <w:szCs w:val="15"/>
              </w:rPr>
            </w:pPr>
          </w:p>
        </w:tc>
        <w:tc>
          <w:tcPr>
            <w:tcW w:w="819" w:type="dxa"/>
            <w:vMerge w:val="continue"/>
            <w:tcBorders>
              <w:top w:val="nil"/>
            </w:tcBorders>
            <w:vAlign w:val="center"/>
          </w:tcPr>
          <w:p w14:paraId="2F5FA0A1">
            <w:pPr>
              <w:autoSpaceDE w:val="0"/>
              <w:autoSpaceDN w:val="0"/>
              <w:spacing w:line="240" w:lineRule="auto"/>
              <w:jc w:val="center"/>
              <w:rPr>
                <w:kern w:val="0"/>
                <w:sz w:val="15"/>
                <w:szCs w:val="15"/>
              </w:rPr>
            </w:pPr>
          </w:p>
        </w:tc>
        <w:tc>
          <w:tcPr>
            <w:tcW w:w="1580" w:type="dxa"/>
            <w:vAlign w:val="center"/>
          </w:tcPr>
          <w:p w14:paraId="02A200EE">
            <w:pPr>
              <w:autoSpaceDE w:val="0"/>
              <w:autoSpaceDN w:val="0"/>
              <w:spacing w:line="240" w:lineRule="auto"/>
              <w:jc w:val="center"/>
              <w:rPr>
                <w:kern w:val="0"/>
                <w:sz w:val="15"/>
                <w:szCs w:val="15"/>
              </w:rPr>
            </w:pPr>
            <w:r>
              <w:rPr>
                <w:kern w:val="0"/>
                <w:sz w:val="15"/>
                <w:szCs w:val="15"/>
              </w:rPr>
              <w:t>底砟200</w:t>
            </w:r>
          </w:p>
        </w:tc>
        <w:tc>
          <w:tcPr>
            <w:tcW w:w="1586" w:type="dxa"/>
            <w:vMerge w:val="continue"/>
            <w:tcBorders>
              <w:top w:val="nil"/>
              <w:bottom w:val="nil"/>
              <w:right w:val="single" w:color="000000" w:sz="6" w:space="0"/>
            </w:tcBorders>
            <w:vAlign w:val="center"/>
          </w:tcPr>
          <w:p w14:paraId="1C0A6608">
            <w:pPr>
              <w:autoSpaceDE w:val="0"/>
              <w:autoSpaceDN w:val="0"/>
              <w:spacing w:line="240" w:lineRule="auto"/>
              <w:jc w:val="center"/>
              <w:rPr>
                <w:kern w:val="0"/>
                <w:sz w:val="15"/>
                <w:szCs w:val="15"/>
              </w:rPr>
            </w:pPr>
          </w:p>
        </w:tc>
      </w:tr>
      <w:tr w14:paraId="38B99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3" w:hRule="atLeast"/>
        </w:trPr>
        <w:tc>
          <w:tcPr>
            <w:tcW w:w="2355" w:type="dxa"/>
            <w:tcBorders>
              <w:left w:val="single" w:color="000000" w:sz="6" w:space="0"/>
            </w:tcBorders>
            <w:vAlign w:val="center"/>
          </w:tcPr>
          <w:p w14:paraId="4D174181">
            <w:pPr>
              <w:autoSpaceDE w:val="0"/>
              <w:autoSpaceDN w:val="0"/>
              <w:spacing w:line="240" w:lineRule="auto"/>
              <w:jc w:val="center"/>
              <w:rPr>
                <w:kern w:val="0"/>
                <w:sz w:val="15"/>
                <w:szCs w:val="15"/>
              </w:rPr>
            </w:pPr>
            <w:r>
              <w:rPr>
                <w:kern w:val="0"/>
                <w:sz w:val="15"/>
                <w:szCs w:val="15"/>
              </w:rPr>
              <w:t>岩石、渗水土路基、混凝土结构</w:t>
            </w:r>
          </w:p>
        </w:tc>
        <w:tc>
          <w:tcPr>
            <w:tcW w:w="2399" w:type="dxa"/>
            <w:gridSpan w:val="2"/>
            <w:vAlign w:val="center"/>
          </w:tcPr>
          <w:p w14:paraId="1038DF7D">
            <w:pPr>
              <w:autoSpaceDE w:val="0"/>
              <w:autoSpaceDN w:val="0"/>
              <w:spacing w:line="240" w:lineRule="auto"/>
              <w:jc w:val="center"/>
              <w:rPr>
                <w:kern w:val="0"/>
                <w:sz w:val="15"/>
                <w:szCs w:val="15"/>
              </w:rPr>
            </w:pPr>
            <w:r>
              <w:rPr>
                <w:kern w:val="0"/>
                <w:sz w:val="15"/>
                <w:szCs w:val="15"/>
              </w:rPr>
              <w:t>单层道砟300</w:t>
            </w:r>
          </w:p>
        </w:tc>
        <w:tc>
          <w:tcPr>
            <w:tcW w:w="1586" w:type="dxa"/>
            <w:vMerge w:val="continue"/>
            <w:tcBorders>
              <w:top w:val="nil"/>
              <w:right w:val="single" w:color="000000" w:sz="6" w:space="0"/>
            </w:tcBorders>
            <w:vAlign w:val="center"/>
          </w:tcPr>
          <w:p w14:paraId="70E267EB">
            <w:pPr>
              <w:autoSpaceDE w:val="0"/>
              <w:autoSpaceDN w:val="0"/>
              <w:spacing w:line="240" w:lineRule="auto"/>
              <w:jc w:val="center"/>
              <w:rPr>
                <w:kern w:val="0"/>
                <w:sz w:val="15"/>
                <w:szCs w:val="15"/>
              </w:rPr>
            </w:pPr>
          </w:p>
        </w:tc>
      </w:tr>
    </w:tbl>
    <w:p w14:paraId="427C8BB9">
      <w:pPr>
        <w:numPr>
          <w:ilvl w:val="4"/>
          <w:numId w:val="1"/>
        </w:numPr>
        <w:tabs>
          <w:tab w:val="clear" w:pos="567"/>
        </w:tabs>
        <w:ind w:firstLine="420"/>
        <w:jc w:val="left"/>
        <w:outlineLvl w:val="4"/>
        <w:rPr>
          <w:bCs/>
          <w:szCs w:val="28"/>
        </w:rPr>
      </w:pPr>
      <w:r>
        <w:rPr>
          <w:bCs/>
          <w:szCs w:val="28"/>
        </w:rPr>
        <w:t>正线无缝线路地段有砟道床的道床肩宽不应小于400mm，有缝线路地段道床肩宽不应小于300mm。无缝线路曲线半径小于800m、有缝线路曲线半径小于600m的地段，曲线外侧道床肩宽应加宽100mm。无缝线路砟肩应堆高150mm。道床边坡均应为1</w:t>
      </w:r>
      <w:r>
        <w:rPr>
          <w:rFonts w:hint="eastAsia"/>
          <w:bCs/>
          <w:szCs w:val="28"/>
        </w:rPr>
        <w:t>∶</w:t>
      </w:r>
      <w:r>
        <w:rPr>
          <w:bCs/>
          <w:szCs w:val="28"/>
        </w:rPr>
        <w:t>1.75；</w:t>
      </w:r>
    </w:p>
    <w:p w14:paraId="3F0901F0">
      <w:pPr>
        <w:numPr>
          <w:ilvl w:val="4"/>
          <w:numId w:val="1"/>
        </w:numPr>
        <w:tabs>
          <w:tab w:val="clear" w:pos="567"/>
        </w:tabs>
        <w:ind w:firstLine="420"/>
        <w:jc w:val="left"/>
        <w:outlineLvl w:val="4"/>
        <w:rPr>
          <w:bCs/>
          <w:szCs w:val="28"/>
        </w:rPr>
      </w:pPr>
      <w:r>
        <w:rPr>
          <w:bCs/>
          <w:szCs w:val="28"/>
        </w:rPr>
        <w:t>车场线有砟道床的道床肩宽不应小于200mm，曲线半径不大于300m的曲线地段，曲线外侧道床肩宽应加宽100mm，道床边坡均应为1</w:t>
      </w:r>
      <w:r>
        <w:rPr>
          <w:rFonts w:hint="eastAsia"/>
          <w:bCs/>
          <w:szCs w:val="28"/>
        </w:rPr>
        <w:t>∶</w:t>
      </w:r>
      <w:r>
        <w:rPr>
          <w:bCs/>
          <w:szCs w:val="28"/>
        </w:rPr>
        <w:t>1.5；</w:t>
      </w:r>
    </w:p>
    <w:p w14:paraId="579C23D6">
      <w:pPr>
        <w:numPr>
          <w:ilvl w:val="4"/>
          <w:numId w:val="1"/>
        </w:numPr>
        <w:tabs>
          <w:tab w:val="clear" w:pos="567"/>
        </w:tabs>
        <w:ind w:firstLine="420"/>
        <w:jc w:val="left"/>
        <w:outlineLvl w:val="4"/>
        <w:rPr>
          <w:bCs/>
          <w:szCs w:val="28"/>
        </w:rPr>
      </w:pPr>
      <w:r>
        <w:rPr>
          <w:bCs/>
          <w:szCs w:val="28"/>
        </w:rPr>
        <w:t>有砟道床顶面应与混凝土轨枕中部顶面平齐，应低于木枕顶面30mm。</w:t>
      </w:r>
    </w:p>
    <w:p w14:paraId="1C17A5CE">
      <w:pPr>
        <w:pStyle w:val="5"/>
      </w:pPr>
      <w:r>
        <w:t>道床结构的过渡段设置应符合下列规定：</w:t>
      </w:r>
    </w:p>
    <w:p w14:paraId="52409A3D">
      <w:pPr>
        <w:numPr>
          <w:ilvl w:val="4"/>
          <w:numId w:val="1"/>
        </w:numPr>
        <w:tabs>
          <w:tab w:val="clear" w:pos="567"/>
        </w:tabs>
        <w:ind w:firstLine="420"/>
        <w:jc w:val="left"/>
        <w:outlineLvl w:val="4"/>
        <w:rPr>
          <w:bCs/>
          <w:szCs w:val="28"/>
        </w:rPr>
      </w:pPr>
      <w:r>
        <w:rPr>
          <w:bCs/>
          <w:szCs w:val="28"/>
        </w:rPr>
        <w:t>正线、出入线和试车线的无砟道床与有砟道床间应设过渡段，长度不宜小于车辆定距；</w:t>
      </w:r>
    </w:p>
    <w:p w14:paraId="1369FE2A">
      <w:pPr>
        <w:numPr>
          <w:ilvl w:val="4"/>
          <w:numId w:val="1"/>
        </w:numPr>
        <w:tabs>
          <w:tab w:val="clear" w:pos="567"/>
        </w:tabs>
        <w:ind w:firstLine="420"/>
        <w:jc w:val="left"/>
        <w:outlineLvl w:val="4"/>
        <w:rPr>
          <w:bCs/>
          <w:szCs w:val="28"/>
        </w:rPr>
      </w:pPr>
      <w:r>
        <w:rPr>
          <w:bCs/>
          <w:szCs w:val="28"/>
        </w:rPr>
        <w:t>不同减振地段间宜设置过渡段，过渡方式和长度应根据计算确定。</w:t>
      </w:r>
    </w:p>
    <w:p w14:paraId="6448493A">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352" w:name="_Toc183888123"/>
      <w:bookmarkStart w:id="353" w:name="_Toc168059391"/>
      <w:bookmarkStart w:id="354" w:name="_Toc168061647"/>
      <w:bookmarkStart w:id="355" w:name="_Toc174612449"/>
      <w:bookmarkStart w:id="356" w:name="_Toc183888485"/>
      <w:bookmarkStart w:id="357" w:name="_Toc183882071"/>
      <w:bookmarkStart w:id="358" w:name="_Toc183790510"/>
      <w:bookmarkStart w:id="359" w:name="_Toc168061200"/>
      <w:bookmarkStart w:id="360" w:name="_Toc183882433"/>
      <w:bookmarkStart w:id="361" w:name="_Toc181796375"/>
      <w:bookmarkStart w:id="362" w:name="_Toc183765080"/>
      <w:bookmarkStart w:id="363" w:name="_Toc174611645"/>
      <w:r>
        <w:rPr>
          <w:rFonts w:eastAsia="黑体"/>
          <w:bCs/>
          <w:szCs w:val="28"/>
        </w:rPr>
        <w:t>无缝线路</w:t>
      </w:r>
      <w:bookmarkEnd w:id="352"/>
      <w:bookmarkEnd w:id="353"/>
      <w:bookmarkEnd w:id="354"/>
      <w:bookmarkEnd w:id="355"/>
      <w:bookmarkEnd w:id="356"/>
      <w:bookmarkEnd w:id="357"/>
      <w:bookmarkEnd w:id="358"/>
      <w:bookmarkEnd w:id="359"/>
      <w:bookmarkEnd w:id="360"/>
      <w:bookmarkEnd w:id="361"/>
      <w:bookmarkEnd w:id="362"/>
      <w:bookmarkEnd w:id="363"/>
    </w:p>
    <w:p w14:paraId="442E2A36">
      <w:pPr>
        <w:pStyle w:val="5"/>
      </w:pPr>
      <w:r>
        <w:t>无缝线路设计应根据当地气象及地下线温度资料确定设计锁定轨温，并应对轨道结构强度、稳定性、断缝安全性等进行检算。</w:t>
      </w:r>
    </w:p>
    <w:p w14:paraId="3A1621EC">
      <w:pPr>
        <w:pStyle w:val="5"/>
      </w:pPr>
      <w:r>
        <w:t>应采用温度应力式无缝线路。下列地段宜按无缝线路设计，曲线半径小于以下限制值时，应进行特殊设计，采取加强措施：</w:t>
      </w:r>
    </w:p>
    <w:p w14:paraId="7E203F6F">
      <w:pPr>
        <w:numPr>
          <w:ilvl w:val="4"/>
          <w:numId w:val="1"/>
        </w:numPr>
        <w:tabs>
          <w:tab w:val="clear" w:pos="567"/>
        </w:tabs>
        <w:ind w:firstLine="420"/>
        <w:jc w:val="left"/>
        <w:outlineLvl w:val="4"/>
        <w:rPr>
          <w:bCs/>
          <w:szCs w:val="28"/>
        </w:rPr>
      </w:pPr>
      <w:r>
        <w:rPr>
          <w:bCs/>
          <w:szCs w:val="28"/>
        </w:rPr>
        <w:t>地下线的直线和曲线半径不小于300m地段；</w:t>
      </w:r>
    </w:p>
    <w:p w14:paraId="362E8A53">
      <w:pPr>
        <w:numPr>
          <w:ilvl w:val="4"/>
          <w:numId w:val="1"/>
        </w:numPr>
        <w:tabs>
          <w:tab w:val="clear" w:pos="567"/>
        </w:tabs>
        <w:ind w:firstLine="420"/>
        <w:jc w:val="left"/>
        <w:outlineLvl w:val="4"/>
        <w:rPr>
          <w:bCs/>
          <w:szCs w:val="28"/>
        </w:rPr>
      </w:pPr>
      <w:r>
        <w:rPr>
          <w:bCs/>
          <w:szCs w:val="28"/>
        </w:rPr>
        <w:t>高架线及地面线无砟道床的直线和曲线半径不小于400m地段；有砟道床的直线和曲线半径不小于600m地段。</w:t>
      </w:r>
    </w:p>
    <w:p w14:paraId="327D5584">
      <w:pPr>
        <w:pStyle w:val="5"/>
      </w:pPr>
      <w:r>
        <w:t>有砟道床地段宜按一次铺设无缝线路设计。</w:t>
      </w:r>
    </w:p>
    <w:p w14:paraId="0D4667BF">
      <w:pPr>
        <w:pStyle w:val="5"/>
      </w:pPr>
      <w:r>
        <w:t>轨道结构强度、稳定性等进行计算</w:t>
      </w:r>
      <w:r>
        <w:rPr>
          <w:rFonts w:hint="eastAsia"/>
        </w:rPr>
        <w:t>后，</w:t>
      </w:r>
      <w:r>
        <w:t>确定设计锁定轨温，一般地下线锁定轨温范围应为10℃~30℃，地面线和高架线宜为22℃~32℃。</w:t>
      </w:r>
    </w:p>
    <w:p w14:paraId="6106C61A">
      <w:pPr>
        <w:pStyle w:val="5"/>
      </w:pPr>
      <w:r>
        <w:t>道岔区不应与无缝线路长钢轨焊接。铺设跨区间无缝线路时，应进行无缝道岔中相对位移及部件强度等检算</w:t>
      </w:r>
      <w:r>
        <w:rPr>
          <w:rFonts w:hint="eastAsia"/>
        </w:rPr>
        <w:t>，并采用冻结接头</w:t>
      </w:r>
      <w:r>
        <w:t>。</w:t>
      </w:r>
    </w:p>
    <w:p w14:paraId="5BEACABB">
      <w:pPr>
        <w:pStyle w:val="5"/>
      </w:pPr>
      <w:r>
        <w:t>高架线无砟道床的无缝线路铺设应满足下列要求：</w:t>
      </w:r>
    </w:p>
    <w:p w14:paraId="5970485D">
      <w:pPr>
        <w:numPr>
          <w:ilvl w:val="4"/>
          <w:numId w:val="1"/>
        </w:numPr>
        <w:tabs>
          <w:tab w:val="clear" w:pos="567"/>
        </w:tabs>
        <w:ind w:firstLine="420"/>
        <w:jc w:val="left"/>
        <w:outlineLvl w:val="4"/>
        <w:rPr>
          <w:bCs/>
          <w:szCs w:val="28"/>
        </w:rPr>
      </w:pPr>
      <w:r>
        <w:rPr>
          <w:bCs/>
          <w:szCs w:val="28"/>
        </w:rPr>
        <w:t>桥上无缝线路设计应计算钢轨伸缩力、挠曲力、断轨力；并应进行钢轨断缝检算。无砟轨道、有砟轨道钢轨允许断缝值分别为100mm和80mm；</w:t>
      </w:r>
    </w:p>
    <w:p w14:paraId="43950F39">
      <w:pPr>
        <w:numPr>
          <w:ilvl w:val="4"/>
          <w:numId w:val="1"/>
        </w:numPr>
        <w:tabs>
          <w:tab w:val="clear" w:pos="567"/>
        </w:tabs>
        <w:ind w:firstLine="420"/>
        <w:jc w:val="left"/>
        <w:outlineLvl w:val="4"/>
        <w:rPr>
          <w:bCs/>
          <w:szCs w:val="28"/>
        </w:rPr>
      </w:pPr>
      <w:r>
        <w:rPr>
          <w:bCs/>
          <w:szCs w:val="28"/>
        </w:rPr>
        <w:t>温度跨度大于100m的钢梁或温度跨度大于120m的混凝土梁地段铺设无缝线路时，应根据计算确定钢轨伸缩调节器的设置方式；</w:t>
      </w:r>
    </w:p>
    <w:p w14:paraId="4875C5B7">
      <w:pPr>
        <w:numPr>
          <w:ilvl w:val="4"/>
          <w:numId w:val="1"/>
        </w:numPr>
        <w:tabs>
          <w:tab w:val="clear" w:pos="567"/>
        </w:tabs>
        <w:ind w:firstLine="420"/>
        <w:jc w:val="left"/>
        <w:outlineLvl w:val="4"/>
        <w:rPr>
          <w:bCs/>
          <w:szCs w:val="28"/>
        </w:rPr>
      </w:pPr>
      <w:r>
        <w:rPr>
          <w:bCs/>
          <w:szCs w:val="28"/>
        </w:rPr>
        <w:t>联合接头距梁端的距离不应小于4m。</w:t>
      </w:r>
    </w:p>
    <w:p w14:paraId="692EC64F">
      <w:pPr>
        <w:numPr>
          <w:ilvl w:val="2"/>
          <w:numId w:val="1"/>
        </w:numPr>
        <w:tabs>
          <w:tab w:val="left" w:pos="709"/>
          <w:tab w:val="left" w:pos="794"/>
        </w:tabs>
        <w:outlineLvl w:val="2"/>
        <w:rPr>
          <w:bCs/>
        </w:rPr>
      </w:pPr>
      <w:r>
        <w:rPr>
          <w:bCs/>
        </w:rPr>
        <w:t>无缝线路应按相关规定设置位移观测桩。钢轨伸缩调节器和道岔均应按一个单元轨节设置位移观测桩。</w:t>
      </w:r>
    </w:p>
    <w:p w14:paraId="427AB3D1">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364" w:name="_Toc168061201"/>
      <w:bookmarkStart w:id="365" w:name="_Toc183888486"/>
      <w:bookmarkStart w:id="366" w:name="_Toc183888124"/>
      <w:bookmarkStart w:id="367" w:name="_Toc168061648"/>
      <w:bookmarkStart w:id="368" w:name="_Toc174611646"/>
      <w:bookmarkStart w:id="369" w:name="_Toc183790511"/>
      <w:bookmarkStart w:id="370" w:name="_Toc183882434"/>
      <w:bookmarkStart w:id="371" w:name="_Toc183765081"/>
      <w:bookmarkStart w:id="372" w:name="_Toc181796376"/>
      <w:bookmarkStart w:id="373" w:name="_Toc183882072"/>
      <w:bookmarkStart w:id="374" w:name="_Toc174612450"/>
      <w:bookmarkStart w:id="375" w:name="_Toc168059392"/>
      <w:r>
        <w:rPr>
          <w:rFonts w:eastAsia="黑体"/>
          <w:bCs/>
          <w:szCs w:val="28"/>
        </w:rPr>
        <w:t>轨道减振</w:t>
      </w:r>
      <w:bookmarkEnd w:id="364"/>
      <w:bookmarkEnd w:id="365"/>
      <w:bookmarkEnd w:id="366"/>
      <w:bookmarkEnd w:id="367"/>
      <w:bookmarkEnd w:id="368"/>
      <w:bookmarkEnd w:id="369"/>
      <w:bookmarkEnd w:id="370"/>
      <w:bookmarkEnd w:id="371"/>
      <w:bookmarkEnd w:id="372"/>
      <w:bookmarkEnd w:id="373"/>
      <w:bookmarkEnd w:id="374"/>
      <w:bookmarkEnd w:id="375"/>
    </w:p>
    <w:p w14:paraId="78514113">
      <w:pPr>
        <w:pStyle w:val="5"/>
        <w:rPr>
          <w:rFonts w:eastAsia="黑体"/>
          <w:szCs w:val="28"/>
        </w:rPr>
      </w:pPr>
      <w:r>
        <w:rPr>
          <w:rFonts w:hint="eastAsia"/>
        </w:rPr>
        <w:t>采取减振工程措施时，不应削弱轨道结构的强度、稳定性和平顺性。</w:t>
      </w:r>
    </w:p>
    <w:p w14:paraId="603A622C">
      <w:pPr>
        <w:pStyle w:val="5"/>
      </w:pPr>
      <w:r>
        <w:t>减振降噪轨道结构应依据项目</w:t>
      </w:r>
      <w:r>
        <w:rPr>
          <w:rFonts w:hint="eastAsia"/>
        </w:rPr>
        <w:t>《</w:t>
      </w:r>
      <w:r>
        <w:t>环境影响评价报告书</w:t>
      </w:r>
      <w:r>
        <w:rPr>
          <w:rFonts w:hint="eastAsia"/>
        </w:rPr>
        <w:t>》</w:t>
      </w:r>
      <w:r>
        <w:t>和</w:t>
      </w:r>
      <w:r>
        <w:rPr>
          <w:rFonts w:hint="eastAsia"/>
        </w:rPr>
        <w:t>《</w:t>
      </w:r>
      <w:r>
        <w:t>工程</w:t>
      </w:r>
      <w:r>
        <w:rPr>
          <w:rFonts w:hint="eastAsia"/>
        </w:rPr>
        <w:t>变化</w:t>
      </w:r>
      <w:r>
        <w:t>环境影响</w:t>
      </w:r>
      <w:r>
        <w:rPr>
          <w:rFonts w:hint="eastAsia"/>
        </w:rPr>
        <w:t>分析</w:t>
      </w:r>
      <w:r>
        <w:t>报告书</w:t>
      </w:r>
      <w:r>
        <w:rPr>
          <w:rFonts w:hint="eastAsia"/>
        </w:rPr>
        <w:t>》</w:t>
      </w:r>
      <w:r>
        <w:t>，确定实施减振降噪措施的位置及方案。</w:t>
      </w:r>
    </w:p>
    <w:p w14:paraId="3AD51DF5">
      <w:pPr>
        <w:pStyle w:val="5"/>
      </w:pPr>
      <w:r>
        <w:t>减振级别宜划分为中等减振、高等减振和特殊减振。</w:t>
      </w:r>
    </w:p>
    <w:p w14:paraId="1CEB1008">
      <w:pPr>
        <w:pStyle w:val="5"/>
      </w:pPr>
      <w:r>
        <w:t>减振地段长度应根据振动敏感点类型、线路条件、减振要求和减振段端部过渡段等因素综合确定。</w:t>
      </w:r>
    </w:p>
    <w:p w14:paraId="00D2B616">
      <w:pPr>
        <w:pStyle w:val="5"/>
      </w:pPr>
      <w:r>
        <w:t>减振轨道结构的选择应符合下列规定：</w:t>
      </w:r>
    </w:p>
    <w:p w14:paraId="2EA01FCB">
      <w:pPr>
        <w:numPr>
          <w:ilvl w:val="4"/>
          <w:numId w:val="1"/>
        </w:numPr>
        <w:tabs>
          <w:tab w:val="clear" w:pos="567"/>
        </w:tabs>
        <w:ind w:firstLine="420"/>
        <w:jc w:val="left"/>
        <w:outlineLvl w:val="4"/>
        <w:rPr>
          <w:bCs/>
          <w:szCs w:val="28"/>
        </w:rPr>
      </w:pPr>
      <w:r>
        <w:rPr>
          <w:bCs/>
          <w:szCs w:val="28"/>
        </w:rPr>
        <w:t>宜选用已在北京应用成熟的减振轨道结构；</w:t>
      </w:r>
    </w:p>
    <w:p w14:paraId="4FF07242">
      <w:pPr>
        <w:numPr>
          <w:ilvl w:val="4"/>
          <w:numId w:val="1"/>
        </w:numPr>
        <w:tabs>
          <w:tab w:val="clear" w:pos="567"/>
        </w:tabs>
        <w:ind w:firstLine="420"/>
        <w:jc w:val="left"/>
        <w:outlineLvl w:val="4"/>
        <w:rPr>
          <w:bCs/>
          <w:szCs w:val="28"/>
        </w:rPr>
      </w:pPr>
      <w:r>
        <w:rPr>
          <w:bCs/>
          <w:szCs w:val="28"/>
        </w:rPr>
        <w:t>减振轨道结构应结合减振级别确定，</w:t>
      </w:r>
      <w:r>
        <w:rPr>
          <w:rFonts w:hint="eastAsia"/>
          <w:bCs/>
          <w:szCs w:val="28"/>
        </w:rPr>
        <w:t>非岔区</w:t>
      </w:r>
      <w:r>
        <w:rPr>
          <w:bCs/>
          <w:szCs w:val="28"/>
        </w:rPr>
        <w:t>每种减振级别的产品宜只采用</w:t>
      </w:r>
      <w:r>
        <w:rPr>
          <w:rFonts w:hint="eastAsia"/>
          <w:bCs/>
          <w:szCs w:val="28"/>
        </w:rPr>
        <w:t>一</w:t>
      </w:r>
      <w:r>
        <w:rPr>
          <w:bCs/>
          <w:szCs w:val="28"/>
        </w:rPr>
        <w:t>种。</w:t>
      </w:r>
    </w:p>
    <w:p w14:paraId="565C2634">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376" w:name="_Toc183888125"/>
      <w:bookmarkStart w:id="377" w:name="_Toc183882073"/>
      <w:bookmarkStart w:id="378" w:name="_Toc183790512"/>
      <w:bookmarkStart w:id="379" w:name="_Toc183888487"/>
      <w:bookmarkStart w:id="380" w:name="_Toc174612451"/>
      <w:bookmarkStart w:id="381" w:name="_Toc168061202"/>
      <w:bookmarkStart w:id="382" w:name="_Toc183882435"/>
      <w:bookmarkStart w:id="383" w:name="_Toc168061649"/>
      <w:bookmarkStart w:id="384" w:name="_Toc181796377"/>
      <w:bookmarkStart w:id="385" w:name="_Toc168059393"/>
      <w:bookmarkStart w:id="386" w:name="_Toc183765082"/>
      <w:bookmarkStart w:id="387" w:name="_Toc174611647"/>
      <w:r>
        <w:rPr>
          <w:rFonts w:eastAsia="黑体"/>
          <w:bCs/>
          <w:szCs w:val="28"/>
        </w:rPr>
        <w:t>轨道安全设备及附属设备</w:t>
      </w:r>
      <w:bookmarkEnd w:id="376"/>
      <w:bookmarkEnd w:id="377"/>
      <w:bookmarkEnd w:id="378"/>
      <w:bookmarkEnd w:id="379"/>
      <w:bookmarkEnd w:id="380"/>
      <w:bookmarkEnd w:id="381"/>
      <w:bookmarkEnd w:id="382"/>
      <w:bookmarkEnd w:id="383"/>
      <w:bookmarkEnd w:id="384"/>
      <w:bookmarkEnd w:id="385"/>
      <w:bookmarkEnd w:id="386"/>
      <w:bookmarkEnd w:id="387"/>
    </w:p>
    <w:p w14:paraId="28328158">
      <w:pPr>
        <w:pStyle w:val="5"/>
      </w:pPr>
      <w:r>
        <w:t>高架线应采用防脱护轨或护轮矮墙等措施，防脱护轨应设置在钢轨内侧，护轮矮墙宜设置在两股钢轨外侧，设置位置应符合如下规定：</w:t>
      </w:r>
    </w:p>
    <w:p w14:paraId="3498C863">
      <w:pPr>
        <w:numPr>
          <w:ilvl w:val="4"/>
          <w:numId w:val="1"/>
        </w:numPr>
        <w:tabs>
          <w:tab w:val="clear" w:pos="567"/>
        </w:tabs>
        <w:ind w:firstLine="420"/>
        <w:jc w:val="left"/>
        <w:outlineLvl w:val="4"/>
        <w:rPr>
          <w:bCs/>
          <w:szCs w:val="28"/>
        </w:rPr>
      </w:pPr>
      <w:r>
        <w:rPr>
          <w:bCs/>
          <w:szCs w:val="28"/>
        </w:rPr>
        <w:t>半径不大于500m曲线地段的缓圆(圆缓)点两侧，其缓和曲线部分不小于缓和曲线长的一半并不小于20m、圆曲线部分20m范围内，应在曲线下股钢轨设置；</w:t>
      </w:r>
    </w:p>
    <w:p w14:paraId="644C5960">
      <w:pPr>
        <w:numPr>
          <w:ilvl w:val="4"/>
          <w:numId w:val="1"/>
        </w:numPr>
        <w:tabs>
          <w:tab w:val="clear" w:pos="567"/>
        </w:tabs>
        <w:ind w:firstLine="420"/>
        <w:jc w:val="left"/>
        <w:outlineLvl w:val="4"/>
        <w:rPr>
          <w:bCs/>
          <w:szCs w:val="28"/>
        </w:rPr>
      </w:pPr>
      <w:r>
        <w:rPr>
          <w:bCs/>
          <w:szCs w:val="28"/>
        </w:rPr>
        <w:t>高架桥跨越城市干道、铁路及通航航道等重要地段，以及受列车意外撞击时易产生结构性破坏的高架桥地段及其以外各20m范围内，应设置在靠近双线高架桥中线侧的钢轨内侧；</w:t>
      </w:r>
    </w:p>
    <w:p w14:paraId="600DA8CA">
      <w:pPr>
        <w:numPr>
          <w:ilvl w:val="4"/>
          <w:numId w:val="1"/>
        </w:numPr>
        <w:tabs>
          <w:tab w:val="clear" w:pos="567"/>
        </w:tabs>
        <w:ind w:left="-278" w:firstLine="420"/>
        <w:jc w:val="left"/>
        <w:outlineLvl w:val="4"/>
        <w:rPr>
          <w:bCs/>
          <w:szCs w:val="28"/>
        </w:rPr>
      </w:pPr>
      <w:r>
        <w:rPr>
          <w:bCs/>
          <w:szCs w:val="28"/>
        </w:rPr>
        <w:t>竖曲线与缓和曲线重叠处，应在竖曲线范围内两股钢轨内侧。</w:t>
      </w:r>
    </w:p>
    <w:p w14:paraId="07114353">
      <w:pPr>
        <w:pStyle w:val="5"/>
      </w:pPr>
      <w:r>
        <w:t>轨道尽端应设置车挡，并应符合下列规定：</w:t>
      </w:r>
    </w:p>
    <w:p w14:paraId="3C5076E2">
      <w:pPr>
        <w:numPr>
          <w:ilvl w:val="4"/>
          <w:numId w:val="1"/>
        </w:numPr>
        <w:tabs>
          <w:tab w:val="clear" w:pos="567"/>
        </w:tabs>
        <w:ind w:firstLine="420"/>
        <w:jc w:val="left"/>
        <w:outlineLvl w:val="4"/>
        <w:rPr>
          <w:bCs/>
          <w:szCs w:val="28"/>
        </w:rPr>
      </w:pPr>
      <w:r>
        <w:rPr>
          <w:bCs/>
          <w:szCs w:val="28"/>
        </w:rPr>
        <w:t>正线</w:t>
      </w:r>
      <w:r>
        <w:rPr>
          <w:rFonts w:hint="eastAsia"/>
          <w:bCs/>
          <w:szCs w:val="28"/>
        </w:rPr>
        <w:t>、</w:t>
      </w:r>
      <w:r>
        <w:rPr>
          <w:bCs/>
          <w:szCs w:val="28"/>
        </w:rPr>
        <w:t>配线、试车线</w:t>
      </w:r>
      <w:r>
        <w:rPr>
          <w:rFonts w:hint="eastAsia"/>
          <w:bCs/>
          <w:szCs w:val="28"/>
        </w:rPr>
        <w:t>及</w:t>
      </w:r>
      <w:r>
        <w:rPr>
          <w:bCs/>
          <w:szCs w:val="28"/>
        </w:rPr>
        <w:t>牵出线的</w:t>
      </w:r>
      <w:r>
        <w:rPr>
          <w:rFonts w:hint="eastAsia"/>
          <w:bCs/>
          <w:szCs w:val="28"/>
        </w:rPr>
        <w:t>车挡，应符合《城市轨道交通项目规范》G</w:t>
      </w:r>
      <w:r>
        <w:rPr>
          <w:bCs/>
          <w:szCs w:val="28"/>
        </w:rPr>
        <w:t>B55033-2022</w:t>
      </w:r>
      <w:r>
        <w:rPr>
          <w:rFonts w:hint="eastAsia"/>
          <w:bCs/>
          <w:szCs w:val="28"/>
        </w:rPr>
        <w:t>第5</w:t>
      </w:r>
      <w:r>
        <w:rPr>
          <w:bCs/>
          <w:szCs w:val="28"/>
        </w:rPr>
        <w:t>.3.4</w:t>
      </w:r>
      <w:r>
        <w:rPr>
          <w:rFonts w:hint="eastAsia"/>
          <w:bCs/>
          <w:szCs w:val="28"/>
        </w:rPr>
        <w:t>的规定</w:t>
      </w:r>
      <w:r>
        <w:rPr>
          <w:bCs/>
          <w:szCs w:val="28"/>
        </w:rPr>
        <w:t>。特殊情况可根据车辆、信号等要求计算确定。</w:t>
      </w:r>
    </w:p>
    <w:p w14:paraId="75ED8AA0">
      <w:pPr>
        <w:numPr>
          <w:ilvl w:val="4"/>
          <w:numId w:val="1"/>
        </w:numPr>
        <w:tabs>
          <w:tab w:val="clear" w:pos="567"/>
        </w:tabs>
        <w:ind w:firstLine="420"/>
        <w:jc w:val="left"/>
        <w:outlineLvl w:val="4"/>
        <w:rPr>
          <w:bCs/>
          <w:szCs w:val="28"/>
        </w:rPr>
      </w:pPr>
      <w:r>
        <w:rPr>
          <w:bCs/>
          <w:szCs w:val="28"/>
        </w:rPr>
        <w:t>库内线终端应采用固定液压或滑移式车挡，库外线终端采用固定式液压车挡。库外线车挡应能承受列车不小于5km/h的撞击速度，库内线车挡应能承受列车不小于3km/h的撞击速度。</w:t>
      </w:r>
    </w:p>
    <w:p w14:paraId="34EC03C0">
      <w:pPr>
        <w:pStyle w:val="5"/>
      </w:pPr>
      <w:r>
        <w:t>轨道应设置下列标志，标志面板应采用反光材料：</w:t>
      </w:r>
    </w:p>
    <w:p w14:paraId="5D58BEAE">
      <w:pPr>
        <w:numPr>
          <w:ilvl w:val="4"/>
          <w:numId w:val="1"/>
        </w:numPr>
        <w:tabs>
          <w:tab w:val="clear" w:pos="567"/>
        </w:tabs>
        <w:ind w:firstLine="420"/>
        <w:jc w:val="left"/>
        <w:outlineLvl w:val="4"/>
        <w:rPr>
          <w:bCs/>
          <w:szCs w:val="28"/>
        </w:rPr>
      </w:pPr>
      <w:r>
        <w:rPr>
          <w:bCs/>
          <w:szCs w:val="28"/>
        </w:rPr>
        <w:t>线路标志应包括百米标、坡度标、曲线要素标、平面曲线起终点标、竖曲线起终点标、道岔编号标、控制基标等；</w:t>
      </w:r>
    </w:p>
    <w:p w14:paraId="30980290">
      <w:pPr>
        <w:numPr>
          <w:ilvl w:val="4"/>
          <w:numId w:val="1"/>
        </w:numPr>
        <w:tabs>
          <w:tab w:val="clear" w:pos="567"/>
        </w:tabs>
        <w:ind w:firstLine="420"/>
        <w:jc w:val="left"/>
        <w:outlineLvl w:val="4"/>
        <w:rPr>
          <w:bCs/>
          <w:szCs w:val="28"/>
        </w:rPr>
      </w:pPr>
      <w:r>
        <w:rPr>
          <w:bCs/>
          <w:szCs w:val="28"/>
        </w:rPr>
        <w:t>有关信号标志应包括限速标、停车位置标、警冲标等。警冲标应设在两线交会的设备限界相交处，其余标志应设在行车方向右侧司机易见处。</w:t>
      </w:r>
    </w:p>
    <w:p w14:paraId="52A710A0">
      <w:pPr>
        <w:pStyle w:val="5"/>
      </w:pPr>
      <w:r>
        <w:t>半径不大于400m的正线曲线、半径不大于600m的减振轨道曲线宜设置地面钢轨涂油器或摩擦控制装置。</w:t>
      </w:r>
    </w:p>
    <w:p w14:paraId="6E359A72">
      <w:pPr>
        <w:pStyle w:val="5"/>
      </w:pPr>
      <w:r>
        <w:t>橡胶道口或钢筋混凝土道口应根据平交道口的位置选用。平过道的轮缘槽宽度应为70~100mm，深度</w:t>
      </w:r>
      <w:r>
        <w:rPr>
          <w:rFonts w:hint="eastAsia"/>
        </w:rPr>
        <w:t>不小于</w:t>
      </w:r>
      <w:r>
        <w:t>50mm。</w:t>
      </w:r>
    </w:p>
    <w:p w14:paraId="1972FCD4">
      <w:pPr>
        <w:pStyle w:val="5"/>
      </w:pPr>
      <w:r>
        <w:t>露天折返道岔、车场线咽喉区道岔</w:t>
      </w:r>
      <w:r>
        <w:rPr>
          <w:rFonts w:hint="eastAsia"/>
        </w:rPr>
        <w:t>宜</w:t>
      </w:r>
      <w:r>
        <w:t>设置融雪装置或防雪设施。</w:t>
      </w:r>
    </w:p>
    <w:p w14:paraId="6B5A1CC4">
      <w:pPr>
        <w:pStyle w:val="5"/>
      </w:pPr>
      <w:r>
        <w:t>轨道养护维修用房、设备及各类设备的备品备件应根据运营维修的需要合理配备。</w:t>
      </w:r>
    </w:p>
    <w:p w14:paraId="7B0E7D8A">
      <w:pPr>
        <w:pStyle w:val="3"/>
      </w:pPr>
      <w:r>
        <w:rPr>
          <w:rFonts w:eastAsia="宋体"/>
          <w:kern w:val="2"/>
          <w:sz w:val="21"/>
          <w:szCs w:val="24"/>
        </w:rPr>
        <w:br w:type="page"/>
      </w:r>
      <w:bookmarkEnd w:id="264"/>
      <w:bookmarkEnd w:id="265"/>
      <w:bookmarkEnd w:id="266"/>
      <w:bookmarkEnd w:id="267"/>
      <w:bookmarkEnd w:id="268"/>
      <w:bookmarkStart w:id="388" w:name="OLE_LINK1"/>
      <w:bookmarkEnd w:id="388"/>
      <w:bookmarkStart w:id="389" w:name="_Toc183882436"/>
      <w:bookmarkStart w:id="390" w:name="_Toc183765083"/>
      <w:bookmarkStart w:id="391" w:name="_Toc183683495"/>
      <w:bookmarkStart w:id="392" w:name="_Toc183790513"/>
      <w:bookmarkStart w:id="393" w:name="_Toc183888488"/>
      <w:bookmarkStart w:id="394" w:name="_Toc183882074"/>
      <w:bookmarkStart w:id="395" w:name="_Toc183888126"/>
      <w:bookmarkStart w:id="396" w:name="_Toc183699867"/>
      <w:bookmarkStart w:id="397" w:name="_Toc183735411"/>
      <w:bookmarkStart w:id="398" w:name="_Toc181796391"/>
      <w:bookmarkStart w:id="399" w:name="_Toc168061678"/>
      <w:bookmarkStart w:id="400" w:name="_Hlk183427452"/>
      <w:bookmarkStart w:id="401" w:name="_Toc168059423"/>
      <w:bookmarkStart w:id="402" w:name="_Toc168061231"/>
      <w:r>
        <w:t>路</w:t>
      </w:r>
      <w:r>
        <w:rPr>
          <w:rFonts w:hint="eastAsia"/>
        </w:rPr>
        <w:t xml:space="preserve">    </w:t>
      </w:r>
      <w:r>
        <w:t>基</w:t>
      </w:r>
      <w:bookmarkEnd w:id="389"/>
      <w:bookmarkEnd w:id="390"/>
      <w:bookmarkEnd w:id="391"/>
      <w:bookmarkEnd w:id="392"/>
      <w:bookmarkEnd w:id="393"/>
      <w:bookmarkEnd w:id="394"/>
      <w:bookmarkEnd w:id="395"/>
      <w:bookmarkEnd w:id="396"/>
      <w:bookmarkEnd w:id="397"/>
    </w:p>
    <w:p w14:paraId="75F31E86">
      <w:pPr>
        <w:pStyle w:val="4"/>
      </w:pPr>
      <w:bookmarkStart w:id="403" w:name="_Toc20349"/>
      <w:bookmarkStart w:id="404" w:name="_Toc183882437"/>
      <w:bookmarkStart w:id="405" w:name="_Toc183683496"/>
      <w:bookmarkStart w:id="406" w:name="_Toc183790514"/>
      <w:bookmarkStart w:id="407" w:name="_Toc183765084"/>
      <w:bookmarkStart w:id="408" w:name="_Toc168061651"/>
      <w:bookmarkStart w:id="409" w:name="_Toc168061204"/>
      <w:bookmarkStart w:id="410" w:name="_Toc183888127"/>
      <w:bookmarkStart w:id="411" w:name="_Toc183882075"/>
      <w:bookmarkStart w:id="412" w:name="_Toc183888489"/>
      <w:bookmarkStart w:id="413" w:name="_Toc168059395"/>
      <w:bookmarkStart w:id="414" w:name="_Toc174462003"/>
      <w:r>
        <w:t>一般规定</w:t>
      </w:r>
      <w:bookmarkEnd w:id="403"/>
      <w:bookmarkEnd w:id="404"/>
      <w:bookmarkEnd w:id="405"/>
      <w:bookmarkEnd w:id="406"/>
      <w:bookmarkEnd w:id="407"/>
      <w:bookmarkEnd w:id="408"/>
      <w:bookmarkEnd w:id="409"/>
      <w:bookmarkEnd w:id="410"/>
      <w:bookmarkEnd w:id="411"/>
      <w:bookmarkEnd w:id="412"/>
      <w:bookmarkEnd w:id="413"/>
      <w:bookmarkEnd w:id="414"/>
    </w:p>
    <w:p w14:paraId="0AE70394">
      <w:pPr>
        <w:pStyle w:val="5"/>
      </w:pPr>
      <w:r>
        <w:t>路基主体工程应以地质、水文勘察资料为依据</w:t>
      </w:r>
      <w:r>
        <w:rPr>
          <w:rFonts w:hint="eastAsia"/>
        </w:rPr>
        <w:t>，</w:t>
      </w:r>
      <w:r>
        <w:t>按土工结构物进行设计，应具有足够的强度、稳定性和耐久性，并应满足防洪、防涝、地下水</w:t>
      </w:r>
      <w:r>
        <w:rPr>
          <w:rFonts w:hint="eastAsia"/>
        </w:rPr>
        <w:t>防排的</w:t>
      </w:r>
      <w:r>
        <w:t>要求。</w:t>
      </w:r>
    </w:p>
    <w:p w14:paraId="5B80F2D8">
      <w:pPr>
        <w:pStyle w:val="5"/>
      </w:pPr>
      <w:r>
        <w:t>路肩高程应</w:t>
      </w:r>
      <w:r>
        <w:rPr>
          <w:rFonts w:hint="eastAsia"/>
        </w:rPr>
        <w:t>根据</w:t>
      </w:r>
      <w:r>
        <w:t>路基所在区域的洪水频率、</w:t>
      </w:r>
      <w:r>
        <w:rPr>
          <w:rFonts w:hint="eastAsia"/>
        </w:rPr>
        <w:t>洪水位、</w:t>
      </w:r>
      <w:r>
        <w:t>地表积水</w:t>
      </w:r>
      <w:r>
        <w:rPr>
          <w:rFonts w:hint="eastAsia"/>
        </w:rPr>
        <w:t>水位及冻胀等综合确定</w:t>
      </w:r>
      <w:r>
        <w:t>，</w:t>
      </w:r>
      <w:r>
        <w:rPr>
          <w:rFonts w:hint="eastAsia"/>
        </w:rPr>
        <w:t>满足水、温度及稳定性的要求</w:t>
      </w:r>
      <w:r>
        <w:t>。</w:t>
      </w:r>
    </w:p>
    <w:p w14:paraId="7CF13D81">
      <w:pPr>
        <w:pStyle w:val="5"/>
      </w:pPr>
      <w:r>
        <w:rPr>
          <w:rFonts w:hint="eastAsia"/>
        </w:rPr>
        <w:t>路基工程应有完整、系统、通畅的排水设施，并与桥涵、隧道、站场及地方排水系统合理衔接。</w:t>
      </w:r>
    </w:p>
    <w:p w14:paraId="4DD1736D">
      <w:pPr>
        <w:pStyle w:val="5"/>
      </w:pPr>
      <w:r>
        <w:t>路基工程设计应重视水土保持和环境保护。取、弃土场地</w:t>
      </w:r>
      <w:r>
        <w:rPr>
          <w:rFonts w:hint="eastAsia"/>
        </w:rPr>
        <w:t>应满足</w:t>
      </w:r>
      <w:r>
        <w:t>场地边坡稳定</w:t>
      </w:r>
      <w:r>
        <w:rPr>
          <w:rFonts w:hint="eastAsia"/>
        </w:rPr>
        <w:t>，</w:t>
      </w:r>
      <w:r>
        <w:t>绿化</w:t>
      </w:r>
      <w:r>
        <w:rPr>
          <w:rFonts w:hint="eastAsia"/>
        </w:rPr>
        <w:t>工程</w:t>
      </w:r>
      <w:r>
        <w:t>应与沿线景观相协调。</w:t>
      </w:r>
    </w:p>
    <w:p w14:paraId="7745F649">
      <w:pPr>
        <w:pStyle w:val="5"/>
      </w:pPr>
      <w:r>
        <w:t>路基主体工程、支挡结构</w:t>
      </w:r>
      <w:r>
        <w:rPr>
          <w:rFonts w:hint="eastAsia"/>
        </w:rPr>
        <w:t>等</w:t>
      </w:r>
      <w:r>
        <w:t>钢筋混凝土结构设计</w:t>
      </w:r>
      <w:r>
        <w:rPr>
          <w:rFonts w:hint="eastAsia"/>
        </w:rPr>
        <w:t>工作</w:t>
      </w:r>
      <w:r>
        <w:t>年限为100年，路基边坡防护混凝土结构</w:t>
      </w:r>
      <w:r>
        <w:rPr>
          <w:rFonts w:hint="eastAsia"/>
        </w:rPr>
        <w:t>的</w:t>
      </w:r>
      <w:r>
        <w:t>设计</w:t>
      </w:r>
      <w:r>
        <w:rPr>
          <w:rFonts w:hint="eastAsia"/>
        </w:rPr>
        <w:t>工作</w:t>
      </w:r>
      <w:r>
        <w:t>年限为60年，路基排水设施</w:t>
      </w:r>
      <w:r>
        <w:rPr>
          <w:rFonts w:hint="eastAsia"/>
        </w:rPr>
        <w:t>，电缆槽、防护砌块、栏杆等小型构件</w:t>
      </w:r>
      <w:r>
        <w:t>设计</w:t>
      </w:r>
      <w:r>
        <w:rPr>
          <w:rFonts w:hint="eastAsia"/>
        </w:rPr>
        <w:t>工作</w:t>
      </w:r>
      <w:r>
        <w:t>年限为30年。</w:t>
      </w:r>
    </w:p>
    <w:p w14:paraId="5206389E">
      <w:pPr>
        <w:pStyle w:val="5"/>
      </w:pPr>
      <w:r>
        <w:t>路基工程荷载应根据结构特性、工程条件等因素确定，轨道及车辆荷载应用换算土柱代替。</w:t>
      </w:r>
    </w:p>
    <w:p w14:paraId="53B6E707">
      <w:pPr>
        <w:pStyle w:val="5"/>
        <w:rPr>
          <w:szCs w:val="18"/>
        </w:rPr>
      </w:pPr>
      <w:r>
        <w:rPr>
          <w:rFonts w:hint="eastAsia"/>
        </w:rPr>
        <w:t>有砟轨道路基应按一次铺设无缝线路设计。</w:t>
      </w:r>
    </w:p>
    <w:p w14:paraId="2AC9EB62">
      <w:pPr>
        <w:pStyle w:val="4"/>
      </w:pPr>
      <w:bookmarkStart w:id="415" w:name="_Toc168061652"/>
      <w:bookmarkStart w:id="416" w:name="_Toc183882076"/>
      <w:bookmarkStart w:id="417" w:name="_Toc183888128"/>
      <w:bookmarkStart w:id="418" w:name="_Toc183683497"/>
      <w:bookmarkStart w:id="419" w:name="_Toc183790515"/>
      <w:bookmarkStart w:id="420" w:name="_Toc174462004"/>
      <w:bookmarkStart w:id="421" w:name="_Toc183882438"/>
      <w:bookmarkStart w:id="422" w:name="_Toc183765085"/>
      <w:bookmarkStart w:id="423" w:name="_Toc32068"/>
      <w:bookmarkStart w:id="424" w:name="_Toc168059396"/>
      <w:bookmarkStart w:id="425" w:name="_Toc183888490"/>
      <w:bookmarkStart w:id="426" w:name="_Toc168061205"/>
      <w:r>
        <w:t>路基断面</w:t>
      </w:r>
      <w:bookmarkEnd w:id="415"/>
      <w:bookmarkEnd w:id="416"/>
      <w:bookmarkEnd w:id="417"/>
      <w:bookmarkEnd w:id="418"/>
      <w:bookmarkEnd w:id="419"/>
      <w:bookmarkEnd w:id="420"/>
      <w:bookmarkEnd w:id="421"/>
      <w:bookmarkEnd w:id="422"/>
      <w:bookmarkEnd w:id="423"/>
      <w:bookmarkEnd w:id="424"/>
      <w:bookmarkEnd w:id="425"/>
      <w:bookmarkEnd w:id="426"/>
    </w:p>
    <w:p w14:paraId="1F57E166">
      <w:pPr>
        <w:pStyle w:val="5"/>
      </w:pPr>
      <w:r>
        <w:t>路肩高程设计应符合下列要求：</w:t>
      </w:r>
    </w:p>
    <w:p w14:paraId="096ED4E2">
      <w:pPr>
        <w:ind w:firstLine="422" w:firstLineChars="200"/>
      </w:pPr>
      <w:r>
        <w:rPr>
          <w:b/>
        </w:rPr>
        <w:t>1</w:t>
      </w:r>
      <w:r>
        <w:rPr>
          <w:rFonts w:hint="eastAsia"/>
          <w:b/>
        </w:rPr>
        <w:t xml:space="preserve"> </w:t>
      </w:r>
      <w:r>
        <w:rPr>
          <w:rFonts w:hint="eastAsia"/>
        </w:rPr>
        <w:t xml:space="preserve"> </w:t>
      </w:r>
      <w:r>
        <w:t>受洪水位影响地段的路肩高程应按1/100洪水频率标准进行设计；</w:t>
      </w:r>
    </w:p>
    <w:p w14:paraId="7BE998DF">
      <w:pPr>
        <w:ind w:firstLine="422" w:firstLineChars="200"/>
      </w:pPr>
      <w:r>
        <w:rPr>
          <w:b/>
        </w:rPr>
        <w:t>2</w:t>
      </w:r>
      <w:r>
        <w:rPr>
          <w:rFonts w:hint="eastAsia"/>
          <w:b/>
        </w:rPr>
        <w:t xml:space="preserve">  </w:t>
      </w:r>
      <w:r>
        <w:t>受地下水位或地表积水水位影响地段的路肩高程应按其控制水位标准进行设计；</w:t>
      </w:r>
    </w:p>
    <w:p w14:paraId="4B9A9ABF">
      <w:pPr>
        <w:ind w:firstLine="422" w:firstLineChars="200"/>
      </w:pPr>
      <w:r>
        <w:rPr>
          <w:b/>
        </w:rPr>
        <w:t>3</w:t>
      </w:r>
      <w:r>
        <w:rPr>
          <w:rFonts w:hint="eastAsia"/>
          <w:b/>
        </w:rPr>
        <w:t xml:space="preserve"> </w:t>
      </w:r>
      <w:r>
        <w:rPr>
          <w:rFonts w:hint="eastAsia"/>
        </w:rPr>
        <w:t xml:space="preserve"> </w:t>
      </w:r>
      <w:r>
        <w:t>路肩高程应</w:t>
      </w:r>
      <w:r>
        <w:rPr>
          <w:rFonts w:hint="eastAsia"/>
        </w:rPr>
        <w:t>在</w:t>
      </w:r>
      <w:r>
        <w:t>同时满足毛细水上升高度、冻胀深度和蒸发影响深度等要求</w:t>
      </w:r>
      <w:r>
        <w:rPr>
          <w:rFonts w:hint="eastAsia"/>
        </w:rPr>
        <w:t>的</w:t>
      </w:r>
      <w:r>
        <w:t>基础上再加0.5m；</w:t>
      </w:r>
    </w:p>
    <w:p w14:paraId="052F756B">
      <w:pPr>
        <w:ind w:firstLine="422" w:firstLineChars="200"/>
      </w:pPr>
      <w:r>
        <w:rPr>
          <w:b/>
        </w:rPr>
        <w:t>4</w:t>
      </w:r>
      <w:r>
        <w:rPr>
          <w:rFonts w:hint="eastAsia"/>
          <w:b/>
        </w:rPr>
        <w:t xml:space="preserve"> </w:t>
      </w:r>
      <w:r>
        <w:rPr>
          <w:rFonts w:hint="eastAsia"/>
        </w:rPr>
        <w:t xml:space="preserve"> </w:t>
      </w:r>
      <w:r>
        <w:t>必要时可采取降低水位、设置毛细水隔断层、设计挡水构筑物等水工结构或封闭等措施。</w:t>
      </w:r>
    </w:p>
    <w:p w14:paraId="08B85028">
      <w:pPr>
        <w:pStyle w:val="5"/>
      </w:pPr>
      <w:r>
        <w:t>路基面形状设计应符合下列要求：</w:t>
      </w:r>
    </w:p>
    <w:p w14:paraId="21E7D08C">
      <w:pPr>
        <w:ind w:firstLine="422" w:firstLineChars="200"/>
      </w:pPr>
      <w:r>
        <w:rPr>
          <w:b/>
        </w:rPr>
        <w:t>1</w:t>
      </w:r>
      <w:r>
        <w:rPr>
          <w:rFonts w:hint="eastAsia"/>
          <w:b/>
        </w:rPr>
        <w:t xml:space="preserve">  </w:t>
      </w:r>
      <w:r>
        <w:t>有砟轨道路基面应符合现行国家标准《地铁设计规范》GB50157的有关规定；</w:t>
      </w:r>
    </w:p>
    <w:p w14:paraId="55383F4F">
      <w:pPr>
        <w:ind w:firstLine="422" w:firstLineChars="200"/>
      </w:pPr>
      <w:r>
        <w:rPr>
          <w:b/>
        </w:rPr>
        <w:t>2</w:t>
      </w:r>
      <w:r>
        <w:rPr>
          <w:rFonts w:hint="eastAsia"/>
          <w:b/>
        </w:rPr>
        <w:t xml:space="preserve"> </w:t>
      </w:r>
      <w:r>
        <w:rPr>
          <w:rFonts w:hint="eastAsia"/>
        </w:rPr>
        <w:t xml:space="preserve"> </w:t>
      </w:r>
      <w:r>
        <w:t>无砟轨道路基面</w:t>
      </w:r>
      <w:r>
        <w:rPr>
          <w:rFonts w:hint="eastAsia"/>
        </w:rPr>
        <w:t>宜</w:t>
      </w:r>
      <w:r>
        <w:t>为平面，轨道支承层宜设4%的横向排水坡。</w:t>
      </w:r>
    </w:p>
    <w:p w14:paraId="69E1993B">
      <w:pPr>
        <w:numPr>
          <w:ilvl w:val="2"/>
          <w:numId w:val="1"/>
        </w:numPr>
        <w:tabs>
          <w:tab w:val="left" w:pos="709"/>
          <w:tab w:val="left" w:pos="794"/>
        </w:tabs>
        <w:jc w:val="left"/>
        <w:outlineLvl w:val="2"/>
        <w:rPr>
          <w:bCs/>
        </w:rPr>
      </w:pPr>
      <w:r>
        <w:rPr>
          <w:bCs/>
        </w:rPr>
        <w:t>路基面宽度设计应符合下列要求：</w:t>
      </w:r>
    </w:p>
    <w:p w14:paraId="0EC05CFB">
      <w:pPr>
        <w:ind w:firstLine="422" w:firstLineChars="200"/>
      </w:pPr>
      <w:r>
        <w:rPr>
          <w:b/>
        </w:rPr>
        <w:t>1</w:t>
      </w:r>
      <w:r>
        <w:rPr>
          <w:rFonts w:hint="eastAsia"/>
          <w:b/>
        </w:rPr>
        <w:t xml:space="preserve">  </w:t>
      </w:r>
      <w:r>
        <w:t>路基面宽度应</w:t>
      </w:r>
      <w:r>
        <w:rPr>
          <w:rFonts w:hint="eastAsia"/>
        </w:rPr>
        <w:t>满足</w:t>
      </w:r>
      <w:r>
        <w:t>限界、线路、轨道、设备布置等</w:t>
      </w:r>
      <w:r>
        <w:rPr>
          <w:rFonts w:hint="eastAsia"/>
        </w:rPr>
        <w:t>要求</w:t>
      </w:r>
      <w:r>
        <w:t>；</w:t>
      </w:r>
    </w:p>
    <w:p w14:paraId="04BBB5EB">
      <w:pPr>
        <w:ind w:firstLine="422" w:firstLineChars="200"/>
      </w:pPr>
      <w:r>
        <w:rPr>
          <w:b/>
        </w:rPr>
        <w:t>2</w:t>
      </w:r>
      <w:r>
        <w:rPr>
          <w:rFonts w:hint="eastAsia"/>
          <w:b/>
        </w:rPr>
        <w:t xml:space="preserve">  </w:t>
      </w:r>
      <w:r>
        <w:t>有砟轨道路基，一般情况下其路肩宽度应符合现行国家标准《地铁设计规范》GB50157的有关规定；特殊型式路基可综合确定；</w:t>
      </w:r>
    </w:p>
    <w:p w14:paraId="303EBCB5">
      <w:pPr>
        <w:ind w:firstLine="422" w:firstLineChars="200"/>
      </w:pPr>
      <w:r>
        <w:rPr>
          <w:b/>
        </w:rPr>
        <w:t>3</w:t>
      </w:r>
      <w:r>
        <w:rPr>
          <w:rFonts w:hint="eastAsia"/>
          <w:b/>
        </w:rPr>
        <w:t xml:space="preserve"> </w:t>
      </w:r>
      <w:r>
        <w:rPr>
          <w:rFonts w:hint="eastAsia"/>
        </w:rPr>
        <w:t xml:space="preserve"> </w:t>
      </w:r>
      <w:r>
        <w:t>软弱地基地段路基面宽度应根据沉落量预留沉降加宽值；</w:t>
      </w:r>
    </w:p>
    <w:p w14:paraId="71DA3867">
      <w:pPr>
        <w:ind w:firstLine="422" w:firstLineChars="200"/>
      </w:pPr>
      <w:r>
        <w:rPr>
          <w:b/>
        </w:rPr>
        <w:t>4</w:t>
      </w:r>
      <w:r>
        <w:rPr>
          <w:rFonts w:hint="eastAsia"/>
          <w:b/>
        </w:rPr>
        <w:t xml:space="preserve">  </w:t>
      </w:r>
      <w:r>
        <w:t>有砟轨道路基曲线地段加宽应符合现行国家标准《地铁设计规范》GB50157的有关规定；</w:t>
      </w:r>
    </w:p>
    <w:p w14:paraId="5BB2C0A7">
      <w:pPr>
        <w:pStyle w:val="4"/>
      </w:pPr>
      <w:bookmarkStart w:id="427" w:name="_Toc183683498"/>
      <w:bookmarkStart w:id="428" w:name="_Toc24088"/>
      <w:bookmarkStart w:id="429" w:name="_Toc174462005"/>
      <w:bookmarkStart w:id="430" w:name="_Toc168061206"/>
      <w:bookmarkStart w:id="431" w:name="_Toc183765086"/>
      <w:bookmarkStart w:id="432" w:name="_Toc183790516"/>
      <w:bookmarkStart w:id="433" w:name="_Toc168061653"/>
      <w:bookmarkStart w:id="434" w:name="_Toc168059397"/>
      <w:bookmarkStart w:id="435" w:name="_Toc183888491"/>
      <w:bookmarkStart w:id="436" w:name="_Toc183882077"/>
      <w:bookmarkStart w:id="437" w:name="_Toc183888129"/>
      <w:bookmarkStart w:id="438" w:name="_Toc183882439"/>
      <w:r>
        <w:t>基床</w:t>
      </w:r>
      <w:bookmarkEnd w:id="427"/>
      <w:bookmarkEnd w:id="428"/>
      <w:bookmarkEnd w:id="429"/>
      <w:bookmarkEnd w:id="430"/>
      <w:bookmarkEnd w:id="431"/>
      <w:bookmarkEnd w:id="432"/>
      <w:bookmarkEnd w:id="433"/>
      <w:bookmarkEnd w:id="434"/>
      <w:bookmarkEnd w:id="435"/>
      <w:bookmarkEnd w:id="436"/>
      <w:bookmarkEnd w:id="437"/>
      <w:bookmarkEnd w:id="438"/>
    </w:p>
    <w:p w14:paraId="73959C9C">
      <w:pPr>
        <w:pStyle w:val="5"/>
      </w:pPr>
      <w:r>
        <w:t>有砟轨道基床结构、厚度及压实标准等应符合现行国家标准《地铁设计规范》GB50157的有关规定。</w:t>
      </w:r>
    </w:p>
    <w:p w14:paraId="4DA5F39F">
      <w:pPr>
        <w:pStyle w:val="5"/>
      </w:pPr>
      <w:r>
        <w:t>无砟轨道路基基床结构应符合下列要求：</w:t>
      </w:r>
    </w:p>
    <w:p w14:paraId="72800AC7">
      <w:pPr>
        <w:ind w:firstLine="422" w:firstLineChars="200"/>
      </w:pPr>
      <w:r>
        <w:rPr>
          <w:rFonts w:hint="eastAsia"/>
          <w:b/>
        </w:rPr>
        <w:t xml:space="preserve">1 </w:t>
      </w:r>
      <w:r>
        <w:rPr>
          <w:rFonts w:hint="eastAsia"/>
        </w:rPr>
        <w:t xml:space="preserve"> 无砟轨道路基基床结构分为基床表层、基床底层；</w:t>
      </w:r>
    </w:p>
    <w:p w14:paraId="352A6356">
      <w:pPr>
        <w:ind w:firstLine="422" w:firstLineChars="200"/>
      </w:pPr>
      <w:r>
        <w:rPr>
          <w:rFonts w:hint="eastAsia"/>
          <w:b/>
        </w:rPr>
        <w:t xml:space="preserve">2 </w:t>
      </w:r>
      <w:r>
        <w:rPr>
          <w:rFonts w:hint="eastAsia"/>
        </w:rPr>
        <w:t xml:space="preserve"> 根据上部轨道结构要求，基床表层以上可设置无砟轨道支承层、垫层。无砟轨道支承层钢筋混凝土板应满足耐久性设计的要求。无砟轨道支承层、垫层应与轨道道床分块长度相匹配；</w:t>
      </w:r>
    </w:p>
    <w:p w14:paraId="3631BB93">
      <w:pPr>
        <w:ind w:firstLine="422" w:firstLineChars="200"/>
      </w:pPr>
      <w:r>
        <w:rPr>
          <w:b/>
        </w:rPr>
        <w:t>3</w:t>
      </w:r>
      <w:r>
        <w:rPr>
          <w:rFonts w:hint="eastAsia"/>
          <w:b/>
        </w:rPr>
        <w:t xml:space="preserve"> </w:t>
      </w:r>
      <w:r>
        <w:rPr>
          <w:rFonts w:hint="eastAsia"/>
        </w:rPr>
        <w:t xml:space="preserve"> </w:t>
      </w:r>
      <w:r>
        <w:t>基床厚度应符合现行国家标准《地铁设计规范》GB50157的有关规定</w:t>
      </w:r>
      <w:r>
        <w:rPr>
          <w:rFonts w:hint="eastAsia"/>
        </w:rPr>
        <w:t>，特别条件下，可根据布辛奈斯克（Boussinesq）理论计算确定</w:t>
      </w:r>
      <w:r>
        <w:t>；</w:t>
      </w:r>
    </w:p>
    <w:p w14:paraId="2CF5CE5F">
      <w:pPr>
        <w:ind w:firstLine="422" w:firstLineChars="200"/>
      </w:pPr>
      <w:r>
        <w:rPr>
          <w:b/>
        </w:rPr>
        <w:t>4</w:t>
      </w:r>
      <w:r>
        <w:rPr>
          <w:rFonts w:hint="eastAsia"/>
          <w:b/>
        </w:rPr>
        <w:t xml:space="preserve"> </w:t>
      </w:r>
      <w:r>
        <w:rPr>
          <w:rFonts w:hint="eastAsia"/>
        </w:rPr>
        <w:t xml:space="preserve"> </w:t>
      </w:r>
      <w:r>
        <w:t>基床表层宜采用半刚性二灰砂砾</w:t>
      </w:r>
      <w:r>
        <w:rPr>
          <w:rFonts w:hint="eastAsia"/>
        </w:rPr>
        <w:t>、</w:t>
      </w:r>
      <w:r>
        <w:t>水泥稳定级配碎石或级配碎石(砂砾石)；</w:t>
      </w:r>
    </w:p>
    <w:p w14:paraId="6CFACF6D">
      <w:pPr>
        <w:ind w:firstLine="422" w:firstLineChars="200"/>
      </w:pPr>
      <w:r>
        <w:rPr>
          <w:b/>
        </w:rPr>
        <w:t>5</w:t>
      </w:r>
      <w:r>
        <w:rPr>
          <w:rFonts w:hint="eastAsia"/>
          <w:b/>
        </w:rPr>
        <w:t xml:space="preserve"> </w:t>
      </w:r>
      <w:r>
        <w:rPr>
          <w:rFonts w:hint="eastAsia"/>
        </w:rPr>
        <w:t xml:space="preserve"> </w:t>
      </w:r>
      <w:r>
        <w:t>基床底层宜采用A、B组填料填筑</w:t>
      </w:r>
      <w:r>
        <w:rPr>
          <w:rFonts w:hint="eastAsia"/>
        </w:rPr>
        <w:t>，在A、B组填料缺乏的地区，有经验时，基床底层可采用化学改良土</w:t>
      </w:r>
      <w:r>
        <w:t>。</w:t>
      </w:r>
    </w:p>
    <w:p w14:paraId="6CF47C49">
      <w:pPr>
        <w:pStyle w:val="5"/>
      </w:pPr>
      <w:r>
        <w:t>无砟轨道基床表层压实标准应符合表</w:t>
      </w:r>
      <w:r>
        <w:rPr>
          <w:rFonts w:hint="eastAsia"/>
        </w:rPr>
        <w:t>9</w:t>
      </w:r>
      <w:r>
        <w:t>.3.3的规定：</w:t>
      </w:r>
    </w:p>
    <w:p w14:paraId="7A50E7BD">
      <w:pPr>
        <w:pStyle w:val="198"/>
      </w:pPr>
      <w:r>
        <w:t>表</w:t>
      </w:r>
      <w:r>
        <w:rPr>
          <w:rFonts w:hint="eastAsia"/>
        </w:rPr>
        <w:t>9</w:t>
      </w:r>
      <w:r>
        <w:t>.3.3</w:t>
      </w:r>
      <w:r>
        <w:rPr>
          <w:rFonts w:hint="eastAsia"/>
        </w:rPr>
        <w:t xml:space="preserve">  </w:t>
      </w:r>
      <w:r>
        <w:t>基床表层压实标准</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93"/>
        <w:gridCol w:w="1546"/>
        <w:gridCol w:w="1263"/>
        <w:gridCol w:w="1269"/>
        <w:gridCol w:w="1269"/>
      </w:tblGrid>
      <w:tr w14:paraId="0867E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71" w:hRule="atLeast"/>
          <w:jc w:val="center"/>
        </w:trPr>
        <w:tc>
          <w:tcPr>
            <w:tcW w:w="993" w:type="dxa"/>
            <w:tcBorders>
              <w:left w:val="single" w:color="000000" w:sz="6" w:space="0"/>
            </w:tcBorders>
            <w:vAlign w:val="center"/>
          </w:tcPr>
          <w:p w14:paraId="0CD73B2B">
            <w:pPr>
              <w:pStyle w:val="235"/>
              <w:rPr>
                <w:color w:val="auto"/>
              </w:rPr>
            </w:pPr>
            <w:r>
              <w:rPr>
                <w:color w:val="auto"/>
              </w:rPr>
              <w:t>层位</w:t>
            </w:r>
          </w:p>
        </w:tc>
        <w:tc>
          <w:tcPr>
            <w:tcW w:w="1546" w:type="dxa"/>
            <w:tcBorders>
              <w:tl2br w:val="single" w:color="000000" w:sz="2" w:space="0"/>
            </w:tcBorders>
            <w:vAlign w:val="center"/>
          </w:tcPr>
          <w:p w14:paraId="38059DB0">
            <w:pPr>
              <w:pStyle w:val="235"/>
              <w:jc w:val="right"/>
              <w:rPr>
                <w:color w:val="auto"/>
              </w:rPr>
            </w:pPr>
            <w:r>
              <w:rPr>
                <w:rFonts w:hint="eastAsia"/>
                <w:color w:val="auto"/>
              </w:rPr>
              <w:t xml:space="preserve">    </w:t>
            </w:r>
            <w:r>
              <w:rPr>
                <w:color w:val="auto"/>
              </w:rPr>
              <w:t xml:space="preserve">  </w:t>
            </w:r>
            <w:r>
              <w:rPr>
                <w:rFonts w:hint="eastAsia"/>
                <w:color w:val="auto"/>
              </w:rPr>
              <w:t xml:space="preserve"> </w:t>
            </w:r>
            <w:r>
              <w:rPr>
                <w:color w:val="auto"/>
              </w:rPr>
              <w:t>填料类别</w:t>
            </w:r>
          </w:p>
          <w:p w14:paraId="4A7F4433">
            <w:pPr>
              <w:pStyle w:val="235"/>
              <w:jc w:val="left"/>
              <w:rPr>
                <w:color w:val="auto"/>
              </w:rPr>
            </w:pPr>
            <w:r>
              <w:rPr>
                <w:color w:val="auto"/>
              </w:rPr>
              <w:t>压实指标</w:t>
            </w:r>
          </w:p>
        </w:tc>
        <w:tc>
          <w:tcPr>
            <w:tcW w:w="1263" w:type="dxa"/>
            <w:vAlign w:val="center"/>
          </w:tcPr>
          <w:p w14:paraId="0F683B83">
            <w:pPr>
              <w:pStyle w:val="235"/>
              <w:rPr>
                <w:color w:val="auto"/>
              </w:rPr>
            </w:pPr>
            <w:r>
              <w:rPr>
                <w:color w:val="auto"/>
              </w:rPr>
              <w:t>二灰砂砾</w:t>
            </w:r>
          </w:p>
        </w:tc>
        <w:tc>
          <w:tcPr>
            <w:tcW w:w="1269" w:type="dxa"/>
            <w:tcBorders>
              <w:right w:val="single" w:color="000000" w:sz="6" w:space="0"/>
            </w:tcBorders>
            <w:vAlign w:val="center"/>
          </w:tcPr>
          <w:p w14:paraId="2CBFC20B">
            <w:pPr>
              <w:pStyle w:val="235"/>
              <w:rPr>
                <w:color w:val="auto"/>
              </w:rPr>
            </w:pPr>
            <w:r>
              <w:rPr>
                <w:color w:val="auto"/>
              </w:rPr>
              <w:t>水泥稳定级配碎石</w:t>
            </w:r>
          </w:p>
        </w:tc>
        <w:tc>
          <w:tcPr>
            <w:tcW w:w="1269" w:type="dxa"/>
            <w:tcBorders>
              <w:right w:val="single" w:color="000000" w:sz="6" w:space="0"/>
            </w:tcBorders>
            <w:vAlign w:val="center"/>
          </w:tcPr>
          <w:p w14:paraId="5383F557">
            <w:pPr>
              <w:pStyle w:val="235"/>
              <w:rPr>
                <w:color w:val="auto"/>
              </w:rPr>
            </w:pPr>
            <w:r>
              <w:rPr>
                <w:rFonts w:hint="eastAsia"/>
                <w:color w:val="auto"/>
              </w:rPr>
              <w:t>级配碎石</w:t>
            </w:r>
          </w:p>
        </w:tc>
      </w:tr>
      <w:tr w14:paraId="5E779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3" w:hRule="atLeast"/>
          <w:jc w:val="center"/>
        </w:trPr>
        <w:tc>
          <w:tcPr>
            <w:tcW w:w="993" w:type="dxa"/>
            <w:vMerge w:val="restart"/>
            <w:tcBorders>
              <w:left w:val="single" w:color="000000" w:sz="6" w:space="0"/>
              <w:bottom w:val="nil"/>
            </w:tcBorders>
            <w:vAlign w:val="center"/>
          </w:tcPr>
          <w:p w14:paraId="140FE276">
            <w:pPr>
              <w:pStyle w:val="235"/>
              <w:rPr>
                <w:color w:val="auto"/>
              </w:rPr>
            </w:pPr>
          </w:p>
          <w:p w14:paraId="406F809D">
            <w:pPr>
              <w:pStyle w:val="235"/>
              <w:rPr>
                <w:color w:val="auto"/>
              </w:rPr>
            </w:pPr>
            <w:r>
              <w:rPr>
                <w:color w:val="auto"/>
              </w:rPr>
              <w:t>基床表层</w:t>
            </w:r>
          </w:p>
        </w:tc>
        <w:tc>
          <w:tcPr>
            <w:tcW w:w="1546" w:type="dxa"/>
            <w:vAlign w:val="center"/>
          </w:tcPr>
          <w:p w14:paraId="10A5E646">
            <w:pPr>
              <w:pStyle w:val="235"/>
              <w:rPr>
                <w:color w:val="auto"/>
              </w:rPr>
            </w:pPr>
            <w:r>
              <w:rPr>
                <w:color w:val="auto"/>
              </w:rPr>
              <w:t>地基系数K30(MPa/m)</w:t>
            </w:r>
          </w:p>
        </w:tc>
        <w:tc>
          <w:tcPr>
            <w:tcW w:w="1263" w:type="dxa"/>
            <w:vAlign w:val="center"/>
          </w:tcPr>
          <w:p w14:paraId="477FB9BC">
            <w:pPr>
              <w:pStyle w:val="235"/>
              <w:rPr>
                <w:color w:val="auto"/>
              </w:rPr>
            </w:pPr>
            <w:r>
              <w:rPr>
                <w:color w:val="auto"/>
              </w:rPr>
              <w:t>≥180</w:t>
            </w:r>
          </w:p>
        </w:tc>
        <w:tc>
          <w:tcPr>
            <w:tcW w:w="1269" w:type="dxa"/>
            <w:tcBorders>
              <w:right w:val="single" w:color="000000" w:sz="6" w:space="0"/>
            </w:tcBorders>
            <w:vAlign w:val="center"/>
          </w:tcPr>
          <w:p w14:paraId="0A0544E1">
            <w:pPr>
              <w:pStyle w:val="235"/>
              <w:rPr>
                <w:color w:val="auto"/>
              </w:rPr>
            </w:pPr>
            <w:r>
              <w:rPr>
                <w:color w:val="auto"/>
              </w:rPr>
              <w:t>≥190</w:t>
            </w:r>
          </w:p>
        </w:tc>
        <w:tc>
          <w:tcPr>
            <w:tcW w:w="1269" w:type="dxa"/>
            <w:tcBorders>
              <w:right w:val="single" w:color="000000" w:sz="6" w:space="0"/>
            </w:tcBorders>
            <w:vAlign w:val="center"/>
          </w:tcPr>
          <w:p w14:paraId="07302E94">
            <w:pPr>
              <w:pStyle w:val="235"/>
              <w:rPr>
                <w:color w:val="auto"/>
              </w:rPr>
            </w:pPr>
            <w:r>
              <w:rPr>
                <w:color w:val="auto"/>
              </w:rPr>
              <w:t>≥190</w:t>
            </w:r>
          </w:p>
        </w:tc>
      </w:tr>
      <w:tr w14:paraId="50922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993" w:type="dxa"/>
            <w:vMerge w:val="continue"/>
            <w:tcBorders>
              <w:top w:val="nil"/>
              <w:left w:val="single" w:color="000000" w:sz="6" w:space="0"/>
              <w:bottom w:val="nil"/>
            </w:tcBorders>
            <w:vAlign w:val="center"/>
          </w:tcPr>
          <w:p w14:paraId="2D1475A5">
            <w:pPr>
              <w:pStyle w:val="235"/>
              <w:rPr>
                <w:color w:val="auto"/>
              </w:rPr>
            </w:pPr>
          </w:p>
        </w:tc>
        <w:tc>
          <w:tcPr>
            <w:tcW w:w="1546" w:type="dxa"/>
            <w:vAlign w:val="center"/>
          </w:tcPr>
          <w:p w14:paraId="04F2093F">
            <w:pPr>
              <w:pStyle w:val="235"/>
              <w:rPr>
                <w:color w:val="auto"/>
              </w:rPr>
            </w:pPr>
            <w:r>
              <w:rPr>
                <w:color w:val="auto"/>
              </w:rPr>
              <w:t>压实系数K</w:t>
            </w:r>
          </w:p>
        </w:tc>
        <w:tc>
          <w:tcPr>
            <w:tcW w:w="1263" w:type="dxa"/>
            <w:vAlign w:val="center"/>
          </w:tcPr>
          <w:p w14:paraId="5459623E">
            <w:pPr>
              <w:pStyle w:val="235"/>
              <w:rPr>
                <w:color w:val="auto"/>
              </w:rPr>
            </w:pPr>
            <w:r>
              <w:rPr>
                <w:color w:val="auto"/>
              </w:rPr>
              <w:t>≥0.98</w:t>
            </w:r>
          </w:p>
        </w:tc>
        <w:tc>
          <w:tcPr>
            <w:tcW w:w="1269" w:type="dxa"/>
            <w:tcBorders>
              <w:right w:val="single" w:color="000000" w:sz="6" w:space="0"/>
            </w:tcBorders>
            <w:vAlign w:val="center"/>
          </w:tcPr>
          <w:p w14:paraId="041AD2BF">
            <w:pPr>
              <w:pStyle w:val="235"/>
              <w:rPr>
                <w:color w:val="auto"/>
              </w:rPr>
            </w:pPr>
            <w:r>
              <w:rPr>
                <w:color w:val="auto"/>
              </w:rPr>
              <w:t>≥0.97</w:t>
            </w:r>
          </w:p>
        </w:tc>
        <w:tc>
          <w:tcPr>
            <w:tcW w:w="1269" w:type="dxa"/>
            <w:tcBorders>
              <w:right w:val="single" w:color="000000" w:sz="6" w:space="0"/>
            </w:tcBorders>
            <w:vAlign w:val="center"/>
          </w:tcPr>
          <w:p w14:paraId="1413A449">
            <w:pPr>
              <w:pStyle w:val="235"/>
              <w:rPr>
                <w:color w:val="auto"/>
              </w:rPr>
            </w:pPr>
            <w:r>
              <w:rPr>
                <w:color w:val="auto"/>
              </w:rPr>
              <w:t>≥0.97</w:t>
            </w:r>
          </w:p>
        </w:tc>
      </w:tr>
      <w:tr w14:paraId="4410F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993" w:type="dxa"/>
            <w:vMerge w:val="continue"/>
            <w:tcBorders>
              <w:top w:val="nil"/>
              <w:left w:val="single" w:color="000000" w:sz="6" w:space="0"/>
              <w:bottom w:val="nil"/>
            </w:tcBorders>
            <w:vAlign w:val="center"/>
          </w:tcPr>
          <w:p w14:paraId="1327D292">
            <w:pPr>
              <w:pStyle w:val="235"/>
              <w:rPr>
                <w:color w:val="auto"/>
              </w:rPr>
            </w:pPr>
          </w:p>
        </w:tc>
        <w:tc>
          <w:tcPr>
            <w:tcW w:w="1546" w:type="dxa"/>
            <w:vAlign w:val="center"/>
          </w:tcPr>
          <w:p w14:paraId="79C5F7FD">
            <w:pPr>
              <w:pStyle w:val="235"/>
              <w:rPr>
                <w:color w:val="auto"/>
              </w:rPr>
            </w:pPr>
            <w:r>
              <w:rPr>
                <w:color w:val="auto"/>
              </w:rPr>
              <w:t>动态变形模量EVD(MPa)</w:t>
            </w:r>
          </w:p>
        </w:tc>
        <w:tc>
          <w:tcPr>
            <w:tcW w:w="1263" w:type="dxa"/>
            <w:vAlign w:val="center"/>
          </w:tcPr>
          <w:p w14:paraId="3AC793A8">
            <w:pPr>
              <w:pStyle w:val="235"/>
              <w:rPr>
                <w:color w:val="auto"/>
              </w:rPr>
            </w:pPr>
            <w:r>
              <w:rPr>
                <w:color w:val="auto"/>
              </w:rPr>
              <w:t>—</w:t>
            </w:r>
          </w:p>
        </w:tc>
        <w:tc>
          <w:tcPr>
            <w:tcW w:w="1269" w:type="dxa"/>
            <w:tcBorders>
              <w:right w:val="single" w:color="000000" w:sz="6" w:space="0"/>
            </w:tcBorders>
            <w:vAlign w:val="center"/>
          </w:tcPr>
          <w:p w14:paraId="1578597E">
            <w:pPr>
              <w:pStyle w:val="235"/>
              <w:rPr>
                <w:color w:val="auto"/>
              </w:rPr>
            </w:pPr>
            <w:r>
              <w:rPr>
                <w:color w:val="auto"/>
              </w:rPr>
              <w:t>≥55</w:t>
            </w:r>
          </w:p>
        </w:tc>
        <w:tc>
          <w:tcPr>
            <w:tcW w:w="1269" w:type="dxa"/>
            <w:tcBorders>
              <w:right w:val="single" w:color="000000" w:sz="6" w:space="0"/>
            </w:tcBorders>
            <w:vAlign w:val="center"/>
          </w:tcPr>
          <w:p w14:paraId="450DF8DC">
            <w:pPr>
              <w:pStyle w:val="235"/>
              <w:rPr>
                <w:color w:val="auto"/>
              </w:rPr>
            </w:pPr>
            <w:r>
              <w:rPr>
                <w:color w:val="auto"/>
              </w:rPr>
              <w:t>≥55</w:t>
            </w:r>
          </w:p>
        </w:tc>
      </w:tr>
      <w:tr w14:paraId="5C4ED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2" w:hRule="atLeast"/>
          <w:jc w:val="center"/>
        </w:trPr>
        <w:tc>
          <w:tcPr>
            <w:tcW w:w="993" w:type="dxa"/>
            <w:vMerge w:val="continue"/>
            <w:tcBorders>
              <w:top w:val="nil"/>
              <w:left w:val="single" w:color="000000" w:sz="6" w:space="0"/>
            </w:tcBorders>
            <w:vAlign w:val="center"/>
          </w:tcPr>
          <w:p w14:paraId="591561CD">
            <w:pPr>
              <w:pStyle w:val="235"/>
              <w:rPr>
                <w:color w:val="auto"/>
              </w:rPr>
            </w:pPr>
          </w:p>
        </w:tc>
        <w:tc>
          <w:tcPr>
            <w:tcW w:w="1546" w:type="dxa"/>
            <w:vAlign w:val="center"/>
          </w:tcPr>
          <w:p w14:paraId="2455E664">
            <w:pPr>
              <w:pStyle w:val="235"/>
              <w:rPr>
                <w:color w:val="auto"/>
              </w:rPr>
            </w:pPr>
            <w:r>
              <w:rPr>
                <w:color w:val="auto"/>
              </w:rPr>
              <w:t>7d饱和无侧限抗压强度R7 (kPa)</w:t>
            </w:r>
          </w:p>
        </w:tc>
        <w:tc>
          <w:tcPr>
            <w:tcW w:w="1263" w:type="dxa"/>
            <w:vAlign w:val="center"/>
          </w:tcPr>
          <w:p w14:paraId="0E7459E8">
            <w:pPr>
              <w:pStyle w:val="235"/>
              <w:rPr>
                <w:color w:val="auto"/>
              </w:rPr>
            </w:pPr>
            <w:r>
              <w:rPr>
                <w:color w:val="auto"/>
              </w:rPr>
              <w:t>≥700</w:t>
            </w:r>
          </w:p>
        </w:tc>
        <w:tc>
          <w:tcPr>
            <w:tcW w:w="1269" w:type="dxa"/>
            <w:tcBorders>
              <w:right w:val="single" w:color="000000" w:sz="6" w:space="0"/>
            </w:tcBorders>
            <w:vAlign w:val="center"/>
          </w:tcPr>
          <w:p w14:paraId="20A9C903">
            <w:pPr>
              <w:pStyle w:val="235"/>
              <w:rPr>
                <w:color w:val="auto"/>
              </w:rPr>
            </w:pPr>
            <w:r>
              <w:rPr>
                <w:color w:val="auto"/>
              </w:rPr>
              <w:t>≥700</w:t>
            </w:r>
          </w:p>
        </w:tc>
        <w:tc>
          <w:tcPr>
            <w:tcW w:w="1269" w:type="dxa"/>
            <w:tcBorders>
              <w:right w:val="single" w:color="000000" w:sz="6" w:space="0"/>
            </w:tcBorders>
            <w:vAlign w:val="center"/>
          </w:tcPr>
          <w:p w14:paraId="2C91469E">
            <w:pPr>
              <w:pStyle w:val="235"/>
              <w:rPr>
                <w:color w:val="auto"/>
              </w:rPr>
            </w:pPr>
          </w:p>
        </w:tc>
      </w:tr>
    </w:tbl>
    <w:p w14:paraId="58742140">
      <w:pPr>
        <w:pStyle w:val="5"/>
        <w:rPr>
          <w:szCs w:val="18"/>
        </w:rPr>
      </w:pPr>
      <w:r>
        <w:t>无砟轨道基床底层压实标准应符合表</w:t>
      </w:r>
      <w:r>
        <w:rPr>
          <w:rFonts w:hint="eastAsia"/>
        </w:rPr>
        <w:t>9</w:t>
      </w:r>
      <w:r>
        <w:t>.3.4的规定：</w:t>
      </w:r>
    </w:p>
    <w:p w14:paraId="7A2C76A1">
      <w:pPr>
        <w:pStyle w:val="198"/>
      </w:pPr>
      <w:r>
        <w:t>表</w:t>
      </w:r>
      <w:r>
        <w:rPr>
          <w:rFonts w:hint="eastAsia"/>
        </w:rPr>
        <w:t>9</w:t>
      </w:r>
      <w:r>
        <w:t>.3.4</w:t>
      </w:r>
      <w:r>
        <w:rPr>
          <w:rFonts w:hint="eastAsia"/>
        </w:rPr>
        <w:t xml:space="preserve">  </w:t>
      </w:r>
      <w:r>
        <w:t>基床底层A、B组填料压实标准</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67"/>
        <w:gridCol w:w="1272"/>
        <w:gridCol w:w="1263"/>
        <w:gridCol w:w="1269"/>
        <w:gridCol w:w="1269"/>
      </w:tblGrid>
      <w:tr w14:paraId="3D094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72" w:hRule="atLeast"/>
          <w:jc w:val="center"/>
        </w:trPr>
        <w:tc>
          <w:tcPr>
            <w:tcW w:w="1267" w:type="dxa"/>
            <w:tcBorders>
              <w:left w:val="single" w:color="000000" w:sz="6" w:space="0"/>
            </w:tcBorders>
            <w:vAlign w:val="center"/>
          </w:tcPr>
          <w:p w14:paraId="16CFEB49">
            <w:pPr>
              <w:pStyle w:val="235"/>
              <w:rPr>
                <w:color w:val="auto"/>
              </w:rPr>
            </w:pPr>
            <w:r>
              <w:rPr>
                <w:color w:val="auto"/>
              </w:rPr>
              <w:t>层位</w:t>
            </w:r>
          </w:p>
        </w:tc>
        <w:tc>
          <w:tcPr>
            <w:tcW w:w="1272" w:type="dxa"/>
            <w:tcBorders>
              <w:tl2br w:val="single" w:color="000000" w:sz="2" w:space="0"/>
            </w:tcBorders>
            <w:vAlign w:val="center"/>
          </w:tcPr>
          <w:p w14:paraId="41821F78">
            <w:pPr>
              <w:pStyle w:val="235"/>
              <w:jc w:val="right"/>
              <w:rPr>
                <w:color w:val="auto"/>
              </w:rPr>
            </w:pPr>
            <w:r>
              <w:rPr>
                <w:rFonts w:hint="eastAsia"/>
                <w:color w:val="auto"/>
              </w:rPr>
              <w:t xml:space="preserve">      </w:t>
            </w:r>
            <w:r>
              <w:rPr>
                <w:color w:val="auto"/>
              </w:rPr>
              <w:t>填料类别</w:t>
            </w:r>
          </w:p>
          <w:p w14:paraId="37FE112A">
            <w:pPr>
              <w:pStyle w:val="235"/>
              <w:jc w:val="left"/>
              <w:rPr>
                <w:color w:val="auto"/>
              </w:rPr>
            </w:pPr>
            <w:r>
              <w:rPr>
                <w:color w:val="auto"/>
              </w:rPr>
              <w:t>压实指标</w:t>
            </w:r>
          </w:p>
        </w:tc>
        <w:tc>
          <w:tcPr>
            <w:tcW w:w="1263" w:type="dxa"/>
            <w:vAlign w:val="center"/>
          </w:tcPr>
          <w:p w14:paraId="28E5588B">
            <w:pPr>
              <w:pStyle w:val="235"/>
              <w:rPr>
                <w:color w:val="auto"/>
              </w:rPr>
            </w:pPr>
            <w:r>
              <w:rPr>
                <w:color w:val="auto"/>
              </w:rPr>
              <w:t>砂类土及细砾土</w:t>
            </w:r>
          </w:p>
        </w:tc>
        <w:tc>
          <w:tcPr>
            <w:tcW w:w="1269" w:type="dxa"/>
            <w:tcBorders>
              <w:right w:val="single" w:color="000000" w:sz="6" w:space="0"/>
            </w:tcBorders>
            <w:vAlign w:val="center"/>
          </w:tcPr>
          <w:p w14:paraId="01828FA3">
            <w:pPr>
              <w:pStyle w:val="235"/>
              <w:rPr>
                <w:color w:val="auto"/>
              </w:rPr>
            </w:pPr>
            <w:r>
              <w:rPr>
                <w:color w:val="auto"/>
              </w:rPr>
              <w:t>碎石类及粗砾土</w:t>
            </w:r>
          </w:p>
        </w:tc>
        <w:tc>
          <w:tcPr>
            <w:tcW w:w="1269" w:type="dxa"/>
            <w:tcBorders>
              <w:right w:val="single" w:color="000000" w:sz="6" w:space="0"/>
            </w:tcBorders>
            <w:vAlign w:val="center"/>
          </w:tcPr>
          <w:p w14:paraId="08CD0A1A">
            <w:pPr>
              <w:pStyle w:val="235"/>
              <w:rPr>
                <w:color w:val="auto"/>
              </w:rPr>
            </w:pPr>
            <w:r>
              <w:rPr>
                <w:color w:val="auto"/>
              </w:rPr>
              <w:t>化学改良土</w:t>
            </w:r>
          </w:p>
        </w:tc>
      </w:tr>
      <w:tr w14:paraId="72217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2" w:hRule="atLeast"/>
          <w:jc w:val="center"/>
        </w:trPr>
        <w:tc>
          <w:tcPr>
            <w:tcW w:w="1267" w:type="dxa"/>
            <w:vMerge w:val="restart"/>
            <w:tcBorders>
              <w:left w:val="single" w:color="000000" w:sz="6" w:space="0"/>
              <w:bottom w:val="nil"/>
            </w:tcBorders>
            <w:vAlign w:val="center"/>
          </w:tcPr>
          <w:p w14:paraId="293CC958">
            <w:pPr>
              <w:pStyle w:val="235"/>
              <w:rPr>
                <w:color w:val="auto"/>
              </w:rPr>
            </w:pPr>
            <w:r>
              <w:rPr>
                <w:color w:val="auto"/>
              </w:rPr>
              <w:t>基床底层</w:t>
            </w:r>
          </w:p>
        </w:tc>
        <w:tc>
          <w:tcPr>
            <w:tcW w:w="1272" w:type="dxa"/>
            <w:vAlign w:val="center"/>
          </w:tcPr>
          <w:p w14:paraId="1C05084B">
            <w:pPr>
              <w:pStyle w:val="235"/>
              <w:rPr>
                <w:color w:val="auto"/>
              </w:rPr>
            </w:pPr>
            <w:r>
              <w:rPr>
                <w:color w:val="auto"/>
              </w:rPr>
              <w:t>地基系数K30(MPa/m)</w:t>
            </w:r>
          </w:p>
        </w:tc>
        <w:tc>
          <w:tcPr>
            <w:tcW w:w="1263" w:type="dxa"/>
            <w:vAlign w:val="center"/>
          </w:tcPr>
          <w:p w14:paraId="081BD820">
            <w:pPr>
              <w:pStyle w:val="235"/>
              <w:rPr>
                <w:color w:val="auto"/>
              </w:rPr>
            </w:pPr>
            <w:r>
              <w:rPr>
                <w:color w:val="auto"/>
              </w:rPr>
              <w:t>≥130</w:t>
            </w:r>
          </w:p>
        </w:tc>
        <w:tc>
          <w:tcPr>
            <w:tcW w:w="1269" w:type="dxa"/>
            <w:tcBorders>
              <w:right w:val="single" w:color="000000" w:sz="6" w:space="0"/>
            </w:tcBorders>
            <w:vAlign w:val="center"/>
          </w:tcPr>
          <w:p w14:paraId="2F3F03EA">
            <w:pPr>
              <w:pStyle w:val="235"/>
              <w:rPr>
                <w:color w:val="auto"/>
              </w:rPr>
            </w:pPr>
            <w:r>
              <w:rPr>
                <w:color w:val="auto"/>
              </w:rPr>
              <w:t>≥150</w:t>
            </w:r>
          </w:p>
        </w:tc>
        <w:tc>
          <w:tcPr>
            <w:tcW w:w="1269" w:type="dxa"/>
            <w:tcBorders>
              <w:right w:val="single" w:color="000000" w:sz="6" w:space="0"/>
            </w:tcBorders>
            <w:vAlign w:val="center"/>
          </w:tcPr>
          <w:p w14:paraId="1F85FC01">
            <w:pPr>
              <w:pStyle w:val="235"/>
              <w:rPr>
                <w:color w:val="auto"/>
              </w:rPr>
            </w:pPr>
            <w:r>
              <w:rPr>
                <w:color w:val="auto"/>
              </w:rPr>
              <w:t>—</w:t>
            </w:r>
          </w:p>
        </w:tc>
      </w:tr>
      <w:tr w14:paraId="1FDA7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9" w:hRule="atLeast"/>
          <w:jc w:val="center"/>
        </w:trPr>
        <w:tc>
          <w:tcPr>
            <w:tcW w:w="1267" w:type="dxa"/>
            <w:vMerge w:val="continue"/>
            <w:tcBorders>
              <w:top w:val="nil"/>
              <w:left w:val="single" w:color="000000" w:sz="6" w:space="0"/>
              <w:bottom w:val="nil"/>
            </w:tcBorders>
            <w:vAlign w:val="center"/>
          </w:tcPr>
          <w:p w14:paraId="09DBF1C9">
            <w:pPr>
              <w:pStyle w:val="235"/>
              <w:rPr>
                <w:color w:val="auto"/>
              </w:rPr>
            </w:pPr>
          </w:p>
        </w:tc>
        <w:tc>
          <w:tcPr>
            <w:tcW w:w="1272" w:type="dxa"/>
            <w:vAlign w:val="center"/>
          </w:tcPr>
          <w:p w14:paraId="55D75D19">
            <w:pPr>
              <w:pStyle w:val="235"/>
              <w:rPr>
                <w:color w:val="auto"/>
              </w:rPr>
            </w:pPr>
            <w:r>
              <w:rPr>
                <w:color w:val="auto"/>
              </w:rPr>
              <w:t>压实系数K</w:t>
            </w:r>
          </w:p>
        </w:tc>
        <w:tc>
          <w:tcPr>
            <w:tcW w:w="1263" w:type="dxa"/>
            <w:vAlign w:val="center"/>
          </w:tcPr>
          <w:p w14:paraId="421B60F2">
            <w:pPr>
              <w:pStyle w:val="235"/>
              <w:rPr>
                <w:color w:val="auto"/>
              </w:rPr>
            </w:pPr>
            <w:r>
              <w:rPr>
                <w:color w:val="auto"/>
              </w:rPr>
              <w:t>≥0.95</w:t>
            </w:r>
          </w:p>
        </w:tc>
        <w:tc>
          <w:tcPr>
            <w:tcW w:w="1269" w:type="dxa"/>
            <w:tcBorders>
              <w:right w:val="single" w:color="000000" w:sz="6" w:space="0"/>
            </w:tcBorders>
            <w:vAlign w:val="center"/>
          </w:tcPr>
          <w:p w14:paraId="2F630E17">
            <w:pPr>
              <w:pStyle w:val="235"/>
              <w:rPr>
                <w:color w:val="auto"/>
              </w:rPr>
            </w:pPr>
            <w:r>
              <w:rPr>
                <w:color w:val="auto"/>
              </w:rPr>
              <w:t>≥0.95</w:t>
            </w:r>
          </w:p>
        </w:tc>
        <w:tc>
          <w:tcPr>
            <w:tcW w:w="1269" w:type="dxa"/>
            <w:tcBorders>
              <w:right w:val="single" w:color="000000" w:sz="6" w:space="0"/>
            </w:tcBorders>
            <w:vAlign w:val="center"/>
          </w:tcPr>
          <w:p w14:paraId="06204A99">
            <w:pPr>
              <w:pStyle w:val="235"/>
              <w:rPr>
                <w:color w:val="auto"/>
              </w:rPr>
            </w:pPr>
            <w:r>
              <w:rPr>
                <w:color w:val="auto"/>
              </w:rPr>
              <w:t>≥0.97</w:t>
            </w:r>
          </w:p>
        </w:tc>
      </w:tr>
      <w:tr w14:paraId="179BE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1267" w:type="dxa"/>
            <w:vMerge w:val="continue"/>
            <w:tcBorders>
              <w:top w:val="nil"/>
              <w:left w:val="single" w:color="000000" w:sz="6" w:space="0"/>
              <w:bottom w:val="nil"/>
            </w:tcBorders>
            <w:vAlign w:val="center"/>
          </w:tcPr>
          <w:p w14:paraId="1A6A4493">
            <w:pPr>
              <w:pStyle w:val="235"/>
              <w:rPr>
                <w:color w:val="auto"/>
              </w:rPr>
            </w:pPr>
          </w:p>
        </w:tc>
        <w:tc>
          <w:tcPr>
            <w:tcW w:w="1272" w:type="dxa"/>
            <w:vAlign w:val="center"/>
          </w:tcPr>
          <w:p w14:paraId="79D586B4">
            <w:pPr>
              <w:pStyle w:val="235"/>
              <w:rPr>
                <w:color w:val="auto"/>
              </w:rPr>
            </w:pPr>
            <w:r>
              <w:rPr>
                <w:color w:val="auto"/>
              </w:rPr>
              <w:t>动态变形模量EVD(MPa)</w:t>
            </w:r>
          </w:p>
        </w:tc>
        <w:tc>
          <w:tcPr>
            <w:tcW w:w="1263" w:type="dxa"/>
            <w:vAlign w:val="center"/>
          </w:tcPr>
          <w:p w14:paraId="0F9D964A">
            <w:pPr>
              <w:pStyle w:val="235"/>
              <w:rPr>
                <w:color w:val="auto"/>
              </w:rPr>
            </w:pPr>
            <w:r>
              <w:rPr>
                <w:color w:val="auto"/>
              </w:rPr>
              <w:t>≥40</w:t>
            </w:r>
          </w:p>
        </w:tc>
        <w:tc>
          <w:tcPr>
            <w:tcW w:w="1269" w:type="dxa"/>
            <w:tcBorders>
              <w:right w:val="single" w:color="000000" w:sz="6" w:space="0"/>
            </w:tcBorders>
            <w:vAlign w:val="center"/>
          </w:tcPr>
          <w:p w14:paraId="2B9B41C4">
            <w:pPr>
              <w:pStyle w:val="235"/>
              <w:rPr>
                <w:color w:val="auto"/>
              </w:rPr>
            </w:pPr>
            <w:r>
              <w:rPr>
                <w:color w:val="auto"/>
              </w:rPr>
              <w:t>≥40</w:t>
            </w:r>
          </w:p>
        </w:tc>
        <w:tc>
          <w:tcPr>
            <w:tcW w:w="1269" w:type="dxa"/>
            <w:tcBorders>
              <w:right w:val="single" w:color="000000" w:sz="6" w:space="0"/>
            </w:tcBorders>
            <w:vAlign w:val="center"/>
          </w:tcPr>
          <w:p w14:paraId="7E36CE79">
            <w:pPr>
              <w:pStyle w:val="235"/>
              <w:rPr>
                <w:color w:val="auto"/>
              </w:rPr>
            </w:pPr>
            <w:r>
              <w:rPr>
                <w:color w:val="auto"/>
              </w:rPr>
              <w:t>—</w:t>
            </w:r>
          </w:p>
        </w:tc>
      </w:tr>
      <w:tr w14:paraId="14342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2" w:hRule="atLeast"/>
          <w:jc w:val="center"/>
        </w:trPr>
        <w:tc>
          <w:tcPr>
            <w:tcW w:w="1267" w:type="dxa"/>
            <w:vMerge w:val="continue"/>
            <w:tcBorders>
              <w:top w:val="nil"/>
              <w:left w:val="single" w:color="000000" w:sz="6" w:space="0"/>
            </w:tcBorders>
            <w:vAlign w:val="center"/>
          </w:tcPr>
          <w:p w14:paraId="5255F3A1">
            <w:pPr>
              <w:pStyle w:val="235"/>
              <w:rPr>
                <w:color w:val="auto"/>
              </w:rPr>
            </w:pPr>
          </w:p>
        </w:tc>
        <w:tc>
          <w:tcPr>
            <w:tcW w:w="1272" w:type="dxa"/>
            <w:vAlign w:val="center"/>
          </w:tcPr>
          <w:p w14:paraId="46703D35">
            <w:pPr>
              <w:pStyle w:val="235"/>
              <w:rPr>
                <w:color w:val="auto"/>
              </w:rPr>
            </w:pPr>
            <w:r>
              <w:rPr>
                <w:color w:val="auto"/>
              </w:rPr>
              <w:t>7d饱和无侧限抗压强度R7 (kPa)</w:t>
            </w:r>
          </w:p>
        </w:tc>
        <w:tc>
          <w:tcPr>
            <w:tcW w:w="1263" w:type="dxa"/>
            <w:vAlign w:val="center"/>
          </w:tcPr>
          <w:p w14:paraId="5AE8EC4D">
            <w:pPr>
              <w:pStyle w:val="235"/>
              <w:rPr>
                <w:color w:val="auto"/>
              </w:rPr>
            </w:pPr>
            <w:r>
              <w:rPr>
                <w:color w:val="auto"/>
              </w:rPr>
              <w:t>—</w:t>
            </w:r>
          </w:p>
        </w:tc>
        <w:tc>
          <w:tcPr>
            <w:tcW w:w="1269" w:type="dxa"/>
            <w:tcBorders>
              <w:right w:val="single" w:color="000000" w:sz="6" w:space="0"/>
            </w:tcBorders>
            <w:vAlign w:val="center"/>
          </w:tcPr>
          <w:p w14:paraId="34BE1BD7">
            <w:pPr>
              <w:pStyle w:val="235"/>
              <w:rPr>
                <w:color w:val="auto"/>
              </w:rPr>
            </w:pPr>
            <w:r>
              <w:rPr>
                <w:color w:val="auto"/>
              </w:rPr>
              <w:t>—</w:t>
            </w:r>
          </w:p>
        </w:tc>
        <w:tc>
          <w:tcPr>
            <w:tcW w:w="1269" w:type="dxa"/>
            <w:tcBorders>
              <w:right w:val="single" w:color="000000" w:sz="6" w:space="0"/>
            </w:tcBorders>
            <w:vAlign w:val="center"/>
          </w:tcPr>
          <w:p w14:paraId="7C3EE716">
            <w:pPr>
              <w:pStyle w:val="235"/>
              <w:rPr>
                <w:color w:val="auto"/>
              </w:rPr>
            </w:pPr>
            <w:r>
              <w:rPr>
                <w:color w:val="auto"/>
              </w:rPr>
              <w:t>≥550（750）</w:t>
            </w:r>
          </w:p>
        </w:tc>
      </w:tr>
    </w:tbl>
    <w:p w14:paraId="3061BFEB">
      <w:pPr>
        <w:pStyle w:val="202"/>
        <w:ind w:firstLine="300"/>
      </w:pPr>
      <w:r>
        <w:t>注：</w:t>
      </w:r>
      <w:r>
        <w:rPr>
          <w:rFonts w:hint="eastAsia"/>
        </w:rPr>
        <w:t xml:space="preserve">  </w:t>
      </w:r>
      <w:r>
        <w:t>括号内数值为严寒地区化学改良土考虑冻融循环作用所需强度值。</w:t>
      </w:r>
    </w:p>
    <w:p w14:paraId="310C60F4">
      <w:pPr>
        <w:pStyle w:val="5"/>
      </w:pPr>
      <w:r>
        <w:t>二灰砂砾、级配碎石、级配砂砾</w:t>
      </w:r>
      <w:r>
        <w:rPr>
          <w:rFonts w:hint="eastAsia"/>
        </w:rPr>
        <w:t>石</w:t>
      </w:r>
      <w:r>
        <w:t>的技术要求应符合现行地方标准《北京市城市道路工程施工技术规程》DBJ01—45的有关规定执行。</w:t>
      </w:r>
    </w:p>
    <w:p w14:paraId="42F04E87">
      <w:pPr>
        <w:pStyle w:val="4"/>
      </w:pPr>
      <w:bookmarkStart w:id="439" w:name="_Toc168061207"/>
      <w:bookmarkStart w:id="440" w:name="_Toc168061654"/>
      <w:bookmarkStart w:id="441" w:name="_Toc183765087"/>
      <w:bookmarkStart w:id="442" w:name="_Toc183882078"/>
      <w:bookmarkStart w:id="443" w:name="_Toc183882440"/>
      <w:bookmarkStart w:id="444" w:name="_Toc183888130"/>
      <w:bookmarkStart w:id="445" w:name="_Toc16149"/>
      <w:bookmarkStart w:id="446" w:name="_Toc183683499"/>
      <w:bookmarkStart w:id="447" w:name="_Toc183790517"/>
      <w:bookmarkStart w:id="448" w:name="_Toc183888492"/>
      <w:bookmarkStart w:id="449" w:name="_Toc168059398"/>
      <w:bookmarkStart w:id="450" w:name="_Toc174462006"/>
      <w:r>
        <w:t>路堤</w:t>
      </w:r>
      <w:bookmarkEnd w:id="439"/>
      <w:bookmarkEnd w:id="440"/>
      <w:bookmarkEnd w:id="441"/>
      <w:bookmarkEnd w:id="442"/>
      <w:bookmarkEnd w:id="443"/>
      <w:bookmarkEnd w:id="444"/>
      <w:bookmarkEnd w:id="445"/>
      <w:bookmarkEnd w:id="446"/>
      <w:bookmarkEnd w:id="447"/>
      <w:bookmarkEnd w:id="448"/>
      <w:bookmarkEnd w:id="449"/>
      <w:bookmarkEnd w:id="450"/>
    </w:p>
    <w:p w14:paraId="18015B60">
      <w:pPr>
        <w:pStyle w:val="5"/>
      </w:pPr>
      <w:r>
        <w:t>有砟轨道路堤应符合现行国家标准《地铁设计规范》GB50157的有关规定。</w:t>
      </w:r>
    </w:p>
    <w:p w14:paraId="071B2C8C">
      <w:pPr>
        <w:pStyle w:val="5"/>
      </w:pPr>
      <w:r>
        <w:t>无砟轨道路堤应符合下列规定：</w:t>
      </w:r>
    </w:p>
    <w:p w14:paraId="3888B2F4">
      <w:pPr>
        <w:ind w:firstLine="422" w:firstLineChars="200"/>
      </w:pPr>
      <w:r>
        <w:rPr>
          <w:b/>
        </w:rPr>
        <w:t>1</w:t>
      </w:r>
      <w:r>
        <w:rPr>
          <w:rFonts w:hint="eastAsia"/>
        </w:rPr>
        <w:t xml:space="preserve">  </w:t>
      </w:r>
      <w:r>
        <w:t>无砟轨道路堤基床以下部位采用A、B组填料和C组碎石、砾石类填料</w:t>
      </w:r>
      <w:r>
        <w:rPr>
          <w:rFonts w:hint="eastAsia"/>
        </w:rPr>
        <w:t>及改良土</w:t>
      </w:r>
      <w:r>
        <w:t>时，压实标准应符合表</w:t>
      </w:r>
      <w:r>
        <w:rPr>
          <w:rFonts w:hint="eastAsia"/>
        </w:rPr>
        <w:t>9</w:t>
      </w:r>
      <w:r>
        <w:t>.4.2的规定；</w:t>
      </w:r>
    </w:p>
    <w:p w14:paraId="6F46080A">
      <w:pPr>
        <w:pStyle w:val="198"/>
      </w:pPr>
      <w:r>
        <w:t>表</w:t>
      </w:r>
      <w:r>
        <w:rPr>
          <w:rFonts w:hint="eastAsia"/>
        </w:rPr>
        <w:t>9</w:t>
      </w:r>
      <w:r>
        <w:t>.4.2</w:t>
      </w:r>
      <w:r>
        <w:rPr>
          <w:rFonts w:hint="eastAsia"/>
        </w:rPr>
        <w:t xml:space="preserve">  </w:t>
      </w:r>
      <w:r>
        <w:t>基床以下部位填料的压实标准</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92"/>
        <w:gridCol w:w="1580"/>
        <w:gridCol w:w="1584"/>
        <w:gridCol w:w="1584"/>
      </w:tblGrid>
      <w:tr w14:paraId="560DA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71" w:hRule="atLeast"/>
          <w:jc w:val="center"/>
        </w:trPr>
        <w:tc>
          <w:tcPr>
            <w:tcW w:w="1592" w:type="dxa"/>
            <w:tcBorders>
              <w:left w:val="single" w:color="000000" w:sz="6" w:space="0"/>
              <w:tl2br w:val="single" w:color="000000" w:sz="2" w:space="0"/>
            </w:tcBorders>
            <w:vAlign w:val="center"/>
          </w:tcPr>
          <w:p w14:paraId="6CAF59D2">
            <w:pPr>
              <w:pStyle w:val="235"/>
              <w:jc w:val="right"/>
              <w:rPr>
                <w:color w:val="auto"/>
              </w:rPr>
            </w:pPr>
            <w:r>
              <w:rPr>
                <w:rFonts w:hint="eastAsia"/>
                <w:color w:val="auto"/>
              </w:rPr>
              <w:t xml:space="preserve">       </w:t>
            </w:r>
            <w:r>
              <w:rPr>
                <w:color w:val="auto"/>
              </w:rPr>
              <w:t>填料类别</w:t>
            </w:r>
          </w:p>
          <w:p w14:paraId="1E15C69A">
            <w:pPr>
              <w:pStyle w:val="235"/>
              <w:jc w:val="left"/>
              <w:rPr>
                <w:color w:val="auto"/>
              </w:rPr>
            </w:pPr>
            <w:r>
              <w:rPr>
                <w:color w:val="auto"/>
              </w:rPr>
              <w:t>压实指标</w:t>
            </w:r>
          </w:p>
        </w:tc>
        <w:tc>
          <w:tcPr>
            <w:tcW w:w="1580" w:type="dxa"/>
            <w:vAlign w:val="center"/>
          </w:tcPr>
          <w:p w14:paraId="4470B86B">
            <w:pPr>
              <w:pStyle w:val="235"/>
              <w:rPr>
                <w:color w:val="auto"/>
              </w:rPr>
            </w:pPr>
            <w:r>
              <w:rPr>
                <w:color w:val="auto"/>
              </w:rPr>
              <w:t>砂类土及细砾土</w:t>
            </w:r>
          </w:p>
        </w:tc>
        <w:tc>
          <w:tcPr>
            <w:tcW w:w="1584" w:type="dxa"/>
            <w:tcBorders>
              <w:right w:val="single" w:color="000000" w:sz="6" w:space="0"/>
            </w:tcBorders>
            <w:vAlign w:val="center"/>
          </w:tcPr>
          <w:p w14:paraId="335FBCBC">
            <w:pPr>
              <w:pStyle w:val="235"/>
              <w:rPr>
                <w:color w:val="auto"/>
              </w:rPr>
            </w:pPr>
            <w:r>
              <w:rPr>
                <w:color w:val="auto"/>
              </w:rPr>
              <w:t>碎石类及粗砾土</w:t>
            </w:r>
          </w:p>
        </w:tc>
        <w:tc>
          <w:tcPr>
            <w:tcW w:w="1584" w:type="dxa"/>
            <w:tcBorders>
              <w:right w:val="single" w:color="000000" w:sz="6" w:space="0"/>
            </w:tcBorders>
            <w:vAlign w:val="center"/>
          </w:tcPr>
          <w:p w14:paraId="7AD8464B">
            <w:pPr>
              <w:pStyle w:val="235"/>
              <w:rPr>
                <w:color w:val="auto"/>
              </w:rPr>
            </w:pPr>
            <w:r>
              <w:rPr>
                <w:color w:val="auto"/>
              </w:rPr>
              <w:t>化学改良土</w:t>
            </w:r>
          </w:p>
        </w:tc>
      </w:tr>
      <w:tr w14:paraId="070FE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3" w:hRule="atLeast"/>
          <w:jc w:val="center"/>
        </w:trPr>
        <w:tc>
          <w:tcPr>
            <w:tcW w:w="1592" w:type="dxa"/>
            <w:tcBorders>
              <w:left w:val="single" w:color="000000" w:sz="6" w:space="0"/>
            </w:tcBorders>
            <w:vAlign w:val="center"/>
          </w:tcPr>
          <w:p w14:paraId="65F886A1">
            <w:pPr>
              <w:pStyle w:val="235"/>
              <w:rPr>
                <w:color w:val="auto"/>
              </w:rPr>
            </w:pPr>
            <w:r>
              <w:rPr>
                <w:color w:val="auto"/>
              </w:rPr>
              <w:t>地基系数K30(MPa/m)</w:t>
            </w:r>
          </w:p>
        </w:tc>
        <w:tc>
          <w:tcPr>
            <w:tcW w:w="1580" w:type="dxa"/>
            <w:vAlign w:val="center"/>
          </w:tcPr>
          <w:p w14:paraId="0A51AE40">
            <w:pPr>
              <w:pStyle w:val="235"/>
              <w:rPr>
                <w:color w:val="auto"/>
              </w:rPr>
            </w:pPr>
            <w:r>
              <w:rPr>
                <w:color w:val="auto"/>
              </w:rPr>
              <w:t>≥110</w:t>
            </w:r>
          </w:p>
        </w:tc>
        <w:tc>
          <w:tcPr>
            <w:tcW w:w="1584" w:type="dxa"/>
            <w:tcBorders>
              <w:right w:val="single" w:color="000000" w:sz="6" w:space="0"/>
            </w:tcBorders>
            <w:vAlign w:val="center"/>
          </w:tcPr>
          <w:p w14:paraId="7A9685F8">
            <w:pPr>
              <w:pStyle w:val="235"/>
              <w:rPr>
                <w:color w:val="auto"/>
              </w:rPr>
            </w:pPr>
            <w:r>
              <w:rPr>
                <w:color w:val="auto"/>
              </w:rPr>
              <w:t>≥130</w:t>
            </w:r>
          </w:p>
        </w:tc>
        <w:tc>
          <w:tcPr>
            <w:tcW w:w="1584" w:type="dxa"/>
            <w:tcBorders>
              <w:right w:val="single" w:color="000000" w:sz="6" w:space="0"/>
            </w:tcBorders>
            <w:vAlign w:val="center"/>
          </w:tcPr>
          <w:p w14:paraId="7B9E6830">
            <w:pPr>
              <w:pStyle w:val="235"/>
              <w:rPr>
                <w:color w:val="auto"/>
              </w:rPr>
            </w:pPr>
            <w:r>
              <w:rPr>
                <w:color w:val="auto"/>
              </w:rPr>
              <w:t>—</w:t>
            </w:r>
          </w:p>
        </w:tc>
      </w:tr>
      <w:tr w14:paraId="0DEF2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1592" w:type="dxa"/>
            <w:tcBorders>
              <w:left w:val="single" w:color="000000" w:sz="6" w:space="0"/>
            </w:tcBorders>
            <w:vAlign w:val="center"/>
          </w:tcPr>
          <w:p w14:paraId="07DAFD81">
            <w:pPr>
              <w:pStyle w:val="235"/>
              <w:rPr>
                <w:color w:val="auto"/>
              </w:rPr>
            </w:pPr>
            <w:r>
              <w:rPr>
                <w:color w:val="auto"/>
              </w:rPr>
              <w:t>压实系数K</w:t>
            </w:r>
          </w:p>
        </w:tc>
        <w:tc>
          <w:tcPr>
            <w:tcW w:w="1580" w:type="dxa"/>
            <w:vAlign w:val="center"/>
          </w:tcPr>
          <w:p w14:paraId="773C003F">
            <w:pPr>
              <w:pStyle w:val="235"/>
              <w:rPr>
                <w:color w:val="auto"/>
              </w:rPr>
            </w:pPr>
            <w:r>
              <w:rPr>
                <w:color w:val="auto"/>
              </w:rPr>
              <w:t>≥0.92</w:t>
            </w:r>
          </w:p>
        </w:tc>
        <w:tc>
          <w:tcPr>
            <w:tcW w:w="1584" w:type="dxa"/>
            <w:tcBorders>
              <w:right w:val="single" w:color="000000" w:sz="6" w:space="0"/>
            </w:tcBorders>
            <w:vAlign w:val="center"/>
          </w:tcPr>
          <w:p w14:paraId="53E26E8A">
            <w:pPr>
              <w:pStyle w:val="235"/>
              <w:rPr>
                <w:color w:val="auto"/>
              </w:rPr>
            </w:pPr>
            <w:r>
              <w:rPr>
                <w:color w:val="auto"/>
              </w:rPr>
              <w:t>≥0.92</w:t>
            </w:r>
          </w:p>
        </w:tc>
        <w:tc>
          <w:tcPr>
            <w:tcW w:w="1584" w:type="dxa"/>
            <w:tcBorders>
              <w:right w:val="single" w:color="000000" w:sz="6" w:space="0"/>
            </w:tcBorders>
            <w:vAlign w:val="center"/>
          </w:tcPr>
          <w:p w14:paraId="30B79580">
            <w:pPr>
              <w:pStyle w:val="235"/>
              <w:rPr>
                <w:color w:val="auto"/>
              </w:rPr>
            </w:pPr>
            <w:r>
              <w:rPr>
                <w:color w:val="auto"/>
              </w:rPr>
              <w:t>≥0.92</w:t>
            </w:r>
          </w:p>
        </w:tc>
      </w:tr>
      <w:tr w14:paraId="59E95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1592" w:type="dxa"/>
            <w:tcBorders>
              <w:left w:val="single" w:color="000000" w:sz="6" w:space="0"/>
            </w:tcBorders>
            <w:vAlign w:val="center"/>
          </w:tcPr>
          <w:p w14:paraId="2A0C2C0C">
            <w:pPr>
              <w:pStyle w:val="235"/>
              <w:rPr>
                <w:color w:val="auto"/>
              </w:rPr>
            </w:pPr>
            <w:r>
              <w:rPr>
                <w:color w:val="auto"/>
              </w:rPr>
              <w:t>7d饱和无侧限抗压强度R7 (kPa)</w:t>
            </w:r>
          </w:p>
        </w:tc>
        <w:tc>
          <w:tcPr>
            <w:tcW w:w="1580" w:type="dxa"/>
            <w:vAlign w:val="center"/>
          </w:tcPr>
          <w:p w14:paraId="30029922">
            <w:pPr>
              <w:pStyle w:val="235"/>
              <w:rPr>
                <w:color w:val="auto"/>
              </w:rPr>
            </w:pPr>
            <w:r>
              <w:rPr>
                <w:color w:val="auto"/>
              </w:rPr>
              <w:t>—</w:t>
            </w:r>
          </w:p>
        </w:tc>
        <w:tc>
          <w:tcPr>
            <w:tcW w:w="1584" w:type="dxa"/>
            <w:tcBorders>
              <w:right w:val="single" w:color="000000" w:sz="6" w:space="0"/>
            </w:tcBorders>
            <w:vAlign w:val="center"/>
          </w:tcPr>
          <w:p w14:paraId="6EB97FD8">
            <w:pPr>
              <w:pStyle w:val="235"/>
              <w:rPr>
                <w:color w:val="auto"/>
              </w:rPr>
            </w:pPr>
            <w:r>
              <w:rPr>
                <w:color w:val="auto"/>
              </w:rPr>
              <w:t>—</w:t>
            </w:r>
          </w:p>
        </w:tc>
        <w:tc>
          <w:tcPr>
            <w:tcW w:w="1584" w:type="dxa"/>
            <w:tcBorders>
              <w:right w:val="single" w:color="000000" w:sz="6" w:space="0"/>
            </w:tcBorders>
            <w:vAlign w:val="center"/>
          </w:tcPr>
          <w:p w14:paraId="5D6A8125">
            <w:pPr>
              <w:pStyle w:val="235"/>
              <w:rPr>
                <w:color w:val="auto"/>
              </w:rPr>
            </w:pPr>
            <w:r>
              <w:rPr>
                <w:color w:val="auto"/>
              </w:rPr>
              <w:t>≥250</w:t>
            </w:r>
          </w:p>
        </w:tc>
      </w:tr>
    </w:tbl>
    <w:p w14:paraId="679773AF">
      <w:pPr>
        <w:ind w:firstLine="422" w:firstLineChars="200"/>
      </w:pPr>
      <w:r>
        <w:rPr>
          <w:b/>
        </w:rPr>
        <w:t>2</w:t>
      </w:r>
      <w:r>
        <w:rPr>
          <w:rFonts w:hint="eastAsia"/>
          <w:b/>
        </w:rPr>
        <w:t xml:space="preserve">  </w:t>
      </w:r>
      <w:r>
        <w:t>高度小于基床厚度的低路堤，基床表层厚度范围应全部换填基床表层填料，并满足表</w:t>
      </w:r>
      <w:r>
        <w:rPr>
          <w:rFonts w:hint="eastAsia"/>
        </w:rPr>
        <w:t>9</w:t>
      </w:r>
      <w:r>
        <w:t>.3.3压实标准的要求。基床底层厚度范围内天然地基的土质及其压实标准按表</w:t>
      </w:r>
      <w:r>
        <w:rPr>
          <w:rFonts w:hint="eastAsia"/>
        </w:rPr>
        <w:t>9</w:t>
      </w:r>
      <w:r>
        <w:t>.3.4要求执行。天然地基土质不满足要求时</w:t>
      </w:r>
      <w:r>
        <w:rPr>
          <w:rFonts w:hint="eastAsia"/>
        </w:rPr>
        <w:t>，</w:t>
      </w:r>
      <w:r>
        <w:t>应采取</w:t>
      </w:r>
      <w:r>
        <w:rPr>
          <w:rFonts w:hint="eastAsia"/>
        </w:rPr>
        <w:t>地基处理措施</w:t>
      </w:r>
      <w:r>
        <w:t>；</w:t>
      </w:r>
    </w:p>
    <w:p w14:paraId="383DF28A">
      <w:pPr>
        <w:ind w:firstLine="422" w:firstLineChars="200"/>
      </w:pPr>
      <w:r>
        <w:rPr>
          <w:rStyle w:val="176"/>
          <w:b/>
        </w:rPr>
        <w:t>3</w:t>
      </w:r>
      <w:r>
        <w:rPr>
          <w:rStyle w:val="176"/>
          <w:rFonts w:hint="eastAsia"/>
          <w:b/>
        </w:rPr>
        <w:t xml:space="preserve"> </w:t>
      </w:r>
      <w:r>
        <w:rPr>
          <w:rFonts w:hint="eastAsia"/>
        </w:rPr>
        <w:t xml:space="preserve"> </w:t>
      </w:r>
      <w:r>
        <w:t>地基表层天然地基的静力触探比贯入阻力P</w:t>
      </w:r>
      <w:r>
        <w:rPr>
          <w:vertAlign w:val="subscript"/>
        </w:rPr>
        <w:t>s</w:t>
      </w:r>
      <w:r>
        <w:t>值不得小于1.2MPa，或满足天然地基基本承载力σ</w:t>
      </w:r>
      <w:r>
        <w:rPr>
          <w:vertAlign w:val="subscript"/>
        </w:rPr>
        <w:t>0</w:t>
      </w:r>
      <w:bookmarkStart w:id="451" w:name="_bookmark55"/>
      <w:bookmarkEnd w:id="451"/>
      <w:bookmarkStart w:id="452" w:name="_bookmark210"/>
      <w:bookmarkEnd w:id="452"/>
      <w:r>
        <w:t>不得小于0.15MPa要求。</w:t>
      </w:r>
    </w:p>
    <w:p w14:paraId="3B8E7C8A">
      <w:pPr>
        <w:pStyle w:val="5"/>
      </w:pPr>
      <w:r>
        <w:rPr>
          <w:rFonts w:hint="eastAsia"/>
          <w:bCs/>
        </w:rPr>
        <w:t>路堤边坡</w:t>
      </w:r>
      <w:r>
        <w:rPr>
          <w:rFonts w:hint="eastAsia"/>
        </w:rPr>
        <w:t>坡脚外一般应设置不小于2m的护道，用地受限、特殊困难地段，可设置不小于1m的护道，且应满足路基稳定、管线布置、排水需要。</w:t>
      </w:r>
    </w:p>
    <w:p w14:paraId="644C7CE4">
      <w:pPr>
        <w:pStyle w:val="5"/>
      </w:pPr>
      <w:r>
        <w:rPr>
          <w:rFonts w:hint="eastAsia"/>
        </w:rPr>
        <w:t>路基边坡最小稳定安全系数应满足下列规定：</w:t>
      </w:r>
    </w:p>
    <w:p w14:paraId="656030F6">
      <w:pPr>
        <w:ind w:firstLine="422" w:firstLineChars="200"/>
        <w:rPr>
          <w:bCs/>
        </w:rPr>
      </w:pPr>
      <w:r>
        <w:rPr>
          <w:rFonts w:hint="eastAsia"/>
          <w:b/>
          <w:bCs/>
        </w:rPr>
        <w:t>1</w:t>
      </w:r>
      <w:r>
        <w:rPr>
          <w:b/>
          <w:bCs/>
        </w:rPr>
        <w:t xml:space="preserve">  </w:t>
      </w:r>
      <w:r>
        <w:rPr>
          <w:rFonts w:hint="eastAsia"/>
          <w:bCs/>
        </w:rPr>
        <w:t>永久边坡，一般工况边坡最小稳定安全系数应为1</w:t>
      </w:r>
      <w:r>
        <w:rPr>
          <w:bCs/>
        </w:rPr>
        <w:t>.15~1.25</w:t>
      </w:r>
      <w:r>
        <w:rPr>
          <w:rFonts w:hint="eastAsia"/>
          <w:bCs/>
        </w:rPr>
        <w:t>；地震工况边坡最小稳定安全系数应为1</w:t>
      </w:r>
      <w:r>
        <w:rPr>
          <w:bCs/>
        </w:rPr>
        <w:t>.10~1.15.</w:t>
      </w:r>
    </w:p>
    <w:p w14:paraId="36432A0E">
      <w:pPr>
        <w:ind w:firstLine="422" w:firstLineChars="200"/>
        <w:rPr>
          <w:bCs/>
        </w:rPr>
      </w:pPr>
      <w:r>
        <w:rPr>
          <w:b/>
          <w:bCs/>
        </w:rPr>
        <w:t>2</w:t>
      </w:r>
      <w:r>
        <w:rPr>
          <w:bCs/>
        </w:rPr>
        <w:t xml:space="preserve">  </w:t>
      </w:r>
      <w:r>
        <w:rPr>
          <w:rFonts w:hint="eastAsia"/>
          <w:bCs/>
        </w:rPr>
        <w:t>临时边坡，边坡稳定安全系数应为1</w:t>
      </w:r>
      <w:r>
        <w:rPr>
          <w:bCs/>
        </w:rPr>
        <w:t>.05~1.10.</w:t>
      </w:r>
    </w:p>
    <w:p w14:paraId="49B12903">
      <w:pPr>
        <w:pStyle w:val="5"/>
      </w:pPr>
      <w:r>
        <w:t>路堤边坡坡率及高度</w:t>
      </w:r>
      <w:r>
        <w:rPr>
          <w:rFonts w:hint="eastAsia"/>
        </w:rPr>
        <w:t>应符合现行</w:t>
      </w:r>
      <w:r>
        <w:t>行业标准《铁路路基设计规范》TB10001的规定。</w:t>
      </w:r>
    </w:p>
    <w:p w14:paraId="2C7F2E55">
      <w:pPr>
        <w:pStyle w:val="4"/>
      </w:pPr>
      <w:bookmarkStart w:id="453" w:name="_Toc183683500"/>
      <w:bookmarkStart w:id="454" w:name="_Toc168061208"/>
      <w:bookmarkStart w:id="455" w:name="_Toc183790518"/>
      <w:bookmarkStart w:id="456" w:name="_Toc174462007"/>
      <w:bookmarkStart w:id="457" w:name="_Toc183882079"/>
      <w:bookmarkStart w:id="458" w:name="_Toc168061655"/>
      <w:bookmarkStart w:id="459" w:name="_Toc183888493"/>
      <w:bookmarkStart w:id="460" w:name="_Toc183882441"/>
      <w:bookmarkStart w:id="461" w:name="_Toc3044"/>
      <w:bookmarkStart w:id="462" w:name="_Toc183765088"/>
      <w:bookmarkStart w:id="463" w:name="_Toc168059399"/>
      <w:bookmarkStart w:id="464" w:name="_Toc183888131"/>
      <w:r>
        <w:t>路堑</w:t>
      </w:r>
      <w:bookmarkEnd w:id="453"/>
      <w:bookmarkEnd w:id="454"/>
      <w:bookmarkEnd w:id="455"/>
      <w:bookmarkEnd w:id="456"/>
      <w:bookmarkEnd w:id="457"/>
      <w:bookmarkEnd w:id="458"/>
      <w:bookmarkEnd w:id="459"/>
      <w:bookmarkEnd w:id="460"/>
      <w:bookmarkEnd w:id="461"/>
      <w:bookmarkEnd w:id="462"/>
      <w:bookmarkEnd w:id="463"/>
      <w:bookmarkEnd w:id="464"/>
    </w:p>
    <w:p w14:paraId="26214F58">
      <w:pPr>
        <w:numPr>
          <w:ilvl w:val="2"/>
          <w:numId w:val="1"/>
        </w:numPr>
        <w:tabs>
          <w:tab w:val="left" w:pos="709"/>
          <w:tab w:val="left" w:pos="794"/>
        </w:tabs>
        <w:jc w:val="left"/>
        <w:outlineLvl w:val="2"/>
        <w:rPr>
          <w:bCs/>
        </w:rPr>
      </w:pPr>
      <w:r>
        <w:rPr>
          <w:rFonts w:hint="eastAsia"/>
          <w:bCs/>
        </w:rPr>
        <w:t>路堑边坡</w:t>
      </w:r>
      <w:r>
        <w:rPr>
          <w:rFonts w:hint="eastAsia"/>
          <w:szCs w:val="18"/>
        </w:rPr>
        <w:t>高度不宜超过20m。超过20m时，应与隧道或明洞方案进行技术经济比选。</w:t>
      </w:r>
    </w:p>
    <w:p w14:paraId="66ED9BFD">
      <w:pPr>
        <w:pStyle w:val="5"/>
      </w:pPr>
      <w:r>
        <w:t>不良地质、软土地质及受地下水</w:t>
      </w:r>
      <w:r>
        <w:rPr>
          <w:rFonts w:hint="eastAsia"/>
        </w:rPr>
        <w:t>、地表水</w:t>
      </w:r>
      <w:r>
        <w:t>影响的地段，应避免采用路堑方式。</w:t>
      </w:r>
    </w:p>
    <w:p w14:paraId="44861B84">
      <w:pPr>
        <w:pStyle w:val="5"/>
      </w:pPr>
      <w:r>
        <w:t>有砟轨道路堑地基表层天然地基的静力触探比贯入阻力P</w:t>
      </w:r>
      <w:r>
        <w:rPr>
          <w:vertAlign w:val="subscript"/>
        </w:rPr>
        <w:t>s</w:t>
      </w:r>
      <w:r>
        <w:t>值不得小于1.0MPa，或天然地基基本承载力σ</w:t>
      </w:r>
      <w:r>
        <w:rPr>
          <w:vertAlign w:val="subscript"/>
        </w:rPr>
        <w:t>0</w:t>
      </w:r>
      <w:r>
        <w:t>不小于0.12MPa。</w:t>
      </w:r>
    </w:p>
    <w:p w14:paraId="67DA724A">
      <w:pPr>
        <w:pStyle w:val="5"/>
      </w:pPr>
      <w:r>
        <w:t>无砟轨道路堑地基表层天然地基的静力触探比贯入阻力Ps值不得小于1.2MPa，或天然地基基本承载力σ</w:t>
      </w:r>
      <w:r>
        <w:rPr>
          <w:vertAlign w:val="subscript"/>
        </w:rPr>
        <w:t>0</w:t>
      </w:r>
      <w:r>
        <w:t>不小于0.15MPa。</w:t>
      </w:r>
    </w:p>
    <w:p w14:paraId="425F6AD5">
      <w:pPr>
        <w:pStyle w:val="5"/>
      </w:pPr>
      <w:r>
        <w:t>路堑基床厚度范围内的土质不满足本规范</w:t>
      </w:r>
      <w:r>
        <w:rPr>
          <w:rFonts w:hint="eastAsia"/>
        </w:rPr>
        <w:t>9</w:t>
      </w:r>
      <w:r>
        <w:t>.3.1条及表</w:t>
      </w:r>
      <w:r>
        <w:rPr>
          <w:rFonts w:hint="eastAsia"/>
        </w:rPr>
        <w:t>9</w:t>
      </w:r>
      <w:r>
        <w:t>.3.3、表</w:t>
      </w:r>
      <w:r>
        <w:rPr>
          <w:rFonts w:hint="eastAsia"/>
        </w:rPr>
        <w:t>9</w:t>
      </w:r>
      <w:r>
        <w:t>.3.4要求时，应换填或土质改良。</w:t>
      </w:r>
    </w:p>
    <w:p w14:paraId="61924112">
      <w:pPr>
        <w:pStyle w:val="5"/>
      </w:pPr>
      <w:r>
        <w:rPr>
          <w:rFonts w:hint="eastAsia"/>
        </w:rPr>
        <w:t>路堑边坡形式及坡率应根据工程地质、水文地质和气象条件、边坡高度、防排水措施、施工方法等，结合自然稳定山坡和人工边坡的调查及力学分析综合确定。边坡坡率及高度的要求参照</w:t>
      </w:r>
      <w:r>
        <w:t>行业标准《铁路路基设计规范》TB10001的有关规定执行</w:t>
      </w:r>
      <w:r>
        <w:rPr>
          <w:rFonts w:hint="eastAsia"/>
        </w:rPr>
        <w:t>。</w:t>
      </w:r>
    </w:p>
    <w:p w14:paraId="42D74B9F">
      <w:pPr>
        <w:pStyle w:val="5"/>
      </w:pPr>
      <w:r>
        <w:rPr>
          <w:rFonts w:hint="eastAsia"/>
        </w:rPr>
        <w:t>路堑边坡最小稳定安全系数应符合本规范第9</w:t>
      </w:r>
      <w:r>
        <w:t>.4.4</w:t>
      </w:r>
      <w:r>
        <w:rPr>
          <w:rFonts w:hint="eastAsia"/>
        </w:rPr>
        <w:t>条的规定。</w:t>
      </w:r>
    </w:p>
    <w:p w14:paraId="587CE4CF">
      <w:pPr>
        <w:pStyle w:val="4"/>
      </w:pPr>
      <w:bookmarkStart w:id="465" w:name="_Toc174462008"/>
      <w:bookmarkStart w:id="466" w:name="_Toc183882442"/>
      <w:bookmarkStart w:id="467" w:name="_Toc183888494"/>
      <w:bookmarkStart w:id="468" w:name="_Toc183765089"/>
      <w:bookmarkStart w:id="469" w:name="_Toc168061656"/>
      <w:bookmarkStart w:id="470" w:name="_Toc168061209"/>
      <w:bookmarkStart w:id="471" w:name="_Toc183888132"/>
      <w:bookmarkStart w:id="472" w:name="_Toc183683501"/>
      <w:bookmarkStart w:id="473" w:name="_Toc168059400"/>
      <w:bookmarkStart w:id="474" w:name="_Toc183790519"/>
      <w:bookmarkStart w:id="475" w:name="_Toc10132"/>
      <w:bookmarkStart w:id="476" w:name="_Toc183882080"/>
      <w:r>
        <w:t>工后沉降</w:t>
      </w:r>
      <w:bookmarkEnd w:id="465"/>
      <w:bookmarkEnd w:id="466"/>
      <w:bookmarkEnd w:id="467"/>
      <w:bookmarkEnd w:id="468"/>
      <w:bookmarkEnd w:id="469"/>
      <w:bookmarkEnd w:id="470"/>
      <w:bookmarkEnd w:id="471"/>
      <w:bookmarkEnd w:id="472"/>
      <w:bookmarkEnd w:id="473"/>
      <w:bookmarkEnd w:id="474"/>
      <w:bookmarkEnd w:id="475"/>
      <w:bookmarkEnd w:id="476"/>
    </w:p>
    <w:p w14:paraId="4A62AF11">
      <w:pPr>
        <w:pStyle w:val="5"/>
      </w:pPr>
      <w:r>
        <w:t>区间正线有砟轨道路基工后沉降量应满足轨道要求，一般应不大于200mm，路桥过渡段不应大于100mm，沉降速率均不应大于50mm/年。</w:t>
      </w:r>
    </w:p>
    <w:p w14:paraId="46E2FF29">
      <w:pPr>
        <w:pStyle w:val="5"/>
      </w:pPr>
      <w:r>
        <w:rPr>
          <w:rFonts w:hint="eastAsia"/>
        </w:rPr>
        <w:t>区间</w:t>
      </w:r>
      <w:r>
        <w:rPr>
          <w:rFonts w:hint="eastAsia"/>
          <w:szCs w:val="18"/>
        </w:rPr>
        <w:t>正线无砟轨道路基工后沉降量应满足轨道要求，一般应不大于20mm，均匀沉降且调整轨面高程后的竖曲线半径满足舒适度要求时，工后沉降可为30mm。路桥过渡段两侧工后不均匀沉降造成的折角不应大于1‰。</w:t>
      </w:r>
    </w:p>
    <w:p w14:paraId="0D639586">
      <w:pPr>
        <w:pStyle w:val="5"/>
      </w:pPr>
      <w:r>
        <w:rPr>
          <w:rFonts w:hint="eastAsia"/>
          <w:szCs w:val="18"/>
        </w:rPr>
        <w:t>区间正线路桥或路隧交界处的差异沉降不应大于5mm，过渡段沉降造成的路基与桥、隧的折角不应大于1‰。</w:t>
      </w:r>
    </w:p>
    <w:p w14:paraId="406BF00D">
      <w:pPr>
        <w:pStyle w:val="5"/>
      </w:pPr>
      <w:bookmarkStart w:id="477" w:name="_Toc174462009"/>
      <w:bookmarkStart w:id="478" w:name="_Toc168059401"/>
      <w:bookmarkStart w:id="479" w:name="_Toc168061210"/>
      <w:bookmarkStart w:id="480" w:name="_Toc168061657"/>
      <w:r>
        <w:rPr>
          <w:rFonts w:hint="eastAsia"/>
          <w:szCs w:val="18"/>
        </w:rPr>
        <w:t>地铁车辆基地</w:t>
      </w:r>
      <w:r>
        <w:rPr>
          <w:rFonts w:hint="eastAsia"/>
        </w:rPr>
        <w:t>路基工后沉降设计要求应符合表9.6.4的规定。</w:t>
      </w:r>
    </w:p>
    <w:p w14:paraId="07E4E94F">
      <w:pPr>
        <w:pStyle w:val="198"/>
      </w:pPr>
    </w:p>
    <w:p w14:paraId="73D73338">
      <w:pPr>
        <w:pStyle w:val="198"/>
      </w:pPr>
    </w:p>
    <w:p w14:paraId="21D4DC0A">
      <w:pPr>
        <w:pStyle w:val="198"/>
      </w:pPr>
      <w:r>
        <w:t>表</w:t>
      </w:r>
      <w:r>
        <w:rPr>
          <w:rFonts w:hint="eastAsia"/>
        </w:rPr>
        <w:t>9</w:t>
      </w:r>
      <w:r>
        <w:t xml:space="preserve">.6.4 </w:t>
      </w:r>
      <w:r>
        <w:rPr>
          <w:rFonts w:hint="eastAsia"/>
        </w:rPr>
        <w:t xml:space="preserve"> </w:t>
      </w:r>
      <w:r>
        <w:t>车辆基地路基工后沉降设计要求</w:t>
      </w:r>
    </w:p>
    <w:tbl>
      <w:tblPr>
        <w:tblStyle w:val="88"/>
        <w:tblW w:w="634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67"/>
        <w:gridCol w:w="1564"/>
        <w:gridCol w:w="1149"/>
        <w:gridCol w:w="1694"/>
        <w:gridCol w:w="642"/>
        <w:gridCol w:w="524"/>
      </w:tblGrid>
      <w:tr w14:paraId="62AC8F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4" w:hRule="atLeast"/>
          <w:tblHeader/>
          <w:jc w:val="center"/>
        </w:trPr>
        <w:tc>
          <w:tcPr>
            <w:tcW w:w="767" w:type="dxa"/>
            <w:vAlign w:val="center"/>
          </w:tcPr>
          <w:p w14:paraId="7E0A264C">
            <w:pPr>
              <w:pStyle w:val="235"/>
              <w:rPr>
                <w:color w:val="auto"/>
              </w:rPr>
            </w:pPr>
            <w:r>
              <w:rPr>
                <w:color w:val="auto"/>
              </w:rPr>
              <w:t>分区</w:t>
            </w:r>
          </w:p>
        </w:tc>
        <w:tc>
          <w:tcPr>
            <w:tcW w:w="1564" w:type="dxa"/>
            <w:vAlign w:val="center"/>
          </w:tcPr>
          <w:p w14:paraId="666C3A6D">
            <w:pPr>
              <w:pStyle w:val="235"/>
              <w:rPr>
                <w:color w:val="auto"/>
              </w:rPr>
            </w:pPr>
            <w:r>
              <w:rPr>
                <w:color w:val="auto"/>
              </w:rPr>
              <w:t>分类</w:t>
            </w:r>
          </w:p>
        </w:tc>
        <w:tc>
          <w:tcPr>
            <w:tcW w:w="1149" w:type="dxa"/>
            <w:vAlign w:val="center"/>
          </w:tcPr>
          <w:p w14:paraId="610A5B83">
            <w:pPr>
              <w:pStyle w:val="235"/>
              <w:rPr>
                <w:color w:val="auto"/>
              </w:rPr>
            </w:pPr>
            <w:r>
              <w:rPr>
                <w:color w:val="auto"/>
              </w:rPr>
              <w:t>一般地段工后沉降(mm）</w:t>
            </w:r>
          </w:p>
        </w:tc>
        <w:tc>
          <w:tcPr>
            <w:tcW w:w="1694" w:type="dxa"/>
            <w:vAlign w:val="center"/>
          </w:tcPr>
          <w:p w14:paraId="65658A5A">
            <w:pPr>
              <w:pStyle w:val="235"/>
              <w:rPr>
                <w:color w:val="auto"/>
              </w:rPr>
            </w:pPr>
            <w:r>
              <w:rPr>
                <w:color w:val="auto"/>
              </w:rPr>
              <w:t>与结构物过渡段工后沉降（差异沉降）(mm）</w:t>
            </w:r>
          </w:p>
        </w:tc>
        <w:tc>
          <w:tcPr>
            <w:tcW w:w="642" w:type="dxa"/>
            <w:vAlign w:val="center"/>
          </w:tcPr>
          <w:p w14:paraId="03798FC4">
            <w:pPr>
              <w:pStyle w:val="235"/>
              <w:rPr>
                <w:color w:val="auto"/>
              </w:rPr>
            </w:pPr>
            <w:r>
              <w:rPr>
                <w:color w:val="auto"/>
              </w:rPr>
              <w:t>沉降速率（mm/年）</w:t>
            </w:r>
          </w:p>
        </w:tc>
        <w:tc>
          <w:tcPr>
            <w:tcW w:w="524" w:type="dxa"/>
            <w:vAlign w:val="center"/>
          </w:tcPr>
          <w:p w14:paraId="698D0959">
            <w:pPr>
              <w:pStyle w:val="235"/>
              <w:rPr>
                <w:color w:val="auto"/>
              </w:rPr>
            </w:pPr>
            <w:r>
              <w:rPr>
                <w:color w:val="auto"/>
              </w:rPr>
              <w:t>不均匀沉降折角</w:t>
            </w:r>
          </w:p>
        </w:tc>
      </w:tr>
      <w:tr w14:paraId="01CC22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767" w:type="dxa"/>
            <w:vMerge w:val="restart"/>
            <w:vAlign w:val="center"/>
          </w:tcPr>
          <w:p w14:paraId="110BBD23">
            <w:pPr>
              <w:pStyle w:val="235"/>
              <w:rPr>
                <w:color w:val="auto"/>
              </w:rPr>
            </w:pPr>
            <w:r>
              <w:rPr>
                <w:color w:val="auto"/>
              </w:rPr>
              <w:t>有砟轨道区</w:t>
            </w:r>
          </w:p>
        </w:tc>
        <w:tc>
          <w:tcPr>
            <w:tcW w:w="1564" w:type="dxa"/>
            <w:vAlign w:val="center"/>
          </w:tcPr>
          <w:p w14:paraId="0A63A1F0">
            <w:pPr>
              <w:pStyle w:val="235"/>
              <w:rPr>
                <w:color w:val="auto"/>
              </w:rPr>
            </w:pPr>
            <w:r>
              <w:rPr>
                <w:color w:val="auto"/>
              </w:rPr>
              <w:t>试车线有砟轨道区</w:t>
            </w:r>
          </w:p>
        </w:tc>
        <w:tc>
          <w:tcPr>
            <w:tcW w:w="1149" w:type="dxa"/>
            <w:vAlign w:val="center"/>
          </w:tcPr>
          <w:p w14:paraId="2B482CD6">
            <w:pPr>
              <w:pStyle w:val="235"/>
              <w:rPr>
                <w:color w:val="auto"/>
              </w:rPr>
            </w:pPr>
            <w:r>
              <w:rPr>
                <w:color w:val="auto"/>
              </w:rPr>
              <w:t>≤200</w:t>
            </w:r>
          </w:p>
        </w:tc>
        <w:tc>
          <w:tcPr>
            <w:tcW w:w="1694" w:type="dxa"/>
            <w:vAlign w:val="center"/>
          </w:tcPr>
          <w:p w14:paraId="0AECCD82">
            <w:pPr>
              <w:pStyle w:val="235"/>
              <w:rPr>
                <w:color w:val="auto"/>
              </w:rPr>
            </w:pPr>
            <w:r>
              <w:rPr>
                <w:color w:val="auto"/>
              </w:rPr>
              <w:t>≤100</w:t>
            </w:r>
          </w:p>
        </w:tc>
        <w:tc>
          <w:tcPr>
            <w:tcW w:w="642" w:type="dxa"/>
            <w:vAlign w:val="center"/>
          </w:tcPr>
          <w:p w14:paraId="3994BDCF">
            <w:pPr>
              <w:pStyle w:val="235"/>
              <w:rPr>
                <w:color w:val="auto"/>
              </w:rPr>
            </w:pPr>
            <w:r>
              <w:rPr>
                <w:color w:val="auto"/>
              </w:rPr>
              <w:t>≤50</w:t>
            </w:r>
          </w:p>
        </w:tc>
        <w:tc>
          <w:tcPr>
            <w:tcW w:w="524" w:type="dxa"/>
            <w:vAlign w:val="center"/>
          </w:tcPr>
          <w:p w14:paraId="1A426FEA">
            <w:pPr>
              <w:pStyle w:val="235"/>
              <w:rPr>
                <w:color w:val="auto"/>
              </w:rPr>
            </w:pPr>
          </w:p>
        </w:tc>
      </w:tr>
      <w:tr w14:paraId="527747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767" w:type="dxa"/>
            <w:vMerge w:val="continue"/>
            <w:vAlign w:val="center"/>
          </w:tcPr>
          <w:p w14:paraId="0F658DEF">
            <w:pPr>
              <w:pStyle w:val="235"/>
              <w:rPr>
                <w:color w:val="auto"/>
              </w:rPr>
            </w:pPr>
          </w:p>
        </w:tc>
        <w:tc>
          <w:tcPr>
            <w:tcW w:w="1564" w:type="dxa"/>
            <w:vAlign w:val="center"/>
          </w:tcPr>
          <w:p w14:paraId="4602D282">
            <w:pPr>
              <w:pStyle w:val="235"/>
              <w:rPr>
                <w:color w:val="auto"/>
              </w:rPr>
            </w:pPr>
            <w:r>
              <w:rPr>
                <w:color w:val="auto"/>
              </w:rPr>
              <w:t>库外有砟轨道区</w:t>
            </w:r>
          </w:p>
        </w:tc>
        <w:tc>
          <w:tcPr>
            <w:tcW w:w="1149" w:type="dxa"/>
            <w:vAlign w:val="center"/>
          </w:tcPr>
          <w:p w14:paraId="7552970C">
            <w:pPr>
              <w:pStyle w:val="235"/>
              <w:rPr>
                <w:color w:val="auto"/>
              </w:rPr>
            </w:pPr>
            <w:r>
              <w:rPr>
                <w:color w:val="auto"/>
              </w:rPr>
              <w:t>≤300</w:t>
            </w:r>
          </w:p>
        </w:tc>
        <w:tc>
          <w:tcPr>
            <w:tcW w:w="1694" w:type="dxa"/>
            <w:vAlign w:val="center"/>
          </w:tcPr>
          <w:p w14:paraId="7C798EAF">
            <w:pPr>
              <w:pStyle w:val="235"/>
              <w:rPr>
                <w:color w:val="auto"/>
              </w:rPr>
            </w:pPr>
            <w:r>
              <w:rPr>
                <w:color w:val="auto"/>
              </w:rPr>
              <w:t>≤100</w:t>
            </w:r>
          </w:p>
        </w:tc>
        <w:tc>
          <w:tcPr>
            <w:tcW w:w="642" w:type="dxa"/>
            <w:vAlign w:val="center"/>
          </w:tcPr>
          <w:p w14:paraId="5E63BBFE">
            <w:pPr>
              <w:pStyle w:val="235"/>
              <w:rPr>
                <w:color w:val="auto"/>
              </w:rPr>
            </w:pPr>
            <w:r>
              <w:rPr>
                <w:color w:val="auto"/>
              </w:rPr>
              <w:t>≤50</w:t>
            </w:r>
          </w:p>
        </w:tc>
        <w:tc>
          <w:tcPr>
            <w:tcW w:w="524" w:type="dxa"/>
            <w:vAlign w:val="center"/>
          </w:tcPr>
          <w:p w14:paraId="332FF92F">
            <w:pPr>
              <w:pStyle w:val="235"/>
              <w:rPr>
                <w:color w:val="auto"/>
              </w:rPr>
            </w:pPr>
            <w:r>
              <w:rPr>
                <w:color w:val="auto"/>
              </w:rPr>
              <w:t>—</w:t>
            </w:r>
          </w:p>
        </w:tc>
      </w:tr>
      <w:tr w14:paraId="37B7F9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5" w:hRule="atLeast"/>
          <w:jc w:val="center"/>
        </w:trPr>
        <w:tc>
          <w:tcPr>
            <w:tcW w:w="767" w:type="dxa"/>
            <w:vMerge w:val="continue"/>
            <w:vAlign w:val="center"/>
          </w:tcPr>
          <w:p w14:paraId="450C76D9">
            <w:pPr>
              <w:pStyle w:val="235"/>
              <w:rPr>
                <w:color w:val="auto"/>
              </w:rPr>
            </w:pPr>
          </w:p>
        </w:tc>
        <w:tc>
          <w:tcPr>
            <w:tcW w:w="1564" w:type="dxa"/>
            <w:vAlign w:val="center"/>
          </w:tcPr>
          <w:p w14:paraId="0A3837F4">
            <w:pPr>
              <w:pStyle w:val="235"/>
              <w:rPr>
                <w:color w:val="auto"/>
              </w:rPr>
            </w:pPr>
            <w:r>
              <w:rPr>
                <w:color w:val="auto"/>
              </w:rPr>
              <w:t>库内有砟轨道区</w:t>
            </w:r>
          </w:p>
        </w:tc>
        <w:tc>
          <w:tcPr>
            <w:tcW w:w="1149" w:type="dxa"/>
            <w:vAlign w:val="center"/>
          </w:tcPr>
          <w:p w14:paraId="29C74C4E">
            <w:pPr>
              <w:pStyle w:val="235"/>
              <w:rPr>
                <w:color w:val="auto"/>
              </w:rPr>
            </w:pPr>
            <w:r>
              <w:rPr>
                <w:color w:val="auto"/>
              </w:rPr>
              <w:t>≤200</w:t>
            </w:r>
          </w:p>
        </w:tc>
        <w:tc>
          <w:tcPr>
            <w:tcW w:w="1694" w:type="dxa"/>
            <w:vAlign w:val="center"/>
          </w:tcPr>
          <w:p w14:paraId="5DC71CCF">
            <w:pPr>
              <w:pStyle w:val="235"/>
              <w:rPr>
                <w:color w:val="auto"/>
              </w:rPr>
            </w:pPr>
            <w:r>
              <w:rPr>
                <w:color w:val="auto"/>
              </w:rPr>
              <w:t>≤100</w:t>
            </w:r>
          </w:p>
        </w:tc>
        <w:tc>
          <w:tcPr>
            <w:tcW w:w="642" w:type="dxa"/>
            <w:vAlign w:val="center"/>
          </w:tcPr>
          <w:p w14:paraId="3AA90E30">
            <w:pPr>
              <w:pStyle w:val="235"/>
              <w:rPr>
                <w:color w:val="auto"/>
              </w:rPr>
            </w:pPr>
            <w:r>
              <w:rPr>
                <w:color w:val="auto"/>
              </w:rPr>
              <w:t>≤50</w:t>
            </w:r>
          </w:p>
        </w:tc>
        <w:tc>
          <w:tcPr>
            <w:tcW w:w="524" w:type="dxa"/>
            <w:vAlign w:val="center"/>
          </w:tcPr>
          <w:p w14:paraId="02920AE1">
            <w:pPr>
              <w:pStyle w:val="235"/>
              <w:rPr>
                <w:color w:val="auto"/>
              </w:rPr>
            </w:pPr>
          </w:p>
        </w:tc>
      </w:tr>
      <w:tr w14:paraId="6422C1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6" w:hRule="atLeast"/>
          <w:jc w:val="center"/>
        </w:trPr>
        <w:tc>
          <w:tcPr>
            <w:tcW w:w="767" w:type="dxa"/>
            <w:vAlign w:val="center"/>
          </w:tcPr>
          <w:p w14:paraId="27DD6B51">
            <w:pPr>
              <w:pStyle w:val="235"/>
              <w:rPr>
                <w:color w:val="auto"/>
              </w:rPr>
            </w:pPr>
            <w:r>
              <w:rPr>
                <w:color w:val="auto"/>
              </w:rPr>
              <w:t>无砟轨道区</w:t>
            </w:r>
          </w:p>
        </w:tc>
        <w:tc>
          <w:tcPr>
            <w:tcW w:w="1564" w:type="dxa"/>
            <w:vAlign w:val="center"/>
          </w:tcPr>
          <w:p w14:paraId="746AC45C">
            <w:pPr>
              <w:pStyle w:val="235"/>
              <w:rPr>
                <w:color w:val="auto"/>
              </w:rPr>
            </w:pPr>
            <w:r>
              <w:rPr>
                <w:color w:val="auto"/>
              </w:rPr>
              <w:t>库内无砟轨道区</w:t>
            </w:r>
          </w:p>
        </w:tc>
        <w:tc>
          <w:tcPr>
            <w:tcW w:w="1149" w:type="dxa"/>
            <w:vAlign w:val="center"/>
          </w:tcPr>
          <w:p w14:paraId="3EFBF7A1">
            <w:pPr>
              <w:pStyle w:val="235"/>
              <w:rPr>
                <w:color w:val="auto"/>
              </w:rPr>
            </w:pPr>
            <w:r>
              <w:rPr>
                <w:color w:val="auto"/>
              </w:rPr>
              <w:t>≤30</w:t>
            </w:r>
          </w:p>
        </w:tc>
        <w:tc>
          <w:tcPr>
            <w:tcW w:w="1694" w:type="dxa"/>
            <w:vAlign w:val="center"/>
          </w:tcPr>
          <w:p w14:paraId="6357BF37">
            <w:pPr>
              <w:pStyle w:val="235"/>
              <w:rPr>
                <w:color w:val="auto"/>
              </w:rPr>
            </w:pPr>
            <w:r>
              <w:rPr>
                <w:color w:val="auto"/>
              </w:rPr>
              <w:t>≤10</w:t>
            </w:r>
          </w:p>
        </w:tc>
        <w:tc>
          <w:tcPr>
            <w:tcW w:w="642" w:type="dxa"/>
            <w:vAlign w:val="center"/>
          </w:tcPr>
          <w:p w14:paraId="384F981E">
            <w:pPr>
              <w:pStyle w:val="235"/>
              <w:rPr>
                <w:color w:val="auto"/>
              </w:rPr>
            </w:pPr>
            <w:r>
              <w:rPr>
                <w:color w:val="auto"/>
              </w:rPr>
              <w:t>-</w:t>
            </w:r>
          </w:p>
        </w:tc>
        <w:tc>
          <w:tcPr>
            <w:tcW w:w="524" w:type="dxa"/>
            <w:vAlign w:val="center"/>
          </w:tcPr>
          <w:p w14:paraId="608B8965">
            <w:pPr>
              <w:pStyle w:val="235"/>
              <w:rPr>
                <w:color w:val="auto"/>
              </w:rPr>
            </w:pPr>
            <w:r>
              <w:rPr>
                <w:color w:val="auto"/>
              </w:rPr>
              <w:t>≤1‰</w:t>
            </w:r>
          </w:p>
        </w:tc>
      </w:tr>
      <w:tr w14:paraId="632C23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jc w:val="center"/>
        </w:trPr>
        <w:tc>
          <w:tcPr>
            <w:tcW w:w="767" w:type="dxa"/>
            <w:vMerge w:val="restart"/>
            <w:vAlign w:val="center"/>
          </w:tcPr>
          <w:p w14:paraId="245330FC">
            <w:pPr>
              <w:pStyle w:val="235"/>
              <w:rPr>
                <w:color w:val="auto"/>
              </w:rPr>
            </w:pPr>
            <w:r>
              <w:rPr>
                <w:color w:val="auto"/>
              </w:rPr>
              <w:t>建筑结构区</w:t>
            </w:r>
          </w:p>
        </w:tc>
        <w:tc>
          <w:tcPr>
            <w:tcW w:w="1564" w:type="dxa"/>
            <w:vAlign w:val="center"/>
          </w:tcPr>
          <w:p w14:paraId="268B036C">
            <w:pPr>
              <w:pStyle w:val="235"/>
              <w:rPr>
                <w:color w:val="auto"/>
              </w:rPr>
            </w:pPr>
            <w:r>
              <w:rPr>
                <w:color w:val="auto"/>
              </w:rPr>
              <w:t>上盖开发区（轨道区外）</w:t>
            </w:r>
          </w:p>
        </w:tc>
        <w:tc>
          <w:tcPr>
            <w:tcW w:w="4009" w:type="dxa"/>
            <w:gridSpan w:val="4"/>
            <w:vAlign w:val="center"/>
          </w:tcPr>
          <w:p w14:paraId="3E0F11D6">
            <w:pPr>
              <w:pStyle w:val="235"/>
              <w:rPr>
                <w:color w:val="auto"/>
              </w:rPr>
            </w:pPr>
            <w:r>
              <w:rPr>
                <w:color w:val="auto"/>
              </w:rPr>
              <w:t>按《建筑地基基础设计规范》GB 50007表5.3.4执行，且工后沉降≤200mm</w:t>
            </w:r>
          </w:p>
        </w:tc>
      </w:tr>
      <w:tr w14:paraId="17466A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6" w:hRule="atLeast"/>
          <w:jc w:val="center"/>
        </w:trPr>
        <w:tc>
          <w:tcPr>
            <w:tcW w:w="767" w:type="dxa"/>
            <w:vMerge w:val="continue"/>
            <w:vAlign w:val="center"/>
          </w:tcPr>
          <w:p w14:paraId="2F4D2B91">
            <w:pPr>
              <w:pStyle w:val="235"/>
              <w:rPr>
                <w:color w:val="auto"/>
              </w:rPr>
            </w:pPr>
          </w:p>
        </w:tc>
        <w:tc>
          <w:tcPr>
            <w:tcW w:w="1564" w:type="dxa"/>
            <w:vAlign w:val="center"/>
          </w:tcPr>
          <w:p w14:paraId="3E8D2D72">
            <w:pPr>
              <w:pStyle w:val="235"/>
              <w:rPr>
                <w:color w:val="auto"/>
              </w:rPr>
            </w:pPr>
            <w:r>
              <w:rPr>
                <w:color w:val="auto"/>
              </w:rPr>
              <w:t>室内地坪区</w:t>
            </w:r>
          </w:p>
        </w:tc>
        <w:tc>
          <w:tcPr>
            <w:tcW w:w="1149" w:type="dxa"/>
            <w:vAlign w:val="center"/>
          </w:tcPr>
          <w:p w14:paraId="49154B1A">
            <w:pPr>
              <w:pStyle w:val="235"/>
              <w:rPr>
                <w:color w:val="auto"/>
              </w:rPr>
            </w:pPr>
            <w:r>
              <w:rPr>
                <w:color w:val="auto"/>
              </w:rPr>
              <w:t>≤70</w:t>
            </w:r>
          </w:p>
        </w:tc>
        <w:tc>
          <w:tcPr>
            <w:tcW w:w="1694" w:type="dxa"/>
            <w:vAlign w:val="center"/>
          </w:tcPr>
          <w:p w14:paraId="50EEF25F">
            <w:pPr>
              <w:pStyle w:val="235"/>
              <w:rPr>
                <w:color w:val="auto"/>
              </w:rPr>
            </w:pPr>
            <w:r>
              <w:rPr>
                <w:color w:val="auto"/>
              </w:rPr>
              <w:t>-</w:t>
            </w:r>
          </w:p>
        </w:tc>
        <w:tc>
          <w:tcPr>
            <w:tcW w:w="642" w:type="dxa"/>
            <w:vAlign w:val="center"/>
          </w:tcPr>
          <w:p w14:paraId="79D4FCC0">
            <w:pPr>
              <w:pStyle w:val="235"/>
              <w:rPr>
                <w:color w:val="auto"/>
              </w:rPr>
            </w:pPr>
            <w:r>
              <w:rPr>
                <w:color w:val="auto"/>
              </w:rPr>
              <w:t>-</w:t>
            </w:r>
          </w:p>
        </w:tc>
        <w:tc>
          <w:tcPr>
            <w:tcW w:w="524" w:type="dxa"/>
            <w:vAlign w:val="center"/>
          </w:tcPr>
          <w:p w14:paraId="7AF15492">
            <w:pPr>
              <w:pStyle w:val="235"/>
              <w:rPr>
                <w:color w:val="auto"/>
              </w:rPr>
            </w:pPr>
            <w:r>
              <w:rPr>
                <w:color w:val="auto"/>
              </w:rPr>
              <w:t>-</w:t>
            </w:r>
          </w:p>
        </w:tc>
      </w:tr>
      <w:tr w14:paraId="4CB0B3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6" w:hRule="atLeast"/>
          <w:jc w:val="center"/>
        </w:trPr>
        <w:tc>
          <w:tcPr>
            <w:tcW w:w="767" w:type="dxa"/>
            <w:vAlign w:val="center"/>
          </w:tcPr>
          <w:p w14:paraId="03814372">
            <w:pPr>
              <w:pStyle w:val="235"/>
              <w:rPr>
                <w:color w:val="auto"/>
              </w:rPr>
            </w:pPr>
            <w:r>
              <w:rPr>
                <w:color w:val="auto"/>
              </w:rPr>
              <w:t>道路区</w:t>
            </w:r>
          </w:p>
        </w:tc>
        <w:tc>
          <w:tcPr>
            <w:tcW w:w="1564" w:type="dxa"/>
            <w:vAlign w:val="center"/>
          </w:tcPr>
          <w:p w14:paraId="1105201E">
            <w:pPr>
              <w:pStyle w:val="235"/>
              <w:rPr>
                <w:color w:val="auto"/>
              </w:rPr>
            </w:pPr>
            <w:r>
              <w:rPr>
                <w:color w:val="auto"/>
              </w:rPr>
              <w:t>道路区</w:t>
            </w:r>
          </w:p>
        </w:tc>
        <w:tc>
          <w:tcPr>
            <w:tcW w:w="1149" w:type="dxa"/>
            <w:vAlign w:val="center"/>
          </w:tcPr>
          <w:p w14:paraId="0CADDF1E">
            <w:pPr>
              <w:pStyle w:val="235"/>
              <w:rPr>
                <w:color w:val="auto"/>
              </w:rPr>
            </w:pPr>
            <w:r>
              <w:rPr>
                <w:color w:val="auto"/>
              </w:rPr>
              <w:t>≤300</w:t>
            </w:r>
          </w:p>
        </w:tc>
        <w:tc>
          <w:tcPr>
            <w:tcW w:w="1694" w:type="dxa"/>
            <w:vAlign w:val="center"/>
          </w:tcPr>
          <w:p w14:paraId="05552891">
            <w:pPr>
              <w:pStyle w:val="235"/>
              <w:rPr>
                <w:color w:val="auto"/>
              </w:rPr>
            </w:pPr>
            <w:r>
              <w:rPr>
                <w:color w:val="auto"/>
              </w:rPr>
              <w:t>≤150</w:t>
            </w:r>
          </w:p>
        </w:tc>
        <w:tc>
          <w:tcPr>
            <w:tcW w:w="642" w:type="dxa"/>
            <w:vAlign w:val="center"/>
          </w:tcPr>
          <w:p w14:paraId="2F01EBAA">
            <w:pPr>
              <w:pStyle w:val="235"/>
              <w:rPr>
                <w:color w:val="auto"/>
              </w:rPr>
            </w:pPr>
            <w:r>
              <w:rPr>
                <w:color w:val="auto"/>
              </w:rPr>
              <w:t>≤50</w:t>
            </w:r>
          </w:p>
        </w:tc>
        <w:tc>
          <w:tcPr>
            <w:tcW w:w="524" w:type="dxa"/>
            <w:vAlign w:val="center"/>
          </w:tcPr>
          <w:p w14:paraId="77BA99F1">
            <w:pPr>
              <w:pStyle w:val="235"/>
              <w:rPr>
                <w:color w:val="auto"/>
              </w:rPr>
            </w:pPr>
            <w:r>
              <w:rPr>
                <w:color w:val="auto"/>
              </w:rPr>
              <w:t>—</w:t>
            </w:r>
          </w:p>
        </w:tc>
      </w:tr>
    </w:tbl>
    <w:p w14:paraId="31EEA60D">
      <w:pPr>
        <w:pStyle w:val="4"/>
      </w:pPr>
      <w:bookmarkStart w:id="481" w:name="_Toc183790520"/>
      <w:bookmarkStart w:id="482" w:name="_Toc183882081"/>
      <w:bookmarkStart w:id="483" w:name="_Toc183888133"/>
      <w:bookmarkStart w:id="484" w:name="_Toc6615"/>
      <w:bookmarkStart w:id="485" w:name="_Toc183683502"/>
      <w:bookmarkStart w:id="486" w:name="_Toc183765090"/>
      <w:bookmarkStart w:id="487" w:name="_Toc183888495"/>
      <w:bookmarkStart w:id="488" w:name="_Toc183882443"/>
      <w:r>
        <w:t>地基处理</w:t>
      </w:r>
      <w:bookmarkEnd w:id="477"/>
      <w:bookmarkEnd w:id="478"/>
      <w:bookmarkEnd w:id="479"/>
      <w:bookmarkEnd w:id="480"/>
      <w:bookmarkEnd w:id="481"/>
      <w:bookmarkEnd w:id="482"/>
      <w:bookmarkEnd w:id="483"/>
      <w:bookmarkEnd w:id="484"/>
      <w:bookmarkEnd w:id="485"/>
      <w:bookmarkEnd w:id="486"/>
      <w:bookmarkEnd w:id="487"/>
      <w:bookmarkEnd w:id="488"/>
    </w:p>
    <w:p w14:paraId="2B650DC0">
      <w:pPr>
        <w:pStyle w:val="5"/>
      </w:pPr>
      <w:r>
        <w:t>地基处理应满足承载力、稳定性及工后沉降的要求，地基处理措施应根据线路条件、轨道结构、地质</w:t>
      </w:r>
      <w:r>
        <w:rPr>
          <w:rFonts w:hint="eastAsia"/>
        </w:rPr>
        <w:t>条件</w:t>
      </w:r>
      <w:r>
        <w:t>、路堤高度、填料、建设工期等因素综合确定。</w:t>
      </w:r>
    </w:p>
    <w:p w14:paraId="5ECD4E19">
      <w:pPr>
        <w:pStyle w:val="5"/>
      </w:pPr>
      <w:r>
        <w:t>稳定斜坡上地基表层处理应符合下列规定：</w:t>
      </w:r>
    </w:p>
    <w:p w14:paraId="0539FCA3">
      <w:pPr>
        <w:ind w:firstLine="422" w:firstLineChars="200"/>
      </w:pPr>
      <w:r>
        <w:rPr>
          <w:b/>
        </w:rPr>
        <w:t>1</w:t>
      </w:r>
      <w:r>
        <w:rPr>
          <w:rFonts w:hint="eastAsia"/>
          <w:b/>
        </w:rPr>
        <w:t xml:space="preserve">  </w:t>
      </w:r>
      <w:r>
        <w:t>地面横坡小于1</w:t>
      </w:r>
      <w:r>
        <w:rPr>
          <w:rFonts w:hint="eastAsia"/>
        </w:rPr>
        <w:t>∶</w:t>
      </w:r>
      <w:r>
        <w:t>5时，可清表后直接在天然地面上填筑路堤；</w:t>
      </w:r>
    </w:p>
    <w:p w14:paraId="1C9DADBE">
      <w:pPr>
        <w:ind w:firstLine="422" w:firstLineChars="200"/>
      </w:pPr>
      <w:r>
        <w:rPr>
          <w:b/>
        </w:rPr>
        <w:t>2</w:t>
      </w:r>
      <w:r>
        <w:rPr>
          <w:rFonts w:hint="eastAsia"/>
          <w:b/>
        </w:rPr>
        <w:t xml:space="preserve">  </w:t>
      </w:r>
      <w:r>
        <w:t>地面横坡为1</w:t>
      </w:r>
      <w:r>
        <w:rPr>
          <w:rFonts w:hint="eastAsia"/>
        </w:rPr>
        <w:t>∶</w:t>
      </w:r>
      <w:r>
        <w:t>5~1</w:t>
      </w:r>
      <w:r>
        <w:rPr>
          <w:rFonts w:hint="eastAsia"/>
        </w:rPr>
        <w:t>∶</w:t>
      </w:r>
      <w:r>
        <w:t>2.5时，原地面应挖台阶，台阶宽度不宜小于2m，困难条件下不得小于1m；</w:t>
      </w:r>
    </w:p>
    <w:p w14:paraId="681F1229">
      <w:pPr>
        <w:ind w:firstLine="422" w:firstLineChars="200"/>
      </w:pPr>
      <w:r>
        <w:rPr>
          <w:b/>
        </w:rPr>
        <w:t>3</w:t>
      </w:r>
      <w:r>
        <w:rPr>
          <w:rFonts w:hint="eastAsia"/>
        </w:rPr>
        <w:t xml:space="preserve">  </w:t>
      </w:r>
      <w:r>
        <w:t>地面横坡大于1</w:t>
      </w:r>
      <w:r>
        <w:rPr>
          <w:rFonts w:hint="eastAsia"/>
        </w:rPr>
        <w:t>∶</w:t>
      </w:r>
      <w:r>
        <w:t>2.5时，应检算路堤整体稳定性，必要时应采取设置支挡结构的防滑措施；</w:t>
      </w:r>
    </w:p>
    <w:p w14:paraId="0B089B52">
      <w:pPr>
        <w:ind w:firstLine="422" w:firstLineChars="200"/>
      </w:pPr>
      <w:r>
        <w:rPr>
          <w:b/>
        </w:rPr>
        <w:t>4</w:t>
      </w:r>
      <w:r>
        <w:rPr>
          <w:rFonts w:hint="eastAsia"/>
          <w:b/>
        </w:rPr>
        <w:t xml:space="preserve"> </w:t>
      </w:r>
      <w:r>
        <w:rPr>
          <w:rFonts w:hint="eastAsia"/>
        </w:rPr>
        <w:t xml:space="preserve"> </w:t>
      </w:r>
      <w:r>
        <w:t>地基表层为天然密实度小于设计值的松散土层时，若松土厚度不大于0.3m，可将原地面夯压密实，密实度应不小于重型击实标准的95%。</w:t>
      </w:r>
    </w:p>
    <w:p w14:paraId="643B45E5">
      <w:pPr>
        <w:pStyle w:val="5"/>
      </w:pPr>
      <w:r>
        <w:t>当地下水</w:t>
      </w:r>
      <w:r>
        <w:rPr>
          <w:rFonts w:hint="eastAsia"/>
        </w:rPr>
        <w:t>或地表水</w:t>
      </w:r>
      <w:r>
        <w:t>影响路堤稳定时，应采取拦截、引排或设置隔水层等措施。</w:t>
      </w:r>
    </w:p>
    <w:p w14:paraId="50F5495E">
      <w:pPr>
        <w:pStyle w:val="5"/>
      </w:pPr>
      <w:r>
        <w:t>农田、湖塘等地段，应视具体情况采取排水、清淤、晾晒、换填、加筋、外掺无机结合料等处理措施。当为软土地基时，应采取相应的软土地基处理措施。</w:t>
      </w:r>
    </w:p>
    <w:p w14:paraId="6D0C798E">
      <w:pPr>
        <w:pStyle w:val="5"/>
      </w:pPr>
      <w:r>
        <w:t>厚层软土及特殊地基地段的路基应进行路基稳定性和沉降检算。各类特殊路基工程设计应符合现行行业标准《铁路特殊路基设计规范》TB10035的有关规定。</w:t>
      </w:r>
    </w:p>
    <w:p w14:paraId="12A037B2">
      <w:pPr>
        <w:pStyle w:val="4"/>
      </w:pPr>
      <w:bookmarkStart w:id="489" w:name="_Toc168061211"/>
      <w:bookmarkStart w:id="490" w:name="_Toc183882082"/>
      <w:bookmarkStart w:id="491" w:name="_Toc168059402"/>
      <w:bookmarkStart w:id="492" w:name="_Toc183683503"/>
      <w:bookmarkStart w:id="493" w:name="_Toc174462010"/>
      <w:bookmarkStart w:id="494" w:name="_Toc168061658"/>
      <w:bookmarkStart w:id="495" w:name="_Toc183790521"/>
      <w:bookmarkStart w:id="496" w:name="_Toc183888134"/>
      <w:bookmarkStart w:id="497" w:name="_Toc183888496"/>
      <w:bookmarkStart w:id="498" w:name="_Toc20487"/>
      <w:bookmarkStart w:id="499" w:name="_Toc183882444"/>
      <w:bookmarkStart w:id="500" w:name="_Toc183765091"/>
      <w:r>
        <w:t>过渡段</w:t>
      </w:r>
      <w:bookmarkEnd w:id="489"/>
      <w:bookmarkEnd w:id="490"/>
      <w:bookmarkEnd w:id="491"/>
      <w:bookmarkEnd w:id="492"/>
      <w:bookmarkEnd w:id="493"/>
      <w:bookmarkEnd w:id="494"/>
      <w:bookmarkEnd w:id="495"/>
      <w:bookmarkEnd w:id="496"/>
      <w:bookmarkEnd w:id="497"/>
      <w:bookmarkEnd w:id="498"/>
      <w:bookmarkEnd w:id="499"/>
      <w:bookmarkEnd w:id="500"/>
    </w:p>
    <w:p w14:paraId="27856BED">
      <w:pPr>
        <w:pStyle w:val="5"/>
      </w:pPr>
      <w:r>
        <w:t>路堤与桥台、路基与横向结构物、路堤与路堑连接处应设置刚度过渡段。</w:t>
      </w:r>
    </w:p>
    <w:p w14:paraId="448A28C8">
      <w:pPr>
        <w:pStyle w:val="5"/>
      </w:pPr>
      <w:r>
        <w:t>有砟轨道路基与桥台过渡段应符合下列规定：</w:t>
      </w:r>
    </w:p>
    <w:p w14:paraId="034B57A7">
      <w:pPr>
        <w:ind w:firstLine="422" w:firstLineChars="200"/>
      </w:pPr>
      <w:r>
        <w:rPr>
          <w:b/>
        </w:rPr>
        <w:t>1</w:t>
      </w:r>
      <w:r>
        <w:rPr>
          <w:rFonts w:hint="eastAsia"/>
        </w:rPr>
        <w:t xml:space="preserve">  </w:t>
      </w:r>
      <w:r>
        <w:t>在线路纵向，</w:t>
      </w:r>
      <w:r>
        <w:rPr>
          <w:rFonts w:hint="eastAsia"/>
        </w:rPr>
        <w:t>宜</w:t>
      </w:r>
      <w:r>
        <w:t>采用</w:t>
      </w:r>
      <w:r>
        <w:rPr>
          <w:rFonts w:hint="eastAsia"/>
        </w:rPr>
        <w:t>倒</w:t>
      </w:r>
      <w:r>
        <w:t>梯形</w:t>
      </w:r>
      <w:r>
        <w:rPr>
          <w:rFonts w:hint="eastAsia"/>
        </w:rPr>
        <w:t>过渡形式</w:t>
      </w:r>
      <w:r>
        <w:t>，过渡段长度不应小于20m；</w:t>
      </w:r>
    </w:p>
    <w:p w14:paraId="7C6E50B8">
      <w:pPr>
        <w:ind w:firstLine="422" w:firstLineChars="200"/>
      </w:pPr>
      <w:r>
        <w:rPr>
          <w:b/>
        </w:rPr>
        <w:t>2</w:t>
      </w:r>
      <w:r>
        <w:rPr>
          <w:rFonts w:hint="eastAsia"/>
        </w:rPr>
        <w:t xml:space="preserve">  </w:t>
      </w:r>
      <w:r>
        <w:t>过渡段</w:t>
      </w:r>
      <w:r>
        <w:rPr>
          <w:rFonts w:hint="eastAsia"/>
        </w:rPr>
        <w:t>路基基床表层应符合本规范第9</w:t>
      </w:r>
      <w:r>
        <w:t>.3.4</w:t>
      </w:r>
      <w:r>
        <w:rPr>
          <w:rFonts w:hint="eastAsia"/>
        </w:rPr>
        <w:t>条的要求，基床表层以下梯形部分</w:t>
      </w:r>
      <w:r>
        <w:t>采用级配碎石加3%水泥分层填筑，压实标准应满足</w:t>
      </w:r>
      <w:r>
        <w:rPr>
          <w:rFonts w:hint="eastAsia"/>
        </w:rPr>
        <w:t>压实系数K≥</w:t>
      </w:r>
      <w:r>
        <w:t>0.95、</w:t>
      </w:r>
      <w:r>
        <w:rPr>
          <w:rFonts w:hint="eastAsia"/>
        </w:rPr>
        <w:t>地基系数K</w:t>
      </w:r>
      <w:r>
        <w:t>30</w:t>
      </w:r>
      <w:r>
        <w:rPr>
          <w:rFonts w:hint="eastAsia"/>
        </w:rPr>
        <w:t>≥</w:t>
      </w:r>
      <w:r>
        <w:t>150</w:t>
      </w:r>
      <w:r>
        <w:rPr>
          <w:rFonts w:hint="eastAsia"/>
        </w:rPr>
        <w:t>MPa/m，动态变形模量Evd≥</w:t>
      </w:r>
      <w:r>
        <w:t>50</w:t>
      </w:r>
      <w:r>
        <w:rPr>
          <w:rFonts w:hint="eastAsia"/>
        </w:rPr>
        <w:t>MPa</w:t>
      </w:r>
      <w:r>
        <w:t>的要求；</w:t>
      </w:r>
    </w:p>
    <w:p w14:paraId="2F1BA5BF">
      <w:pPr>
        <w:ind w:firstLine="422" w:firstLineChars="200"/>
      </w:pPr>
      <w:r>
        <w:rPr>
          <w:b/>
        </w:rPr>
        <w:t>3</w:t>
      </w:r>
      <w:r>
        <w:rPr>
          <w:rFonts w:hint="eastAsia"/>
        </w:rPr>
        <w:t xml:space="preserve">  </w:t>
      </w:r>
      <w:r>
        <w:t>在线路横向，桥台宽度应与路基面等宽。</w:t>
      </w:r>
    </w:p>
    <w:p w14:paraId="52B26761">
      <w:pPr>
        <w:numPr>
          <w:ilvl w:val="2"/>
          <w:numId w:val="1"/>
        </w:numPr>
        <w:tabs>
          <w:tab w:val="left" w:pos="709"/>
          <w:tab w:val="left" w:pos="794"/>
        </w:tabs>
        <w:jc w:val="left"/>
        <w:outlineLvl w:val="2"/>
        <w:rPr>
          <w:bCs/>
        </w:rPr>
      </w:pPr>
      <w:r>
        <w:rPr>
          <w:bCs/>
        </w:rPr>
        <w:t>无砟轨道路基与桥台过渡段应符合下列规定：</w:t>
      </w:r>
    </w:p>
    <w:p w14:paraId="2134C9A9">
      <w:pPr>
        <w:ind w:firstLine="422" w:firstLineChars="200"/>
      </w:pPr>
      <w:r>
        <w:rPr>
          <w:b/>
        </w:rPr>
        <w:t>1</w:t>
      </w:r>
      <w:r>
        <w:rPr>
          <w:rFonts w:hint="eastAsia"/>
        </w:rPr>
        <w:t xml:space="preserve">  </w:t>
      </w:r>
      <w:r>
        <w:t>在线路纵向，</w:t>
      </w:r>
      <w:r>
        <w:rPr>
          <w:rFonts w:hint="eastAsia"/>
        </w:rPr>
        <w:t>宜</w:t>
      </w:r>
      <w:r>
        <w:t>采用</w:t>
      </w:r>
      <w:r>
        <w:rPr>
          <w:rFonts w:hint="eastAsia"/>
        </w:rPr>
        <w:t>倒</w:t>
      </w:r>
      <w:r>
        <w:t>梯形</w:t>
      </w:r>
      <w:r>
        <w:rPr>
          <w:rFonts w:hint="eastAsia"/>
        </w:rPr>
        <w:t>过渡形式</w:t>
      </w:r>
      <w:r>
        <w:t>，过渡段长度不宜小于4H(H为填方高度，单位以米计)且不得小于20m；</w:t>
      </w:r>
    </w:p>
    <w:p w14:paraId="01290E92">
      <w:pPr>
        <w:ind w:firstLine="422" w:firstLineChars="200"/>
      </w:pPr>
      <w:r>
        <w:rPr>
          <w:b/>
        </w:rPr>
        <w:t>2</w:t>
      </w:r>
      <w:r>
        <w:rPr>
          <w:rFonts w:hint="eastAsia"/>
        </w:rPr>
        <w:t xml:space="preserve">  </w:t>
      </w:r>
      <w:r>
        <w:t>过渡段材料及压实标准应符合本规范</w:t>
      </w:r>
      <w:r>
        <w:rPr>
          <w:rFonts w:hint="eastAsia"/>
        </w:rPr>
        <w:t>9</w:t>
      </w:r>
      <w:r>
        <w:t>.8.2条的规定；</w:t>
      </w:r>
    </w:p>
    <w:p w14:paraId="1F20B708">
      <w:pPr>
        <w:ind w:firstLine="422" w:firstLineChars="200"/>
      </w:pPr>
      <w:r>
        <w:rPr>
          <w:b/>
        </w:rPr>
        <w:t>3</w:t>
      </w:r>
      <w:r>
        <w:rPr>
          <w:rFonts w:hint="eastAsia"/>
        </w:rPr>
        <w:t xml:space="preserve">  </w:t>
      </w:r>
      <w:r>
        <w:t>在线路横向，桥台宽度应与路基面等宽；</w:t>
      </w:r>
    </w:p>
    <w:p w14:paraId="451A6607">
      <w:pPr>
        <w:ind w:firstLine="422" w:firstLineChars="200"/>
      </w:pPr>
      <w:r>
        <w:rPr>
          <w:b/>
        </w:rPr>
        <w:t>4</w:t>
      </w:r>
      <w:r>
        <w:rPr>
          <w:rFonts w:hint="eastAsia"/>
        </w:rPr>
        <w:t xml:space="preserve">  </w:t>
      </w:r>
      <w:r>
        <w:t>桥台台背宜设置牛腿。</w:t>
      </w:r>
    </w:p>
    <w:p w14:paraId="20C901C2">
      <w:pPr>
        <w:numPr>
          <w:ilvl w:val="2"/>
          <w:numId w:val="1"/>
        </w:numPr>
        <w:tabs>
          <w:tab w:val="left" w:pos="709"/>
          <w:tab w:val="left" w:pos="794"/>
        </w:tabs>
        <w:jc w:val="left"/>
        <w:outlineLvl w:val="2"/>
        <w:rPr>
          <w:bCs/>
        </w:rPr>
      </w:pPr>
      <w:r>
        <w:rPr>
          <w:bCs/>
        </w:rPr>
        <w:t>路基与横向结构物过渡段要求同本规范</w:t>
      </w:r>
      <w:r>
        <w:rPr>
          <w:rFonts w:hint="eastAsia"/>
          <w:bCs/>
        </w:rPr>
        <w:t>9</w:t>
      </w:r>
      <w:r>
        <w:rPr>
          <w:bCs/>
        </w:rPr>
        <w:t>.8.2及</w:t>
      </w:r>
      <w:r>
        <w:rPr>
          <w:rFonts w:hint="eastAsia"/>
          <w:bCs/>
        </w:rPr>
        <w:t>9</w:t>
      </w:r>
      <w:r>
        <w:rPr>
          <w:bCs/>
        </w:rPr>
        <w:t>.8.3条规定。</w:t>
      </w:r>
    </w:p>
    <w:p w14:paraId="5A553E26">
      <w:pPr>
        <w:pStyle w:val="5"/>
      </w:pPr>
      <w:r>
        <w:t>路基与路堑(或U型槽)过渡段应符合下列规定：</w:t>
      </w:r>
    </w:p>
    <w:p w14:paraId="133E2D5F">
      <w:pPr>
        <w:ind w:firstLine="422" w:firstLineChars="200"/>
      </w:pPr>
      <w:r>
        <w:rPr>
          <w:b/>
        </w:rPr>
        <w:t>1</w:t>
      </w:r>
      <w:r>
        <w:rPr>
          <w:rFonts w:hint="eastAsia"/>
          <w:b/>
        </w:rPr>
        <w:t xml:space="preserve"> </w:t>
      </w:r>
      <w:r>
        <w:rPr>
          <w:rFonts w:hint="eastAsia"/>
        </w:rPr>
        <w:t xml:space="preserve"> </w:t>
      </w:r>
      <w:r>
        <w:t>应符合现行国家标准《地铁设计规范》GB50157的有关规定；</w:t>
      </w:r>
    </w:p>
    <w:p w14:paraId="535F48C3">
      <w:pPr>
        <w:ind w:firstLine="422" w:firstLineChars="200"/>
      </w:pPr>
      <w:r>
        <w:rPr>
          <w:b/>
        </w:rPr>
        <w:t>2</w:t>
      </w:r>
      <w:r>
        <w:rPr>
          <w:rFonts w:hint="eastAsia"/>
          <w:b/>
        </w:rPr>
        <w:t xml:space="preserve"> </w:t>
      </w:r>
      <w:r>
        <w:rPr>
          <w:rFonts w:hint="eastAsia"/>
        </w:rPr>
        <w:t xml:space="preserve"> </w:t>
      </w:r>
      <w:r>
        <w:t>受地下水位影响的路堑应以U型槽型式通过；</w:t>
      </w:r>
    </w:p>
    <w:p w14:paraId="097743F9">
      <w:pPr>
        <w:ind w:firstLine="422" w:firstLineChars="200"/>
      </w:pPr>
      <w:r>
        <w:rPr>
          <w:b/>
        </w:rPr>
        <w:t>3</w:t>
      </w:r>
      <w:r>
        <w:rPr>
          <w:rFonts w:hint="eastAsia"/>
          <w:b/>
        </w:rPr>
        <w:t xml:space="preserve"> </w:t>
      </w:r>
      <w:r>
        <w:rPr>
          <w:rFonts w:hint="eastAsia"/>
        </w:rPr>
        <w:t xml:space="preserve"> </w:t>
      </w:r>
      <w:r>
        <w:t>当路基与U型槽连接时，其平面宽度、轨道结构高度及排水条件应协调。</w:t>
      </w:r>
    </w:p>
    <w:p w14:paraId="3F7766D9">
      <w:pPr>
        <w:pStyle w:val="4"/>
      </w:pPr>
      <w:bookmarkStart w:id="501" w:name="_Toc183765092"/>
      <w:bookmarkStart w:id="502" w:name="_Toc183683504"/>
      <w:bookmarkStart w:id="503" w:name="_Toc168061659"/>
      <w:bookmarkStart w:id="504" w:name="_Toc183882083"/>
      <w:bookmarkStart w:id="505" w:name="_Toc174462011"/>
      <w:bookmarkStart w:id="506" w:name="_Toc183888135"/>
      <w:bookmarkStart w:id="507" w:name="_Toc168061212"/>
      <w:bookmarkStart w:id="508" w:name="_Toc168059403"/>
      <w:bookmarkStart w:id="509" w:name="_Toc183790522"/>
      <w:bookmarkStart w:id="510" w:name="_Toc183882445"/>
      <w:bookmarkStart w:id="511" w:name="_Toc12222"/>
      <w:bookmarkStart w:id="512" w:name="_Toc183888497"/>
      <w:r>
        <w:t>路基支挡结构物</w:t>
      </w:r>
      <w:bookmarkEnd w:id="501"/>
      <w:bookmarkEnd w:id="502"/>
      <w:bookmarkEnd w:id="503"/>
      <w:bookmarkEnd w:id="504"/>
      <w:bookmarkEnd w:id="505"/>
      <w:bookmarkEnd w:id="506"/>
      <w:bookmarkEnd w:id="507"/>
      <w:bookmarkEnd w:id="508"/>
      <w:bookmarkEnd w:id="509"/>
      <w:bookmarkEnd w:id="510"/>
      <w:bookmarkEnd w:id="511"/>
      <w:bookmarkEnd w:id="512"/>
    </w:p>
    <w:p w14:paraId="62B15FEE">
      <w:pPr>
        <w:pStyle w:val="5"/>
      </w:pPr>
      <w:r>
        <w:t>路基在下列情况下应修筑支挡结构物：</w:t>
      </w:r>
    </w:p>
    <w:p w14:paraId="49BA2A24">
      <w:pPr>
        <w:ind w:firstLine="422" w:firstLineChars="200"/>
        <w:jc w:val="left"/>
      </w:pPr>
      <w:r>
        <w:rPr>
          <w:b/>
        </w:rPr>
        <w:t>1</w:t>
      </w:r>
      <w:r>
        <w:rPr>
          <w:rFonts w:hint="eastAsia"/>
          <w:b/>
        </w:rPr>
        <w:t xml:space="preserve"> </w:t>
      </w:r>
      <w:r>
        <w:rPr>
          <w:rFonts w:hint="eastAsia"/>
        </w:rPr>
        <w:t xml:space="preserve"> </w:t>
      </w:r>
      <w:r>
        <w:t>路基位于陡坡地段或风化的路堑边坡地段；</w:t>
      </w:r>
    </w:p>
    <w:p w14:paraId="05EF8A83">
      <w:pPr>
        <w:ind w:firstLine="422" w:firstLineChars="200"/>
        <w:jc w:val="left"/>
      </w:pPr>
      <w:r>
        <w:rPr>
          <w:b/>
        </w:rPr>
        <w:t>2</w:t>
      </w:r>
      <w:r>
        <w:rPr>
          <w:rFonts w:hint="eastAsia"/>
        </w:rPr>
        <w:t xml:space="preserve">  </w:t>
      </w:r>
      <w:r>
        <w:t>为避免大量挖方及降低边坡高度的路堑地段；</w:t>
      </w:r>
    </w:p>
    <w:p w14:paraId="51A1787D">
      <w:pPr>
        <w:ind w:firstLine="422" w:firstLineChars="200"/>
        <w:jc w:val="left"/>
      </w:pPr>
      <w:r>
        <w:rPr>
          <w:b/>
        </w:rPr>
        <w:t>3</w:t>
      </w:r>
      <w:r>
        <w:rPr>
          <w:rFonts w:hint="eastAsia"/>
          <w:b/>
        </w:rPr>
        <w:t xml:space="preserve"> </w:t>
      </w:r>
      <w:r>
        <w:rPr>
          <w:rFonts w:hint="eastAsia"/>
        </w:rPr>
        <w:t xml:space="preserve"> </w:t>
      </w:r>
      <w:r>
        <w:t>为</w:t>
      </w:r>
      <w:r>
        <w:rPr>
          <w:rFonts w:hint="eastAsia"/>
        </w:rPr>
        <w:t>节约用地、</w:t>
      </w:r>
      <w:r>
        <w:t>保护重要的既有建筑物、其他特殊条件和生态环境等需要的地段。</w:t>
      </w:r>
    </w:p>
    <w:p w14:paraId="3A983664">
      <w:pPr>
        <w:pStyle w:val="5"/>
      </w:pPr>
      <w:r>
        <w:t>路基支挡结构设计应符合现行行业标准《铁路路基支挡结构设计规范》TB10025的有关规定。</w:t>
      </w:r>
    </w:p>
    <w:p w14:paraId="7C6B7224">
      <w:pPr>
        <w:pStyle w:val="4"/>
      </w:pPr>
      <w:bookmarkStart w:id="513" w:name="_Toc174462012"/>
      <w:bookmarkStart w:id="514" w:name="_Toc183882084"/>
      <w:bookmarkStart w:id="515" w:name="_Toc183790523"/>
      <w:bookmarkStart w:id="516" w:name="_Toc183888136"/>
      <w:bookmarkStart w:id="517" w:name="_Toc168061660"/>
      <w:bookmarkStart w:id="518" w:name="_Toc183888498"/>
      <w:bookmarkStart w:id="519" w:name="_Toc168061213"/>
      <w:bookmarkStart w:id="520" w:name="_Toc183765093"/>
      <w:bookmarkStart w:id="521" w:name="_Toc20022"/>
      <w:bookmarkStart w:id="522" w:name="_Toc183683505"/>
      <w:bookmarkStart w:id="523" w:name="_Toc168059404"/>
      <w:bookmarkStart w:id="524" w:name="_Toc183882446"/>
      <w:r>
        <w:t>线路防护、路基防护</w:t>
      </w:r>
      <w:bookmarkEnd w:id="513"/>
      <w:bookmarkEnd w:id="514"/>
      <w:bookmarkEnd w:id="515"/>
      <w:bookmarkEnd w:id="516"/>
      <w:bookmarkEnd w:id="517"/>
      <w:bookmarkEnd w:id="518"/>
      <w:bookmarkEnd w:id="519"/>
      <w:bookmarkEnd w:id="520"/>
      <w:bookmarkEnd w:id="521"/>
      <w:bookmarkEnd w:id="522"/>
      <w:bookmarkEnd w:id="523"/>
      <w:bookmarkEnd w:id="524"/>
    </w:p>
    <w:p w14:paraId="4106CAC9">
      <w:pPr>
        <w:pStyle w:val="5"/>
      </w:pPr>
      <w:r>
        <w:t>封闭线路的全线路基应设置隔离栅栏等进行线路防护，防护高度为2.5m。邻近道路交通的路基或过渡段，必要时应采取防撞设计。</w:t>
      </w:r>
    </w:p>
    <w:p w14:paraId="3C9E56AA">
      <w:pPr>
        <w:pStyle w:val="5"/>
      </w:pPr>
      <w:r>
        <w:t>对受自然因素作用易产生破坏的边坡坡面，应根据边坡的土质、岩性、水文地质条件、边坡坡率与高度、环境保护、水土保持要求等，选用适宜的</w:t>
      </w:r>
      <w:r>
        <w:rPr>
          <w:rFonts w:hint="eastAsia"/>
        </w:rPr>
        <w:t>边坡</w:t>
      </w:r>
      <w:r>
        <w:t>防护措施。</w:t>
      </w:r>
    </w:p>
    <w:p w14:paraId="216F82D7">
      <w:pPr>
        <w:pStyle w:val="4"/>
      </w:pPr>
      <w:bookmarkStart w:id="525" w:name="_Toc168059405"/>
      <w:bookmarkStart w:id="526" w:name="_Toc183882085"/>
      <w:bookmarkStart w:id="527" w:name="_Toc183882447"/>
      <w:bookmarkStart w:id="528" w:name="_Toc183888499"/>
      <w:bookmarkStart w:id="529" w:name="_Toc174462013"/>
      <w:bookmarkStart w:id="530" w:name="_Toc168061661"/>
      <w:bookmarkStart w:id="531" w:name="_Toc11432"/>
      <w:bookmarkStart w:id="532" w:name="_Toc183790524"/>
      <w:bookmarkStart w:id="533" w:name="_Toc183888137"/>
      <w:bookmarkStart w:id="534" w:name="_Toc183765094"/>
      <w:bookmarkStart w:id="535" w:name="_Toc183683506"/>
      <w:bookmarkStart w:id="536" w:name="_Toc168061214"/>
      <w:r>
        <w:t>路基排水系统</w:t>
      </w:r>
      <w:bookmarkEnd w:id="525"/>
      <w:bookmarkEnd w:id="526"/>
      <w:bookmarkEnd w:id="527"/>
      <w:bookmarkEnd w:id="528"/>
      <w:bookmarkEnd w:id="529"/>
      <w:bookmarkEnd w:id="530"/>
      <w:bookmarkEnd w:id="531"/>
      <w:bookmarkEnd w:id="532"/>
      <w:bookmarkEnd w:id="533"/>
      <w:bookmarkEnd w:id="534"/>
      <w:bookmarkEnd w:id="535"/>
      <w:bookmarkEnd w:id="536"/>
    </w:p>
    <w:p w14:paraId="4DFB25BB">
      <w:pPr>
        <w:numPr>
          <w:ilvl w:val="2"/>
          <w:numId w:val="1"/>
        </w:numPr>
        <w:tabs>
          <w:tab w:val="left" w:pos="709"/>
          <w:tab w:val="left" w:pos="794"/>
        </w:tabs>
        <w:jc w:val="left"/>
        <w:outlineLvl w:val="2"/>
        <w:rPr>
          <w:bCs/>
        </w:rPr>
      </w:pPr>
      <w:r>
        <w:rPr>
          <w:bCs/>
        </w:rPr>
        <w:t>路基应有完善的排水系统，排水设施应布置合理，应与桥涵、隧道、站场、市政等排水设施衔接，应采取防、排、疏相结合措施。</w:t>
      </w:r>
    </w:p>
    <w:p w14:paraId="36E3568B">
      <w:pPr>
        <w:numPr>
          <w:ilvl w:val="2"/>
          <w:numId w:val="1"/>
        </w:numPr>
        <w:tabs>
          <w:tab w:val="left" w:pos="709"/>
          <w:tab w:val="left" w:pos="794"/>
        </w:tabs>
        <w:jc w:val="left"/>
        <w:outlineLvl w:val="2"/>
        <w:rPr>
          <w:bCs/>
        </w:rPr>
      </w:pPr>
      <w:r>
        <w:rPr>
          <w:bCs/>
        </w:rPr>
        <w:t>地面横坡明显的地段，排水沟、天沟应在上方一侧设置。若地面横坡不明显，应在路基两侧设置。</w:t>
      </w:r>
    </w:p>
    <w:p w14:paraId="4A7BE3A5">
      <w:pPr>
        <w:numPr>
          <w:ilvl w:val="2"/>
          <w:numId w:val="1"/>
        </w:numPr>
        <w:tabs>
          <w:tab w:val="left" w:pos="709"/>
          <w:tab w:val="left" w:pos="794"/>
        </w:tabs>
        <w:jc w:val="left"/>
        <w:outlineLvl w:val="2"/>
        <w:rPr>
          <w:bCs/>
        </w:rPr>
      </w:pPr>
      <w:r>
        <w:rPr>
          <w:bCs/>
        </w:rPr>
        <w:t>路基排水纵坡</w:t>
      </w:r>
      <w:r>
        <w:rPr>
          <w:rFonts w:hint="eastAsia"/>
          <w:bCs/>
        </w:rPr>
        <w:t>一般</w:t>
      </w:r>
      <w:r>
        <w:rPr>
          <w:bCs/>
        </w:rPr>
        <w:t>不宜小于2‰；地面平坦地段或反坡排水</w:t>
      </w:r>
      <w:r>
        <w:rPr>
          <w:rFonts w:hint="eastAsia"/>
          <w:bCs/>
        </w:rPr>
        <w:t>等</w:t>
      </w:r>
      <w:r>
        <w:rPr>
          <w:bCs/>
        </w:rPr>
        <w:t>困难地段可减少至1‰。</w:t>
      </w:r>
    </w:p>
    <w:p w14:paraId="0DD8FFEB">
      <w:pPr>
        <w:numPr>
          <w:ilvl w:val="2"/>
          <w:numId w:val="1"/>
        </w:numPr>
        <w:tabs>
          <w:tab w:val="left" w:pos="709"/>
          <w:tab w:val="left" w:pos="794"/>
        </w:tabs>
        <w:jc w:val="left"/>
        <w:outlineLvl w:val="2"/>
        <w:rPr>
          <w:bCs/>
        </w:rPr>
      </w:pPr>
      <w:r>
        <w:rPr>
          <w:bCs/>
        </w:rPr>
        <w:t>受地下水影响的路基应根据地下水类型、含水层的埋藏深度、地层的渗透性等条件，设置暗沟(管)、渗沟、检查井等地下排水设施。</w:t>
      </w:r>
    </w:p>
    <w:p w14:paraId="58DE9F14">
      <w:pPr>
        <w:pStyle w:val="4"/>
      </w:pPr>
      <w:bookmarkStart w:id="537" w:name="_Toc183882086"/>
      <w:bookmarkStart w:id="538" w:name="_Toc183888500"/>
      <w:bookmarkStart w:id="539" w:name="_Toc174462014"/>
      <w:bookmarkStart w:id="540" w:name="_Toc183888138"/>
      <w:bookmarkStart w:id="541" w:name="_Toc183683507"/>
      <w:bookmarkStart w:id="542" w:name="_Toc183882448"/>
      <w:bookmarkStart w:id="543" w:name="_Toc183765095"/>
      <w:bookmarkStart w:id="544" w:name="_Toc168061662"/>
      <w:bookmarkStart w:id="545" w:name="_Toc168059406"/>
      <w:bookmarkStart w:id="546" w:name="_Toc19382"/>
      <w:bookmarkStart w:id="547" w:name="_Toc183790525"/>
      <w:bookmarkStart w:id="548" w:name="_Toc168061215"/>
      <w:r>
        <w:t>路基变形观测</w:t>
      </w:r>
      <w:bookmarkEnd w:id="537"/>
      <w:bookmarkEnd w:id="538"/>
      <w:bookmarkEnd w:id="539"/>
      <w:bookmarkEnd w:id="540"/>
      <w:bookmarkEnd w:id="541"/>
      <w:bookmarkEnd w:id="542"/>
      <w:bookmarkEnd w:id="543"/>
      <w:bookmarkEnd w:id="544"/>
      <w:bookmarkEnd w:id="545"/>
      <w:bookmarkEnd w:id="546"/>
      <w:bookmarkEnd w:id="547"/>
      <w:bookmarkEnd w:id="548"/>
    </w:p>
    <w:p w14:paraId="6F89B1C2">
      <w:pPr>
        <w:numPr>
          <w:ilvl w:val="2"/>
          <w:numId w:val="1"/>
        </w:numPr>
        <w:tabs>
          <w:tab w:val="left" w:pos="709"/>
          <w:tab w:val="left" w:pos="794"/>
        </w:tabs>
        <w:jc w:val="left"/>
        <w:outlineLvl w:val="2"/>
        <w:rPr>
          <w:bCs/>
        </w:rPr>
      </w:pPr>
      <w:r>
        <w:rPr>
          <w:bCs/>
        </w:rPr>
        <w:t>轨道铺设前，应对路基变形进行观测、评估。</w:t>
      </w:r>
    </w:p>
    <w:p w14:paraId="1075441C">
      <w:pPr>
        <w:numPr>
          <w:ilvl w:val="2"/>
          <w:numId w:val="1"/>
        </w:numPr>
        <w:tabs>
          <w:tab w:val="left" w:pos="709"/>
          <w:tab w:val="left" w:pos="794"/>
        </w:tabs>
        <w:jc w:val="left"/>
        <w:outlineLvl w:val="2"/>
        <w:rPr>
          <w:bCs/>
        </w:rPr>
      </w:pPr>
      <w:r>
        <w:rPr>
          <w:bCs/>
        </w:rPr>
        <w:t>不良地质、软土地基地段的无砟轨道路基工后沉降值应控制在允许范围内，路基填筑完成或施加预压荷载后应有不少于3~6个月的观测和调整期。路基</w:t>
      </w:r>
      <w:r>
        <w:rPr>
          <w:rFonts w:hint="eastAsia"/>
          <w:bCs/>
        </w:rPr>
        <w:t>变形</w:t>
      </w:r>
      <w:r>
        <w:rPr>
          <w:bCs/>
        </w:rPr>
        <w:t>观测应以路基面</w:t>
      </w:r>
      <w:r>
        <w:rPr>
          <w:rFonts w:hint="eastAsia"/>
          <w:bCs/>
        </w:rPr>
        <w:t>、</w:t>
      </w:r>
      <w:r>
        <w:rPr>
          <w:bCs/>
        </w:rPr>
        <w:t>地面沉降</w:t>
      </w:r>
      <w:r>
        <w:rPr>
          <w:rFonts w:hint="eastAsia"/>
          <w:bCs/>
        </w:rPr>
        <w:t>及位移</w:t>
      </w:r>
      <w:r>
        <w:rPr>
          <w:bCs/>
        </w:rPr>
        <w:t>观测为主</w:t>
      </w:r>
      <w:r>
        <w:rPr>
          <w:rFonts w:hint="eastAsia"/>
          <w:bCs/>
        </w:rPr>
        <w:t>，高填深挖区域需考虑边坡稳定性及位移监测内容</w:t>
      </w:r>
      <w:r>
        <w:rPr>
          <w:bCs/>
        </w:rPr>
        <w:t>。</w:t>
      </w:r>
    </w:p>
    <w:p w14:paraId="7DC2978C">
      <w:pPr>
        <w:pStyle w:val="3"/>
      </w:pPr>
      <w:r>
        <w:rPr>
          <w:rFonts w:eastAsia="宋体"/>
          <w:kern w:val="2"/>
          <w:sz w:val="21"/>
          <w:szCs w:val="24"/>
        </w:rPr>
        <w:br w:type="page"/>
      </w:r>
      <w:bookmarkEnd w:id="398"/>
      <w:bookmarkStart w:id="549" w:name="_Toc183888139"/>
      <w:bookmarkStart w:id="550" w:name="_Toc183735412"/>
      <w:bookmarkStart w:id="551" w:name="_Toc183683508"/>
      <w:bookmarkStart w:id="552" w:name="_Toc357929344"/>
      <w:bookmarkStart w:id="553" w:name="_Toc18317"/>
      <w:bookmarkStart w:id="554" w:name="_Toc183888501"/>
      <w:bookmarkStart w:id="555" w:name="_Toc183882449"/>
      <w:bookmarkStart w:id="556" w:name="_Toc183765096"/>
      <w:bookmarkStart w:id="557" w:name="_Toc183790526"/>
      <w:bookmarkStart w:id="558" w:name="_Toc183699868"/>
      <w:bookmarkStart w:id="559" w:name="_Toc183882087"/>
      <w:r>
        <w:rPr>
          <w:rFonts w:hint="eastAsia"/>
        </w:rPr>
        <w:t>车站建筑</w:t>
      </w:r>
      <w:bookmarkEnd w:id="549"/>
      <w:bookmarkEnd w:id="550"/>
      <w:bookmarkEnd w:id="551"/>
      <w:bookmarkEnd w:id="552"/>
      <w:bookmarkEnd w:id="553"/>
      <w:bookmarkEnd w:id="554"/>
      <w:bookmarkEnd w:id="555"/>
      <w:bookmarkEnd w:id="556"/>
      <w:bookmarkEnd w:id="557"/>
      <w:bookmarkEnd w:id="558"/>
      <w:bookmarkEnd w:id="559"/>
    </w:p>
    <w:p w14:paraId="2D3CCA99">
      <w:pPr>
        <w:pStyle w:val="4"/>
        <w:tabs>
          <w:tab w:val="left" w:pos="709"/>
          <w:tab w:val="clear" w:pos="462"/>
          <w:tab w:val="clear" w:pos="794"/>
        </w:tabs>
      </w:pPr>
      <w:bookmarkStart w:id="560" w:name="_Toc183888502"/>
      <w:bookmarkStart w:id="561" w:name="_Toc183765097"/>
      <w:bookmarkStart w:id="562" w:name="_Toc357929345"/>
      <w:bookmarkStart w:id="563" w:name="_Toc28784"/>
      <w:bookmarkStart w:id="564" w:name="_Toc183882088"/>
      <w:bookmarkStart w:id="565" w:name="_Toc183683509"/>
      <w:bookmarkStart w:id="566" w:name="_Toc183888140"/>
      <w:bookmarkStart w:id="567" w:name="_Toc183790527"/>
      <w:bookmarkStart w:id="568" w:name="_Toc183882450"/>
      <w:r>
        <w:t>一</w:t>
      </w:r>
      <w:r>
        <w:rPr>
          <w:rFonts w:hint="eastAsia"/>
        </w:rPr>
        <w:t>般规定</w:t>
      </w:r>
      <w:bookmarkEnd w:id="560"/>
      <w:bookmarkEnd w:id="561"/>
      <w:bookmarkEnd w:id="562"/>
      <w:bookmarkEnd w:id="563"/>
      <w:bookmarkEnd w:id="564"/>
      <w:bookmarkEnd w:id="565"/>
      <w:bookmarkEnd w:id="566"/>
      <w:bookmarkEnd w:id="567"/>
      <w:bookmarkEnd w:id="568"/>
    </w:p>
    <w:p w14:paraId="1035296D">
      <w:pPr>
        <w:pStyle w:val="5"/>
        <w:tabs>
          <w:tab w:val="left" w:pos="709"/>
          <w:tab w:val="clear" w:pos="630"/>
        </w:tabs>
      </w:pPr>
      <w:r>
        <w:rPr>
          <w:rFonts w:hint="eastAsia"/>
        </w:rPr>
        <w:t>车站规模和通行、服务设施标准应结合车站分级、客流特征、预测客流量、系统设计能力以及不同运营工况合理确定。</w:t>
      </w:r>
    </w:p>
    <w:p w14:paraId="6282E5E8">
      <w:pPr>
        <w:pStyle w:val="5"/>
        <w:tabs>
          <w:tab w:val="left" w:pos="709"/>
          <w:tab w:val="clear" w:pos="630"/>
        </w:tabs>
      </w:pPr>
      <w:r>
        <w:rPr>
          <w:rFonts w:hint="eastAsia"/>
        </w:rPr>
        <w:t>换乘车站应根据线网规划、线路敷设方式和建设时序，结合客流特征选择便捷合理的换乘方式，并应按本规范第9.12.5条规定进行静态换乘功能评价。</w:t>
      </w:r>
    </w:p>
    <w:p w14:paraId="52BACEAB">
      <w:pPr>
        <w:pStyle w:val="5"/>
        <w:tabs>
          <w:tab w:val="left" w:pos="709"/>
          <w:tab w:val="clear" w:pos="630"/>
        </w:tabs>
      </w:pPr>
      <w:r>
        <w:rPr>
          <w:rFonts w:hint="eastAsia"/>
        </w:rPr>
        <w:t>下列3重要、复杂的换乘车站应根据客流动态仿真模拟评价，修正楼扶梯布局：</w:t>
      </w:r>
    </w:p>
    <w:p w14:paraId="63976AB5">
      <w:pPr>
        <w:numPr>
          <w:ilvl w:val="4"/>
          <w:numId w:val="36"/>
        </w:numPr>
        <w:tabs>
          <w:tab w:val="left" w:pos="567"/>
        </w:tabs>
        <w:ind w:left="420"/>
        <w:jc w:val="left"/>
        <w:outlineLvl w:val="4"/>
        <w:rPr>
          <w:bCs/>
          <w:szCs w:val="28"/>
        </w:rPr>
      </w:pPr>
      <w:r>
        <w:rPr>
          <w:rFonts w:hint="eastAsia"/>
          <w:bCs/>
          <w:szCs w:val="28"/>
        </w:rPr>
        <w:t>转乘特级、甲级城际交通客运站的换乘车站；</w:t>
      </w:r>
    </w:p>
    <w:p w14:paraId="42E593DF">
      <w:pPr>
        <w:numPr>
          <w:ilvl w:val="4"/>
          <w:numId w:val="36"/>
        </w:numPr>
        <w:tabs>
          <w:tab w:val="left" w:pos="567"/>
        </w:tabs>
        <w:ind w:left="420"/>
        <w:jc w:val="left"/>
        <w:outlineLvl w:val="4"/>
        <w:rPr>
          <w:bCs/>
          <w:szCs w:val="28"/>
        </w:rPr>
      </w:pPr>
      <w:r>
        <w:rPr>
          <w:rFonts w:hint="eastAsia"/>
          <w:bCs/>
          <w:szCs w:val="28"/>
        </w:rPr>
        <w:t>三线及三线以上线路换乘站；</w:t>
      </w:r>
    </w:p>
    <w:p w14:paraId="7C669DFC">
      <w:pPr>
        <w:numPr>
          <w:ilvl w:val="4"/>
          <w:numId w:val="1"/>
        </w:numPr>
        <w:tabs>
          <w:tab w:val="clear" w:pos="567"/>
        </w:tabs>
        <w:ind w:left="420"/>
        <w:jc w:val="left"/>
        <w:outlineLvl w:val="4"/>
        <w:rPr>
          <w:bCs/>
          <w:szCs w:val="28"/>
        </w:rPr>
      </w:pPr>
      <w:r>
        <w:rPr>
          <w:rFonts w:hint="eastAsia"/>
          <w:bCs/>
          <w:szCs w:val="28"/>
        </w:rPr>
        <w:t>线网中原非换乘车站改造成的换乘车站；</w:t>
      </w:r>
    </w:p>
    <w:p w14:paraId="07C7D3CC">
      <w:pPr>
        <w:numPr>
          <w:ilvl w:val="4"/>
          <w:numId w:val="1"/>
        </w:numPr>
        <w:tabs>
          <w:tab w:val="clear" w:pos="567"/>
        </w:tabs>
        <w:ind w:left="420"/>
        <w:jc w:val="left"/>
        <w:outlineLvl w:val="4"/>
      </w:pPr>
      <w:r>
        <w:rPr>
          <w:rFonts w:hint="eastAsia"/>
          <w:bCs/>
          <w:szCs w:val="28"/>
        </w:rPr>
        <w:t>静态换乘功能评价有突</w:t>
      </w:r>
      <w:r>
        <w:rPr>
          <w:rFonts w:hint="eastAsia"/>
        </w:rPr>
        <w:t>出问题的换乘车站。</w:t>
      </w:r>
    </w:p>
    <w:p w14:paraId="1814E758">
      <w:pPr>
        <w:pStyle w:val="5"/>
      </w:pPr>
      <w:r>
        <w:rPr>
          <w:rFonts w:hint="eastAsia"/>
        </w:rPr>
        <w:t>大型体育场馆、会展中心以及大型社会活动中心等短时间会产生大规模突发性客流的车站，宜根据冲击规模和冲击强度，提供站外缓冲空间、进行有组织的限流。</w:t>
      </w:r>
    </w:p>
    <w:p w14:paraId="74FBD137">
      <w:pPr>
        <w:pStyle w:val="5"/>
        <w:tabs>
          <w:tab w:val="left" w:pos="709"/>
          <w:tab w:val="clear" w:pos="630"/>
        </w:tabs>
      </w:pPr>
      <w:r>
        <w:rPr>
          <w:rFonts w:hint="eastAsia"/>
        </w:rPr>
        <w:t>具有清客功能的小交路折返站和故障停车功能的车站，应对远期（客流控制期）清客工况下紧急疏散时间进行校验。</w:t>
      </w:r>
    </w:p>
    <w:p w14:paraId="7B96184C">
      <w:pPr>
        <w:pStyle w:val="5"/>
        <w:tabs>
          <w:tab w:val="left" w:pos="709"/>
          <w:tab w:val="clear" w:pos="630"/>
        </w:tabs>
      </w:pPr>
      <w:r>
        <w:rPr>
          <w:rFonts w:hint="eastAsia"/>
        </w:rPr>
        <w:t>对具有潮汐客流特征的线路起终点站，其通行设施应能适应早晚高峰时段客流不均衡要求，设施宜共享共用。</w:t>
      </w:r>
    </w:p>
    <w:p w14:paraId="482F1C69">
      <w:pPr>
        <w:pStyle w:val="5"/>
        <w:tabs>
          <w:tab w:val="left" w:pos="709"/>
          <w:tab w:val="clear" w:pos="630"/>
        </w:tabs>
        <w:rPr>
          <w:bCs/>
        </w:rPr>
      </w:pPr>
      <w:r>
        <w:rPr>
          <w:rFonts w:hint="eastAsia"/>
        </w:rPr>
        <w:t>地上车站围护结构应综合采取防雨雪、遮阳、保温、隔热和防风措施，并</w:t>
      </w:r>
      <w:r>
        <w:rPr>
          <w:rFonts w:hint="eastAsia"/>
          <w:bCs/>
        </w:rPr>
        <w:t>应满足日常清洁维护要求。</w:t>
      </w:r>
    </w:p>
    <w:p w14:paraId="5261CB46">
      <w:pPr>
        <w:pStyle w:val="4"/>
        <w:tabs>
          <w:tab w:val="left" w:pos="709"/>
          <w:tab w:val="clear" w:pos="462"/>
          <w:tab w:val="clear" w:pos="794"/>
        </w:tabs>
      </w:pPr>
      <w:bookmarkStart w:id="569" w:name="_Toc183683299"/>
      <w:bookmarkEnd w:id="569"/>
      <w:bookmarkStart w:id="570" w:name="_Toc183683511"/>
      <w:bookmarkEnd w:id="570"/>
      <w:bookmarkStart w:id="571" w:name="_Toc183683298"/>
      <w:bookmarkEnd w:id="571"/>
      <w:bookmarkStart w:id="572" w:name="_Toc183683510"/>
      <w:bookmarkEnd w:id="572"/>
      <w:bookmarkStart w:id="573" w:name="_Toc27204"/>
      <w:bookmarkStart w:id="574" w:name="_Toc183683512"/>
      <w:bookmarkStart w:id="575" w:name="_Toc183882451"/>
      <w:bookmarkStart w:id="576" w:name="_Toc183888141"/>
      <w:bookmarkStart w:id="577" w:name="_Toc183765098"/>
      <w:bookmarkStart w:id="578" w:name="_Toc183882089"/>
      <w:bookmarkStart w:id="579" w:name="_Toc183888503"/>
      <w:bookmarkStart w:id="580" w:name="_Toc183790528"/>
      <w:r>
        <w:rPr>
          <w:rFonts w:hint="eastAsia"/>
        </w:rPr>
        <w:t>车站设计标准</w:t>
      </w:r>
      <w:bookmarkEnd w:id="573"/>
      <w:bookmarkEnd w:id="574"/>
      <w:bookmarkEnd w:id="575"/>
      <w:bookmarkEnd w:id="576"/>
      <w:bookmarkEnd w:id="577"/>
      <w:bookmarkEnd w:id="578"/>
      <w:bookmarkEnd w:id="579"/>
      <w:bookmarkEnd w:id="580"/>
    </w:p>
    <w:p w14:paraId="0CC02230">
      <w:pPr>
        <w:pStyle w:val="5"/>
        <w:tabs>
          <w:tab w:val="left" w:pos="709"/>
          <w:tab w:val="clear" w:pos="630"/>
        </w:tabs>
      </w:pPr>
      <w:bookmarkStart w:id="581" w:name="_Toc357929346"/>
      <w:r>
        <w:rPr>
          <w:rFonts w:hint="eastAsia"/>
        </w:rPr>
        <w:t>车站应根据线路一体化规划划定为枢纽级、城市级、区域级、街区级四个层级，确定与之需求相匹配的车站附属设施数量及主要建设控制指标。</w:t>
      </w:r>
    </w:p>
    <w:p w14:paraId="41EC322D">
      <w:pPr>
        <w:pStyle w:val="7"/>
        <w:ind w:firstLine="420"/>
      </w:pPr>
      <w:r>
        <w:rPr>
          <w:rFonts w:hint="eastAsia"/>
        </w:rPr>
        <w:t>区域级以上站点出入口数量不宜少于6个（其中轨道交通换乘站不宜少于8个，两线以上换乘站不宜少于10个）；街区级站点出入口数量不宜少于4个。</w:t>
      </w:r>
    </w:p>
    <w:p w14:paraId="1D4DBEAB">
      <w:pPr>
        <w:pStyle w:val="7"/>
        <w:ind w:firstLine="420"/>
      </w:pPr>
      <w:r>
        <w:rPr>
          <w:rFonts w:hint="eastAsia"/>
        </w:rPr>
        <w:t>轨道站点与周边用地应连尽连，枢纽级、城市级站点连通率宜7</w:t>
      </w:r>
      <w:r>
        <w:t>0%以上。</w:t>
      </w:r>
    </w:p>
    <w:p w14:paraId="4A986330">
      <w:pPr>
        <w:pStyle w:val="7"/>
        <w:ind w:firstLine="420"/>
      </w:pPr>
      <w:r>
        <w:rPr>
          <w:rFonts w:hint="eastAsia"/>
        </w:rPr>
        <w:t>结建率宜按照表1</w:t>
      </w:r>
      <w:r>
        <w:t>0.2.1执行。</w:t>
      </w:r>
    </w:p>
    <w:p w14:paraId="532203B3">
      <w:pPr>
        <w:pStyle w:val="198"/>
      </w:pPr>
      <w:r>
        <w:rPr>
          <w:rFonts w:hint="eastAsia"/>
        </w:rPr>
        <w:t>表</w:t>
      </w:r>
      <w:r>
        <w:t>10.2.1</w:t>
      </w:r>
      <w:r>
        <w:rPr>
          <w:rFonts w:hint="eastAsia"/>
        </w:rPr>
        <w:t xml:space="preserve">  车站结建率建议值</w:t>
      </w:r>
    </w:p>
    <w:tbl>
      <w:tblPr>
        <w:tblStyle w:val="88"/>
        <w:tblW w:w="6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0"/>
        <w:gridCol w:w="1832"/>
        <w:gridCol w:w="1888"/>
      </w:tblGrid>
      <w:tr w14:paraId="4052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0" w:type="dxa"/>
            <w:vAlign w:val="center"/>
          </w:tcPr>
          <w:p w14:paraId="5AF4CD02">
            <w:pPr>
              <w:autoSpaceDE w:val="0"/>
              <w:autoSpaceDN w:val="0"/>
              <w:spacing w:line="240" w:lineRule="auto"/>
              <w:jc w:val="center"/>
              <w:rPr>
                <w:kern w:val="0"/>
                <w:sz w:val="15"/>
                <w:szCs w:val="15"/>
              </w:rPr>
            </w:pPr>
            <w:r>
              <w:rPr>
                <w:rFonts w:hint="eastAsia"/>
                <w:kern w:val="0"/>
                <w:sz w:val="15"/>
                <w:szCs w:val="15"/>
              </w:rPr>
              <w:t>附属结建率</w:t>
            </w:r>
          </w:p>
        </w:tc>
        <w:tc>
          <w:tcPr>
            <w:tcW w:w="1832" w:type="dxa"/>
            <w:vAlign w:val="center"/>
          </w:tcPr>
          <w:p w14:paraId="7C699D8A">
            <w:pPr>
              <w:autoSpaceDE w:val="0"/>
              <w:autoSpaceDN w:val="0"/>
              <w:spacing w:line="240" w:lineRule="auto"/>
              <w:jc w:val="center"/>
              <w:rPr>
                <w:kern w:val="0"/>
                <w:sz w:val="15"/>
                <w:szCs w:val="15"/>
              </w:rPr>
            </w:pPr>
            <w:r>
              <w:rPr>
                <w:rFonts w:hint="eastAsia"/>
                <w:kern w:val="0"/>
                <w:sz w:val="15"/>
                <w:szCs w:val="15"/>
              </w:rPr>
              <w:t>枢纽级/城市级</w:t>
            </w:r>
          </w:p>
        </w:tc>
        <w:tc>
          <w:tcPr>
            <w:tcW w:w="1888" w:type="dxa"/>
            <w:vAlign w:val="center"/>
          </w:tcPr>
          <w:p w14:paraId="7ACDB2D6">
            <w:pPr>
              <w:autoSpaceDE w:val="0"/>
              <w:autoSpaceDN w:val="0"/>
              <w:spacing w:line="240" w:lineRule="auto"/>
              <w:jc w:val="center"/>
              <w:rPr>
                <w:kern w:val="0"/>
                <w:sz w:val="15"/>
                <w:szCs w:val="15"/>
              </w:rPr>
            </w:pPr>
            <w:r>
              <w:rPr>
                <w:rFonts w:hint="eastAsia"/>
                <w:kern w:val="0"/>
                <w:sz w:val="15"/>
                <w:szCs w:val="15"/>
              </w:rPr>
              <w:t>区域级/街区级</w:t>
            </w:r>
          </w:p>
        </w:tc>
      </w:tr>
      <w:tr w14:paraId="24DB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0" w:type="dxa"/>
            <w:vAlign w:val="center"/>
          </w:tcPr>
          <w:p w14:paraId="40600BE7">
            <w:pPr>
              <w:autoSpaceDE w:val="0"/>
              <w:autoSpaceDN w:val="0"/>
              <w:spacing w:line="240" w:lineRule="auto"/>
              <w:jc w:val="center"/>
              <w:rPr>
                <w:kern w:val="0"/>
                <w:sz w:val="15"/>
                <w:szCs w:val="15"/>
              </w:rPr>
            </w:pPr>
            <w:r>
              <w:rPr>
                <w:rFonts w:hint="eastAsia"/>
                <w:kern w:val="0"/>
                <w:sz w:val="15"/>
                <w:szCs w:val="15"/>
              </w:rPr>
              <w:t>周边规划实施率达到80%的站点</w:t>
            </w:r>
          </w:p>
        </w:tc>
        <w:tc>
          <w:tcPr>
            <w:tcW w:w="1832" w:type="dxa"/>
            <w:vAlign w:val="center"/>
          </w:tcPr>
          <w:p w14:paraId="3FB57DE0">
            <w:pPr>
              <w:autoSpaceDE w:val="0"/>
              <w:autoSpaceDN w:val="0"/>
              <w:spacing w:line="240" w:lineRule="auto"/>
              <w:jc w:val="center"/>
              <w:rPr>
                <w:kern w:val="0"/>
                <w:sz w:val="15"/>
                <w:szCs w:val="15"/>
              </w:rPr>
            </w:pPr>
            <w:r>
              <w:rPr>
                <w:rFonts w:hint="eastAsia"/>
                <w:kern w:val="0"/>
                <w:sz w:val="15"/>
                <w:szCs w:val="15"/>
              </w:rPr>
              <w:t>/</w:t>
            </w:r>
          </w:p>
        </w:tc>
        <w:tc>
          <w:tcPr>
            <w:tcW w:w="1888" w:type="dxa"/>
            <w:vAlign w:val="center"/>
          </w:tcPr>
          <w:p w14:paraId="30AAD5DD">
            <w:pPr>
              <w:autoSpaceDE w:val="0"/>
              <w:autoSpaceDN w:val="0"/>
              <w:spacing w:line="240" w:lineRule="auto"/>
              <w:jc w:val="center"/>
              <w:rPr>
                <w:kern w:val="0"/>
                <w:sz w:val="15"/>
                <w:szCs w:val="15"/>
              </w:rPr>
            </w:pPr>
            <w:r>
              <w:rPr>
                <w:rFonts w:hint="eastAsia"/>
                <w:kern w:val="0"/>
                <w:sz w:val="15"/>
                <w:szCs w:val="15"/>
              </w:rPr>
              <w:t>/</w:t>
            </w:r>
          </w:p>
        </w:tc>
      </w:tr>
      <w:tr w14:paraId="4C86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0" w:type="dxa"/>
            <w:vAlign w:val="center"/>
          </w:tcPr>
          <w:p w14:paraId="0CB7E0A8">
            <w:pPr>
              <w:autoSpaceDE w:val="0"/>
              <w:autoSpaceDN w:val="0"/>
              <w:spacing w:line="240" w:lineRule="auto"/>
              <w:jc w:val="center"/>
              <w:rPr>
                <w:kern w:val="0"/>
                <w:sz w:val="15"/>
                <w:szCs w:val="15"/>
              </w:rPr>
            </w:pPr>
            <w:r>
              <w:rPr>
                <w:rFonts w:hint="eastAsia"/>
                <w:kern w:val="0"/>
                <w:sz w:val="15"/>
                <w:szCs w:val="15"/>
              </w:rPr>
              <w:t>周边规划实施率40%-80%的站点</w:t>
            </w:r>
          </w:p>
        </w:tc>
        <w:tc>
          <w:tcPr>
            <w:tcW w:w="1832" w:type="dxa"/>
            <w:vAlign w:val="center"/>
          </w:tcPr>
          <w:p w14:paraId="05323D24">
            <w:pPr>
              <w:autoSpaceDE w:val="0"/>
              <w:autoSpaceDN w:val="0"/>
              <w:spacing w:line="240" w:lineRule="auto"/>
              <w:jc w:val="center"/>
              <w:rPr>
                <w:kern w:val="0"/>
                <w:sz w:val="15"/>
                <w:szCs w:val="15"/>
              </w:rPr>
            </w:pPr>
            <w:r>
              <w:rPr>
                <w:rFonts w:hint="eastAsia"/>
                <w:kern w:val="0"/>
                <w:sz w:val="15"/>
                <w:szCs w:val="15"/>
              </w:rPr>
              <w:t>70%</w:t>
            </w:r>
          </w:p>
        </w:tc>
        <w:tc>
          <w:tcPr>
            <w:tcW w:w="1888" w:type="dxa"/>
            <w:vAlign w:val="center"/>
          </w:tcPr>
          <w:p w14:paraId="736032B7">
            <w:pPr>
              <w:autoSpaceDE w:val="0"/>
              <w:autoSpaceDN w:val="0"/>
              <w:spacing w:line="240" w:lineRule="auto"/>
              <w:jc w:val="center"/>
              <w:rPr>
                <w:kern w:val="0"/>
                <w:sz w:val="15"/>
                <w:szCs w:val="15"/>
              </w:rPr>
            </w:pPr>
            <w:r>
              <w:rPr>
                <w:rFonts w:hint="eastAsia"/>
                <w:kern w:val="0"/>
                <w:sz w:val="15"/>
                <w:szCs w:val="15"/>
              </w:rPr>
              <w:t>50%</w:t>
            </w:r>
          </w:p>
        </w:tc>
      </w:tr>
      <w:tr w14:paraId="7B09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0" w:type="dxa"/>
            <w:vAlign w:val="center"/>
          </w:tcPr>
          <w:p w14:paraId="6149F503">
            <w:pPr>
              <w:autoSpaceDE w:val="0"/>
              <w:autoSpaceDN w:val="0"/>
              <w:spacing w:line="240" w:lineRule="auto"/>
              <w:jc w:val="center"/>
              <w:rPr>
                <w:kern w:val="0"/>
                <w:sz w:val="15"/>
                <w:szCs w:val="15"/>
              </w:rPr>
            </w:pPr>
            <w:r>
              <w:rPr>
                <w:rFonts w:hint="eastAsia"/>
                <w:kern w:val="0"/>
                <w:sz w:val="15"/>
                <w:szCs w:val="15"/>
              </w:rPr>
              <w:t>周边规划实施率低于40%的站点</w:t>
            </w:r>
          </w:p>
        </w:tc>
        <w:tc>
          <w:tcPr>
            <w:tcW w:w="1832" w:type="dxa"/>
            <w:vAlign w:val="center"/>
          </w:tcPr>
          <w:p w14:paraId="6D496B39">
            <w:pPr>
              <w:autoSpaceDE w:val="0"/>
              <w:autoSpaceDN w:val="0"/>
              <w:spacing w:line="240" w:lineRule="auto"/>
              <w:jc w:val="center"/>
              <w:rPr>
                <w:kern w:val="0"/>
                <w:sz w:val="15"/>
                <w:szCs w:val="15"/>
              </w:rPr>
            </w:pPr>
            <w:r>
              <w:rPr>
                <w:rFonts w:hint="eastAsia"/>
                <w:kern w:val="0"/>
                <w:sz w:val="15"/>
                <w:szCs w:val="15"/>
              </w:rPr>
              <w:t>90%</w:t>
            </w:r>
          </w:p>
        </w:tc>
        <w:tc>
          <w:tcPr>
            <w:tcW w:w="1888" w:type="dxa"/>
            <w:vAlign w:val="center"/>
          </w:tcPr>
          <w:p w14:paraId="34A36291">
            <w:pPr>
              <w:autoSpaceDE w:val="0"/>
              <w:autoSpaceDN w:val="0"/>
              <w:spacing w:line="240" w:lineRule="auto"/>
              <w:jc w:val="center"/>
              <w:rPr>
                <w:kern w:val="0"/>
                <w:sz w:val="15"/>
                <w:szCs w:val="15"/>
              </w:rPr>
            </w:pPr>
            <w:r>
              <w:rPr>
                <w:rFonts w:hint="eastAsia"/>
                <w:kern w:val="0"/>
                <w:sz w:val="15"/>
                <w:szCs w:val="15"/>
              </w:rPr>
              <w:t>70%</w:t>
            </w:r>
          </w:p>
        </w:tc>
      </w:tr>
    </w:tbl>
    <w:p w14:paraId="2A391067">
      <w:pPr>
        <w:pStyle w:val="5"/>
        <w:tabs>
          <w:tab w:val="left" w:pos="709"/>
          <w:tab w:val="clear" w:pos="630"/>
        </w:tabs>
      </w:pPr>
      <w:r>
        <w:rPr>
          <w:rFonts w:hint="eastAsia"/>
        </w:rPr>
        <w:t>车站各种设施的通过能力在日常运营工况下应按照日常通过能力计算，宜根据车站分级进行折减；在安全疏散状态下应按照最大通过能力计算，符合表10.2.</w:t>
      </w:r>
      <w:r>
        <w:t>2</w:t>
      </w:r>
      <w:r>
        <w:rPr>
          <w:rFonts w:hint="eastAsia"/>
        </w:rPr>
        <w:t>的规定。</w:t>
      </w:r>
    </w:p>
    <w:p w14:paraId="6A370B2B">
      <w:pPr>
        <w:pStyle w:val="198"/>
      </w:pPr>
      <w:r>
        <w:rPr>
          <w:rFonts w:hint="eastAsia"/>
        </w:rPr>
        <w:t>表10.2.</w:t>
      </w:r>
      <w:r>
        <w:t>2</w:t>
      </w:r>
      <w:r>
        <w:rPr>
          <w:rFonts w:hint="eastAsia"/>
        </w:rPr>
        <w:t xml:space="preserve">  车站各部位的最大通过能力</w:t>
      </w:r>
    </w:p>
    <w:tbl>
      <w:tblPr>
        <w:tblStyle w:val="88"/>
        <w:tblW w:w="6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480"/>
        <w:gridCol w:w="362"/>
        <w:gridCol w:w="986"/>
        <w:gridCol w:w="1689"/>
        <w:gridCol w:w="1856"/>
      </w:tblGrid>
      <w:tr w14:paraId="1D9B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795" w:type="dxa"/>
            <w:gridSpan w:val="4"/>
            <w:vAlign w:val="center"/>
          </w:tcPr>
          <w:p w14:paraId="5CB462F6">
            <w:pPr>
              <w:autoSpaceDE w:val="0"/>
              <w:autoSpaceDN w:val="0"/>
              <w:spacing w:line="240" w:lineRule="auto"/>
              <w:jc w:val="center"/>
              <w:rPr>
                <w:kern w:val="0"/>
                <w:sz w:val="15"/>
                <w:szCs w:val="15"/>
              </w:rPr>
            </w:pPr>
            <w:r>
              <w:rPr>
                <w:rFonts w:hint="eastAsia"/>
                <w:kern w:val="0"/>
                <w:sz w:val="15"/>
                <w:szCs w:val="15"/>
              </w:rPr>
              <w:t>部位名称</w:t>
            </w:r>
          </w:p>
        </w:tc>
        <w:tc>
          <w:tcPr>
            <w:tcW w:w="1689" w:type="dxa"/>
          </w:tcPr>
          <w:p w14:paraId="0F455841">
            <w:pPr>
              <w:autoSpaceDE w:val="0"/>
              <w:autoSpaceDN w:val="0"/>
              <w:spacing w:line="240" w:lineRule="auto"/>
              <w:jc w:val="center"/>
              <w:rPr>
                <w:kern w:val="0"/>
                <w:sz w:val="15"/>
                <w:szCs w:val="15"/>
              </w:rPr>
            </w:pPr>
            <w:r>
              <w:rPr>
                <w:rFonts w:hint="eastAsia"/>
                <w:kern w:val="0"/>
                <w:sz w:val="15"/>
                <w:szCs w:val="15"/>
              </w:rPr>
              <w:t>日常通过能力（人次</w:t>
            </w:r>
            <w:r>
              <w:rPr>
                <w:kern w:val="0"/>
                <w:sz w:val="15"/>
                <w:szCs w:val="15"/>
              </w:rPr>
              <w:t>/h</w:t>
            </w:r>
            <w:r>
              <w:rPr>
                <w:rFonts w:hint="eastAsia"/>
                <w:kern w:val="0"/>
                <w:sz w:val="15"/>
                <w:szCs w:val="15"/>
              </w:rPr>
              <w:t>）</w:t>
            </w:r>
          </w:p>
        </w:tc>
        <w:tc>
          <w:tcPr>
            <w:tcW w:w="1856" w:type="dxa"/>
            <w:vAlign w:val="center"/>
          </w:tcPr>
          <w:p w14:paraId="725763C4">
            <w:pPr>
              <w:autoSpaceDE w:val="0"/>
              <w:autoSpaceDN w:val="0"/>
              <w:spacing w:line="240" w:lineRule="auto"/>
              <w:jc w:val="center"/>
              <w:rPr>
                <w:kern w:val="0"/>
                <w:sz w:val="15"/>
                <w:szCs w:val="15"/>
              </w:rPr>
            </w:pPr>
            <w:r>
              <w:rPr>
                <w:rFonts w:hint="eastAsia"/>
                <w:kern w:val="0"/>
                <w:sz w:val="15"/>
                <w:szCs w:val="15"/>
              </w:rPr>
              <w:t>最大通过能力（人次</w:t>
            </w:r>
            <w:r>
              <w:rPr>
                <w:kern w:val="0"/>
                <w:sz w:val="15"/>
                <w:szCs w:val="15"/>
              </w:rPr>
              <w:t>/h</w:t>
            </w:r>
            <w:r>
              <w:rPr>
                <w:rFonts w:hint="eastAsia"/>
                <w:kern w:val="0"/>
                <w:sz w:val="15"/>
                <w:szCs w:val="15"/>
              </w:rPr>
              <w:t>）</w:t>
            </w:r>
          </w:p>
        </w:tc>
      </w:tr>
      <w:tr w14:paraId="2C91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7" w:type="dxa"/>
            <w:gridSpan w:val="2"/>
            <w:vMerge w:val="restart"/>
            <w:vAlign w:val="center"/>
          </w:tcPr>
          <w:p w14:paraId="6AADACC5">
            <w:pPr>
              <w:autoSpaceDE w:val="0"/>
              <w:autoSpaceDN w:val="0"/>
              <w:spacing w:line="240" w:lineRule="auto"/>
              <w:jc w:val="center"/>
              <w:rPr>
                <w:kern w:val="0"/>
                <w:sz w:val="15"/>
                <w:szCs w:val="15"/>
              </w:rPr>
            </w:pPr>
            <w:r>
              <w:rPr>
                <w:kern w:val="0"/>
                <w:sz w:val="15"/>
                <w:szCs w:val="15"/>
              </w:rPr>
              <w:t>1m</w:t>
            </w:r>
            <w:r>
              <w:rPr>
                <w:rFonts w:hint="eastAsia"/>
                <w:kern w:val="0"/>
                <w:sz w:val="15"/>
                <w:szCs w:val="15"/>
              </w:rPr>
              <w:t>宽楼梯</w:t>
            </w:r>
          </w:p>
        </w:tc>
        <w:tc>
          <w:tcPr>
            <w:tcW w:w="1348" w:type="dxa"/>
            <w:gridSpan w:val="2"/>
            <w:vAlign w:val="center"/>
          </w:tcPr>
          <w:p w14:paraId="23C9E287">
            <w:pPr>
              <w:autoSpaceDE w:val="0"/>
              <w:autoSpaceDN w:val="0"/>
              <w:spacing w:line="240" w:lineRule="auto"/>
              <w:jc w:val="center"/>
              <w:rPr>
                <w:kern w:val="0"/>
                <w:sz w:val="15"/>
                <w:szCs w:val="15"/>
              </w:rPr>
            </w:pPr>
            <w:r>
              <w:rPr>
                <w:rFonts w:hint="eastAsia"/>
                <w:kern w:val="0"/>
                <w:sz w:val="15"/>
                <w:szCs w:val="15"/>
              </w:rPr>
              <w:t>下行</w:t>
            </w:r>
          </w:p>
        </w:tc>
        <w:tc>
          <w:tcPr>
            <w:tcW w:w="1689" w:type="dxa"/>
          </w:tcPr>
          <w:p w14:paraId="13040A2C">
            <w:pPr>
              <w:autoSpaceDE w:val="0"/>
              <w:autoSpaceDN w:val="0"/>
              <w:spacing w:line="240" w:lineRule="auto"/>
              <w:jc w:val="center"/>
              <w:rPr>
                <w:kern w:val="0"/>
                <w:sz w:val="15"/>
                <w:szCs w:val="15"/>
              </w:rPr>
            </w:pPr>
            <w:r>
              <w:rPr>
                <w:rFonts w:hint="eastAsia"/>
                <w:kern w:val="0"/>
                <w:sz w:val="15"/>
                <w:szCs w:val="15"/>
              </w:rPr>
              <w:t>2</w:t>
            </w:r>
            <w:r>
              <w:rPr>
                <w:kern w:val="0"/>
                <w:sz w:val="15"/>
                <w:szCs w:val="15"/>
              </w:rPr>
              <w:t>600</w:t>
            </w:r>
          </w:p>
        </w:tc>
        <w:tc>
          <w:tcPr>
            <w:tcW w:w="1856" w:type="dxa"/>
            <w:vAlign w:val="center"/>
          </w:tcPr>
          <w:p w14:paraId="1D06E525">
            <w:pPr>
              <w:autoSpaceDE w:val="0"/>
              <w:autoSpaceDN w:val="0"/>
              <w:spacing w:line="240" w:lineRule="auto"/>
              <w:jc w:val="center"/>
              <w:rPr>
                <w:kern w:val="0"/>
                <w:sz w:val="15"/>
                <w:szCs w:val="15"/>
              </w:rPr>
            </w:pPr>
            <w:r>
              <w:rPr>
                <w:kern w:val="0"/>
                <w:sz w:val="15"/>
                <w:szCs w:val="15"/>
              </w:rPr>
              <w:t>4200</w:t>
            </w:r>
          </w:p>
        </w:tc>
      </w:tr>
      <w:tr w14:paraId="2ABE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7" w:type="dxa"/>
            <w:gridSpan w:val="2"/>
            <w:vMerge w:val="continue"/>
            <w:vAlign w:val="center"/>
          </w:tcPr>
          <w:p w14:paraId="661732A8">
            <w:pPr>
              <w:autoSpaceDE w:val="0"/>
              <w:autoSpaceDN w:val="0"/>
              <w:spacing w:line="240" w:lineRule="auto"/>
              <w:jc w:val="center"/>
              <w:rPr>
                <w:kern w:val="0"/>
                <w:sz w:val="15"/>
                <w:szCs w:val="15"/>
              </w:rPr>
            </w:pPr>
          </w:p>
        </w:tc>
        <w:tc>
          <w:tcPr>
            <w:tcW w:w="1348" w:type="dxa"/>
            <w:gridSpan w:val="2"/>
            <w:vAlign w:val="center"/>
          </w:tcPr>
          <w:p w14:paraId="22FF4866">
            <w:pPr>
              <w:autoSpaceDE w:val="0"/>
              <w:autoSpaceDN w:val="0"/>
              <w:spacing w:line="240" w:lineRule="auto"/>
              <w:jc w:val="center"/>
              <w:rPr>
                <w:kern w:val="0"/>
                <w:sz w:val="15"/>
                <w:szCs w:val="15"/>
              </w:rPr>
            </w:pPr>
            <w:r>
              <w:rPr>
                <w:rFonts w:hint="eastAsia"/>
                <w:kern w:val="0"/>
                <w:sz w:val="15"/>
                <w:szCs w:val="15"/>
              </w:rPr>
              <w:t>上行</w:t>
            </w:r>
          </w:p>
        </w:tc>
        <w:tc>
          <w:tcPr>
            <w:tcW w:w="1689" w:type="dxa"/>
          </w:tcPr>
          <w:p w14:paraId="36894413">
            <w:pPr>
              <w:autoSpaceDE w:val="0"/>
              <w:autoSpaceDN w:val="0"/>
              <w:spacing w:line="240" w:lineRule="auto"/>
              <w:jc w:val="center"/>
              <w:rPr>
                <w:kern w:val="0"/>
                <w:sz w:val="15"/>
                <w:szCs w:val="15"/>
              </w:rPr>
            </w:pPr>
            <w:r>
              <w:rPr>
                <w:rFonts w:hint="eastAsia"/>
                <w:kern w:val="0"/>
                <w:sz w:val="15"/>
                <w:szCs w:val="15"/>
              </w:rPr>
              <w:t>2</w:t>
            </w:r>
            <w:r>
              <w:rPr>
                <w:kern w:val="0"/>
                <w:sz w:val="15"/>
                <w:szCs w:val="15"/>
              </w:rPr>
              <w:t>400</w:t>
            </w:r>
          </w:p>
        </w:tc>
        <w:tc>
          <w:tcPr>
            <w:tcW w:w="1856" w:type="dxa"/>
            <w:vAlign w:val="center"/>
          </w:tcPr>
          <w:p w14:paraId="4B0570A2">
            <w:pPr>
              <w:autoSpaceDE w:val="0"/>
              <w:autoSpaceDN w:val="0"/>
              <w:spacing w:line="240" w:lineRule="auto"/>
              <w:jc w:val="center"/>
              <w:rPr>
                <w:kern w:val="0"/>
                <w:sz w:val="15"/>
                <w:szCs w:val="15"/>
              </w:rPr>
            </w:pPr>
            <w:r>
              <w:rPr>
                <w:kern w:val="0"/>
                <w:sz w:val="15"/>
                <w:szCs w:val="15"/>
              </w:rPr>
              <w:t>3700</w:t>
            </w:r>
          </w:p>
        </w:tc>
      </w:tr>
      <w:tr w14:paraId="223D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7" w:type="dxa"/>
            <w:gridSpan w:val="2"/>
            <w:vMerge w:val="continue"/>
            <w:vAlign w:val="center"/>
          </w:tcPr>
          <w:p w14:paraId="73FD179E">
            <w:pPr>
              <w:autoSpaceDE w:val="0"/>
              <w:autoSpaceDN w:val="0"/>
              <w:spacing w:line="240" w:lineRule="auto"/>
              <w:jc w:val="center"/>
              <w:rPr>
                <w:kern w:val="0"/>
                <w:sz w:val="15"/>
                <w:szCs w:val="15"/>
              </w:rPr>
            </w:pPr>
          </w:p>
        </w:tc>
        <w:tc>
          <w:tcPr>
            <w:tcW w:w="1348" w:type="dxa"/>
            <w:gridSpan w:val="2"/>
            <w:vAlign w:val="center"/>
          </w:tcPr>
          <w:p w14:paraId="4F800813">
            <w:pPr>
              <w:autoSpaceDE w:val="0"/>
              <w:autoSpaceDN w:val="0"/>
              <w:spacing w:line="240" w:lineRule="auto"/>
              <w:jc w:val="center"/>
              <w:rPr>
                <w:kern w:val="0"/>
                <w:sz w:val="15"/>
                <w:szCs w:val="15"/>
              </w:rPr>
            </w:pPr>
            <w:r>
              <w:rPr>
                <w:rFonts w:hint="eastAsia"/>
                <w:kern w:val="0"/>
                <w:sz w:val="15"/>
                <w:szCs w:val="15"/>
              </w:rPr>
              <w:t>双向混行</w:t>
            </w:r>
          </w:p>
        </w:tc>
        <w:tc>
          <w:tcPr>
            <w:tcW w:w="1689" w:type="dxa"/>
          </w:tcPr>
          <w:p w14:paraId="7DC2AE85">
            <w:pPr>
              <w:autoSpaceDE w:val="0"/>
              <w:autoSpaceDN w:val="0"/>
              <w:spacing w:line="240" w:lineRule="auto"/>
              <w:jc w:val="center"/>
              <w:rPr>
                <w:kern w:val="0"/>
                <w:sz w:val="15"/>
                <w:szCs w:val="15"/>
              </w:rPr>
            </w:pPr>
            <w:r>
              <w:rPr>
                <w:rFonts w:hint="eastAsia"/>
                <w:kern w:val="0"/>
                <w:sz w:val="15"/>
                <w:szCs w:val="15"/>
              </w:rPr>
              <w:t>2</w:t>
            </w:r>
            <w:r>
              <w:rPr>
                <w:kern w:val="0"/>
                <w:sz w:val="15"/>
                <w:szCs w:val="15"/>
              </w:rPr>
              <w:t>000</w:t>
            </w:r>
          </w:p>
        </w:tc>
        <w:tc>
          <w:tcPr>
            <w:tcW w:w="1856" w:type="dxa"/>
            <w:vAlign w:val="center"/>
          </w:tcPr>
          <w:p w14:paraId="30AE1A8E">
            <w:pPr>
              <w:autoSpaceDE w:val="0"/>
              <w:autoSpaceDN w:val="0"/>
              <w:spacing w:line="240" w:lineRule="auto"/>
              <w:jc w:val="center"/>
              <w:rPr>
                <w:kern w:val="0"/>
                <w:sz w:val="15"/>
                <w:szCs w:val="15"/>
              </w:rPr>
            </w:pPr>
            <w:r>
              <w:rPr>
                <w:kern w:val="0"/>
                <w:sz w:val="15"/>
                <w:szCs w:val="15"/>
              </w:rPr>
              <w:t>3200</w:t>
            </w:r>
          </w:p>
        </w:tc>
      </w:tr>
      <w:tr w14:paraId="7E9E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7" w:type="dxa"/>
            <w:gridSpan w:val="2"/>
            <w:vMerge w:val="restart"/>
            <w:vAlign w:val="center"/>
          </w:tcPr>
          <w:p w14:paraId="2D312696">
            <w:pPr>
              <w:autoSpaceDE w:val="0"/>
              <w:autoSpaceDN w:val="0"/>
              <w:spacing w:line="240" w:lineRule="auto"/>
              <w:jc w:val="center"/>
              <w:rPr>
                <w:kern w:val="0"/>
                <w:sz w:val="15"/>
                <w:szCs w:val="15"/>
              </w:rPr>
            </w:pPr>
            <w:r>
              <w:rPr>
                <w:kern w:val="0"/>
                <w:sz w:val="15"/>
                <w:szCs w:val="15"/>
              </w:rPr>
              <w:t>1m</w:t>
            </w:r>
            <w:r>
              <w:rPr>
                <w:rFonts w:hint="eastAsia"/>
                <w:kern w:val="0"/>
                <w:sz w:val="15"/>
                <w:szCs w:val="15"/>
              </w:rPr>
              <w:t>宽通道</w:t>
            </w:r>
          </w:p>
        </w:tc>
        <w:tc>
          <w:tcPr>
            <w:tcW w:w="1348" w:type="dxa"/>
            <w:gridSpan w:val="2"/>
            <w:vAlign w:val="center"/>
          </w:tcPr>
          <w:p w14:paraId="51A20303">
            <w:pPr>
              <w:autoSpaceDE w:val="0"/>
              <w:autoSpaceDN w:val="0"/>
              <w:spacing w:line="240" w:lineRule="auto"/>
              <w:jc w:val="center"/>
              <w:rPr>
                <w:kern w:val="0"/>
                <w:sz w:val="15"/>
                <w:szCs w:val="15"/>
              </w:rPr>
            </w:pPr>
            <w:r>
              <w:rPr>
                <w:rFonts w:hint="eastAsia"/>
                <w:kern w:val="0"/>
                <w:sz w:val="15"/>
                <w:szCs w:val="15"/>
              </w:rPr>
              <w:t>单向</w:t>
            </w:r>
          </w:p>
        </w:tc>
        <w:tc>
          <w:tcPr>
            <w:tcW w:w="1689" w:type="dxa"/>
          </w:tcPr>
          <w:p w14:paraId="4F5A5E9C">
            <w:pPr>
              <w:autoSpaceDE w:val="0"/>
              <w:autoSpaceDN w:val="0"/>
              <w:spacing w:line="240" w:lineRule="auto"/>
              <w:jc w:val="center"/>
              <w:rPr>
                <w:kern w:val="0"/>
                <w:sz w:val="15"/>
                <w:szCs w:val="15"/>
              </w:rPr>
            </w:pPr>
            <w:r>
              <w:rPr>
                <w:rFonts w:hint="eastAsia"/>
                <w:kern w:val="0"/>
                <w:sz w:val="15"/>
                <w:szCs w:val="15"/>
              </w:rPr>
              <w:t>3</w:t>
            </w:r>
            <w:r>
              <w:rPr>
                <w:kern w:val="0"/>
                <w:sz w:val="15"/>
                <w:szCs w:val="15"/>
              </w:rPr>
              <w:t>000</w:t>
            </w:r>
          </w:p>
        </w:tc>
        <w:tc>
          <w:tcPr>
            <w:tcW w:w="1856" w:type="dxa"/>
            <w:vAlign w:val="center"/>
          </w:tcPr>
          <w:p w14:paraId="58EC5C50">
            <w:pPr>
              <w:autoSpaceDE w:val="0"/>
              <w:autoSpaceDN w:val="0"/>
              <w:spacing w:line="240" w:lineRule="auto"/>
              <w:jc w:val="center"/>
              <w:rPr>
                <w:kern w:val="0"/>
                <w:sz w:val="15"/>
                <w:szCs w:val="15"/>
              </w:rPr>
            </w:pPr>
            <w:r>
              <w:rPr>
                <w:kern w:val="0"/>
                <w:sz w:val="15"/>
                <w:szCs w:val="15"/>
              </w:rPr>
              <w:t>5000</w:t>
            </w:r>
          </w:p>
        </w:tc>
      </w:tr>
      <w:tr w14:paraId="0824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7" w:type="dxa"/>
            <w:gridSpan w:val="2"/>
            <w:vMerge w:val="continue"/>
            <w:vAlign w:val="center"/>
          </w:tcPr>
          <w:p w14:paraId="1C02E0DB">
            <w:pPr>
              <w:autoSpaceDE w:val="0"/>
              <w:autoSpaceDN w:val="0"/>
              <w:spacing w:line="240" w:lineRule="auto"/>
              <w:jc w:val="center"/>
              <w:rPr>
                <w:kern w:val="0"/>
                <w:sz w:val="15"/>
                <w:szCs w:val="15"/>
              </w:rPr>
            </w:pPr>
          </w:p>
        </w:tc>
        <w:tc>
          <w:tcPr>
            <w:tcW w:w="1348" w:type="dxa"/>
            <w:gridSpan w:val="2"/>
            <w:vAlign w:val="center"/>
          </w:tcPr>
          <w:p w14:paraId="3578EAE1">
            <w:pPr>
              <w:autoSpaceDE w:val="0"/>
              <w:autoSpaceDN w:val="0"/>
              <w:spacing w:line="240" w:lineRule="auto"/>
              <w:jc w:val="center"/>
              <w:rPr>
                <w:kern w:val="0"/>
                <w:sz w:val="15"/>
                <w:szCs w:val="15"/>
              </w:rPr>
            </w:pPr>
            <w:r>
              <w:rPr>
                <w:rFonts w:hint="eastAsia"/>
                <w:kern w:val="0"/>
                <w:sz w:val="15"/>
                <w:szCs w:val="15"/>
              </w:rPr>
              <w:t>双向混行</w:t>
            </w:r>
          </w:p>
        </w:tc>
        <w:tc>
          <w:tcPr>
            <w:tcW w:w="1689" w:type="dxa"/>
          </w:tcPr>
          <w:p w14:paraId="7AD791DA">
            <w:pPr>
              <w:autoSpaceDE w:val="0"/>
              <w:autoSpaceDN w:val="0"/>
              <w:spacing w:line="240" w:lineRule="auto"/>
              <w:jc w:val="center"/>
              <w:rPr>
                <w:kern w:val="0"/>
                <w:sz w:val="15"/>
                <w:szCs w:val="15"/>
              </w:rPr>
            </w:pPr>
            <w:r>
              <w:rPr>
                <w:rFonts w:hint="eastAsia"/>
                <w:kern w:val="0"/>
                <w:sz w:val="15"/>
                <w:szCs w:val="15"/>
              </w:rPr>
              <w:t>2</w:t>
            </w:r>
            <w:r>
              <w:rPr>
                <w:kern w:val="0"/>
                <w:sz w:val="15"/>
                <w:szCs w:val="15"/>
              </w:rPr>
              <w:t>000</w:t>
            </w:r>
          </w:p>
        </w:tc>
        <w:tc>
          <w:tcPr>
            <w:tcW w:w="1856" w:type="dxa"/>
            <w:vAlign w:val="center"/>
          </w:tcPr>
          <w:p w14:paraId="3B03496A">
            <w:pPr>
              <w:autoSpaceDE w:val="0"/>
              <w:autoSpaceDN w:val="0"/>
              <w:spacing w:line="240" w:lineRule="auto"/>
              <w:jc w:val="center"/>
              <w:rPr>
                <w:kern w:val="0"/>
                <w:sz w:val="15"/>
                <w:szCs w:val="15"/>
              </w:rPr>
            </w:pPr>
            <w:r>
              <w:rPr>
                <w:kern w:val="0"/>
                <w:sz w:val="15"/>
                <w:szCs w:val="15"/>
              </w:rPr>
              <w:t>4000</w:t>
            </w:r>
          </w:p>
        </w:tc>
      </w:tr>
      <w:tr w14:paraId="6A6E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7" w:type="dxa"/>
            <w:gridSpan w:val="2"/>
            <w:vMerge w:val="restart"/>
            <w:vAlign w:val="center"/>
          </w:tcPr>
          <w:p w14:paraId="6ED268B2">
            <w:pPr>
              <w:autoSpaceDE w:val="0"/>
              <w:autoSpaceDN w:val="0"/>
              <w:spacing w:line="240" w:lineRule="auto"/>
              <w:jc w:val="center"/>
              <w:rPr>
                <w:kern w:val="0"/>
                <w:sz w:val="15"/>
                <w:szCs w:val="15"/>
              </w:rPr>
            </w:pPr>
            <w:r>
              <w:rPr>
                <w:rFonts w:hint="eastAsia"/>
                <w:kern w:val="0"/>
                <w:sz w:val="15"/>
                <w:szCs w:val="15"/>
              </w:rPr>
              <w:t>梯级宽</w:t>
            </w:r>
            <w:r>
              <w:rPr>
                <w:kern w:val="0"/>
                <w:sz w:val="15"/>
                <w:szCs w:val="15"/>
              </w:rPr>
              <w:t>1m</w:t>
            </w:r>
            <w:r>
              <w:rPr>
                <w:rFonts w:hint="eastAsia"/>
                <w:kern w:val="0"/>
                <w:sz w:val="15"/>
                <w:szCs w:val="15"/>
              </w:rPr>
              <w:t>的自动扶梯</w:t>
            </w:r>
          </w:p>
        </w:tc>
        <w:tc>
          <w:tcPr>
            <w:tcW w:w="1348" w:type="dxa"/>
            <w:gridSpan w:val="2"/>
            <w:vAlign w:val="center"/>
          </w:tcPr>
          <w:p w14:paraId="190766EF">
            <w:pPr>
              <w:autoSpaceDE w:val="0"/>
              <w:autoSpaceDN w:val="0"/>
              <w:spacing w:line="240" w:lineRule="auto"/>
              <w:jc w:val="center"/>
              <w:rPr>
                <w:kern w:val="0"/>
                <w:sz w:val="15"/>
                <w:szCs w:val="15"/>
              </w:rPr>
            </w:pPr>
            <w:r>
              <w:rPr>
                <w:rFonts w:hint="eastAsia"/>
                <w:kern w:val="0"/>
                <w:sz w:val="15"/>
                <w:szCs w:val="15"/>
              </w:rPr>
              <w:t>名义速度</w:t>
            </w:r>
            <w:r>
              <w:rPr>
                <w:kern w:val="0"/>
                <w:sz w:val="15"/>
                <w:szCs w:val="15"/>
              </w:rPr>
              <w:t>0.5m/s</w:t>
            </w:r>
          </w:p>
        </w:tc>
        <w:tc>
          <w:tcPr>
            <w:tcW w:w="1689" w:type="dxa"/>
          </w:tcPr>
          <w:p w14:paraId="4C049273">
            <w:pPr>
              <w:autoSpaceDE w:val="0"/>
              <w:autoSpaceDN w:val="0"/>
              <w:spacing w:line="240" w:lineRule="auto"/>
              <w:jc w:val="center"/>
              <w:rPr>
                <w:kern w:val="0"/>
                <w:sz w:val="15"/>
                <w:szCs w:val="15"/>
              </w:rPr>
            </w:pPr>
            <w:r>
              <w:rPr>
                <w:rFonts w:hint="eastAsia"/>
                <w:kern w:val="0"/>
                <w:sz w:val="15"/>
                <w:szCs w:val="15"/>
              </w:rPr>
              <w:t>4</w:t>
            </w:r>
            <w:r>
              <w:rPr>
                <w:kern w:val="0"/>
                <w:sz w:val="15"/>
                <w:szCs w:val="15"/>
              </w:rPr>
              <w:t>500</w:t>
            </w:r>
          </w:p>
        </w:tc>
        <w:tc>
          <w:tcPr>
            <w:tcW w:w="1856" w:type="dxa"/>
            <w:vAlign w:val="center"/>
          </w:tcPr>
          <w:p w14:paraId="66732562">
            <w:pPr>
              <w:autoSpaceDE w:val="0"/>
              <w:autoSpaceDN w:val="0"/>
              <w:spacing w:line="240" w:lineRule="auto"/>
              <w:jc w:val="center"/>
              <w:rPr>
                <w:kern w:val="0"/>
                <w:sz w:val="15"/>
                <w:szCs w:val="15"/>
              </w:rPr>
            </w:pPr>
            <w:r>
              <w:rPr>
                <w:kern w:val="0"/>
                <w:sz w:val="15"/>
                <w:szCs w:val="15"/>
              </w:rPr>
              <w:t xml:space="preserve">6000 </w:t>
            </w:r>
          </w:p>
        </w:tc>
      </w:tr>
      <w:tr w14:paraId="1115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7" w:type="dxa"/>
            <w:gridSpan w:val="2"/>
            <w:vMerge w:val="continue"/>
            <w:vAlign w:val="center"/>
          </w:tcPr>
          <w:p w14:paraId="1C9FDF83">
            <w:pPr>
              <w:autoSpaceDE w:val="0"/>
              <w:autoSpaceDN w:val="0"/>
              <w:spacing w:line="240" w:lineRule="auto"/>
              <w:jc w:val="center"/>
              <w:rPr>
                <w:kern w:val="0"/>
                <w:sz w:val="15"/>
                <w:szCs w:val="15"/>
              </w:rPr>
            </w:pPr>
          </w:p>
        </w:tc>
        <w:tc>
          <w:tcPr>
            <w:tcW w:w="1348" w:type="dxa"/>
            <w:gridSpan w:val="2"/>
            <w:vAlign w:val="center"/>
          </w:tcPr>
          <w:p w14:paraId="3C4E694D">
            <w:pPr>
              <w:autoSpaceDE w:val="0"/>
              <w:autoSpaceDN w:val="0"/>
              <w:spacing w:line="240" w:lineRule="auto"/>
              <w:jc w:val="center"/>
              <w:rPr>
                <w:kern w:val="0"/>
                <w:sz w:val="15"/>
                <w:szCs w:val="15"/>
              </w:rPr>
            </w:pPr>
            <w:r>
              <w:rPr>
                <w:rFonts w:hint="eastAsia"/>
                <w:kern w:val="0"/>
                <w:sz w:val="15"/>
                <w:szCs w:val="15"/>
              </w:rPr>
              <w:t>名义速度</w:t>
            </w:r>
            <w:r>
              <w:rPr>
                <w:kern w:val="0"/>
                <w:sz w:val="15"/>
                <w:szCs w:val="15"/>
              </w:rPr>
              <w:t>0.65m/s</w:t>
            </w:r>
          </w:p>
        </w:tc>
        <w:tc>
          <w:tcPr>
            <w:tcW w:w="1689" w:type="dxa"/>
          </w:tcPr>
          <w:p w14:paraId="272A781B">
            <w:pPr>
              <w:autoSpaceDE w:val="0"/>
              <w:autoSpaceDN w:val="0"/>
              <w:spacing w:line="240" w:lineRule="auto"/>
              <w:jc w:val="center"/>
              <w:rPr>
                <w:kern w:val="0"/>
                <w:sz w:val="15"/>
                <w:szCs w:val="15"/>
              </w:rPr>
            </w:pPr>
            <w:r>
              <w:rPr>
                <w:rFonts w:hint="eastAsia"/>
                <w:kern w:val="0"/>
                <w:sz w:val="15"/>
                <w:szCs w:val="15"/>
              </w:rPr>
              <w:t>4</w:t>
            </w:r>
            <w:r>
              <w:rPr>
                <w:kern w:val="0"/>
                <w:sz w:val="15"/>
                <w:szCs w:val="15"/>
              </w:rPr>
              <w:t>800</w:t>
            </w:r>
          </w:p>
        </w:tc>
        <w:tc>
          <w:tcPr>
            <w:tcW w:w="1856" w:type="dxa"/>
            <w:vAlign w:val="center"/>
          </w:tcPr>
          <w:p w14:paraId="234E6213">
            <w:pPr>
              <w:autoSpaceDE w:val="0"/>
              <w:autoSpaceDN w:val="0"/>
              <w:spacing w:line="240" w:lineRule="auto"/>
              <w:jc w:val="center"/>
              <w:rPr>
                <w:kern w:val="0"/>
                <w:sz w:val="15"/>
                <w:szCs w:val="15"/>
              </w:rPr>
            </w:pPr>
            <w:r>
              <w:rPr>
                <w:kern w:val="0"/>
                <w:sz w:val="15"/>
                <w:szCs w:val="15"/>
              </w:rPr>
              <w:t xml:space="preserve">7300 </w:t>
            </w:r>
          </w:p>
        </w:tc>
      </w:tr>
      <w:tr w14:paraId="0600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7" w:type="dxa"/>
            <w:gridSpan w:val="2"/>
            <w:vMerge w:val="restart"/>
            <w:vAlign w:val="center"/>
          </w:tcPr>
          <w:p w14:paraId="78DA8A71">
            <w:pPr>
              <w:autoSpaceDE w:val="0"/>
              <w:autoSpaceDN w:val="0"/>
              <w:spacing w:line="240" w:lineRule="auto"/>
              <w:jc w:val="center"/>
              <w:rPr>
                <w:kern w:val="0"/>
                <w:sz w:val="15"/>
                <w:szCs w:val="15"/>
              </w:rPr>
            </w:pPr>
            <w:r>
              <w:rPr>
                <w:rFonts w:hint="eastAsia"/>
                <w:kern w:val="0"/>
                <w:sz w:val="15"/>
                <w:szCs w:val="15"/>
              </w:rPr>
              <w:t>梯级宽</w:t>
            </w:r>
            <w:r>
              <w:rPr>
                <w:kern w:val="0"/>
                <w:sz w:val="15"/>
                <w:szCs w:val="15"/>
              </w:rPr>
              <w:t>0.6m</w:t>
            </w:r>
            <w:r>
              <w:rPr>
                <w:rFonts w:hint="eastAsia"/>
                <w:kern w:val="0"/>
                <w:sz w:val="15"/>
                <w:szCs w:val="15"/>
              </w:rPr>
              <w:t>的自动扶梯</w:t>
            </w:r>
          </w:p>
        </w:tc>
        <w:tc>
          <w:tcPr>
            <w:tcW w:w="1348" w:type="dxa"/>
            <w:gridSpan w:val="2"/>
            <w:vAlign w:val="center"/>
          </w:tcPr>
          <w:p w14:paraId="72FE1539">
            <w:pPr>
              <w:autoSpaceDE w:val="0"/>
              <w:autoSpaceDN w:val="0"/>
              <w:spacing w:line="240" w:lineRule="auto"/>
              <w:jc w:val="center"/>
              <w:rPr>
                <w:kern w:val="0"/>
                <w:sz w:val="15"/>
                <w:szCs w:val="15"/>
              </w:rPr>
            </w:pPr>
            <w:r>
              <w:rPr>
                <w:rFonts w:hint="eastAsia"/>
                <w:kern w:val="0"/>
                <w:sz w:val="15"/>
                <w:szCs w:val="15"/>
              </w:rPr>
              <w:t>名义速度</w:t>
            </w:r>
            <w:r>
              <w:rPr>
                <w:kern w:val="0"/>
                <w:sz w:val="15"/>
                <w:szCs w:val="15"/>
              </w:rPr>
              <w:t>0.5m/s</w:t>
            </w:r>
          </w:p>
        </w:tc>
        <w:tc>
          <w:tcPr>
            <w:tcW w:w="1689" w:type="dxa"/>
          </w:tcPr>
          <w:p w14:paraId="1881156F">
            <w:pPr>
              <w:autoSpaceDE w:val="0"/>
              <w:autoSpaceDN w:val="0"/>
              <w:spacing w:line="240" w:lineRule="auto"/>
              <w:jc w:val="center"/>
              <w:rPr>
                <w:kern w:val="0"/>
                <w:sz w:val="15"/>
                <w:szCs w:val="15"/>
              </w:rPr>
            </w:pPr>
            <w:r>
              <w:rPr>
                <w:rFonts w:hint="eastAsia"/>
                <w:kern w:val="0"/>
                <w:sz w:val="15"/>
                <w:szCs w:val="15"/>
              </w:rPr>
              <w:t>2</w:t>
            </w:r>
            <w:r>
              <w:rPr>
                <w:kern w:val="0"/>
                <w:sz w:val="15"/>
                <w:szCs w:val="15"/>
              </w:rPr>
              <w:t>700</w:t>
            </w:r>
          </w:p>
        </w:tc>
        <w:tc>
          <w:tcPr>
            <w:tcW w:w="1856" w:type="dxa"/>
            <w:vAlign w:val="center"/>
          </w:tcPr>
          <w:p w14:paraId="2B200231">
            <w:pPr>
              <w:autoSpaceDE w:val="0"/>
              <w:autoSpaceDN w:val="0"/>
              <w:spacing w:line="240" w:lineRule="auto"/>
              <w:jc w:val="center"/>
              <w:rPr>
                <w:kern w:val="0"/>
                <w:sz w:val="15"/>
                <w:szCs w:val="15"/>
              </w:rPr>
            </w:pPr>
            <w:r>
              <w:rPr>
                <w:kern w:val="0"/>
                <w:sz w:val="15"/>
                <w:szCs w:val="15"/>
              </w:rPr>
              <w:t xml:space="preserve">3600 </w:t>
            </w:r>
          </w:p>
        </w:tc>
      </w:tr>
      <w:tr w14:paraId="034B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7" w:type="dxa"/>
            <w:gridSpan w:val="2"/>
            <w:vMerge w:val="continue"/>
            <w:vAlign w:val="center"/>
          </w:tcPr>
          <w:p w14:paraId="68E48C36">
            <w:pPr>
              <w:autoSpaceDE w:val="0"/>
              <w:autoSpaceDN w:val="0"/>
              <w:spacing w:line="240" w:lineRule="auto"/>
              <w:jc w:val="center"/>
              <w:rPr>
                <w:kern w:val="0"/>
                <w:sz w:val="15"/>
                <w:szCs w:val="15"/>
              </w:rPr>
            </w:pPr>
          </w:p>
        </w:tc>
        <w:tc>
          <w:tcPr>
            <w:tcW w:w="1348" w:type="dxa"/>
            <w:gridSpan w:val="2"/>
            <w:vAlign w:val="center"/>
          </w:tcPr>
          <w:p w14:paraId="22E3D46D">
            <w:pPr>
              <w:autoSpaceDE w:val="0"/>
              <w:autoSpaceDN w:val="0"/>
              <w:spacing w:line="240" w:lineRule="auto"/>
              <w:jc w:val="center"/>
              <w:rPr>
                <w:kern w:val="0"/>
                <w:sz w:val="15"/>
                <w:szCs w:val="15"/>
              </w:rPr>
            </w:pPr>
            <w:r>
              <w:rPr>
                <w:rFonts w:hint="eastAsia"/>
                <w:kern w:val="0"/>
                <w:sz w:val="15"/>
                <w:szCs w:val="15"/>
              </w:rPr>
              <w:t>名义速度</w:t>
            </w:r>
            <w:r>
              <w:rPr>
                <w:kern w:val="0"/>
                <w:sz w:val="15"/>
                <w:szCs w:val="15"/>
              </w:rPr>
              <w:t>0.65m/s</w:t>
            </w:r>
          </w:p>
        </w:tc>
        <w:tc>
          <w:tcPr>
            <w:tcW w:w="1689" w:type="dxa"/>
          </w:tcPr>
          <w:p w14:paraId="19592727">
            <w:pPr>
              <w:autoSpaceDE w:val="0"/>
              <w:autoSpaceDN w:val="0"/>
              <w:spacing w:line="240" w:lineRule="auto"/>
              <w:jc w:val="center"/>
              <w:rPr>
                <w:kern w:val="0"/>
                <w:sz w:val="15"/>
                <w:szCs w:val="15"/>
              </w:rPr>
            </w:pPr>
            <w:r>
              <w:rPr>
                <w:rFonts w:hint="eastAsia"/>
                <w:kern w:val="0"/>
                <w:sz w:val="15"/>
                <w:szCs w:val="15"/>
              </w:rPr>
              <w:t>2</w:t>
            </w:r>
            <w:r>
              <w:rPr>
                <w:kern w:val="0"/>
                <w:sz w:val="15"/>
                <w:szCs w:val="15"/>
              </w:rPr>
              <w:t>900</w:t>
            </w:r>
          </w:p>
        </w:tc>
        <w:tc>
          <w:tcPr>
            <w:tcW w:w="1856" w:type="dxa"/>
            <w:vAlign w:val="center"/>
          </w:tcPr>
          <w:p w14:paraId="0C3FB693">
            <w:pPr>
              <w:autoSpaceDE w:val="0"/>
              <w:autoSpaceDN w:val="0"/>
              <w:spacing w:line="240" w:lineRule="auto"/>
              <w:jc w:val="center"/>
              <w:rPr>
                <w:kern w:val="0"/>
                <w:sz w:val="15"/>
                <w:szCs w:val="15"/>
              </w:rPr>
            </w:pPr>
            <w:r>
              <w:rPr>
                <w:kern w:val="0"/>
                <w:sz w:val="15"/>
                <w:szCs w:val="15"/>
              </w:rPr>
              <w:t xml:space="preserve">4400 </w:t>
            </w:r>
          </w:p>
        </w:tc>
      </w:tr>
      <w:tr w14:paraId="5B54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95" w:type="dxa"/>
            <w:gridSpan w:val="4"/>
            <w:vAlign w:val="center"/>
          </w:tcPr>
          <w:p w14:paraId="0D875B8A">
            <w:pPr>
              <w:autoSpaceDE w:val="0"/>
              <w:autoSpaceDN w:val="0"/>
              <w:spacing w:line="240" w:lineRule="auto"/>
              <w:jc w:val="center"/>
              <w:rPr>
                <w:kern w:val="0"/>
                <w:sz w:val="15"/>
                <w:szCs w:val="15"/>
              </w:rPr>
            </w:pPr>
            <w:r>
              <w:rPr>
                <w:kern w:val="0"/>
                <w:sz w:val="15"/>
                <w:szCs w:val="15"/>
              </w:rPr>
              <w:t>1m</w:t>
            </w:r>
            <w:r>
              <w:rPr>
                <w:rFonts w:hint="eastAsia"/>
                <w:kern w:val="0"/>
                <w:sz w:val="15"/>
                <w:szCs w:val="15"/>
              </w:rPr>
              <w:t>宽栅栏门</w:t>
            </w:r>
          </w:p>
        </w:tc>
        <w:tc>
          <w:tcPr>
            <w:tcW w:w="3545" w:type="dxa"/>
            <w:gridSpan w:val="2"/>
          </w:tcPr>
          <w:p w14:paraId="1CCF64A0">
            <w:pPr>
              <w:autoSpaceDE w:val="0"/>
              <w:autoSpaceDN w:val="0"/>
              <w:spacing w:line="240" w:lineRule="auto"/>
              <w:jc w:val="center"/>
              <w:rPr>
                <w:kern w:val="0"/>
                <w:sz w:val="15"/>
                <w:szCs w:val="15"/>
              </w:rPr>
            </w:pPr>
            <w:r>
              <w:rPr>
                <w:kern w:val="0"/>
                <w:sz w:val="15"/>
                <w:szCs w:val="15"/>
              </w:rPr>
              <w:t>5000</w:t>
            </w:r>
          </w:p>
        </w:tc>
      </w:tr>
      <w:tr w14:paraId="6D7B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95" w:type="dxa"/>
            <w:gridSpan w:val="4"/>
            <w:vAlign w:val="center"/>
          </w:tcPr>
          <w:p w14:paraId="42AB6D26">
            <w:pPr>
              <w:autoSpaceDE w:val="0"/>
              <w:autoSpaceDN w:val="0"/>
              <w:spacing w:line="240" w:lineRule="auto"/>
              <w:jc w:val="center"/>
              <w:rPr>
                <w:kern w:val="0"/>
                <w:sz w:val="15"/>
                <w:szCs w:val="15"/>
              </w:rPr>
            </w:pPr>
            <w:r>
              <w:rPr>
                <w:rFonts w:hint="eastAsia"/>
                <w:kern w:val="0"/>
                <w:sz w:val="15"/>
                <w:szCs w:val="15"/>
              </w:rPr>
              <w:t>人工检票口*</w:t>
            </w:r>
          </w:p>
        </w:tc>
        <w:tc>
          <w:tcPr>
            <w:tcW w:w="3545" w:type="dxa"/>
            <w:gridSpan w:val="2"/>
          </w:tcPr>
          <w:p w14:paraId="45872AA3">
            <w:pPr>
              <w:autoSpaceDE w:val="0"/>
              <w:autoSpaceDN w:val="0"/>
              <w:spacing w:line="240" w:lineRule="auto"/>
              <w:jc w:val="center"/>
              <w:rPr>
                <w:kern w:val="0"/>
                <w:sz w:val="15"/>
                <w:szCs w:val="15"/>
              </w:rPr>
            </w:pPr>
            <w:r>
              <w:rPr>
                <w:kern w:val="0"/>
                <w:sz w:val="15"/>
                <w:szCs w:val="15"/>
              </w:rPr>
              <w:t>2600</w:t>
            </w:r>
          </w:p>
        </w:tc>
      </w:tr>
      <w:tr w14:paraId="434D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7" w:type="dxa"/>
            <w:vAlign w:val="center"/>
          </w:tcPr>
          <w:p w14:paraId="391A3AAE">
            <w:pPr>
              <w:autoSpaceDE w:val="0"/>
              <w:autoSpaceDN w:val="0"/>
              <w:spacing w:line="240" w:lineRule="auto"/>
              <w:jc w:val="center"/>
              <w:rPr>
                <w:kern w:val="0"/>
                <w:sz w:val="15"/>
                <w:szCs w:val="15"/>
              </w:rPr>
            </w:pPr>
            <w:r>
              <w:rPr>
                <w:kern w:val="0"/>
                <w:sz w:val="15"/>
                <w:szCs w:val="15"/>
              </w:rPr>
              <w:t>自动检票机</w:t>
            </w:r>
            <w:r>
              <w:rPr>
                <w:rFonts w:hint="eastAsia"/>
                <w:kern w:val="0"/>
                <w:sz w:val="15"/>
                <w:szCs w:val="15"/>
              </w:rPr>
              <w:t>*</w:t>
            </w:r>
          </w:p>
        </w:tc>
        <w:tc>
          <w:tcPr>
            <w:tcW w:w="842" w:type="dxa"/>
            <w:gridSpan w:val="2"/>
            <w:vAlign w:val="center"/>
          </w:tcPr>
          <w:p w14:paraId="3E49EB1F">
            <w:pPr>
              <w:autoSpaceDE w:val="0"/>
              <w:autoSpaceDN w:val="0"/>
              <w:spacing w:line="240" w:lineRule="auto"/>
              <w:jc w:val="center"/>
              <w:rPr>
                <w:kern w:val="0"/>
                <w:sz w:val="15"/>
                <w:szCs w:val="15"/>
              </w:rPr>
            </w:pPr>
            <w:r>
              <w:rPr>
                <w:rFonts w:hint="eastAsia"/>
                <w:kern w:val="0"/>
                <w:sz w:val="15"/>
                <w:szCs w:val="15"/>
              </w:rPr>
              <w:t>双向门扉式</w:t>
            </w:r>
          </w:p>
        </w:tc>
        <w:tc>
          <w:tcPr>
            <w:tcW w:w="986" w:type="dxa"/>
            <w:vAlign w:val="center"/>
          </w:tcPr>
          <w:p w14:paraId="34CDC9CC">
            <w:pPr>
              <w:autoSpaceDE w:val="0"/>
              <w:autoSpaceDN w:val="0"/>
              <w:spacing w:line="240" w:lineRule="auto"/>
              <w:jc w:val="center"/>
              <w:rPr>
                <w:kern w:val="0"/>
                <w:sz w:val="15"/>
                <w:szCs w:val="15"/>
              </w:rPr>
            </w:pPr>
            <w:r>
              <w:rPr>
                <w:rFonts w:hint="eastAsia"/>
                <w:kern w:val="0"/>
                <w:sz w:val="15"/>
                <w:szCs w:val="15"/>
              </w:rPr>
              <w:t>非接触</w:t>
            </w:r>
            <w:r>
              <w:rPr>
                <w:kern w:val="0"/>
                <w:sz w:val="15"/>
                <w:szCs w:val="15"/>
              </w:rPr>
              <w:t>IC</w:t>
            </w:r>
            <w:r>
              <w:rPr>
                <w:rFonts w:hint="eastAsia"/>
                <w:kern w:val="0"/>
                <w:sz w:val="15"/>
                <w:szCs w:val="15"/>
              </w:rPr>
              <w:t>卡</w:t>
            </w:r>
          </w:p>
        </w:tc>
        <w:tc>
          <w:tcPr>
            <w:tcW w:w="3545" w:type="dxa"/>
            <w:gridSpan w:val="2"/>
          </w:tcPr>
          <w:p w14:paraId="55C3602A">
            <w:pPr>
              <w:autoSpaceDE w:val="0"/>
              <w:autoSpaceDN w:val="0"/>
              <w:spacing w:line="240" w:lineRule="auto"/>
              <w:jc w:val="center"/>
              <w:rPr>
                <w:kern w:val="0"/>
                <w:sz w:val="15"/>
                <w:szCs w:val="15"/>
              </w:rPr>
            </w:pPr>
            <w:r>
              <w:rPr>
                <w:rFonts w:hint="eastAsia"/>
                <w:kern w:val="0"/>
                <w:sz w:val="15"/>
                <w:szCs w:val="15"/>
              </w:rPr>
              <w:t>进站</w:t>
            </w:r>
            <w:r>
              <w:rPr>
                <w:kern w:val="0"/>
                <w:sz w:val="15"/>
                <w:szCs w:val="15"/>
              </w:rPr>
              <w:t>1300</w:t>
            </w:r>
            <w:r>
              <w:rPr>
                <w:rFonts w:hint="eastAsia"/>
                <w:kern w:val="0"/>
                <w:sz w:val="15"/>
                <w:szCs w:val="15"/>
              </w:rPr>
              <w:t>，出站</w:t>
            </w:r>
            <w:r>
              <w:rPr>
                <w:kern w:val="0"/>
                <w:sz w:val="15"/>
                <w:szCs w:val="15"/>
              </w:rPr>
              <w:t>900</w:t>
            </w:r>
          </w:p>
        </w:tc>
      </w:tr>
    </w:tbl>
    <w:p w14:paraId="7D5BFB28">
      <w:pPr>
        <w:ind w:left="945" w:leftChars="200" w:hanging="525" w:hangingChars="350"/>
        <w:rPr>
          <w:sz w:val="15"/>
          <w:szCs w:val="18"/>
        </w:rPr>
      </w:pPr>
      <w:r>
        <w:rPr>
          <w:rFonts w:hint="eastAsia"/>
          <w:sz w:val="15"/>
          <w:szCs w:val="18"/>
        </w:rPr>
        <w:t>注：</w:t>
      </w:r>
      <w:r>
        <w:rPr>
          <w:sz w:val="15"/>
          <w:szCs w:val="18"/>
        </w:rPr>
        <w:t xml:space="preserve">1 </w:t>
      </w:r>
      <w:r>
        <w:rPr>
          <w:rFonts w:hint="eastAsia"/>
          <w:sz w:val="15"/>
          <w:szCs w:val="18"/>
        </w:rPr>
        <w:t xml:space="preserve"> 表中通行设施的通过能力是指在正常运营工况下的通过能力，如果部分设施在事故状态下的通过能力不同，应根据设施的具体参数或具体工程技术标准而确定，例如人工及自动检票机等；</w:t>
      </w:r>
    </w:p>
    <w:p w14:paraId="4CBF1AED">
      <w:pPr>
        <w:ind w:left="1005" w:leftChars="300" w:hanging="375" w:hangingChars="250"/>
        <w:rPr>
          <w:sz w:val="15"/>
          <w:szCs w:val="18"/>
        </w:rPr>
      </w:pPr>
      <w:r>
        <w:rPr>
          <w:sz w:val="15"/>
          <w:szCs w:val="18"/>
        </w:rPr>
        <w:t xml:space="preserve">2 </w:t>
      </w:r>
      <w:r>
        <w:rPr>
          <w:rFonts w:hint="eastAsia"/>
          <w:sz w:val="15"/>
          <w:szCs w:val="18"/>
        </w:rPr>
        <w:t xml:space="preserve"> 本表中自动扶梯的通过能力是以自动扶梯倾角为</w:t>
      </w:r>
      <w:r>
        <w:rPr>
          <w:sz w:val="15"/>
          <w:szCs w:val="18"/>
        </w:rPr>
        <w:t>30</w:t>
      </w:r>
      <w:r>
        <w:rPr>
          <w:rFonts w:hint="eastAsia"/>
          <w:sz w:val="15"/>
          <w:szCs w:val="18"/>
        </w:rPr>
        <w:t>°时确定的参数，当采用其他</w:t>
      </w:r>
    </w:p>
    <w:p w14:paraId="5A78D76E">
      <w:pPr>
        <w:ind w:firstLine="750" w:firstLineChars="500"/>
        <w:rPr>
          <w:sz w:val="15"/>
          <w:szCs w:val="18"/>
        </w:rPr>
      </w:pPr>
      <w:r>
        <w:rPr>
          <w:rFonts w:hint="eastAsia"/>
          <w:sz w:val="15"/>
          <w:szCs w:val="18"/>
        </w:rPr>
        <w:t>倾角的自动扶梯时，以确定选用的自动扶梯的通过能力参数为准；</w:t>
      </w:r>
    </w:p>
    <w:p w14:paraId="68ED6EED">
      <w:pPr>
        <w:ind w:left="1005" w:leftChars="300" w:hanging="375" w:hangingChars="250"/>
        <w:rPr>
          <w:sz w:val="15"/>
          <w:szCs w:val="18"/>
        </w:rPr>
      </w:pPr>
      <w:r>
        <w:rPr>
          <w:sz w:val="15"/>
          <w:szCs w:val="18"/>
        </w:rPr>
        <w:t>3</w:t>
      </w:r>
      <w:r>
        <w:rPr>
          <w:rFonts w:hint="eastAsia"/>
          <w:sz w:val="15"/>
          <w:szCs w:val="18"/>
        </w:rPr>
        <w:t xml:space="preserve">  带</w:t>
      </w:r>
      <w:r>
        <w:rPr>
          <w:sz w:val="15"/>
          <w:szCs w:val="18"/>
        </w:rPr>
        <w:t xml:space="preserve"> * </w:t>
      </w:r>
      <w:r>
        <w:rPr>
          <w:rFonts w:hint="eastAsia"/>
          <w:sz w:val="15"/>
          <w:szCs w:val="18"/>
        </w:rPr>
        <w:t>的相关设施的通过能力或服务能力的标准，仅作参考，具体可根据本地和项</w:t>
      </w:r>
    </w:p>
    <w:p w14:paraId="77C55D60">
      <w:pPr>
        <w:ind w:left="1065" w:leftChars="400" w:hanging="225" w:hangingChars="150"/>
        <w:rPr>
          <w:sz w:val="15"/>
          <w:szCs w:val="18"/>
        </w:rPr>
      </w:pPr>
      <w:r>
        <w:rPr>
          <w:rFonts w:hint="eastAsia"/>
          <w:sz w:val="15"/>
          <w:szCs w:val="18"/>
        </w:rPr>
        <w:t>目的具体情况选用数据。</w:t>
      </w:r>
    </w:p>
    <w:p w14:paraId="699C1F90">
      <w:pPr>
        <w:numPr>
          <w:ilvl w:val="2"/>
          <w:numId w:val="1"/>
        </w:numPr>
        <w:tabs>
          <w:tab w:val="left" w:pos="709"/>
          <w:tab w:val="left" w:pos="794"/>
          <w:tab w:val="left" w:pos="935"/>
          <w:tab w:val="left" w:pos="1502"/>
        </w:tabs>
        <w:outlineLvl w:val="2"/>
        <w:rPr>
          <w:bCs/>
        </w:rPr>
      </w:pPr>
      <w:r>
        <w:rPr>
          <w:rFonts w:hint="eastAsia"/>
          <w:bCs/>
        </w:rPr>
        <w:t>车站各部位最小净宽和最小净高应符合下列规定：</w:t>
      </w:r>
    </w:p>
    <w:p w14:paraId="2573C289">
      <w:pPr>
        <w:pStyle w:val="198"/>
      </w:pPr>
      <w:r>
        <w:rPr>
          <w:rFonts w:hint="eastAsia"/>
        </w:rPr>
        <w:t>表10.2.</w:t>
      </w:r>
      <w:r>
        <w:t>3-1</w:t>
      </w:r>
      <w:r>
        <w:rPr>
          <w:rFonts w:hint="eastAsia"/>
        </w:rPr>
        <w:t xml:space="preserve">  车站各部位的最小净宽要求</w:t>
      </w:r>
    </w:p>
    <w:tbl>
      <w:tblPr>
        <w:tblStyle w:val="88"/>
        <w:tblW w:w="6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6"/>
        <w:gridCol w:w="2572"/>
      </w:tblGrid>
      <w:tr w14:paraId="4823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636" w:type="dxa"/>
            <w:vAlign w:val="center"/>
          </w:tcPr>
          <w:p w14:paraId="64FAD8D6">
            <w:pPr>
              <w:autoSpaceDE w:val="0"/>
              <w:autoSpaceDN w:val="0"/>
              <w:spacing w:line="240" w:lineRule="auto"/>
              <w:jc w:val="center"/>
              <w:rPr>
                <w:kern w:val="0"/>
                <w:sz w:val="15"/>
                <w:szCs w:val="15"/>
              </w:rPr>
            </w:pPr>
            <w:r>
              <w:rPr>
                <w:rFonts w:hint="eastAsia"/>
                <w:kern w:val="0"/>
                <w:sz w:val="15"/>
                <w:szCs w:val="15"/>
              </w:rPr>
              <w:t>部位名称</w:t>
            </w:r>
          </w:p>
        </w:tc>
        <w:tc>
          <w:tcPr>
            <w:tcW w:w="2572" w:type="dxa"/>
            <w:vAlign w:val="center"/>
          </w:tcPr>
          <w:p w14:paraId="065D6622">
            <w:pPr>
              <w:autoSpaceDE w:val="0"/>
              <w:autoSpaceDN w:val="0"/>
              <w:spacing w:line="240" w:lineRule="auto"/>
              <w:jc w:val="center"/>
              <w:rPr>
                <w:kern w:val="0"/>
                <w:sz w:val="15"/>
                <w:szCs w:val="15"/>
              </w:rPr>
            </w:pPr>
            <w:r>
              <w:rPr>
                <w:rFonts w:hint="eastAsia"/>
                <w:kern w:val="0"/>
                <w:sz w:val="15"/>
                <w:szCs w:val="15"/>
              </w:rPr>
              <w:t>最小净宽要求（m）</w:t>
            </w:r>
          </w:p>
        </w:tc>
      </w:tr>
      <w:tr w14:paraId="7C202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6" w:type="dxa"/>
            <w:vAlign w:val="center"/>
          </w:tcPr>
          <w:p w14:paraId="2231CE26">
            <w:pPr>
              <w:autoSpaceDE w:val="0"/>
              <w:autoSpaceDN w:val="0"/>
              <w:spacing w:line="240" w:lineRule="auto"/>
              <w:jc w:val="center"/>
              <w:rPr>
                <w:kern w:val="0"/>
                <w:sz w:val="15"/>
                <w:szCs w:val="15"/>
              </w:rPr>
            </w:pPr>
            <w:r>
              <w:rPr>
                <w:rFonts w:hint="eastAsia"/>
                <w:kern w:val="0"/>
                <w:sz w:val="15"/>
                <w:szCs w:val="15"/>
              </w:rPr>
              <w:t>乘客日常使用的通道及双向公共区人行楼梯</w:t>
            </w:r>
          </w:p>
        </w:tc>
        <w:tc>
          <w:tcPr>
            <w:tcW w:w="2572" w:type="dxa"/>
            <w:vAlign w:val="center"/>
          </w:tcPr>
          <w:p w14:paraId="6BBE3C67">
            <w:pPr>
              <w:autoSpaceDE w:val="0"/>
              <w:autoSpaceDN w:val="0"/>
              <w:spacing w:line="240" w:lineRule="auto"/>
              <w:jc w:val="center"/>
              <w:rPr>
                <w:kern w:val="0"/>
                <w:sz w:val="15"/>
                <w:szCs w:val="15"/>
              </w:rPr>
            </w:pPr>
            <w:r>
              <w:rPr>
                <w:kern w:val="0"/>
                <w:sz w:val="15"/>
                <w:szCs w:val="15"/>
              </w:rPr>
              <w:t>2.4</w:t>
            </w:r>
          </w:p>
        </w:tc>
      </w:tr>
      <w:tr w14:paraId="3F32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6" w:type="dxa"/>
            <w:vAlign w:val="center"/>
          </w:tcPr>
          <w:p w14:paraId="78CD74D6">
            <w:pPr>
              <w:autoSpaceDE w:val="0"/>
              <w:autoSpaceDN w:val="0"/>
              <w:spacing w:line="240" w:lineRule="auto"/>
              <w:jc w:val="center"/>
              <w:rPr>
                <w:kern w:val="0"/>
                <w:sz w:val="15"/>
                <w:szCs w:val="15"/>
              </w:rPr>
            </w:pPr>
            <w:r>
              <w:rPr>
                <w:rFonts w:hint="eastAsia"/>
                <w:kern w:val="0"/>
                <w:sz w:val="15"/>
                <w:szCs w:val="15"/>
              </w:rPr>
              <w:t>单向公共区人行楼梯及区间风井疏散楼梯</w:t>
            </w:r>
          </w:p>
        </w:tc>
        <w:tc>
          <w:tcPr>
            <w:tcW w:w="2572" w:type="dxa"/>
            <w:vAlign w:val="center"/>
          </w:tcPr>
          <w:p w14:paraId="7D0836FD">
            <w:pPr>
              <w:autoSpaceDE w:val="0"/>
              <w:autoSpaceDN w:val="0"/>
              <w:spacing w:line="240" w:lineRule="auto"/>
              <w:jc w:val="center"/>
              <w:rPr>
                <w:kern w:val="0"/>
                <w:sz w:val="15"/>
                <w:szCs w:val="15"/>
              </w:rPr>
            </w:pPr>
            <w:r>
              <w:rPr>
                <w:kern w:val="0"/>
                <w:sz w:val="15"/>
                <w:szCs w:val="15"/>
              </w:rPr>
              <w:t>1.8</w:t>
            </w:r>
          </w:p>
        </w:tc>
      </w:tr>
      <w:tr w14:paraId="375B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6" w:type="dxa"/>
            <w:vAlign w:val="center"/>
          </w:tcPr>
          <w:p w14:paraId="12853C4D">
            <w:pPr>
              <w:autoSpaceDE w:val="0"/>
              <w:autoSpaceDN w:val="0"/>
              <w:spacing w:line="240" w:lineRule="auto"/>
              <w:jc w:val="center"/>
              <w:rPr>
                <w:kern w:val="0"/>
                <w:sz w:val="15"/>
                <w:szCs w:val="15"/>
              </w:rPr>
            </w:pPr>
            <w:r>
              <w:rPr>
                <w:rFonts w:hint="eastAsia"/>
                <w:kern w:val="0"/>
                <w:sz w:val="15"/>
                <w:szCs w:val="15"/>
              </w:rPr>
              <w:t>乘客及工作人员消防疏散楼梯</w:t>
            </w:r>
          </w:p>
        </w:tc>
        <w:tc>
          <w:tcPr>
            <w:tcW w:w="2572" w:type="dxa"/>
            <w:vAlign w:val="center"/>
          </w:tcPr>
          <w:p w14:paraId="1C6705EE">
            <w:pPr>
              <w:autoSpaceDE w:val="0"/>
              <w:autoSpaceDN w:val="0"/>
              <w:spacing w:line="240" w:lineRule="auto"/>
              <w:jc w:val="center"/>
              <w:rPr>
                <w:kern w:val="0"/>
                <w:sz w:val="15"/>
                <w:szCs w:val="15"/>
              </w:rPr>
            </w:pPr>
            <w:r>
              <w:rPr>
                <w:kern w:val="0"/>
                <w:sz w:val="15"/>
                <w:szCs w:val="15"/>
              </w:rPr>
              <w:t>1.2</w:t>
            </w:r>
          </w:p>
        </w:tc>
      </w:tr>
      <w:tr w14:paraId="3D98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6" w:type="dxa"/>
            <w:vAlign w:val="center"/>
          </w:tcPr>
          <w:p w14:paraId="41946E4E">
            <w:pPr>
              <w:autoSpaceDE w:val="0"/>
              <w:autoSpaceDN w:val="0"/>
              <w:spacing w:line="240" w:lineRule="auto"/>
              <w:jc w:val="center"/>
              <w:rPr>
                <w:kern w:val="0"/>
                <w:sz w:val="15"/>
                <w:szCs w:val="15"/>
              </w:rPr>
            </w:pPr>
            <w:r>
              <w:rPr>
                <w:rFonts w:hint="eastAsia"/>
                <w:kern w:val="0"/>
                <w:sz w:val="15"/>
                <w:szCs w:val="15"/>
              </w:rPr>
              <w:t>轨行区与站台联系楼梯</w:t>
            </w:r>
          </w:p>
        </w:tc>
        <w:tc>
          <w:tcPr>
            <w:tcW w:w="2572" w:type="dxa"/>
            <w:vAlign w:val="center"/>
          </w:tcPr>
          <w:p w14:paraId="76588950">
            <w:pPr>
              <w:autoSpaceDE w:val="0"/>
              <w:autoSpaceDN w:val="0"/>
              <w:spacing w:line="240" w:lineRule="auto"/>
              <w:jc w:val="center"/>
              <w:rPr>
                <w:kern w:val="0"/>
                <w:sz w:val="15"/>
                <w:szCs w:val="15"/>
              </w:rPr>
            </w:pPr>
            <w:r>
              <w:rPr>
                <w:rFonts w:hint="eastAsia"/>
                <w:kern w:val="0"/>
                <w:sz w:val="15"/>
                <w:szCs w:val="15"/>
              </w:rPr>
              <w:t>1</w:t>
            </w:r>
            <w:r>
              <w:rPr>
                <w:kern w:val="0"/>
                <w:sz w:val="15"/>
                <w:szCs w:val="15"/>
              </w:rPr>
              <w:t>.1</w:t>
            </w:r>
          </w:p>
        </w:tc>
      </w:tr>
      <w:tr w14:paraId="56ED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6" w:type="dxa"/>
            <w:vAlign w:val="center"/>
          </w:tcPr>
          <w:p w14:paraId="2813DFDE">
            <w:pPr>
              <w:autoSpaceDE w:val="0"/>
              <w:autoSpaceDN w:val="0"/>
              <w:spacing w:line="240" w:lineRule="auto"/>
              <w:jc w:val="center"/>
              <w:rPr>
                <w:kern w:val="0"/>
                <w:sz w:val="15"/>
                <w:szCs w:val="15"/>
              </w:rPr>
            </w:pPr>
            <w:r>
              <w:rPr>
                <w:rFonts w:hint="eastAsia"/>
                <w:kern w:val="0"/>
                <w:sz w:val="15"/>
                <w:szCs w:val="15"/>
              </w:rPr>
              <w:t>风道内上下联系楼梯</w:t>
            </w:r>
          </w:p>
        </w:tc>
        <w:tc>
          <w:tcPr>
            <w:tcW w:w="2572" w:type="dxa"/>
            <w:vAlign w:val="center"/>
          </w:tcPr>
          <w:p w14:paraId="1D801D38">
            <w:pPr>
              <w:autoSpaceDE w:val="0"/>
              <w:autoSpaceDN w:val="0"/>
              <w:spacing w:line="240" w:lineRule="auto"/>
              <w:jc w:val="center"/>
              <w:rPr>
                <w:kern w:val="0"/>
                <w:sz w:val="15"/>
                <w:szCs w:val="15"/>
              </w:rPr>
            </w:pPr>
            <w:r>
              <w:rPr>
                <w:kern w:val="0"/>
                <w:sz w:val="15"/>
                <w:szCs w:val="15"/>
              </w:rPr>
              <w:t>0.9</w:t>
            </w:r>
          </w:p>
        </w:tc>
      </w:tr>
    </w:tbl>
    <w:p w14:paraId="77BD8D3F">
      <w:pPr>
        <w:spacing w:line="240" w:lineRule="auto"/>
        <w:jc w:val="center"/>
        <w:rPr>
          <w:rFonts w:ascii="Arial" w:hAnsi="Arial" w:eastAsia="黑体"/>
          <w:bCs/>
          <w:spacing w:val="4"/>
          <w:sz w:val="18"/>
          <w:szCs w:val="32"/>
        </w:rPr>
      </w:pPr>
    </w:p>
    <w:p w14:paraId="3DE0AF7C">
      <w:pPr>
        <w:spacing w:line="240" w:lineRule="auto"/>
        <w:jc w:val="center"/>
        <w:rPr>
          <w:rFonts w:ascii="Arial" w:hAnsi="Arial" w:eastAsia="黑体"/>
          <w:bCs/>
          <w:spacing w:val="4"/>
          <w:sz w:val="18"/>
          <w:szCs w:val="32"/>
        </w:rPr>
      </w:pPr>
      <w:r>
        <w:rPr>
          <w:rFonts w:hint="eastAsia" w:ascii="Arial" w:hAnsi="Arial" w:eastAsia="黑体"/>
          <w:bCs/>
          <w:spacing w:val="4"/>
          <w:sz w:val="18"/>
          <w:szCs w:val="32"/>
        </w:rPr>
        <w:t>表10.2.</w:t>
      </w:r>
      <w:r>
        <w:rPr>
          <w:rFonts w:ascii="Arial" w:hAnsi="Arial" w:eastAsia="黑体"/>
          <w:bCs/>
          <w:spacing w:val="4"/>
          <w:sz w:val="18"/>
          <w:szCs w:val="32"/>
        </w:rPr>
        <w:t>3-2</w:t>
      </w:r>
      <w:r>
        <w:rPr>
          <w:rFonts w:hint="eastAsia" w:ascii="Arial" w:hAnsi="Arial" w:eastAsia="黑体"/>
          <w:bCs/>
          <w:spacing w:val="4"/>
          <w:sz w:val="18"/>
          <w:szCs w:val="32"/>
        </w:rPr>
        <w:t xml:space="preserve">  车站各部位的最小净高要求</w:t>
      </w:r>
    </w:p>
    <w:tbl>
      <w:tblPr>
        <w:tblStyle w:val="88"/>
        <w:tblW w:w="6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6"/>
        <w:gridCol w:w="2572"/>
      </w:tblGrid>
      <w:tr w14:paraId="3124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636" w:type="dxa"/>
            <w:vAlign w:val="center"/>
          </w:tcPr>
          <w:p w14:paraId="6FB8FCCA">
            <w:pPr>
              <w:autoSpaceDE w:val="0"/>
              <w:autoSpaceDN w:val="0"/>
              <w:spacing w:line="240" w:lineRule="auto"/>
              <w:jc w:val="center"/>
              <w:rPr>
                <w:kern w:val="0"/>
                <w:sz w:val="15"/>
                <w:szCs w:val="15"/>
              </w:rPr>
            </w:pPr>
            <w:r>
              <w:rPr>
                <w:rFonts w:hint="eastAsia"/>
                <w:kern w:val="0"/>
                <w:sz w:val="15"/>
                <w:szCs w:val="15"/>
              </w:rPr>
              <w:t>部位名称</w:t>
            </w:r>
          </w:p>
        </w:tc>
        <w:tc>
          <w:tcPr>
            <w:tcW w:w="2572" w:type="dxa"/>
            <w:vAlign w:val="center"/>
          </w:tcPr>
          <w:p w14:paraId="26C6BBEF">
            <w:pPr>
              <w:autoSpaceDE w:val="0"/>
              <w:autoSpaceDN w:val="0"/>
              <w:spacing w:line="240" w:lineRule="auto"/>
              <w:jc w:val="center"/>
              <w:rPr>
                <w:kern w:val="0"/>
                <w:sz w:val="15"/>
                <w:szCs w:val="15"/>
              </w:rPr>
            </w:pPr>
            <w:r>
              <w:rPr>
                <w:rFonts w:hint="eastAsia"/>
                <w:kern w:val="0"/>
                <w:sz w:val="15"/>
                <w:szCs w:val="15"/>
              </w:rPr>
              <w:t>最小净高要求（m）</w:t>
            </w:r>
          </w:p>
        </w:tc>
      </w:tr>
      <w:tr w14:paraId="5FBE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6" w:type="dxa"/>
            <w:vAlign w:val="center"/>
          </w:tcPr>
          <w:p w14:paraId="601D0EFC">
            <w:pPr>
              <w:autoSpaceDE w:val="0"/>
              <w:autoSpaceDN w:val="0"/>
              <w:spacing w:line="240" w:lineRule="auto"/>
              <w:jc w:val="center"/>
              <w:rPr>
                <w:kern w:val="0"/>
                <w:sz w:val="15"/>
                <w:szCs w:val="15"/>
              </w:rPr>
            </w:pPr>
            <w:r>
              <w:rPr>
                <w:rFonts w:hint="eastAsia"/>
                <w:kern w:val="0"/>
                <w:sz w:val="15"/>
                <w:szCs w:val="15"/>
              </w:rPr>
              <w:t>乘客通行公共区域</w:t>
            </w:r>
          </w:p>
        </w:tc>
        <w:tc>
          <w:tcPr>
            <w:tcW w:w="2572" w:type="dxa"/>
            <w:vAlign w:val="center"/>
          </w:tcPr>
          <w:p w14:paraId="55D4CCB6">
            <w:pPr>
              <w:autoSpaceDE w:val="0"/>
              <w:autoSpaceDN w:val="0"/>
              <w:spacing w:line="240" w:lineRule="auto"/>
              <w:jc w:val="center"/>
              <w:rPr>
                <w:kern w:val="0"/>
                <w:sz w:val="15"/>
                <w:szCs w:val="15"/>
              </w:rPr>
            </w:pPr>
            <w:r>
              <w:rPr>
                <w:kern w:val="0"/>
                <w:sz w:val="15"/>
                <w:szCs w:val="15"/>
              </w:rPr>
              <w:t>2.4</w:t>
            </w:r>
          </w:p>
        </w:tc>
      </w:tr>
      <w:tr w14:paraId="6D63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6" w:type="dxa"/>
            <w:vAlign w:val="center"/>
          </w:tcPr>
          <w:p w14:paraId="211A4BA7">
            <w:pPr>
              <w:autoSpaceDE w:val="0"/>
              <w:autoSpaceDN w:val="0"/>
              <w:spacing w:line="240" w:lineRule="auto"/>
              <w:jc w:val="center"/>
              <w:rPr>
                <w:kern w:val="0"/>
                <w:sz w:val="15"/>
                <w:szCs w:val="15"/>
              </w:rPr>
            </w:pPr>
            <w:r>
              <w:rPr>
                <w:rFonts w:hint="eastAsia"/>
                <w:kern w:val="0"/>
                <w:sz w:val="15"/>
                <w:szCs w:val="15"/>
              </w:rPr>
              <w:t>工作人员专用通行区域</w:t>
            </w:r>
          </w:p>
        </w:tc>
        <w:tc>
          <w:tcPr>
            <w:tcW w:w="2572" w:type="dxa"/>
            <w:vAlign w:val="center"/>
          </w:tcPr>
          <w:p w14:paraId="08D4F913">
            <w:pPr>
              <w:autoSpaceDE w:val="0"/>
              <w:autoSpaceDN w:val="0"/>
              <w:spacing w:line="240" w:lineRule="auto"/>
              <w:jc w:val="center"/>
              <w:rPr>
                <w:kern w:val="0"/>
                <w:sz w:val="15"/>
                <w:szCs w:val="15"/>
              </w:rPr>
            </w:pPr>
            <w:r>
              <w:rPr>
                <w:kern w:val="0"/>
                <w:sz w:val="15"/>
                <w:szCs w:val="15"/>
              </w:rPr>
              <w:t>2.1</w:t>
            </w:r>
          </w:p>
        </w:tc>
      </w:tr>
      <w:bookmarkEnd w:id="581"/>
    </w:tbl>
    <w:p w14:paraId="2E511209">
      <w:pPr>
        <w:pStyle w:val="5"/>
      </w:pPr>
      <w:bookmarkStart w:id="582" w:name="_Toc357929348"/>
      <w:bookmarkStart w:id="583" w:name="_Toc579"/>
      <w:r>
        <w:rPr>
          <w:rFonts w:hint="eastAsia"/>
        </w:rPr>
        <w:t>车站公共区宜设置母婴室及公共卫生间。</w:t>
      </w:r>
    </w:p>
    <w:p w14:paraId="772DB11E">
      <w:pPr>
        <w:pStyle w:val="4"/>
        <w:tabs>
          <w:tab w:val="left" w:pos="709"/>
          <w:tab w:val="clear" w:pos="462"/>
          <w:tab w:val="clear" w:pos="794"/>
        </w:tabs>
      </w:pPr>
      <w:bookmarkStart w:id="584" w:name="_Toc183683513"/>
      <w:bookmarkStart w:id="585" w:name="_Toc183882452"/>
      <w:bookmarkStart w:id="586" w:name="_Toc183888504"/>
      <w:bookmarkStart w:id="587" w:name="_Toc183790529"/>
      <w:bookmarkStart w:id="588" w:name="_Toc183882090"/>
      <w:bookmarkStart w:id="589" w:name="_Toc183888142"/>
      <w:bookmarkStart w:id="590" w:name="_Toc183765099"/>
      <w:r>
        <w:rPr>
          <w:rFonts w:hint="eastAsia"/>
        </w:rPr>
        <w:t>车站总体布局</w:t>
      </w:r>
      <w:bookmarkEnd w:id="582"/>
      <w:bookmarkEnd w:id="583"/>
      <w:bookmarkEnd w:id="584"/>
      <w:bookmarkEnd w:id="585"/>
      <w:bookmarkEnd w:id="586"/>
      <w:bookmarkEnd w:id="587"/>
      <w:bookmarkEnd w:id="588"/>
      <w:bookmarkEnd w:id="589"/>
      <w:bookmarkEnd w:id="590"/>
    </w:p>
    <w:p w14:paraId="2EF0C18A">
      <w:pPr>
        <w:pStyle w:val="5"/>
        <w:tabs>
          <w:tab w:val="left" w:pos="709"/>
          <w:tab w:val="clear" w:pos="630"/>
        </w:tabs>
      </w:pPr>
      <w:r>
        <w:rPr>
          <w:rFonts w:hint="eastAsia"/>
        </w:rPr>
        <w:t>车站选址应综合考虑潜在服务客源分布、可开发土地资源、现状与规划用地性质、</w:t>
      </w:r>
      <w:r>
        <w:t>道路交通条件</w:t>
      </w:r>
      <w:r>
        <w:rPr>
          <w:rFonts w:hint="eastAsia"/>
        </w:rPr>
        <w:t>等方面因素，根据分向</w:t>
      </w:r>
      <w:r>
        <w:t>客流</w:t>
      </w:r>
      <w:r>
        <w:rPr>
          <w:rFonts w:hint="eastAsia"/>
        </w:rPr>
        <w:t>合理</w:t>
      </w:r>
      <w:r>
        <w:t>选择</w:t>
      </w:r>
      <w:r>
        <w:rPr>
          <w:rFonts w:hint="eastAsia"/>
        </w:rPr>
        <w:t>车站站位，宜靠近主</w:t>
      </w:r>
      <w:r>
        <w:t>客流区域。</w:t>
      </w:r>
      <w:r>
        <w:rPr>
          <w:rFonts w:hint="eastAsia"/>
        </w:rPr>
        <w:t>受条件限制车站主体偏离时，宜靠近主客流设置出入口。</w:t>
      </w:r>
    </w:p>
    <w:p w14:paraId="653D8580">
      <w:pPr>
        <w:pStyle w:val="5"/>
        <w:tabs>
          <w:tab w:val="left" w:pos="709"/>
          <w:tab w:val="clear" w:pos="630"/>
        </w:tabs>
      </w:pPr>
      <w:r>
        <w:rPr>
          <w:rFonts w:hint="eastAsia"/>
        </w:rPr>
        <w:t>车站与产业用地、公共管理用地与公共服务设施等公共空间用地贴邻时，站厅公共区及出入口宜与相邻建筑地下空间衔接，地面附属设施宜与相邻建筑结合设置，</w:t>
      </w:r>
      <w:r>
        <w:t>困难</w:t>
      </w:r>
      <w:r>
        <w:rPr>
          <w:rFonts w:hint="eastAsia"/>
        </w:rPr>
        <w:t>情况下可与地面景观或构筑物结合设置。不具备同步建设条件时，应预留结合条件。</w:t>
      </w:r>
    </w:p>
    <w:p w14:paraId="04376C73">
      <w:pPr>
        <w:pStyle w:val="5"/>
        <w:tabs>
          <w:tab w:val="left" w:pos="709"/>
          <w:tab w:val="clear" w:pos="630"/>
        </w:tabs>
      </w:pPr>
      <w:r>
        <w:rPr>
          <w:rFonts w:hint="eastAsia"/>
        </w:rPr>
        <w:t>地下车站总平面布局应根据线路特征、运营要求、车站周边环境和规划条件、城市道路、车站规模和形式，区间采用的施工方法等条件确定，合理选择车站布局形式和出入口、风亭、冷却塔等附属设施的位置，节省占地、充分利用空间，并应符合规划、消防、人防、环保和城市景观等要求。</w:t>
      </w:r>
    </w:p>
    <w:p w14:paraId="5D482F4C">
      <w:pPr>
        <w:pStyle w:val="5"/>
        <w:tabs>
          <w:tab w:val="left" w:pos="709"/>
          <w:tab w:val="clear" w:pos="630"/>
        </w:tabs>
      </w:pPr>
      <w:r>
        <w:rPr>
          <w:rFonts w:hint="eastAsia"/>
        </w:rPr>
        <w:t>地下车站竖向布局应根据线路敷设方式、地下管线、地下构筑物和区间穿越条件等因素确定，车站埋置深度宜浅。</w:t>
      </w:r>
    </w:p>
    <w:p w14:paraId="354B674D">
      <w:pPr>
        <w:pStyle w:val="5"/>
        <w:tabs>
          <w:tab w:val="left" w:pos="709"/>
          <w:tab w:val="clear" w:pos="630"/>
        </w:tabs>
      </w:pPr>
      <w:r>
        <w:rPr>
          <w:rFonts w:hint="eastAsia"/>
        </w:rPr>
        <w:t>地上车站的总平面布局应根据区间线路条件、道路红线宽度、地面交通状况、周边环境及城市景观等因素确定。</w:t>
      </w:r>
    </w:p>
    <w:p w14:paraId="28C6D602">
      <w:pPr>
        <w:pStyle w:val="5"/>
        <w:tabs>
          <w:tab w:val="left" w:pos="709"/>
          <w:tab w:val="clear" w:pos="630"/>
        </w:tabs>
      </w:pPr>
      <w:r>
        <w:rPr>
          <w:rFonts w:hint="eastAsia"/>
        </w:rPr>
        <w:t>地上车站站位设置应符合下列规定：</w:t>
      </w:r>
    </w:p>
    <w:p w14:paraId="6F0CC6D1">
      <w:pPr>
        <w:pStyle w:val="7"/>
        <w:ind w:firstLine="420"/>
      </w:pPr>
      <w:r>
        <w:rPr>
          <w:rFonts w:hint="eastAsia"/>
        </w:rPr>
        <w:t>设于道路红线外的地上车站应符合站址周边规划和环保要求，站前广场的地面标高不应低于周边场地的地面高程和衔接道路的人行道高程。确有困难时，应采取有效的排水措施。与开发建筑结合时应采取防止列车对结合建筑的震动和噪声干扰的措施；</w:t>
      </w:r>
    </w:p>
    <w:p w14:paraId="583433B0">
      <w:pPr>
        <w:pStyle w:val="7"/>
        <w:ind w:firstLine="420"/>
      </w:pPr>
      <w:r>
        <w:rPr>
          <w:rFonts w:hint="eastAsia"/>
        </w:rPr>
        <w:t>设于道路中央的高架车站不应跨十字路口和丁字路口布设，必须跨路设置的高架车站，宜缩小体量，桥墩的设置应避免对路口视线和今后道路渠化的影响；临近</w:t>
      </w:r>
      <w:r>
        <w:t>道路交叉口</w:t>
      </w:r>
      <w:r>
        <w:rPr>
          <w:rFonts w:hint="eastAsia"/>
        </w:rPr>
        <w:t>设站时，车站站端建筑轮廓线应满足道路</w:t>
      </w:r>
      <w:r>
        <w:t>交叉口</w:t>
      </w:r>
      <w:r>
        <w:rPr>
          <w:rFonts w:hint="eastAsia"/>
        </w:rPr>
        <w:t>视距三角形区域</w:t>
      </w:r>
      <w:r>
        <w:t>要求</w:t>
      </w:r>
      <w:r>
        <w:rPr>
          <w:rFonts w:hint="eastAsia"/>
        </w:rPr>
        <w:t>。</w:t>
      </w:r>
    </w:p>
    <w:p w14:paraId="65AFD933">
      <w:pPr>
        <w:pStyle w:val="5"/>
        <w:tabs>
          <w:tab w:val="left" w:pos="709"/>
          <w:tab w:val="clear" w:pos="630"/>
        </w:tabs>
      </w:pPr>
      <w:r>
        <w:rPr>
          <w:rFonts w:hint="eastAsia"/>
        </w:rPr>
        <w:t>线路穿越十字路口交通要道跨路口设置的地下车站，应结合规划条件在不同象限设置出入口。条件困难偏路口一侧设置的车站，宜在主客流方向设置跨十字路口的出入口或预留过街条件。</w:t>
      </w:r>
    </w:p>
    <w:p w14:paraId="262C79CE">
      <w:pPr>
        <w:pStyle w:val="5"/>
        <w:tabs>
          <w:tab w:val="left" w:pos="709"/>
          <w:tab w:val="clear" w:pos="630"/>
        </w:tabs>
      </w:pPr>
      <w:r>
        <w:rPr>
          <w:rFonts w:hint="eastAsia"/>
        </w:rPr>
        <w:t>车站出入口与人员集中的体育场馆、影剧院、展览馆、游乐场以及居住小区、幼儿园、托儿所、中小学等场所的进出口最小距离不宜小于表10.</w:t>
      </w:r>
      <w:r>
        <w:t>3</w:t>
      </w:r>
      <w:r>
        <w:rPr>
          <w:rFonts w:hint="eastAsia"/>
        </w:rPr>
        <w:t>.8的规定。</w:t>
      </w:r>
    </w:p>
    <w:p w14:paraId="1349AC7B">
      <w:pPr>
        <w:pStyle w:val="198"/>
      </w:pPr>
      <w:r>
        <w:rPr>
          <w:rFonts w:hint="eastAsia"/>
        </w:rPr>
        <w:t>表10.</w:t>
      </w:r>
      <w:r>
        <w:t>3</w:t>
      </w:r>
      <w:r>
        <w:rPr>
          <w:rFonts w:hint="eastAsia"/>
        </w:rPr>
        <w:t>.8  出入口离建、构筑物的进出口边缘最小间距</w:t>
      </w:r>
    </w:p>
    <w:tbl>
      <w:tblPr>
        <w:tblStyle w:val="88"/>
        <w:tblW w:w="51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2587"/>
      </w:tblGrid>
      <w:tr w14:paraId="531EC4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585" w:type="dxa"/>
            <w:tcBorders>
              <w:bottom w:val="single" w:color="auto" w:sz="8" w:space="0"/>
            </w:tcBorders>
            <w:vAlign w:val="center"/>
          </w:tcPr>
          <w:p w14:paraId="0C6A9998">
            <w:pPr>
              <w:autoSpaceDE w:val="0"/>
              <w:autoSpaceDN w:val="0"/>
              <w:spacing w:line="240" w:lineRule="auto"/>
              <w:jc w:val="center"/>
              <w:rPr>
                <w:kern w:val="0"/>
                <w:sz w:val="15"/>
                <w:szCs w:val="15"/>
              </w:rPr>
            </w:pPr>
            <w:r>
              <w:rPr>
                <w:rFonts w:hint="eastAsia"/>
                <w:kern w:val="0"/>
                <w:sz w:val="15"/>
                <w:szCs w:val="15"/>
              </w:rPr>
              <w:t>建  筑  物</w:t>
            </w:r>
          </w:p>
        </w:tc>
        <w:tc>
          <w:tcPr>
            <w:tcW w:w="2587" w:type="dxa"/>
            <w:tcBorders>
              <w:bottom w:val="single" w:color="auto" w:sz="8" w:space="0"/>
            </w:tcBorders>
            <w:vAlign w:val="center"/>
          </w:tcPr>
          <w:p w14:paraId="70930474">
            <w:pPr>
              <w:autoSpaceDE w:val="0"/>
              <w:autoSpaceDN w:val="0"/>
              <w:spacing w:line="240" w:lineRule="auto"/>
              <w:jc w:val="center"/>
              <w:rPr>
                <w:kern w:val="0"/>
                <w:sz w:val="15"/>
                <w:szCs w:val="15"/>
              </w:rPr>
            </w:pPr>
            <w:r>
              <w:rPr>
                <w:rFonts w:hint="eastAsia"/>
                <w:kern w:val="0"/>
                <w:sz w:val="15"/>
                <w:szCs w:val="15"/>
              </w:rPr>
              <w:t>最小间距（m）</w:t>
            </w:r>
          </w:p>
        </w:tc>
      </w:tr>
      <w:tr w14:paraId="50B68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585" w:type="dxa"/>
            <w:tcBorders>
              <w:top w:val="single" w:color="auto" w:sz="8" w:space="0"/>
              <w:bottom w:val="single" w:color="auto" w:sz="4" w:space="0"/>
            </w:tcBorders>
            <w:vAlign w:val="center"/>
          </w:tcPr>
          <w:p w14:paraId="5E6E3E08">
            <w:pPr>
              <w:autoSpaceDE w:val="0"/>
              <w:autoSpaceDN w:val="0"/>
              <w:spacing w:line="240" w:lineRule="auto"/>
              <w:jc w:val="center"/>
              <w:rPr>
                <w:kern w:val="0"/>
                <w:sz w:val="15"/>
                <w:szCs w:val="15"/>
              </w:rPr>
            </w:pPr>
            <w:r>
              <w:rPr>
                <w:rFonts w:hint="eastAsia"/>
                <w:kern w:val="0"/>
                <w:sz w:val="15"/>
                <w:szCs w:val="15"/>
              </w:rPr>
              <w:t>公园、学校、托幼</w:t>
            </w:r>
          </w:p>
        </w:tc>
        <w:tc>
          <w:tcPr>
            <w:tcW w:w="2587" w:type="dxa"/>
            <w:tcBorders>
              <w:top w:val="single" w:color="auto" w:sz="8" w:space="0"/>
              <w:bottom w:val="single" w:color="auto" w:sz="4" w:space="0"/>
            </w:tcBorders>
            <w:vAlign w:val="center"/>
          </w:tcPr>
          <w:p w14:paraId="464E9BA9">
            <w:pPr>
              <w:autoSpaceDE w:val="0"/>
              <w:autoSpaceDN w:val="0"/>
              <w:spacing w:line="240" w:lineRule="auto"/>
              <w:jc w:val="center"/>
              <w:rPr>
                <w:kern w:val="0"/>
                <w:sz w:val="15"/>
                <w:szCs w:val="15"/>
              </w:rPr>
            </w:pPr>
            <w:r>
              <w:rPr>
                <w:kern w:val="0"/>
                <w:sz w:val="15"/>
                <w:szCs w:val="15"/>
              </w:rPr>
              <w:t>15</w:t>
            </w:r>
          </w:p>
        </w:tc>
      </w:tr>
      <w:tr w14:paraId="57A912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585" w:type="dxa"/>
            <w:tcBorders>
              <w:top w:val="single" w:color="auto" w:sz="4" w:space="0"/>
            </w:tcBorders>
            <w:vAlign w:val="center"/>
          </w:tcPr>
          <w:p w14:paraId="061900D5">
            <w:pPr>
              <w:autoSpaceDE w:val="0"/>
              <w:autoSpaceDN w:val="0"/>
              <w:spacing w:line="240" w:lineRule="auto"/>
              <w:jc w:val="center"/>
              <w:rPr>
                <w:kern w:val="0"/>
                <w:sz w:val="15"/>
                <w:szCs w:val="15"/>
              </w:rPr>
            </w:pPr>
            <w:r>
              <w:rPr>
                <w:rFonts w:hint="eastAsia"/>
                <w:kern w:val="0"/>
                <w:sz w:val="15"/>
                <w:szCs w:val="15"/>
              </w:rPr>
              <w:t>居住小区入口</w:t>
            </w:r>
          </w:p>
        </w:tc>
        <w:tc>
          <w:tcPr>
            <w:tcW w:w="2587" w:type="dxa"/>
            <w:tcBorders>
              <w:top w:val="single" w:color="auto" w:sz="4" w:space="0"/>
            </w:tcBorders>
            <w:vAlign w:val="center"/>
          </w:tcPr>
          <w:p w14:paraId="08419977">
            <w:pPr>
              <w:autoSpaceDE w:val="0"/>
              <w:autoSpaceDN w:val="0"/>
              <w:spacing w:line="240" w:lineRule="auto"/>
              <w:jc w:val="center"/>
              <w:rPr>
                <w:kern w:val="0"/>
                <w:sz w:val="15"/>
                <w:szCs w:val="15"/>
              </w:rPr>
            </w:pPr>
            <w:r>
              <w:rPr>
                <w:kern w:val="0"/>
                <w:sz w:val="15"/>
                <w:szCs w:val="15"/>
              </w:rPr>
              <w:t>10</w:t>
            </w:r>
          </w:p>
        </w:tc>
      </w:tr>
      <w:tr w14:paraId="38748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585" w:type="dxa"/>
            <w:vAlign w:val="center"/>
          </w:tcPr>
          <w:p w14:paraId="0C392DB3">
            <w:pPr>
              <w:autoSpaceDE w:val="0"/>
              <w:autoSpaceDN w:val="0"/>
              <w:spacing w:line="240" w:lineRule="auto"/>
              <w:jc w:val="center"/>
              <w:rPr>
                <w:kern w:val="0"/>
                <w:sz w:val="15"/>
                <w:szCs w:val="15"/>
              </w:rPr>
            </w:pPr>
            <w:r>
              <w:rPr>
                <w:rFonts w:hint="eastAsia"/>
                <w:kern w:val="0"/>
                <w:sz w:val="15"/>
                <w:szCs w:val="15"/>
              </w:rPr>
              <w:t>体育馆</w:t>
            </w:r>
          </w:p>
        </w:tc>
        <w:tc>
          <w:tcPr>
            <w:tcW w:w="2587" w:type="dxa"/>
            <w:vAlign w:val="center"/>
          </w:tcPr>
          <w:p w14:paraId="089ADF48">
            <w:pPr>
              <w:autoSpaceDE w:val="0"/>
              <w:autoSpaceDN w:val="0"/>
              <w:spacing w:line="240" w:lineRule="auto"/>
              <w:jc w:val="center"/>
              <w:rPr>
                <w:kern w:val="0"/>
                <w:sz w:val="15"/>
                <w:szCs w:val="15"/>
              </w:rPr>
            </w:pPr>
            <w:r>
              <w:rPr>
                <w:kern w:val="0"/>
                <w:sz w:val="15"/>
                <w:szCs w:val="15"/>
              </w:rPr>
              <w:t>50</w:t>
            </w:r>
          </w:p>
        </w:tc>
      </w:tr>
      <w:tr w14:paraId="2B6F2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585" w:type="dxa"/>
            <w:vAlign w:val="center"/>
          </w:tcPr>
          <w:p w14:paraId="69DC087C">
            <w:pPr>
              <w:autoSpaceDE w:val="0"/>
              <w:autoSpaceDN w:val="0"/>
              <w:spacing w:line="240" w:lineRule="auto"/>
              <w:jc w:val="center"/>
              <w:rPr>
                <w:kern w:val="0"/>
                <w:sz w:val="15"/>
                <w:szCs w:val="15"/>
              </w:rPr>
            </w:pPr>
            <w:r>
              <w:rPr>
                <w:rFonts w:hint="eastAsia"/>
                <w:kern w:val="0"/>
                <w:sz w:val="15"/>
                <w:szCs w:val="15"/>
              </w:rPr>
              <w:t>体育场</w:t>
            </w:r>
          </w:p>
        </w:tc>
        <w:tc>
          <w:tcPr>
            <w:tcW w:w="2587" w:type="dxa"/>
            <w:vAlign w:val="center"/>
          </w:tcPr>
          <w:p w14:paraId="393E7083">
            <w:pPr>
              <w:autoSpaceDE w:val="0"/>
              <w:autoSpaceDN w:val="0"/>
              <w:spacing w:line="240" w:lineRule="auto"/>
              <w:jc w:val="center"/>
              <w:rPr>
                <w:kern w:val="0"/>
                <w:sz w:val="15"/>
                <w:szCs w:val="15"/>
              </w:rPr>
            </w:pPr>
            <w:r>
              <w:rPr>
                <w:kern w:val="0"/>
                <w:sz w:val="15"/>
                <w:szCs w:val="15"/>
              </w:rPr>
              <w:t>100</w:t>
            </w:r>
          </w:p>
        </w:tc>
      </w:tr>
      <w:tr w14:paraId="61EE4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585" w:type="dxa"/>
            <w:vAlign w:val="center"/>
          </w:tcPr>
          <w:p w14:paraId="625AD2B6">
            <w:pPr>
              <w:autoSpaceDE w:val="0"/>
              <w:autoSpaceDN w:val="0"/>
              <w:spacing w:line="240" w:lineRule="auto"/>
              <w:jc w:val="center"/>
              <w:rPr>
                <w:kern w:val="0"/>
                <w:sz w:val="15"/>
                <w:szCs w:val="15"/>
              </w:rPr>
            </w:pPr>
            <w:r>
              <w:rPr>
                <w:rFonts w:hint="eastAsia"/>
                <w:kern w:val="0"/>
                <w:sz w:val="15"/>
                <w:szCs w:val="15"/>
              </w:rPr>
              <w:t>影剧院、展览馆、游乐场</w:t>
            </w:r>
          </w:p>
        </w:tc>
        <w:tc>
          <w:tcPr>
            <w:tcW w:w="2587" w:type="dxa"/>
            <w:vAlign w:val="center"/>
          </w:tcPr>
          <w:p w14:paraId="51526B61">
            <w:pPr>
              <w:autoSpaceDE w:val="0"/>
              <w:autoSpaceDN w:val="0"/>
              <w:spacing w:line="240" w:lineRule="auto"/>
              <w:jc w:val="center"/>
              <w:rPr>
                <w:kern w:val="0"/>
                <w:sz w:val="15"/>
                <w:szCs w:val="15"/>
              </w:rPr>
            </w:pPr>
            <w:r>
              <w:rPr>
                <w:kern w:val="0"/>
                <w:sz w:val="15"/>
                <w:szCs w:val="15"/>
              </w:rPr>
              <w:t>25</w:t>
            </w:r>
          </w:p>
        </w:tc>
      </w:tr>
    </w:tbl>
    <w:p w14:paraId="0DC87B2A">
      <w:pPr>
        <w:pStyle w:val="5"/>
        <w:tabs>
          <w:tab w:val="left" w:pos="709"/>
          <w:tab w:val="clear" w:pos="630"/>
        </w:tabs>
      </w:pPr>
      <w:r>
        <w:rPr>
          <w:rFonts w:hint="eastAsia"/>
        </w:rPr>
        <w:t>地下、地上车站出入口、风亭不宜设置在道路中央的绿化隔离带上。困难情况下，设在机非隔离带上时，</w:t>
      </w:r>
      <w:r>
        <w:rPr>
          <w:rFonts w:hint="eastAsia"/>
          <w:bCs/>
        </w:rPr>
        <w:t>其围护结构距路缘石的距离不</w:t>
      </w:r>
      <w:r>
        <w:rPr>
          <w:bCs/>
        </w:rPr>
        <w:t>宜</w:t>
      </w:r>
      <w:r>
        <w:rPr>
          <w:rFonts w:hint="eastAsia"/>
          <w:bCs/>
        </w:rPr>
        <w:t>小于0.</w:t>
      </w:r>
      <w:r>
        <w:rPr>
          <w:bCs/>
        </w:rPr>
        <w:t>5</w:t>
      </w:r>
      <w:r>
        <w:rPr>
          <w:rFonts w:hint="eastAsia"/>
          <w:bCs/>
        </w:rPr>
        <w:t>m，建筑檐口采用外挑式雨篷时不应侵入车行限界，并在出入口站前广场就近</w:t>
      </w:r>
      <w:r>
        <w:rPr>
          <w:rFonts w:hint="eastAsia"/>
        </w:rPr>
        <w:t>设置</w:t>
      </w:r>
      <w:r>
        <w:t>过街措施与人行道衔接。</w:t>
      </w:r>
    </w:p>
    <w:p w14:paraId="5F29A93C">
      <w:pPr>
        <w:numPr>
          <w:ilvl w:val="2"/>
          <w:numId w:val="1"/>
        </w:numPr>
        <w:tabs>
          <w:tab w:val="left" w:pos="851"/>
          <w:tab w:val="clear" w:pos="1701"/>
        </w:tabs>
        <w:outlineLvl w:val="2"/>
        <w:rPr>
          <w:bCs/>
          <w:lang w:bidi="ar"/>
        </w:rPr>
      </w:pPr>
      <w:r>
        <w:rPr>
          <w:rFonts w:hint="eastAsia"/>
          <w:bCs/>
          <w:lang w:bidi="ar"/>
        </w:rPr>
        <w:t>出入口、风亭等地面设施设在道路红线内的转角处时，应按下列要求核算是否侵入视距三角形限界，</w:t>
      </w:r>
      <w:r>
        <w:rPr>
          <w:bCs/>
          <w:lang w:bidi="ar"/>
        </w:rPr>
        <w:t>困难条件下</w:t>
      </w:r>
      <w:r>
        <w:rPr>
          <w:rFonts w:hint="eastAsia"/>
          <w:bCs/>
          <w:lang w:bidi="ar"/>
        </w:rPr>
        <w:t>风亭顶面距离道路平面标高不应大于</w:t>
      </w:r>
      <w:r>
        <w:rPr>
          <w:bCs/>
          <w:lang w:bidi="ar"/>
        </w:rPr>
        <w:t>1</w:t>
      </w:r>
      <w:r>
        <w:rPr>
          <w:rFonts w:hint="eastAsia"/>
          <w:bCs/>
          <w:lang w:bidi="ar"/>
        </w:rPr>
        <w:t>.</w:t>
      </w:r>
      <w:r>
        <w:rPr>
          <w:bCs/>
          <w:lang w:bidi="ar"/>
        </w:rPr>
        <w:t>2m</w:t>
      </w:r>
      <w:r>
        <w:rPr>
          <w:rFonts w:hint="eastAsia"/>
          <w:bCs/>
          <w:lang w:bidi="ar"/>
        </w:rPr>
        <w:t>，不应影响驾驶员视线。</w:t>
      </w:r>
      <w:r>
        <w:rPr>
          <w:bCs/>
          <w:lang w:bidi="ar"/>
        </w:rPr>
        <w:t xml:space="preserve"> </w:t>
      </w:r>
    </w:p>
    <w:p w14:paraId="5C4E5EBA">
      <w:pPr>
        <w:numPr>
          <w:ilvl w:val="2"/>
          <w:numId w:val="1"/>
        </w:numPr>
        <w:tabs>
          <w:tab w:val="left" w:pos="851"/>
          <w:tab w:val="clear" w:pos="1701"/>
        </w:tabs>
        <w:outlineLvl w:val="2"/>
      </w:pPr>
      <w:r>
        <w:rPr>
          <w:rFonts w:hint="eastAsia"/>
          <w:bCs/>
          <w:lang w:bidi="ar"/>
        </w:rPr>
        <w:t>风亭、冷却塔的位置应避开城市环境敏感区，风亭风口不宜正对相邻敏感建筑，风口与建筑物的控制距离应符合现行国家标准《地铁设计</w:t>
      </w:r>
      <w:r>
        <w:rPr>
          <w:rFonts w:hint="eastAsia"/>
        </w:rPr>
        <w:t>规范》GB 50157的有关规定。当风亭、冷却塔与建筑物的控制距离不能满足要求时，应根据本标准第30章的有关规定采取相应措施。</w:t>
      </w:r>
    </w:p>
    <w:p w14:paraId="4594F00B">
      <w:pPr>
        <w:numPr>
          <w:ilvl w:val="2"/>
          <w:numId w:val="1"/>
        </w:numPr>
        <w:tabs>
          <w:tab w:val="left" w:pos="851"/>
          <w:tab w:val="clear" w:pos="1701"/>
        </w:tabs>
        <w:outlineLvl w:val="2"/>
      </w:pPr>
      <w:r>
        <w:rPr>
          <w:rFonts w:hint="eastAsia"/>
          <w:bCs/>
          <w:lang w:bidi="ar"/>
        </w:rPr>
        <w:t>出入口</w:t>
      </w:r>
      <w:r>
        <w:rPr>
          <w:rFonts w:hint="eastAsia"/>
        </w:rPr>
        <w:t>、风亭应设置在空气洁净的地方，并结合风向设置，应符合下列规定：</w:t>
      </w:r>
    </w:p>
    <w:p w14:paraId="7DC9B41A">
      <w:pPr>
        <w:pStyle w:val="7"/>
        <w:ind w:firstLine="420"/>
      </w:pPr>
      <w:r>
        <w:rPr>
          <w:rFonts w:hint="eastAsia"/>
        </w:rPr>
        <w:t>地面进风亭风口周围30m范围内不得设置垃圾收集站或3类以下（含3类）的厕所；周围100m范围内不得设置产生有毒、有害气体和恶臭气体的烟尘、粉尘、污水等工厂和排放点。</w:t>
      </w:r>
    </w:p>
    <w:p w14:paraId="3E0F4F0B">
      <w:pPr>
        <w:pStyle w:val="7"/>
        <w:ind w:firstLine="420"/>
        <w:rPr>
          <w:szCs w:val="24"/>
        </w:rPr>
      </w:pPr>
      <w:r>
        <w:rPr>
          <w:rFonts w:hint="eastAsia"/>
          <w:szCs w:val="18"/>
        </w:rPr>
        <w:t>排风亭的风口宜避开西北方向。</w:t>
      </w:r>
      <w:r>
        <w:rPr>
          <w:rFonts w:hint="eastAsia"/>
          <w:lang w:bidi="ar"/>
        </w:rPr>
        <w:t>出入口的朝向应避让冬季主导风向，当为了满足主要客流服务的需求朝向无法避让时，应采取地面亭调整开口方向等措施；新风亭、出入口应避免设在污染源主导风向的下风向。</w:t>
      </w:r>
      <w:r>
        <w:rPr>
          <w:rFonts w:hint="eastAsia"/>
          <w:szCs w:val="18"/>
        </w:rPr>
        <w:t>排风亭、进风亭以及出入口的布置宜符合城市主导风向，进风亭的风口和出入口地面亭的门窗洞口宜设在排风亭的上风侧。</w:t>
      </w:r>
    </w:p>
    <w:p w14:paraId="6C582DBD">
      <w:pPr>
        <w:numPr>
          <w:ilvl w:val="2"/>
          <w:numId w:val="1"/>
        </w:numPr>
        <w:tabs>
          <w:tab w:val="left" w:pos="851"/>
          <w:tab w:val="clear" w:pos="1701"/>
        </w:tabs>
        <w:outlineLvl w:val="2"/>
      </w:pPr>
      <w:r>
        <w:rPr>
          <w:rFonts w:hint="eastAsia"/>
        </w:rPr>
        <w:t>地上车站、附属建筑以及地下车站出入口、风亭、冷却塔不宜布置在</w:t>
      </w:r>
      <w:r>
        <w:rPr>
          <w:rFonts w:hint="eastAsia"/>
          <w:bCs/>
          <w:lang w:bidi="ar"/>
        </w:rPr>
        <w:t>城市</w:t>
      </w:r>
      <w:r>
        <w:rPr>
          <w:rFonts w:hint="eastAsia"/>
        </w:rPr>
        <w:t>架空高压线下方。当受条件限制临近架空高压线或被其上跨时，应按照架空电力线路的电压等级控制与其最小的垂直距离和水平距离，应符合下表要求并执行电力行业主管部门的相关文件规定：</w:t>
      </w:r>
    </w:p>
    <w:p w14:paraId="0DDF9636">
      <w:pPr>
        <w:pStyle w:val="198"/>
      </w:pPr>
      <w:r>
        <w:rPr>
          <w:rFonts w:hint="eastAsia"/>
        </w:rPr>
        <w:t>表</w:t>
      </w:r>
      <w:r>
        <w:t>10.3.13-1</w:t>
      </w:r>
      <w:r>
        <w:rPr>
          <w:rFonts w:hint="eastAsia"/>
        </w:rPr>
        <w:t>架空电力线路导线与建筑物之间的最小垂直距离</w:t>
      </w:r>
    </w:p>
    <w:tbl>
      <w:tblPr>
        <w:tblStyle w:val="88"/>
        <w:tblW w:w="6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21"/>
        <w:gridCol w:w="662"/>
        <w:gridCol w:w="794"/>
        <w:gridCol w:w="681"/>
        <w:gridCol w:w="681"/>
        <w:gridCol w:w="681"/>
        <w:gridCol w:w="712"/>
        <w:gridCol w:w="690"/>
      </w:tblGrid>
      <w:tr w14:paraId="631D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14:paraId="5592547B">
            <w:pPr>
              <w:autoSpaceDE w:val="0"/>
              <w:autoSpaceDN w:val="0"/>
              <w:spacing w:line="240" w:lineRule="auto"/>
              <w:jc w:val="center"/>
              <w:rPr>
                <w:kern w:val="0"/>
                <w:sz w:val="15"/>
                <w:szCs w:val="15"/>
              </w:rPr>
            </w:pPr>
            <w:r>
              <w:rPr>
                <w:rFonts w:hint="eastAsia"/>
                <w:kern w:val="0"/>
                <w:sz w:val="15"/>
                <w:szCs w:val="15"/>
              </w:rPr>
              <w:t>线路电压(kV)</w:t>
            </w:r>
          </w:p>
        </w:tc>
        <w:tc>
          <w:tcPr>
            <w:tcW w:w="721" w:type="dxa"/>
            <w:vAlign w:val="center"/>
          </w:tcPr>
          <w:p w14:paraId="69BFDBBB">
            <w:pPr>
              <w:autoSpaceDE w:val="0"/>
              <w:autoSpaceDN w:val="0"/>
              <w:spacing w:line="240" w:lineRule="auto"/>
              <w:jc w:val="center"/>
              <w:rPr>
                <w:kern w:val="0"/>
                <w:sz w:val="15"/>
                <w:szCs w:val="15"/>
              </w:rPr>
            </w:pPr>
            <w:r>
              <w:rPr>
                <w:rFonts w:hint="eastAsia"/>
                <w:kern w:val="0"/>
                <w:sz w:val="15"/>
                <w:szCs w:val="15"/>
              </w:rPr>
              <w:t>1~10</w:t>
            </w:r>
          </w:p>
        </w:tc>
        <w:tc>
          <w:tcPr>
            <w:tcW w:w="662" w:type="dxa"/>
            <w:vAlign w:val="center"/>
          </w:tcPr>
          <w:p w14:paraId="005D881A">
            <w:pPr>
              <w:autoSpaceDE w:val="0"/>
              <w:autoSpaceDN w:val="0"/>
              <w:spacing w:line="240" w:lineRule="auto"/>
              <w:jc w:val="center"/>
              <w:rPr>
                <w:kern w:val="0"/>
                <w:sz w:val="15"/>
                <w:szCs w:val="15"/>
              </w:rPr>
            </w:pPr>
            <w:r>
              <w:rPr>
                <w:rFonts w:hint="eastAsia"/>
                <w:kern w:val="0"/>
                <w:sz w:val="15"/>
                <w:szCs w:val="15"/>
              </w:rPr>
              <w:t>35</w:t>
            </w:r>
          </w:p>
        </w:tc>
        <w:tc>
          <w:tcPr>
            <w:tcW w:w="794" w:type="dxa"/>
            <w:vAlign w:val="center"/>
          </w:tcPr>
          <w:p w14:paraId="1F3B07E4">
            <w:pPr>
              <w:autoSpaceDE w:val="0"/>
              <w:autoSpaceDN w:val="0"/>
              <w:spacing w:line="240" w:lineRule="auto"/>
              <w:jc w:val="center"/>
              <w:rPr>
                <w:kern w:val="0"/>
                <w:sz w:val="15"/>
                <w:szCs w:val="15"/>
              </w:rPr>
            </w:pPr>
            <w:r>
              <w:rPr>
                <w:rFonts w:hint="eastAsia"/>
                <w:kern w:val="0"/>
                <w:sz w:val="15"/>
                <w:szCs w:val="15"/>
              </w:rPr>
              <w:t>110（66）</w:t>
            </w:r>
          </w:p>
        </w:tc>
        <w:tc>
          <w:tcPr>
            <w:tcW w:w="681" w:type="dxa"/>
            <w:vAlign w:val="center"/>
          </w:tcPr>
          <w:p w14:paraId="36AA8362">
            <w:pPr>
              <w:autoSpaceDE w:val="0"/>
              <w:autoSpaceDN w:val="0"/>
              <w:spacing w:line="240" w:lineRule="auto"/>
              <w:jc w:val="center"/>
              <w:rPr>
                <w:kern w:val="0"/>
                <w:sz w:val="15"/>
                <w:szCs w:val="15"/>
              </w:rPr>
            </w:pPr>
            <w:r>
              <w:rPr>
                <w:rFonts w:hint="eastAsia"/>
                <w:kern w:val="0"/>
                <w:sz w:val="15"/>
                <w:szCs w:val="15"/>
              </w:rPr>
              <w:t>220</w:t>
            </w:r>
          </w:p>
        </w:tc>
        <w:tc>
          <w:tcPr>
            <w:tcW w:w="681" w:type="dxa"/>
            <w:vAlign w:val="center"/>
          </w:tcPr>
          <w:p w14:paraId="467F0863">
            <w:pPr>
              <w:autoSpaceDE w:val="0"/>
              <w:autoSpaceDN w:val="0"/>
              <w:spacing w:line="240" w:lineRule="auto"/>
              <w:jc w:val="center"/>
              <w:rPr>
                <w:kern w:val="0"/>
                <w:sz w:val="15"/>
                <w:szCs w:val="15"/>
              </w:rPr>
            </w:pPr>
            <w:r>
              <w:rPr>
                <w:rFonts w:hint="eastAsia"/>
                <w:kern w:val="0"/>
                <w:sz w:val="15"/>
                <w:szCs w:val="15"/>
              </w:rPr>
              <w:t>330</w:t>
            </w:r>
          </w:p>
        </w:tc>
        <w:tc>
          <w:tcPr>
            <w:tcW w:w="681" w:type="dxa"/>
            <w:vAlign w:val="center"/>
          </w:tcPr>
          <w:p w14:paraId="1271AA3D">
            <w:pPr>
              <w:autoSpaceDE w:val="0"/>
              <w:autoSpaceDN w:val="0"/>
              <w:spacing w:line="240" w:lineRule="auto"/>
              <w:jc w:val="center"/>
              <w:rPr>
                <w:kern w:val="0"/>
                <w:sz w:val="15"/>
                <w:szCs w:val="15"/>
              </w:rPr>
            </w:pPr>
            <w:r>
              <w:rPr>
                <w:rFonts w:hint="eastAsia"/>
                <w:kern w:val="0"/>
                <w:sz w:val="15"/>
                <w:szCs w:val="15"/>
              </w:rPr>
              <w:t>500</w:t>
            </w:r>
          </w:p>
        </w:tc>
        <w:tc>
          <w:tcPr>
            <w:tcW w:w="712" w:type="dxa"/>
            <w:vAlign w:val="center"/>
          </w:tcPr>
          <w:p w14:paraId="2D9CABB2">
            <w:pPr>
              <w:autoSpaceDE w:val="0"/>
              <w:autoSpaceDN w:val="0"/>
              <w:spacing w:line="240" w:lineRule="auto"/>
              <w:jc w:val="center"/>
              <w:rPr>
                <w:kern w:val="0"/>
                <w:sz w:val="15"/>
                <w:szCs w:val="15"/>
              </w:rPr>
            </w:pPr>
            <w:r>
              <w:rPr>
                <w:rFonts w:hint="eastAsia"/>
                <w:kern w:val="0"/>
                <w:sz w:val="15"/>
                <w:szCs w:val="15"/>
              </w:rPr>
              <w:t>750</w:t>
            </w:r>
          </w:p>
        </w:tc>
        <w:tc>
          <w:tcPr>
            <w:tcW w:w="690" w:type="dxa"/>
            <w:vAlign w:val="center"/>
          </w:tcPr>
          <w:p w14:paraId="6E7394B7">
            <w:pPr>
              <w:autoSpaceDE w:val="0"/>
              <w:autoSpaceDN w:val="0"/>
              <w:spacing w:line="240" w:lineRule="auto"/>
              <w:jc w:val="center"/>
              <w:rPr>
                <w:kern w:val="0"/>
                <w:sz w:val="15"/>
                <w:szCs w:val="15"/>
              </w:rPr>
            </w:pPr>
            <w:r>
              <w:rPr>
                <w:rFonts w:hint="eastAsia"/>
                <w:kern w:val="0"/>
                <w:sz w:val="15"/>
                <w:szCs w:val="15"/>
              </w:rPr>
              <w:t>1000</w:t>
            </w:r>
          </w:p>
        </w:tc>
      </w:tr>
      <w:tr w14:paraId="6FCC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14:paraId="727414CC">
            <w:pPr>
              <w:autoSpaceDE w:val="0"/>
              <w:autoSpaceDN w:val="0"/>
              <w:spacing w:line="240" w:lineRule="auto"/>
              <w:jc w:val="center"/>
              <w:rPr>
                <w:kern w:val="0"/>
                <w:sz w:val="15"/>
                <w:szCs w:val="15"/>
              </w:rPr>
            </w:pPr>
            <w:r>
              <w:rPr>
                <w:rFonts w:hint="eastAsia"/>
                <w:kern w:val="0"/>
                <w:sz w:val="15"/>
                <w:szCs w:val="15"/>
              </w:rPr>
              <w:t>垂直距离(m)</w:t>
            </w:r>
          </w:p>
        </w:tc>
        <w:tc>
          <w:tcPr>
            <w:tcW w:w="721" w:type="dxa"/>
            <w:vAlign w:val="center"/>
          </w:tcPr>
          <w:p w14:paraId="6A4ED170">
            <w:pPr>
              <w:autoSpaceDE w:val="0"/>
              <w:autoSpaceDN w:val="0"/>
              <w:spacing w:line="240" w:lineRule="auto"/>
              <w:jc w:val="center"/>
              <w:rPr>
                <w:kern w:val="0"/>
                <w:sz w:val="15"/>
                <w:szCs w:val="15"/>
              </w:rPr>
            </w:pPr>
            <w:r>
              <w:rPr>
                <w:rFonts w:hint="eastAsia"/>
                <w:kern w:val="0"/>
                <w:sz w:val="15"/>
                <w:szCs w:val="15"/>
              </w:rPr>
              <w:t>3.0</w:t>
            </w:r>
          </w:p>
        </w:tc>
        <w:tc>
          <w:tcPr>
            <w:tcW w:w="662" w:type="dxa"/>
            <w:vAlign w:val="center"/>
          </w:tcPr>
          <w:p w14:paraId="6CC5B54A">
            <w:pPr>
              <w:autoSpaceDE w:val="0"/>
              <w:autoSpaceDN w:val="0"/>
              <w:spacing w:line="240" w:lineRule="auto"/>
              <w:jc w:val="center"/>
              <w:rPr>
                <w:kern w:val="0"/>
                <w:sz w:val="15"/>
                <w:szCs w:val="15"/>
              </w:rPr>
            </w:pPr>
            <w:r>
              <w:rPr>
                <w:rFonts w:hint="eastAsia"/>
                <w:kern w:val="0"/>
                <w:sz w:val="15"/>
                <w:szCs w:val="15"/>
              </w:rPr>
              <w:t>4.0</w:t>
            </w:r>
          </w:p>
        </w:tc>
        <w:tc>
          <w:tcPr>
            <w:tcW w:w="794" w:type="dxa"/>
            <w:vAlign w:val="center"/>
          </w:tcPr>
          <w:p w14:paraId="77C8BE88">
            <w:pPr>
              <w:autoSpaceDE w:val="0"/>
              <w:autoSpaceDN w:val="0"/>
              <w:spacing w:line="240" w:lineRule="auto"/>
              <w:jc w:val="center"/>
              <w:rPr>
                <w:kern w:val="0"/>
                <w:sz w:val="15"/>
                <w:szCs w:val="15"/>
              </w:rPr>
            </w:pPr>
            <w:r>
              <w:rPr>
                <w:rFonts w:hint="eastAsia"/>
                <w:kern w:val="0"/>
                <w:sz w:val="15"/>
                <w:szCs w:val="15"/>
              </w:rPr>
              <w:t>5.0</w:t>
            </w:r>
          </w:p>
        </w:tc>
        <w:tc>
          <w:tcPr>
            <w:tcW w:w="681" w:type="dxa"/>
            <w:vAlign w:val="center"/>
          </w:tcPr>
          <w:p w14:paraId="6B4261E9">
            <w:pPr>
              <w:autoSpaceDE w:val="0"/>
              <w:autoSpaceDN w:val="0"/>
              <w:spacing w:line="240" w:lineRule="auto"/>
              <w:jc w:val="center"/>
              <w:rPr>
                <w:kern w:val="0"/>
                <w:sz w:val="15"/>
                <w:szCs w:val="15"/>
              </w:rPr>
            </w:pPr>
            <w:r>
              <w:rPr>
                <w:rFonts w:hint="eastAsia"/>
                <w:kern w:val="0"/>
                <w:sz w:val="15"/>
                <w:szCs w:val="15"/>
              </w:rPr>
              <w:t>6.0</w:t>
            </w:r>
          </w:p>
        </w:tc>
        <w:tc>
          <w:tcPr>
            <w:tcW w:w="681" w:type="dxa"/>
            <w:vAlign w:val="center"/>
          </w:tcPr>
          <w:p w14:paraId="6CB3273F">
            <w:pPr>
              <w:autoSpaceDE w:val="0"/>
              <w:autoSpaceDN w:val="0"/>
              <w:spacing w:line="240" w:lineRule="auto"/>
              <w:jc w:val="center"/>
              <w:rPr>
                <w:kern w:val="0"/>
                <w:sz w:val="15"/>
                <w:szCs w:val="15"/>
              </w:rPr>
            </w:pPr>
            <w:r>
              <w:rPr>
                <w:rFonts w:hint="eastAsia"/>
                <w:kern w:val="0"/>
                <w:sz w:val="15"/>
                <w:szCs w:val="15"/>
              </w:rPr>
              <w:t>7.0</w:t>
            </w:r>
          </w:p>
        </w:tc>
        <w:tc>
          <w:tcPr>
            <w:tcW w:w="681" w:type="dxa"/>
            <w:vAlign w:val="center"/>
          </w:tcPr>
          <w:p w14:paraId="2FF5829D">
            <w:pPr>
              <w:autoSpaceDE w:val="0"/>
              <w:autoSpaceDN w:val="0"/>
              <w:spacing w:line="240" w:lineRule="auto"/>
              <w:jc w:val="center"/>
              <w:rPr>
                <w:kern w:val="0"/>
                <w:sz w:val="15"/>
                <w:szCs w:val="15"/>
              </w:rPr>
            </w:pPr>
            <w:r>
              <w:rPr>
                <w:rFonts w:hint="eastAsia"/>
                <w:kern w:val="0"/>
                <w:sz w:val="15"/>
                <w:szCs w:val="15"/>
              </w:rPr>
              <w:t>9.0</w:t>
            </w:r>
          </w:p>
        </w:tc>
        <w:tc>
          <w:tcPr>
            <w:tcW w:w="712" w:type="dxa"/>
            <w:vAlign w:val="center"/>
          </w:tcPr>
          <w:p w14:paraId="78A09C12">
            <w:pPr>
              <w:autoSpaceDE w:val="0"/>
              <w:autoSpaceDN w:val="0"/>
              <w:spacing w:line="240" w:lineRule="auto"/>
              <w:jc w:val="center"/>
              <w:rPr>
                <w:kern w:val="0"/>
                <w:sz w:val="15"/>
                <w:szCs w:val="15"/>
              </w:rPr>
            </w:pPr>
            <w:r>
              <w:rPr>
                <w:rFonts w:hint="eastAsia"/>
                <w:kern w:val="0"/>
                <w:sz w:val="15"/>
                <w:szCs w:val="15"/>
              </w:rPr>
              <w:t>11.5</w:t>
            </w:r>
          </w:p>
        </w:tc>
        <w:tc>
          <w:tcPr>
            <w:tcW w:w="690" w:type="dxa"/>
            <w:vAlign w:val="center"/>
          </w:tcPr>
          <w:p w14:paraId="449052FA">
            <w:pPr>
              <w:autoSpaceDE w:val="0"/>
              <w:autoSpaceDN w:val="0"/>
              <w:spacing w:line="240" w:lineRule="auto"/>
              <w:jc w:val="center"/>
              <w:rPr>
                <w:kern w:val="0"/>
                <w:sz w:val="15"/>
                <w:szCs w:val="15"/>
              </w:rPr>
            </w:pPr>
            <w:r>
              <w:rPr>
                <w:rFonts w:hint="eastAsia"/>
                <w:kern w:val="0"/>
                <w:sz w:val="15"/>
                <w:szCs w:val="15"/>
              </w:rPr>
              <w:t>15.5</w:t>
            </w:r>
          </w:p>
        </w:tc>
      </w:tr>
    </w:tbl>
    <w:p w14:paraId="05BA04F7">
      <w:pPr>
        <w:autoSpaceDE w:val="0"/>
        <w:autoSpaceDN w:val="0"/>
        <w:spacing w:line="240" w:lineRule="auto"/>
        <w:ind w:firstLine="150" w:firstLineChars="100"/>
        <w:jc w:val="left"/>
        <w:rPr>
          <w:kern w:val="0"/>
          <w:sz w:val="15"/>
          <w:szCs w:val="15"/>
        </w:rPr>
      </w:pPr>
      <w:r>
        <w:rPr>
          <w:rFonts w:hint="eastAsia"/>
          <w:sz w:val="15"/>
          <w:szCs w:val="18"/>
        </w:rPr>
        <w:t>注:   在导线最大计算弧垂情况下。</w:t>
      </w:r>
    </w:p>
    <w:p w14:paraId="4C5D2968">
      <w:pPr>
        <w:pStyle w:val="198"/>
      </w:pPr>
      <w:r>
        <w:rPr>
          <w:rFonts w:hint="eastAsia"/>
        </w:rPr>
        <w:t>表</w:t>
      </w:r>
      <w:r>
        <w:t>10.3.13-2</w:t>
      </w:r>
      <w:r>
        <w:rPr>
          <w:rFonts w:hint="eastAsia"/>
        </w:rPr>
        <w:t>架空电力线路边导线与建筑物之间的水平距离</w:t>
      </w:r>
    </w:p>
    <w:tbl>
      <w:tblPr>
        <w:tblStyle w:val="88"/>
        <w:tblW w:w="6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976"/>
        <w:gridCol w:w="885"/>
        <w:gridCol w:w="885"/>
        <w:gridCol w:w="885"/>
        <w:gridCol w:w="885"/>
        <w:gridCol w:w="916"/>
      </w:tblGrid>
      <w:tr w14:paraId="2D53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2D0A6508">
            <w:pPr>
              <w:autoSpaceDE w:val="0"/>
              <w:autoSpaceDN w:val="0"/>
              <w:spacing w:line="240" w:lineRule="auto"/>
              <w:jc w:val="center"/>
              <w:rPr>
                <w:kern w:val="0"/>
                <w:sz w:val="15"/>
                <w:szCs w:val="15"/>
              </w:rPr>
            </w:pPr>
            <w:r>
              <w:rPr>
                <w:rFonts w:hint="eastAsia"/>
                <w:kern w:val="0"/>
                <w:sz w:val="15"/>
                <w:szCs w:val="15"/>
              </w:rPr>
              <w:t>线路电压(kV)</w:t>
            </w:r>
          </w:p>
        </w:tc>
        <w:tc>
          <w:tcPr>
            <w:tcW w:w="976" w:type="dxa"/>
            <w:vAlign w:val="center"/>
          </w:tcPr>
          <w:p w14:paraId="02D2AD1E">
            <w:pPr>
              <w:autoSpaceDE w:val="0"/>
              <w:autoSpaceDN w:val="0"/>
              <w:spacing w:line="240" w:lineRule="auto"/>
              <w:jc w:val="center"/>
              <w:rPr>
                <w:kern w:val="0"/>
                <w:sz w:val="15"/>
                <w:szCs w:val="15"/>
              </w:rPr>
            </w:pPr>
            <w:r>
              <w:rPr>
                <w:rFonts w:hint="eastAsia"/>
                <w:kern w:val="0"/>
                <w:sz w:val="15"/>
                <w:szCs w:val="15"/>
              </w:rPr>
              <w:t>110（66）</w:t>
            </w:r>
          </w:p>
        </w:tc>
        <w:tc>
          <w:tcPr>
            <w:tcW w:w="885" w:type="dxa"/>
            <w:vAlign w:val="center"/>
          </w:tcPr>
          <w:p w14:paraId="6747F6C4">
            <w:pPr>
              <w:autoSpaceDE w:val="0"/>
              <w:autoSpaceDN w:val="0"/>
              <w:spacing w:line="240" w:lineRule="auto"/>
              <w:jc w:val="center"/>
              <w:rPr>
                <w:kern w:val="0"/>
                <w:sz w:val="15"/>
                <w:szCs w:val="15"/>
              </w:rPr>
            </w:pPr>
            <w:r>
              <w:rPr>
                <w:rFonts w:hint="eastAsia"/>
                <w:kern w:val="0"/>
                <w:sz w:val="15"/>
                <w:szCs w:val="15"/>
              </w:rPr>
              <w:t>220</w:t>
            </w:r>
          </w:p>
        </w:tc>
        <w:tc>
          <w:tcPr>
            <w:tcW w:w="885" w:type="dxa"/>
            <w:vAlign w:val="center"/>
          </w:tcPr>
          <w:p w14:paraId="4ED2B71D">
            <w:pPr>
              <w:autoSpaceDE w:val="0"/>
              <w:autoSpaceDN w:val="0"/>
              <w:spacing w:line="240" w:lineRule="auto"/>
              <w:jc w:val="center"/>
              <w:rPr>
                <w:kern w:val="0"/>
                <w:sz w:val="15"/>
                <w:szCs w:val="15"/>
              </w:rPr>
            </w:pPr>
            <w:r>
              <w:rPr>
                <w:rFonts w:hint="eastAsia"/>
                <w:kern w:val="0"/>
                <w:sz w:val="15"/>
                <w:szCs w:val="15"/>
              </w:rPr>
              <w:t>330</w:t>
            </w:r>
          </w:p>
        </w:tc>
        <w:tc>
          <w:tcPr>
            <w:tcW w:w="885" w:type="dxa"/>
            <w:vAlign w:val="center"/>
          </w:tcPr>
          <w:p w14:paraId="04C7B253">
            <w:pPr>
              <w:autoSpaceDE w:val="0"/>
              <w:autoSpaceDN w:val="0"/>
              <w:spacing w:line="240" w:lineRule="auto"/>
              <w:jc w:val="center"/>
              <w:rPr>
                <w:kern w:val="0"/>
                <w:sz w:val="15"/>
                <w:szCs w:val="15"/>
              </w:rPr>
            </w:pPr>
            <w:r>
              <w:rPr>
                <w:rFonts w:hint="eastAsia"/>
                <w:kern w:val="0"/>
                <w:sz w:val="15"/>
                <w:szCs w:val="15"/>
              </w:rPr>
              <w:t>500</w:t>
            </w:r>
          </w:p>
        </w:tc>
        <w:tc>
          <w:tcPr>
            <w:tcW w:w="885" w:type="dxa"/>
            <w:vAlign w:val="center"/>
          </w:tcPr>
          <w:p w14:paraId="7C10C502">
            <w:pPr>
              <w:autoSpaceDE w:val="0"/>
              <w:autoSpaceDN w:val="0"/>
              <w:spacing w:line="240" w:lineRule="auto"/>
              <w:jc w:val="center"/>
              <w:rPr>
                <w:kern w:val="0"/>
                <w:sz w:val="15"/>
                <w:szCs w:val="15"/>
              </w:rPr>
            </w:pPr>
            <w:r>
              <w:rPr>
                <w:rFonts w:hint="eastAsia"/>
                <w:kern w:val="0"/>
                <w:sz w:val="15"/>
                <w:szCs w:val="15"/>
              </w:rPr>
              <w:t>750</w:t>
            </w:r>
          </w:p>
        </w:tc>
        <w:tc>
          <w:tcPr>
            <w:tcW w:w="916" w:type="dxa"/>
            <w:vAlign w:val="center"/>
          </w:tcPr>
          <w:p w14:paraId="2A62DA09">
            <w:pPr>
              <w:autoSpaceDE w:val="0"/>
              <w:autoSpaceDN w:val="0"/>
              <w:spacing w:line="240" w:lineRule="auto"/>
              <w:jc w:val="center"/>
              <w:rPr>
                <w:kern w:val="0"/>
                <w:sz w:val="15"/>
                <w:szCs w:val="15"/>
              </w:rPr>
            </w:pPr>
            <w:r>
              <w:rPr>
                <w:rFonts w:hint="eastAsia"/>
                <w:kern w:val="0"/>
                <w:sz w:val="15"/>
                <w:szCs w:val="15"/>
              </w:rPr>
              <w:t>1000</w:t>
            </w:r>
          </w:p>
        </w:tc>
      </w:tr>
      <w:tr w14:paraId="2601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6F94E04B">
            <w:pPr>
              <w:autoSpaceDE w:val="0"/>
              <w:autoSpaceDN w:val="0"/>
              <w:spacing w:line="240" w:lineRule="auto"/>
              <w:jc w:val="center"/>
              <w:rPr>
                <w:kern w:val="0"/>
                <w:sz w:val="15"/>
                <w:szCs w:val="15"/>
              </w:rPr>
            </w:pPr>
            <w:r>
              <w:rPr>
                <w:rFonts w:hint="eastAsia"/>
                <w:kern w:val="0"/>
                <w:sz w:val="15"/>
                <w:szCs w:val="15"/>
              </w:rPr>
              <w:t>水平距离(m)</w:t>
            </w:r>
          </w:p>
        </w:tc>
        <w:tc>
          <w:tcPr>
            <w:tcW w:w="976" w:type="dxa"/>
            <w:vAlign w:val="center"/>
          </w:tcPr>
          <w:p w14:paraId="3D6DA099">
            <w:pPr>
              <w:autoSpaceDE w:val="0"/>
              <w:autoSpaceDN w:val="0"/>
              <w:spacing w:line="240" w:lineRule="auto"/>
              <w:jc w:val="center"/>
              <w:rPr>
                <w:kern w:val="0"/>
                <w:sz w:val="15"/>
                <w:szCs w:val="15"/>
              </w:rPr>
            </w:pPr>
            <w:r>
              <w:rPr>
                <w:rFonts w:hint="eastAsia"/>
                <w:kern w:val="0"/>
                <w:sz w:val="15"/>
                <w:szCs w:val="15"/>
              </w:rPr>
              <w:t>2.0</w:t>
            </w:r>
          </w:p>
        </w:tc>
        <w:tc>
          <w:tcPr>
            <w:tcW w:w="885" w:type="dxa"/>
            <w:vAlign w:val="center"/>
          </w:tcPr>
          <w:p w14:paraId="31B6D118">
            <w:pPr>
              <w:autoSpaceDE w:val="0"/>
              <w:autoSpaceDN w:val="0"/>
              <w:spacing w:line="240" w:lineRule="auto"/>
              <w:jc w:val="center"/>
              <w:rPr>
                <w:kern w:val="0"/>
                <w:sz w:val="15"/>
                <w:szCs w:val="15"/>
              </w:rPr>
            </w:pPr>
            <w:r>
              <w:rPr>
                <w:rFonts w:hint="eastAsia"/>
                <w:kern w:val="0"/>
                <w:sz w:val="15"/>
                <w:szCs w:val="15"/>
              </w:rPr>
              <w:t>2.5</w:t>
            </w:r>
          </w:p>
        </w:tc>
        <w:tc>
          <w:tcPr>
            <w:tcW w:w="885" w:type="dxa"/>
            <w:vAlign w:val="center"/>
          </w:tcPr>
          <w:p w14:paraId="4D805272">
            <w:pPr>
              <w:autoSpaceDE w:val="0"/>
              <w:autoSpaceDN w:val="0"/>
              <w:spacing w:line="240" w:lineRule="auto"/>
              <w:jc w:val="center"/>
              <w:rPr>
                <w:kern w:val="0"/>
                <w:sz w:val="15"/>
                <w:szCs w:val="15"/>
              </w:rPr>
            </w:pPr>
            <w:r>
              <w:rPr>
                <w:rFonts w:hint="eastAsia"/>
                <w:kern w:val="0"/>
                <w:sz w:val="15"/>
                <w:szCs w:val="15"/>
              </w:rPr>
              <w:t>3.0</w:t>
            </w:r>
          </w:p>
        </w:tc>
        <w:tc>
          <w:tcPr>
            <w:tcW w:w="885" w:type="dxa"/>
            <w:vAlign w:val="center"/>
          </w:tcPr>
          <w:p w14:paraId="4EE7B941">
            <w:pPr>
              <w:autoSpaceDE w:val="0"/>
              <w:autoSpaceDN w:val="0"/>
              <w:spacing w:line="240" w:lineRule="auto"/>
              <w:jc w:val="center"/>
              <w:rPr>
                <w:kern w:val="0"/>
                <w:sz w:val="15"/>
                <w:szCs w:val="15"/>
              </w:rPr>
            </w:pPr>
            <w:r>
              <w:rPr>
                <w:rFonts w:hint="eastAsia"/>
                <w:kern w:val="0"/>
                <w:sz w:val="15"/>
                <w:szCs w:val="15"/>
              </w:rPr>
              <w:t>5.0</w:t>
            </w:r>
          </w:p>
        </w:tc>
        <w:tc>
          <w:tcPr>
            <w:tcW w:w="885" w:type="dxa"/>
            <w:vAlign w:val="center"/>
          </w:tcPr>
          <w:p w14:paraId="2ABAC449">
            <w:pPr>
              <w:autoSpaceDE w:val="0"/>
              <w:autoSpaceDN w:val="0"/>
              <w:spacing w:line="240" w:lineRule="auto"/>
              <w:jc w:val="center"/>
              <w:rPr>
                <w:kern w:val="0"/>
                <w:sz w:val="15"/>
                <w:szCs w:val="15"/>
              </w:rPr>
            </w:pPr>
            <w:r>
              <w:rPr>
                <w:rFonts w:hint="eastAsia"/>
                <w:kern w:val="0"/>
                <w:sz w:val="15"/>
                <w:szCs w:val="15"/>
              </w:rPr>
              <w:t>6.0</w:t>
            </w:r>
          </w:p>
        </w:tc>
        <w:tc>
          <w:tcPr>
            <w:tcW w:w="916" w:type="dxa"/>
            <w:vAlign w:val="center"/>
          </w:tcPr>
          <w:p w14:paraId="5A08FDE8">
            <w:pPr>
              <w:autoSpaceDE w:val="0"/>
              <w:autoSpaceDN w:val="0"/>
              <w:spacing w:line="240" w:lineRule="auto"/>
              <w:jc w:val="center"/>
              <w:rPr>
                <w:kern w:val="0"/>
                <w:sz w:val="15"/>
                <w:szCs w:val="15"/>
              </w:rPr>
            </w:pPr>
            <w:r>
              <w:rPr>
                <w:rFonts w:hint="eastAsia"/>
                <w:kern w:val="0"/>
                <w:sz w:val="15"/>
                <w:szCs w:val="15"/>
              </w:rPr>
              <w:t>7.0</w:t>
            </w:r>
          </w:p>
        </w:tc>
      </w:tr>
    </w:tbl>
    <w:p w14:paraId="27ABB3C4">
      <w:pPr>
        <w:autoSpaceDE w:val="0"/>
        <w:autoSpaceDN w:val="0"/>
        <w:spacing w:line="240" w:lineRule="auto"/>
        <w:ind w:firstLine="150" w:firstLineChars="100"/>
        <w:jc w:val="left"/>
        <w:rPr>
          <w:kern w:val="0"/>
          <w:sz w:val="15"/>
          <w:szCs w:val="15"/>
        </w:rPr>
      </w:pPr>
      <w:r>
        <w:rPr>
          <w:rFonts w:hint="eastAsia"/>
          <w:kern w:val="0"/>
          <w:sz w:val="15"/>
          <w:szCs w:val="15"/>
        </w:rPr>
        <w:t>注:  在无风情况下。</w:t>
      </w:r>
    </w:p>
    <w:p w14:paraId="011C322F">
      <w:pPr>
        <w:autoSpaceDE w:val="0"/>
        <w:autoSpaceDN w:val="0"/>
        <w:spacing w:line="240" w:lineRule="auto"/>
        <w:jc w:val="center"/>
        <w:rPr>
          <w:kern w:val="0"/>
          <w:sz w:val="15"/>
          <w:szCs w:val="15"/>
        </w:rPr>
      </w:pPr>
    </w:p>
    <w:p w14:paraId="31BDEF98">
      <w:pPr>
        <w:numPr>
          <w:ilvl w:val="2"/>
          <w:numId w:val="1"/>
        </w:numPr>
        <w:tabs>
          <w:tab w:val="left" w:pos="851"/>
          <w:tab w:val="clear" w:pos="1701"/>
        </w:tabs>
        <w:outlineLvl w:val="2"/>
        <w:rPr>
          <w:bCs/>
          <w:lang w:bidi="ar"/>
        </w:rPr>
      </w:pPr>
      <w:r>
        <w:rPr>
          <w:bCs/>
          <w:lang w:bidi="ar"/>
        </w:rPr>
        <w:t>车站</w:t>
      </w:r>
      <w:r>
        <w:rPr>
          <w:rFonts w:hint="eastAsia"/>
          <w:bCs/>
          <w:lang w:bidi="ar"/>
        </w:rPr>
        <w:t>对用地范围内的古树名木，以不小于古树名木树冠垂直投影以外</w:t>
      </w:r>
      <w:r>
        <w:rPr>
          <w:bCs/>
          <w:lang w:bidi="ar"/>
        </w:rPr>
        <w:t xml:space="preserve">5.0m </w:t>
      </w:r>
      <w:r>
        <w:rPr>
          <w:rFonts w:hint="eastAsia"/>
          <w:bCs/>
          <w:lang w:bidi="ar"/>
        </w:rPr>
        <w:t>划定保护范围。</w:t>
      </w:r>
      <w:r>
        <w:rPr>
          <w:rFonts w:hint="eastAsia" w:ascii="Helvetica" w:hAnsi="Helvetica"/>
          <w:bCs/>
          <w:szCs w:val="21"/>
          <w:shd w:val="clear" w:color="auto" w:fill="FFFFFF"/>
        </w:rPr>
        <w:t>由于历史原因造成保护范围和空间不足的</w:t>
      </w:r>
      <w:r>
        <w:rPr>
          <w:rFonts w:hint="eastAsia"/>
          <w:bCs/>
          <w:lang w:bidi="ar"/>
        </w:rPr>
        <w:t>应征得相关主管部门同意。</w:t>
      </w:r>
    </w:p>
    <w:p w14:paraId="5E9D6EBD">
      <w:pPr>
        <w:pStyle w:val="4"/>
        <w:tabs>
          <w:tab w:val="left" w:pos="709"/>
          <w:tab w:val="clear" w:pos="462"/>
          <w:tab w:val="clear" w:pos="794"/>
        </w:tabs>
      </w:pPr>
      <w:bookmarkStart w:id="591" w:name="_Toc357929349"/>
      <w:bookmarkStart w:id="592" w:name="_Toc183683514"/>
      <w:bookmarkStart w:id="593" w:name="_Toc16641"/>
      <w:bookmarkStart w:id="594" w:name="_Toc183882453"/>
      <w:bookmarkStart w:id="595" w:name="_Toc183888143"/>
      <w:bookmarkStart w:id="596" w:name="_Toc183888505"/>
      <w:bookmarkStart w:id="597" w:name="_Toc183765100"/>
      <w:bookmarkStart w:id="598" w:name="_Toc183882091"/>
      <w:bookmarkStart w:id="599" w:name="_Toc183790530"/>
      <w:r>
        <w:rPr>
          <w:rFonts w:hint="eastAsia"/>
        </w:rPr>
        <w:t>车</w:t>
      </w:r>
      <w:bookmarkEnd w:id="591"/>
      <w:r>
        <w:rPr>
          <w:rFonts w:hint="eastAsia"/>
        </w:rPr>
        <w:t>站平面布局</w:t>
      </w:r>
      <w:bookmarkEnd w:id="592"/>
      <w:bookmarkEnd w:id="593"/>
      <w:bookmarkEnd w:id="594"/>
      <w:bookmarkEnd w:id="595"/>
      <w:bookmarkEnd w:id="596"/>
      <w:bookmarkEnd w:id="597"/>
      <w:bookmarkEnd w:id="598"/>
      <w:bookmarkEnd w:id="599"/>
    </w:p>
    <w:p w14:paraId="58AE29CE">
      <w:pPr>
        <w:widowControl/>
        <w:tabs>
          <w:tab w:val="left" w:pos="960"/>
        </w:tabs>
        <w:spacing w:before="100" w:beforeAutospacing="1" w:after="100" w:afterAutospacing="1" w:line="240" w:lineRule="auto"/>
        <w:jc w:val="center"/>
        <w:rPr>
          <w:b/>
        </w:rPr>
      </w:pPr>
      <w:r>
        <w:rPr>
          <w:rFonts w:hint="eastAsia"/>
          <w:b/>
        </w:rPr>
        <w:t>Ⅰ  公共区</w:t>
      </w:r>
    </w:p>
    <w:p w14:paraId="2C869D9A">
      <w:pPr>
        <w:numPr>
          <w:ilvl w:val="2"/>
          <w:numId w:val="1"/>
        </w:numPr>
        <w:tabs>
          <w:tab w:val="left" w:pos="709"/>
          <w:tab w:val="left" w:pos="794"/>
          <w:tab w:val="left" w:pos="935"/>
          <w:tab w:val="left" w:pos="1502"/>
        </w:tabs>
        <w:outlineLvl w:val="2"/>
        <w:rPr>
          <w:bCs/>
        </w:rPr>
      </w:pPr>
      <w:r>
        <w:rPr>
          <w:rFonts w:hint="eastAsia"/>
          <w:bCs/>
        </w:rPr>
        <w:t>初近远期采用不同编组的线路，车站宜按照初期或近期编组布局要求，针对不同客流规模采用对应布局模式，在站台和站厅预留远期改扩建条件。</w:t>
      </w:r>
    </w:p>
    <w:p w14:paraId="4358E7A6">
      <w:pPr>
        <w:numPr>
          <w:ilvl w:val="2"/>
          <w:numId w:val="1"/>
        </w:numPr>
        <w:tabs>
          <w:tab w:val="left" w:pos="709"/>
          <w:tab w:val="left" w:pos="794"/>
          <w:tab w:val="left" w:pos="935"/>
          <w:tab w:val="left" w:pos="1502"/>
        </w:tabs>
        <w:outlineLvl w:val="2"/>
        <w:rPr>
          <w:bCs/>
        </w:rPr>
      </w:pPr>
      <w:r>
        <w:rPr>
          <w:rFonts w:hint="eastAsia"/>
          <w:bCs/>
        </w:rPr>
        <w:t>提供快慢车通行的越行站应满足下列要求：</w:t>
      </w:r>
    </w:p>
    <w:p w14:paraId="44BBA8D1">
      <w:pPr>
        <w:pStyle w:val="7"/>
        <w:ind w:firstLine="420"/>
      </w:pPr>
      <w:r>
        <w:rPr>
          <w:rFonts w:hint="eastAsia"/>
        </w:rPr>
        <w:t>对于快车不停靠的车站，站台宽度和服务设施应充分考虑慢车客流的等候需要；对于快慢车均停靠的车站，站台宽度和设施布局应满足客流快速选择不同车型的需要。</w:t>
      </w:r>
    </w:p>
    <w:p w14:paraId="6E4827C6">
      <w:pPr>
        <w:pStyle w:val="7"/>
        <w:ind w:firstLine="420"/>
      </w:pPr>
      <w:r>
        <w:rPr>
          <w:rFonts w:hint="eastAsia"/>
        </w:rPr>
        <w:t>地上站的越行线上方不宜封闭，并应组织好轨道排水和加强楼面防水。当根据功能需要采取封闭措施时，应开展高速越行列车通过时的风压计算。</w:t>
      </w:r>
    </w:p>
    <w:p w14:paraId="612ACC91">
      <w:pPr>
        <w:pStyle w:val="7"/>
        <w:ind w:firstLine="420"/>
      </w:pPr>
      <w:r>
        <w:rPr>
          <w:rFonts w:hint="eastAsia"/>
        </w:rPr>
        <w:t>临近越行线的侧站台宜设全高封闭型屏蔽门，相邻侧站台的屏蔽门、墙体、幕墙、门、窗、栏杆等设施和构件的性能及安装应满足高速越行列车通过时的风压计算强度要求。</w:t>
      </w:r>
    </w:p>
    <w:p w14:paraId="41F6B769">
      <w:pPr>
        <w:numPr>
          <w:ilvl w:val="4"/>
          <w:numId w:val="1"/>
        </w:numPr>
        <w:tabs>
          <w:tab w:val="clear" w:pos="567"/>
        </w:tabs>
        <w:ind w:left="420"/>
        <w:jc w:val="left"/>
        <w:outlineLvl w:val="4"/>
        <w:rPr>
          <w:rFonts w:ascii="Arial" w:hAnsi="Arial" w:cs="Arial"/>
          <w:szCs w:val="20"/>
        </w:rPr>
      </w:pPr>
      <w:r>
        <w:rPr>
          <w:rFonts w:hint="eastAsia"/>
          <w:bCs/>
          <w:szCs w:val="28"/>
        </w:rPr>
        <w:t>越行车站应采用减振降噪</w:t>
      </w:r>
      <w:r>
        <w:rPr>
          <w:rFonts w:hint="eastAsia" w:ascii="Arial" w:hAnsi="Arial" w:cs="Arial"/>
          <w:szCs w:val="20"/>
        </w:rPr>
        <w:t>措施，降低对周边环境的影响。</w:t>
      </w:r>
    </w:p>
    <w:p w14:paraId="30E6FDBA">
      <w:pPr>
        <w:numPr>
          <w:ilvl w:val="2"/>
          <w:numId w:val="1"/>
        </w:numPr>
        <w:tabs>
          <w:tab w:val="left" w:pos="709"/>
          <w:tab w:val="left" w:pos="794"/>
          <w:tab w:val="left" w:pos="935"/>
          <w:tab w:val="left" w:pos="1502"/>
        </w:tabs>
        <w:outlineLvl w:val="2"/>
        <w:rPr>
          <w:bCs/>
        </w:rPr>
      </w:pPr>
      <w:r>
        <w:rPr>
          <w:rFonts w:hint="eastAsia"/>
          <w:bCs/>
        </w:rPr>
        <w:t xml:space="preserve">停靠灵活编组或多元化车厢列车的车站应符合下列规定： </w:t>
      </w:r>
    </w:p>
    <w:p w14:paraId="28A0A675">
      <w:pPr>
        <w:numPr>
          <w:ilvl w:val="4"/>
          <w:numId w:val="1"/>
        </w:numPr>
        <w:tabs>
          <w:tab w:val="clear" w:pos="567"/>
        </w:tabs>
        <w:ind w:left="420"/>
        <w:jc w:val="left"/>
        <w:outlineLvl w:val="4"/>
        <w:rPr>
          <w:bCs/>
          <w:szCs w:val="28"/>
        </w:rPr>
      </w:pPr>
      <w:r>
        <w:rPr>
          <w:rFonts w:hint="eastAsia" w:ascii="Arial" w:hAnsi="Arial" w:cs="Arial"/>
          <w:szCs w:val="20"/>
        </w:rPr>
        <w:t>车站站台楼</w:t>
      </w:r>
      <w:r>
        <w:rPr>
          <w:rFonts w:hint="eastAsia"/>
          <w:bCs/>
          <w:szCs w:val="28"/>
        </w:rPr>
        <w:t>扶梯等通行设施布局应适应不同编组列车乘客的便利进出站需要；</w:t>
      </w:r>
    </w:p>
    <w:p w14:paraId="361EA0D5">
      <w:pPr>
        <w:numPr>
          <w:ilvl w:val="4"/>
          <w:numId w:val="1"/>
        </w:numPr>
        <w:tabs>
          <w:tab w:val="clear" w:pos="567"/>
        </w:tabs>
        <w:ind w:left="420"/>
        <w:jc w:val="left"/>
        <w:outlineLvl w:val="4"/>
        <w:rPr>
          <w:rFonts w:ascii="Arial" w:hAnsi="Arial" w:cs="Arial"/>
          <w:szCs w:val="20"/>
        </w:rPr>
      </w:pPr>
      <w:r>
        <w:rPr>
          <w:rFonts w:hint="eastAsia"/>
          <w:bCs/>
          <w:szCs w:val="28"/>
        </w:rPr>
        <w:t>针对不同功能、不同等级车厢的停靠，站厅或站台应分区布置隔墙、栏杆、闸机、电</w:t>
      </w:r>
      <w:r>
        <w:rPr>
          <w:rFonts w:hint="eastAsia" w:ascii="Arial" w:hAnsi="Arial" w:cs="Arial"/>
          <w:szCs w:val="20"/>
        </w:rPr>
        <w:t>梯等设施。</w:t>
      </w:r>
    </w:p>
    <w:p w14:paraId="500CEC69">
      <w:pPr>
        <w:numPr>
          <w:ilvl w:val="2"/>
          <w:numId w:val="1"/>
        </w:numPr>
        <w:tabs>
          <w:tab w:val="left" w:pos="709"/>
          <w:tab w:val="left" w:pos="794"/>
          <w:tab w:val="left" w:pos="935"/>
          <w:tab w:val="left" w:pos="1502"/>
        </w:tabs>
        <w:outlineLvl w:val="2"/>
        <w:rPr>
          <w:bCs/>
        </w:rPr>
      </w:pPr>
      <w:r>
        <w:rPr>
          <w:rFonts w:hint="eastAsia"/>
          <w:bCs/>
        </w:rPr>
        <w:t>互联互通运行的跨线站、接轨站和贯通站应满足下列要求：</w:t>
      </w:r>
    </w:p>
    <w:p w14:paraId="1AD65A9A">
      <w:pPr>
        <w:pStyle w:val="7"/>
        <w:ind w:firstLine="420"/>
      </w:pPr>
      <w:r>
        <w:rPr>
          <w:rFonts w:hint="eastAsia" w:ascii="Arial" w:hAnsi="Arial" w:cs="Arial"/>
          <w:szCs w:val="20"/>
        </w:rPr>
        <w:t>站台规模</w:t>
      </w:r>
      <w:r>
        <w:rPr>
          <w:rFonts w:hint="eastAsia"/>
        </w:rPr>
        <w:t>应按照运行组织方案对应的乘降客流量进行计算后确定，通过列车跨线或贯通运行实现转换的客流不应纳入站台规模计算的客流量中；</w:t>
      </w:r>
    </w:p>
    <w:p w14:paraId="2C5E9359">
      <w:pPr>
        <w:pStyle w:val="7"/>
        <w:ind w:firstLine="420"/>
      </w:pPr>
      <w:r>
        <w:rPr>
          <w:rFonts w:hint="eastAsia"/>
        </w:rPr>
        <w:t>车站站型应采用多线多站台的型式以满足跨线运行模式下不同列车乘客乘降的要求；</w:t>
      </w:r>
    </w:p>
    <w:p w14:paraId="43478929">
      <w:pPr>
        <w:pStyle w:val="7"/>
        <w:ind w:firstLine="420"/>
      </w:pPr>
      <w:r>
        <w:rPr>
          <w:rFonts w:hint="eastAsia"/>
        </w:rPr>
        <w:t>车站宜根据跨线运行管理的需要，在站台或站厅就近位置设置司机轮乘房间；</w:t>
      </w:r>
    </w:p>
    <w:p w14:paraId="2A65BCD7">
      <w:pPr>
        <w:pStyle w:val="7"/>
        <w:ind w:firstLine="420"/>
      </w:pPr>
      <w:r>
        <w:rPr>
          <w:rFonts w:hint="eastAsia"/>
        </w:rPr>
        <w:t>车站设备及管理用房宜按照多线共享的原则进行布局；</w:t>
      </w:r>
    </w:p>
    <w:p w14:paraId="1C0A60DF">
      <w:pPr>
        <w:pStyle w:val="7"/>
        <w:ind w:firstLine="420"/>
      </w:pPr>
      <w:r>
        <w:rPr>
          <w:rFonts w:hint="eastAsia"/>
        </w:rPr>
        <w:t>车站应按远期规划统一设计、按初期使用需求确定同期或分期建设原则，预留未来互联互通运行线路的建设条件。</w:t>
      </w:r>
    </w:p>
    <w:p w14:paraId="5532F98B">
      <w:pPr>
        <w:numPr>
          <w:ilvl w:val="2"/>
          <w:numId w:val="1"/>
        </w:numPr>
        <w:tabs>
          <w:tab w:val="left" w:pos="709"/>
          <w:tab w:val="left" w:pos="794"/>
          <w:tab w:val="left" w:pos="935"/>
          <w:tab w:val="left" w:pos="1502"/>
        </w:tabs>
        <w:outlineLvl w:val="2"/>
        <w:rPr>
          <w:bCs/>
        </w:rPr>
      </w:pPr>
      <w:r>
        <w:rPr>
          <w:rFonts w:hint="eastAsia"/>
          <w:bCs/>
        </w:rPr>
        <w:t>全自动驾驶线路的车站宜在两端设备区</w:t>
      </w:r>
      <w:r>
        <w:rPr>
          <w:bCs/>
        </w:rPr>
        <w:t>临近</w:t>
      </w:r>
      <w:r>
        <w:rPr>
          <w:rFonts w:hint="eastAsia"/>
          <w:bCs/>
        </w:rPr>
        <w:t>轨行区</w:t>
      </w:r>
      <w:r>
        <w:rPr>
          <w:bCs/>
        </w:rPr>
        <w:t>一侧</w:t>
      </w:r>
      <w:r>
        <w:rPr>
          <w:rFonts w:hint="eastAsia"/>
          <w:bCs/>
        </w:rPr>
        <w:t>采取封闭措施。</w:t>
      </w:r>
    </w:p>
    <w:p w14:paraId="1F9C1B9F">
      <w:pPr>
        <w:numPr>
          <w:ilvl w:val="2"/>
          <w:numId w:val="1"/>
        </w:numPr>
        <w:tabs>
          <w:tab w:val="left" w:pos="709"/>
          <w:tab w:val="left" w:pos="794"/>
          <w:tab w:val="left" w:pos="935"/>
          <w:tab w:val="left" w:pos="1502"/>
        </w:tabs>
        <w:outlineLvl w:val="2"/>
      </w:pPr>
      <w:r>
        <w:rPr>
          <w:rFonts w:hint="eastAsia"/>
        </w:rPr>
        <w:t>站厅公共区平面应根据车站形式、客流流线、安检设施、售检票方式以及楼扶梯、电梯和其他乘客服务设施的布局综合确定。</w:t>
      </w:r>
    </w:p>
    <w:p w14:paraId="42DC593C">
      <w:pPr>
        <w:numPr>
          <w:ilvl w:val="2"/>
          <w:numId w:val="1"/>
        </w:numPr>
        <w:tabs>
          <w:tab w:val="left" w:pos="709"/>
          <w:tab w:val="left" w:pos="794"/>
          <w:tab w:val="left" w:pos="935"/>
          <w:tab w:val="left" w:pos="1502"/>
        </w:tabs>
        <w:outlineLvl w:val="2"/>
        <w:rPr>
          <w:bCs/>
        </w:rPr>
      </w:pPr>
      <w:r>
        <w:rPr>
          <w:rFonts w:hint="eastAsia"/>
          <w:bCs/>
        </w:rPr>
        <w:t>站厅公共区两端非付费区的纵向长度应根据车站客流、主导客流行为特征和服务区域环境功能定位配置的通行、服务设施合理确定。</w:t>
      </w:r>
    </w:p>
    <w:p w14:paraId="1A582EA9">
      <w:pPr>
        <w:numPr>
          <w:ilvl w:val="2"/>
          <w:numId w:val="1"/>
        </w:numPr>
        <w:tabs>
          <w:tab w:val="left" w:pos="709"/>
          <w:tab w:val="left" w:pos="794"/>
          <w:tab w:val="left" w:pos="935"/>
          <w:tab w:val="left" w:pos="1502"/>
        </w:tabs>
        <w:outlineLvl w:val="2"/>
        <w:rPr>
          <w:bCs/>
        </w:rPr>
      </w:pPr>
      <w:r>
        <w:rPr>
          <w:rFonts w:hint="eastAsia"/>
          <w:bCs/>
        </w:rPr>
        <w:t>站厅公共区连接两端非付费区的联络通道内设进站检票机时，检票机外侧的通道净宽度不应小于4.0</w:t>
      </w:r>
      <w:r>
        <w:rPr>
          <w:bCs/>
        </w:rPr>
        <w:t>0</w:t>
      </w:r>
      <w:r>
        <w:rPr>
          <w:rFonts w:hint="eastAsia"/>
          <w:bCs/>
        </w:rPr>
        <w:t>m。无售检票设备时，通道最小净宽不应小于3.00m。</w:t>
      </w:r>
    </w:p>
    <w:p w14:paraId="4402D765">
      <w:pPr>
        <w:numPr>
          <w:ilvl w:val="2"/>
          <w:numId w:val="1"/>
        </w:numPr>
        <w:tabs>
          <w:tab w:val="left" w:pos="709"/>
          <w:tab w:val="left" w:pos="794"/>
          <w:tab w:val="left" w:pos="935"/>
          <w:tab w:val="left" w:pos="1502"/>
        </w:tabs>
        <w:outlineLvl w:val="2"/>
        <w:rPr>
          <w:bCs/>
        </w:rPr>
      </w:pPr>
      <w:r>
        <w:rPr>
          <w:rFonts w:hint="eastAsia"/>
          <w:bCs/>
        </w:rPr>
        <w:t>站厅自动售、检票机应结合出入口通道、楼梯、自动扶梯、电梯、票务等服务设施统一布置。售、检票机布置应符合下列规定：</w:t>
      </w:r>
    </w:p>
    <w:p w14:paraId="3C0E1AE7">
      <w:pPr>
        <w:pStyle w:val="7"/>
        <w:ind w:firstLine="420"/>
      </w:pPr>
      <w:r>
        <w:rPr>
          <w:rFonts w:hint="eastAsia"/>
          <w:szCs w:val="18"/>
        </w:rPr>
        <w:t>售</w:t>
      </w:r>
      <w:r>
        <w:rPr>
          <w:rFonts w:hint="eastAsia"/>
        </w:rPr>
        <w:t>、检票机的布置应符合乘客进、出站流线，客流不宜交叉；</w:t>
      </w:r>
    </w:p>
    <w:p w14:paraId="042AE843">
      <w:pPr>
        <w:pStyle w:val="7"/>
        <w:ind w:firstLine="420"/>
      </w:pPr>
      <w:r>
        <w:rPr>
          <w:rFonts w:hint="eastAsia"/>
        </w:rPr>
        <w:t>车站售、检票机的数量和布局应根据近、远期客流统一设计，远期预留条件、分期实施；</w:t>
      </w:r>
    </w:p>
    <w:p w14:paraId="7D1D0BBB">
      <w:pPr>
        <w:pStyle w:val="7"/>
        <w:ind w:firstLine="420"/>
      </w:pPr>
      <w:r>
        <w:rPr>
          <w:rFonts w:hint="eastAsia"/>
        </w:rPr>
        <w:t>同种售检票终端设备宜相对集中布置。售检票设施应符合本规范第2</w:t>
      </w:r>
      <w:r>
        <w:t>4</w:t>
      </w:r>
      <w:r>
        <w:rPr>
          <w:rFonts w:hint="eastAsia"/>
        </w:rPr>
        <w:t>.1节的有关规定；</w:t>
      </w:r>
    </w:p>
    <w:p w14:paraId="5E580A61">
      <w:pPr>
        <w:pStyle w:val="7"/>
        <w:ind w:firstLine="420"/>
      </w:pPr>
      <w:r>
        <w:rPr>
          <w:rFonts w:hint="eastAsia"/>
        </w:rPr>
        <w:t>自动售票机应结合设备检修要求进行布置，当设备检修采用后开门形式时，售票机后部离墙装饰面净距不应小于0.8m；对前开门的自动售票机宜采用嵌入式或靠墙安装布置方式；</w:t>
      </w:r>
    </w:p>
    <w:p w14:paraId="72931868">
      <w:pPr>
        <w:pStyle w:val="7"/>
        <w:ind w:firstLine="420"/>
      </w:pPr>
      <w:r>
        <w:rPr>
          <w:rFonts w:hint="eastAsia"/>
        </w:rPr>
        <w:t>售票机前应留有购票乘客的集聚空间，聚积空间不应侵入人流通行区；</w:t>
      </w:r>
    </w:p>
    <w:p w14:paraId="101C4093">
      <w:pPr>
        <w:pStyle w:val="7"/>
        <w:ind w:firstLine="420"/>
      </w:pPr>
      <w:r>
        <w:rPr>
          <w:rFonts w:hint="eastAsia"/>
        </w:rPr>
        <w:t>自动检票机至车站各部位的最小净距不宜小于表10.</w:t>
      </w:r>
      <w:r>
        <w:t>4</w:t>
      </w:r>
      <w:r>
        <w:rPr>
          <w:rFonts w:hint="eastAsia"/>
        </w:rPr>
        <w:t>.</w:t>
      </w:r>
      <w:r>
        <w:t>9</w:t>
      </w:r>
      <w:r>
        <w:rPr>
          <w:rFonts w:hint="eastAsia"/>
        </w:rPr>
        <w:t>的规定；</w:t>
      </w:r>
    </w:p>
    <w:p w14:paraId="26E6055F">
      <w:pPr>
        <w:pStyle w:val="7"/>
        <w:ind w:firstLine="420"/>
      </w:pPr>
      <w:r>
        <w:rPr>
          <w:rFonts w:hint="eastAsia"/>
        </w:rPr>
        <w:t>对不同运营时段进出站客流差别较大以及有可能发生突发客流的车站，应在不同方向增设双向检票机；</w:t>
      </w:r>
    </w:p>
    <w:p w14:paraId="6168C94E">
      <w:pPr>
        <w:pStyle w:val="7"/>
        <w:ind w:firstLine="420"/>
      </w:pPr>
      <w:r>
        <w:rPr>
          <w:rFonts w:hint="eastAsia"/>
        </w:rPr>
        <w:t>临近火车站、机场、城际交通枢纽、近郊客运中心等对外交通设施的车站，应增加人工售票、双向宽通道检票机及乘客服务设施。</w:t>
      </w:r>
    </w:p>
    <w:p w14:paraId="0BFF8D3B">
      <w:pPr>
        <w:pStyle w:val="198"/>
      </w:pPr>
      <w:r>
        <w:br w:type="page"/>
      </w:r>
      <w:r>
        <w:rPr>
          <w:rFonts w:hint="eastAsia"/>
        </w:rPr>
        <w:t>表10.</w:t>
      </w:r>
      <w:r>
        <w:t>4</w:t>
      </w:r>
      <w:r>
        <w:rPr>
          <w:rFonts w:hint="eastAsia"/>
        </w:rPr>
        <w:t>.</w:t>
      </w:r>
      <w:r>
        <w:t>9</w:t>
      </w:r>
      <w:r>
        <w:rPr>
          <w:rFonts w:hint="eastAsia"/>
        </w:rPr>
        <w:t xml:space="preserve">  自动检票机至车站各部位的最小净距（m）</w:t>
      </w:r>
    </w:p>
    <w:tbl>
      <w:tblPr>
        <w:tblStyle w:val="88"/>
        <w:tblW w:w="48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59"/>
        <w:gridCol w:w="1248"/>
      </w:tblGrid>
      <w:tr w14:paraId="025D0A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59" w:type="dxa"/>
            <w:tcBorders>
              <w:top w:val="single" w:color="auto" w:sz="8" w:space="0"/>
              <w:bottom w:val="single" w:color="auto" w:sz="8" w:space="0"/>
            </w:tcBorders>
            <w:vAlign w:val="center"/>
          </w:tcPr>
          <w:p w14:paraId="65D9C661">
            <w:pPr>
              <w:autoSpaceDE w:val="0"/>
              <w:autoSpaceDN w:val="0"/>
              <w:spacing w:line="240" w:lineRule="auto"/>
              <w:jc w:val="center"/>
              <w:rPr>
                <w:kern w:val="0"/>
                <w:sz w:val="15"/>
                <w:szCs w:val="15"/>
              </w:rPr>
            </w:pPr>
            <w:r>
              <w:rPr>
                <w:rFonts w:hint="eastAsia"/>
                <w:kern w:val="0"/>
                <w:sz w:val="15"/>
                <w:szCs w:val="15"/>
              </w:rPr>
              <w:t>名    称</w:t>
            </w:r>
          </w:p>
        </w:tc>
        <w:tc>
          <w:tcPr>
            <w:tcW w:w="1248" w:type="dxa"/>
            <w:tcBorders>
              <w:top w:val="single" w:color="auto" w:sz="8" w:space="0"/>
              <w:bottom w:val="single" w:color="auto" w:sz="8" w:space="0"/>
            </w:tcBorders>
            <w:vAlign w:val="center"/>
          </w:tcPr>
          <w:p w14:paraId="6E9C6F0C">
            <w:pPr>
              <w:autoSpaceDE w:val="0"/>
              <w:autoSpaceDN w:val="0"/>
              <w:spacing w:line="240" w:lineRule="auto"/>
              <w:jc w:val="center"/>
              <w:rPr>
                <w:kern w:val="0"/>
                <w:sz w:val="15"/>
                <w:szCs w:val="15"/>
              </w:rPr>
            </w:pPr>
            <w:r>
              <w:rPr>
                <w:rFonts w:hint="eastAsia"/>
                <w:kern w:val="0"/>
                <w:sz w:val="15"/>
                <w:szCs w:val="15"/>
              </w:rPr>
              <w:t>最小距离（m）</w:t>
            </w:r>
          </w:p>
        </w:tc>
      </w:tr>
      <w:tr w14:paraId="16EEF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59" w:type="dxa"/>
            <w:tcBorders>
              <w:top w:val="single" w:color="auto" w:sz="8" w:space="0"/>
            </w:tcBorders>
            <w:vAlign w:val="center"/>
          </w:tcPr>
          <w:p w14:paraId="465D6DFE">
            <w:pPr>
              <w:autoSpaceDE w:val="0"/>
              <w:autoSpaceDN w:val="0"/>
              <w:spacing w:line="240" w:lineRule="auto"/>
              <w:jc w:val="center"/>
              <w:rPr>
                <w:kern w:val="0"/>
                <w:sz w:val="15"/>
                <w:szCs w:val="15"/>
              </w:rPr>
            </w:pPr>
            <w:r>
              <w:rPr>
                <w:rFonts w:hint="eastAsia"/>
                <w:kern w:val="0"/>
                <w:sz w:val="15"/>
                <w:szCs w:val="15"/>
              </w:rPr>
              <w:t>进站自动检票机内侧距步行楼梯第一级踏步距离</w:t>
            </w:r>
          </w:p>
        </w:tc>
        <w:tc>
          <w:tcPr>
            <w:tcW w:w="1248" w:type="dxa"/>
            <w:tcBorders>
              <w:top w:val="single" w:color="auto" w:sz="8" w:space="0"/>
            </w:tcBorders>
            <w:vAlign w:val="center"/>
          </w:tcPr>
          <w:p w14:paraId="095181D8">
            <w:pPr>
              <w:autoSpaceDE w:val="0"/>
              <w:autoSpaceDN w:val="0"/>
              <w:spacing w:line="240" w:lineRule="auto"/>
              <w:jc w:val="center"/>
              <w:rPr>
                <w:kern w:val="0"/>
                <w:sz w:val="15"/>
                <w:szCs w:val="15"/>
              </w:rPr>
            </w:pPr>
            <w:r>
              <w:rPr>
                <w:rFonts w:hint="eastAsia"/>
                <w:kern w:val="0"/>
                <w:sz w:val="15"/>
                <w:szCs w:val="15"/>
              </w:rPr>
              <w:t>4</w:t>
            </w:r>
          </w:p>
        </w:tc>
      </w:tr>
      <w:tr w14:paraId="3596E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559" w:type="dxa"/>
            <w:vAlign w:val="center"/>
          </w:tcPr>
          <w:p w14:paraId="690957CC">
            <w:pPr>
              <w:autoSpaceDE w:val="0"/>
              <w:autoSpaceDN w:val="0"/>
              <w:spacing w:line="240" w:lineRule="auto"/>
              <w:jc w:val="center"/>
              <w:rPr>
                <w:kern w:val="0"/>
                <w:sz w:val="15"/>
                <w:szCs w:val="15"/>
              </w:rPr>
            </w:pPr>
            <w:r>
              <w:rPr>
                <w:rFonts w:hint="eastAsia"/>
                <w:kern w:val="0"/>
                <w:sz w:val="15"/>
                <w:szCs w:val="15"/>
              </w:rPr>
              <w:t>进站自动检票机内侧距自动扶梯扶手带转向处距离</w:t>
            </w:r>
          </w:p>
        </w:tc>
        <w:tc>
          <w:tcPr>
            <w:tcW w:w="1248" w:type="dxa"/>
            <w:vAlign w:val="center"/>
          </w:tcPr>
          <w:p w14:paraId="267A1C28">
            <w:pPr>
              <w:autoSpaceDE w:val="0"/>
              <w:autoSpaceDN w:val="0"/>
              <w:spacing w:line="240" w:lineRule="auto"/>
              <w:jc w:val="center"/>
              <w:rPr>
                <w:kern w:val="0"/>
                <w:sz w:val="15"/>
                <w:szCs w:val="15"/>
              </w:rPr>
            </w:pPr>
            <w:r>
              <w:rPr>
                <w:rFonts w:hint="eastAsia"/>
                <w:kern w:val="0"/>
                <w:sz w:val="15"/>
                <w:szCs w:val="15"/>
              </w:rPr>
              <w:t>5</w:t>
            </w:r>
          </w:p>
        </w:tc>
      </w:tr>
      <w:tr w14:paraId="166DD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59" w:type="dxa"/>
            <w:vAlign w:val="center"/>
          </w:tcPr>
          <w:p w14:paraId="78E977B9">
            <w:pPr>
              <w:autoSpaceDE w:val="0"/>
              <w:autoSpaceDN w:val="0"/>
              <w:spacing w:line="240" w:lineRule="auto"/>
              <w:jc w:val="center"/>
              <w:rPr>
                <w:kern w:val="0"/>
                <w:sz w:val="15"/>
                <w:szCs w:val="15"/>
              </w:rPr>
            </w:pPr>
            <w:r>
              <w:rPr>
                <w:rFonts w:hint="eastAsia"/>
                <w:kern w:val="0"/>
                <w:sz w:val="15"/>
                <w:szCs w:val="15"/>
              </w:rPr>
              <w:t>进站自动检票机外侧距平行设置售票机的距离</w:t>
            </w:r>
          </w:p>
        </w:tc>
        <w:tc>
          <w:tcPr>
            <w:tcW w:w="1248" w:type="dxa"/>
            <w:vAlign w:val="center"/>
          </w:tcPr>
          <w:p w14:paraId="2FA2DFBB">
            <w:pPr>
              <w:autoSpaceDE w:val="0"/>
              <w:autoSpaceDN w:val="0"/>
              <w:spacing w:line="240" w:lineRule="auto"/>
              <w:jc w:val="center"/>
              <w:rPr>
                <w:kern w:val="0"/>
                <w:sz w:val="15"/>
                <w:szCs w:val="15"/>
              </w:rPr>
            </w:pPr>
            <w:r>
              <w:rPr>
                <w:rFonts w:hint="eastAsia"/>
                <w:kern w:val="0"/>
                <w:sz w:val="15"/>
                <w:szCs w:val="15"/>
              </w:rPr>
              <w:t>5</w:t>
            </w:r>
          </w:p>
        </w:tc>
      </w:tr>
      <w:tr w14:paraId="0C3835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59" w:type="dxa"/>
            <w:vAlign w:val="center"/>
          </w:tcPr>
          <w:p w14:paraId="0EA7AE5E">
            <w:pPr>
              <w:autoSpaceDE w:val="0"/>
              <w:autoSpaceDN w:val="0"/>
              <w:spacing w:line="240" w:lineRule="auto"/>
              <w:jc w:val="center"/>
              <w:rPr>
                <w:kern w:val="0"/>
                <w:sz w:val="15"/>
                <w:szCs w:val="15"/>
              </w:rPr>
            </w:pPr>
            <w:r>
              <w:rPr>
                <w:rFonts w:hint="eastAsia"/>
                <w:kern w:val="0"/>
                <w:sz w:val="15"/>
                <w:szCs w:val="15"/>
              </w:rPr>
              <w:t>出站自动检票机内侧距步行楼梯第一级踏步的距离</w:t>
            </w:r>
          </w:p>
        </w:tc>
        <w:tc>
          <w:tcPr>
            <w:tcW w:w="1248" w:type="dxa"/>
            <w:vAlign w:val="center"/>
          </w:tcPr>
          <w:p w14:paraId="51D8FB94">
            <w:pPr>
              <w:autoSpaceDE w:val="0"/>
              <w:autoSpaceDN w:val="0"/>
              <w:spacing w:line="240" w:lineRule="auto"/>
              <w:jc w:val="center"/>
              <w:rPr>
                <w:kern w:val="0"/>
                <w:sz w:val="15"/>
                <w:szCs w:val="15"/>
              </w:rPr>
            </w:pPr>
            <w:r>
              <w:rPr>
                <w:rFonts w:hint="eastAsia"/>
                <w:kern w:val="0"/>
                <w:sz w:val="15"/>
                <w:szCs w:val="15"/>
              </w:rPr>
              <w:t>5</w:t>
            </w:r>
          </w:p>
        </w:tc>
      </w:tr>
      <w:tr w14:paraId="1F68F2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59" w:type="dxa"/>
            <w:vAlign w:val="center"/>
          </w:tcPr>
          <w:p w14:paraId="63740B67">
            <w:pPr>
              <w:autoSpaceDE w:val="0"/>
              <w:autoSpaceDN w:val="0"/>
              <w:spacing w:line="240" w:lineRule="auto"/>
              <w:jc w:val="center"/>
              <w:rPr>
                <w:kern w:val="0"/>
                <w:sz w:val="15"/>
                <w:szCs w:val="15"/>
              </w:rPr>
            </w:pPr>
            <w:r>
              <w:rPr>
                <w:rFonts w:hint="eastAsia"/>
                <w:kern w:val="0"/>
                <w:sz w:val="15"/>
                <w:szCs w:val="15"/>
              </w:rPr>
              <w:t>出站自动检票机内侧距自动扶梯扶手带转向处距离</w:t>
            </w:r>
          </w:p>
        </w:tc>
        <w:tc>
          <w:tcPr>
            <w:tcW w:w="1248" w:type="dxa"/>
            <w:vAlign w:val="center"/>
          </w:tcPr>
          <w:p w14:paraId="75E64EC6">
            <w:pPr>
              <w:autoSpaceDE w:val="0"/>
              <w:autoSpaceDN w:val="0"/>
              <w:spacing w:line="240" w:lineRule="auto"/>
              <w:jc w:val="center"/>
              <w:rPr>
                <w:kern w:val="0"/>
                <w:sz w:val="15"/>
                <w:szCs w:val="15"/>
              </w:rPr>
            </w:pPr>
            <w:r>
              <w:rPr>
                <w:rFonts w:hint="eastAsia"/>
                <w:kern w:val="0"/>
                <w:sz w:val="15"/>
                <w:szCs w:val="15"/>
              </w:rPr>
              <w:t>6</w:t>
            </w:r>
          </w:p>
        </w:tc>
      </w:tr>
      <w:tr w14:paraId="109775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59" w:type="dxa"/>
            <w:vAlign w:val="center"/>
          </w:tcPr>
          <w:p w14:paraId="1827FF42">
            <w:pPr>
              <w:autoSpaceDE w:val="0"/>
              <w:autoSpaceDN w:val="0"/>
              <w:spacing w:line="240" w:lineRule="auto"/>
              <w:jc w:val="center"/>
              <w:rPr>
                <w:kern w:val="0"/>
                <w:sz w:val="15"/>
                <w:szCs w:val="15"/>
              </w:rPr>
            </w:pPr>
            <w:r>
              <w:rPr>
                <w:rFonts w:hint="eastAsia"/>
                <w:kern w:val="0"/>
                <w:sz w:val="15"/>
                <w:szCs w:val="15"/>
              </w:rPr>
              <w:t>相对布置的自动检票机之间的距离</w:t>
            </w:r>
          </w:p>
        </w:tc>
        <w:tc>
          <w:tcPr>
            <w:tcW w:w="1248" w:type="dxa"/>
            <w:vAlign w:val="center"/>
          </w:tcPr>
          <w:p w14:paraId="51785666">
            <w:pPr>
              <w:autoSpaceDE w:val="0"/>
              <w:autoSpaceDN w:val="0"/>
              <w:spacing w:line="240" w:lineRule="auto"/>
              <w:jc w:val="center"/>
              <w:rPr>
                <w:kern w:val="0"/>
                <w:sz w:val="15"/>
                <w:szCs w:val="15"/>
              </w:rPr>
            </w:pPr>
            <w:r>
              <w:rPr>
                <w:rFonts w:hint="eastAsia"/>
                <w:kern w:val="0"/>
                <w:sz w:val="15"/>
                <w:szCs w:val="15"/>
              </w:rPr>
              <w:t>10</w:t>
            </w:r>
          </w:p>
        </w:tc>
      </w:tr>
      <w:tr w14:paraId="13DA80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59" w:type="dxa"/>
            <w:vAlign w:val="center"/>
          </w:tcPr>
          <w:p w14:paraId="1D865F2C">
            <w:pPr>
              <w:autoSpaceDE w:val="0"/>
              <w:autoSpaceDN w:val="0"/>
              <w:spacing w:line="240" w:lineRule="auto"/>
              <w:jc w:val="center"/>
              <w:rPr>
                <w:kern w:val="0"/>
                <w:sz w:val="15"/>
                <w:szCs w:val="15"/>
              </w:rPr>
            </w:pPr>
            <w:r>
              <w:rPr>
                <w:rFonts w:hint="eastAsia"/>
                <w:kern w:val="0"/>
                <w:sz w:val="15"/>
                <w:szCs w:val="15"/>
              </w:rPr>
              <w:t>出站检票机外侧离出入口通道边缘距离</w:t>
            </w:r>
          </w:p>
        </w:tc>
        <w:tc>
          <w:tcPr>
            <w:tcW w:w="1248" w:type="dxa"/>
            <w:vAlign w:val="center"/>
          </w:tcPr>
          <w:p w14:paraId="46FDDB7F">
            <w:pPr>
              <w:autoSpaceDE w:val="0"/>
              <w:autoSpaceDN w:val="0"/>
              <w:spacing w:line="240" w:lineRule="auto"/>
              <w:jc w:val="center"/>
              <w:rPr>
                <w:kern w:val="0"/>
                <w:sz w:val="15"/>
                <w:szCs w:val="15"/>
              </w:rPr>
            </w:pPr>
            <w:r>
              <w:rPr>
                <w:rFonts w:hint="eastAsia"/>
                <w:kern w:val="0"/>
                <w:sz w:val="15"/>
                <w:szCs w:val="15"/>
              </w:rPr>
              <w:t>5</w:t>
            </w:r>
          </w:p>
        </w:tc>
      </w:tr>
    </w:tbl>
    <w:p w14:paraId="406EBE7F">
      <w:pPr>
        <w:numPr>
          <w:ilvl w:val="0"/>
          <w:numId w:val="14"/>
        </w:numPr>
        <w:spacing w:line="100" w:lineRule="exact"/>
        <w:rPr>
          <w:rFonts w:ascii="Arial" w:hAnsi="Arial" w:cs="Arial"/>
          <w:spacing w:val="4"/>
          <w:sz w:val="20"/>
          <w:szCs w:val="20"/>
        </w:rPr>
      </w:pPr>
    </w:p>
    <w:p w14:paraId="738EF72F">
      <w:pPr>
        <w:numPr>
          <w:ilvl w:val="2"/>
          <w:numId w:val="1"/>
        </w:numPr>
        <w:tabs>
          <w:tab w:val="left" w:pos="709"/>
          <w:tab w:val="left" w:pos="794"/>
          <w:tab w:val="left" w:pos="935"/>
          <w:tab w:val="left" w:pos="1502"/>
        </w:tabs>
        <w:outlineLvl w:val="2"/>
      </w:pPr>
      <w:r>
        <w:rPr>
          <w:rFonts w:hint="eastAsia"/>
        </w:rPr>
        <w:t>站内安检设施布置应符合下列规定：</w:t>
      </w:r>
    </w:p>
    <w:p w14:paraId="4EADB93D">
      <w:pPr>
        <w:pStyle w:val="7"/>
        <w:ind w:firstLine="420"/>
      </w:pPr>
      <w:r>
        <w:rPr>
          <w:rFonts w:hint="eastAsia"/>
          <w:szCs w:val="18"/>
        </w:rPr>
        <w:t>安检</w:t>
      </w:r>
      <w:r>
        <w:rPr>
          <w:rFonts w:hint="eastAsia"/>
        </w:rPr>
        <w:t>设施应根据乘客进站流线布置在非付费区内，设施前应留有足够的排队等候空间，并不得影响出站乘客和过街客流通行；</w:t>
      </w:r>
    </w:p>
    <w:p w14:paraId="79A83A0A">
      <w:pPr>
        <w:pStyle w:val="7"/>
        <w:ind w:firstLine="420"/>
        <w:rPr>
          <w:szCs w:val="18"/>
        </w:rPr>
      </w:pPr>
      <w:r>
        <w:rPr>
          <w:rFonts w:hint="eastAsia"/>
        </w:rPr>
        <w:t>通厅式车站在两端非付费区的联络通道内设安检设施时，安检设施外侧前</w:t>
      </w:r>
      <w:r>
        <w:rPr>
          <w:rFonts w:hint="eastAsia"/>
          <w:szCs w:val="18"/>
        </w:rPr>
        <w:t>的通道净宽度不宜小于本规范第</w:t>
      </w:r>
      <w:r>
        <w:rPr>
          <w:szCs w:val="18"/>
        </w:rPr>
        <w:t>10.4.9</w:t>
      </w:r>
      <w:r>
        <w:rPr>
          <w:rFonts w:hint="eastAsia"/>
          <w:szCs w:val="18"/>
        </w:rPr>
        <w:t>条规定的进站检票机外缘前的最小通道宽度；</w:t>
      </w:r>
    </w:p>
    <w:p w14:paraId="45C78C84">
      <w:pPr>
        <w:pStyle w:val="7"/>
        <w:ind w:firstLine="420"/>
      </w:pPr>
      <w:r>
        <w:rPr>
          <w:rFonts w:hint="eastAsia"/>
        </w:rPr>
        <w:t>困</w:t>
      </w:r>
      <w:r>
        <w:t>难情况下，安检设置在出入口与站厅接口处时，安检机不得进入出入口通道宽度范围内，安检与非付费区分隔措施不得采用硬质隔离栏杆。</w:t>
      </w:r>
    </w:p>
    <w:p w14:paraId="13667999">
      <w:pPr>
        <w:numPr>
          <w:ilvl w:val="2"/>
          <w:numId w:val="1"/>
        </w:numPr>
        <w:tabs>
          <w:tab w:val="left" w:pos="709"/>
          <w:tab w:val="left" w:pos="794"/>
          <w:tab w:val="left" w:pos="935"/>
          <w:tab w:val="left" w:pos="1502"/>
        </w:tabs>
        <w:outlineLvl w:val="2"/>
      </w:pPr>
      <w:r>
        <w:rPr>
          <w:rFonts w:hint="eastAsia"/>
        </w:rPr>
        <w:t>站厅公共区栅栏的设置应符合下列规定：</w:t>
      </w:r>
    </w:p>
    <w:p w14:paraId="5D53ADA9">
      <w:pPr>
        <w:pStyle w:val="7"/>
        <w:ind w:firstLine="420"/>
      </w:pPr>
      <w:r>
        <w:rPr>
          <w:rFonts w:hint="eastAsia"/>
          <w:szCs w:val="18"/>
        </w:rPr>
        <w:t>栅栏的栏</w:t>
      </w:r>
      <w:r>
        <w:rPr>
          <w:rFonts w:hint="eastAsia"/>
        </w:rPr>
        <w:t>杆高度不应低于1.1m；</w:t>
      </w:r>
    </w:p>
    <w:p w14:paraId="6E3A0662">
      <w:pPr>
        <w:pStyle w:val="7"/>
        <w:ind w:firstLine="420"/>
      </w:pPr>
      <w:r>
        <w:rPr>
          <w:rFonts w:hint="eastAsia"/>
        </w:rPr>
        <w:t>在付费区的不同方向应设置向疏散方向开启的平开栅栏门，栅栏门的净宽不应小于1.1m。供特种履带式消防车进入付费区的栅栏门净宽不应小于1.65m。</w:t>
      </w:r>
    </w:p>
    <w:p w14:paraId="4313BD36">
      <w:pPr>
        <w:numPr>
          <w:ilvl w:val="2"/>
          <w:numId w:val="1"/>
        </w:numPr>
        <w:tabs>
          <w:tab w:val="left" w:pos="709"/>
          <w:tab w:val="left" w:pos="794"/>
          <w:tab w:val="left" w:pos="935"/>
          <w:tab w:val="left" w:pos="1502"/>
        </w:tabs>
        <w:outlineLvl w:val="2"/>
      </w:pPr>
      <w:r>
        <w:rPr>
          <w:rFonts w:hint="eastAsia"/>
        </w:rPr>
        <w:t>车站的站台宽度应按下列公式计算：</w:t>
      </w:r>
    </w:p>
    <w:p w14:paraId="674E91C3">
      <w:pPr>
        <w:wordWrap w:val="0"/>
        <w:spacing w:line="240" w:lineRule="auto"/>
        <w:ind w:right="28"/>
        <w:jc w:val="right"/>
        <w:rPr>
          <w:szCs w:val="18"/>
        </w:rPr>
      </w:pPr>
      <w:r>
        <w:rPr>
          <w:i/>
          <w:iCs/>
          <w:szCs w:val="18"/>
        </w:rPr>
        <w:t>B</w:t>
      </w:r>
      <w:r>
        <w:rPr>
          <w:szCs w:val="18"/>
          <w:vertAlign w:val="subscript"/>
        </w:rPr>
        <w:t>d</w:t>
      </w:r>
      <w:r>
        <w:rPr>
          <w:szCs w:val="18"/>
        </w:rPr>
        <w:t>=2</w:t>
      </w:r>
      <w:r>
        <w:rPr>
          <w:i/>
          <w:iCs/>
          <w:szCs w:val="18"/>
        </w:rPr>
        <w:t>b</w:t>
      </w:r>
      <w:r>
        <w:rPr>
          <w:szCs w:val="18"/>
          <w:vertAlign w:val="subscript"/>
        </w:rPr>
        <w:t>c</w:t>
      </w:r>
      <w:r>
        <w:rPr>
          <w:szCs w:val="18"/>
        </w:rPr>
        <w:t>+</w:t>
      </w:r>
      <w:r>
        <w:rPr>
          <w:i/>
          <w:iCs/>
          <w:szCs w:val="18"/>
        </w:rPr>
        <w:t>d</w:t>
      </w:r>
      <w:r>
        <w:rPr>
          <w:szCs w:val="18"/>
        </w:rPr>
        <w:t>+</w:t>
      </w:r>
      <w:r>
        <w:rPr>
          <w:i/>
          <w:iCs/>
          <w:szCs w:val="18"/>
        </w:rPr>
        <w:t>b</w:t>
      </w:r>
      <w:r>
        <w:rPr>
          <w:szCs w:val="18"/>
          <w:vertAlign w:val="subscript"/>
        </w:rPr>
        <w:t>t</w:t>
      </w:r>
      <w:r>
        <w:rPr>
          <w:szCs w:val="18"/>
        </w:rPr>
        <w:t xml:space="preserve">                </w:t>
      </w:r>
      <w:bookmarkStart w:id="600" w:name="OLE_LINK5"/>
      <w:r>
        <w:rPr>
          <w:szCs w:val="18"/>
        </w:rPr>
        <w:t>（10.4.12-1）</w:t>
      </w:r>
      <w:bookmarkEnd w:id="600"/>
    </w:p>
    <w:p w14:paraId="4C3ADB2D">
      <w:pPr>
        <w:wordWrap w:val="0"/>
        <w:spacing w:line="240" w:lineRule="auto"/>
        <w:ind w:right="28"/>
        <w:jc w:val="right"/>
        <w:rPr>
          <w:szCs w:val="18"/>
        </w:rPr>
      </w:pPr>
      <w:r>
        <w:rPr>
          <w:i/>
          <w:iCs/>
          <w:szCs w:val="18"/>
        </w:rPr>
        <w:t>B</w:t>
      </w:r>
      <w:r>
        <w:rPr>
          <w:szCs w:val="18"/>
          <w:vertAlign w:val="subscript"/>
        </w:rPr>
        <w:t>c</w:t>
      </w:r>
      <w:r>
        <w:rPr>
          <w:szCs w:val="18"/>
        </w:rPr>
        <w:t>=</w:t>
      </w:r>
      <w:r>
        <w:rPr>
          <w:i/>
          <w:iCs/>
          <w:szCs w:val="18"/>
        </w:rPr>
        <w:t>b</w:t>
      </w:r>
      <w:r>
        <w:rPr>
          <w:szCs w:val="18"/>
          <w:vertAlign w:val="subscript"/>
        </w:rPr>
        <w:t>c</w:t>
      </w:r>
      <w:r>
        <w:rPr>
          <w:szCs w:val="18"/>
        </w:rPr>
        <w:t>+</w:t>
      </w:r>
      <w:r>
        <w:rPr>
          <w:i/>
          <w:iCs/>
          <w:szCs w:val="18"/>
        </w:rPr>
        <w:t>d</w:t>
      </w:r>
      <w:r>
        <w:rPr>
          <w:szCs w:val="18"/>
        </w:rPr>
        <w:t>+</w:t>
      </w:r>
      <w:r>
        <w:rPr>
          <w:i/>
          <w:iCs/>
          <w:szCs w:val="18"/>
        </w:rPr>
        <w:t>b</w:t>
      </w:r>
      <w:r>
        <w:rPr>
          <w:szCs w:val="18"/>
          <w:vertAlign w:val="subscript"/>
        </w:rPr>
        <w:t>t</w:t>
      </w:r>
      <w:r>
        <w:rPr>
          <w:szCs w:val="18"/>
        </w:rPr>
        <w:t xml:space="preserve">           </w:t>
      </w:r>
      <w:r>
        <w:rPr>
          <w:sz w:val="10"/>
          <w:szCs w:val="18"/>
        </w:rPr>
        <w:t xml:space="preserve"> </w:t>
      </w:r>
      <w:r>
        <w:rPr>
          <w:szCs w:val="18"/>
        </w:rPr>
        <w:t xml:space="preserve">      （10.4.12-2）</w:t>
      </w:r>
    </w:p>
    <w:p w14:paraId="08F7386D">
      <w:pPr>
        <w:wordWrap w:val="0"/>
        <w:spacing w:line="240" w:lineRule="auto"/>
        <w:ind w:right="28"/>
        <w:jc w:val="right"/>
        <w:rPr>
          <w:szCs w:val="18"/>
        </w:rPr>
      </w:pPr>
      <w:r>
        <w:rPr>
          <w:position w:val="-26"/>
          <w:szCs w:val="18"/>
        </w:rPr>
        <w:object>
          <v:shape id="_x0000_i1034" o:spt="75" type="#_x0000_t75" style="height:29.95pt;width:106.9pt;" o:ole="t" filled="f" o:preferrelative="t" stroked="f" coordsize="21600,21600">
            <v:path/>
            <v:fill on="f" focussize="0,0"/>
            <v:stroke on="f" joinstyle="miter"/>
            <v:imagedata r:id="rId77" o:title=""/>
            <o:lock v:ext="edit" aspectratio="t"/>
            <w10:wrap type="none"/>
            <w10:anchorlock/>
          </v:shape>
          <o:OLEObject Type="Embed" ProgID="Equation.DSMT4" ShapeID="_x0000_i1034" DrawAspect="Content" ObjectID="_1468075734" r:id="rId76">
            <o:LockedField>false</o:LockedField>
          </o:OLEObject>
        </w:object>
      </w:r>
      <w:r>
        <w:rPr>
          <w:szCs w:val="18"/>
        </w:rPr>
        <w:t xml:space="preserve">         （10.4.12-3）</w:t>
      </w:r>
    </w:p>
    <w:p w14:paraId="0F3C505E">
      <w:pPr>
        <w:rPr>
          <w:szCs w:val="18"/>
        </w:rPr>
      </w:pPr>
      <w:r>
        <w:rPr>
          <w:rFonts w:hint="eastAsia"/>
          <w:szCs w:val="18"/>
        </w:rPr>
        <w:t xml:space="preserve">式中  </w:t>
      </w:r>
      <w:r>
        <w:rPr>
          <w:rFonts w:hint="eastAsia"/>
          <w:i/>
          <w:iCs/>
          <w:szCs w:val="18"/>
        </w:rPr>
        <w:t>B</w:t>
      </w:r>
      <w:r>
        <w:rPr>
          <w:rFonts w:hint="eastAsia"/>
          <w:szCs w:val="18"/>
          <w:vertAlign w:val="subscript"/>
        </w:rPr>
        <w:t>d</w:t>
      </w:r>
      <w:r>
        <w:rPr>
          <w:rFonts w:hint="eastAsia" w:ascii="Times" w:hAnsi="Times"/>
          <w:szCs w:val="18"/>
        </w:rPr>
        <w:t>——</w:t>
      </w:r>
      <w:r>
        <w:rPr>
          <w:rFonts w:hint="eastAsia"/>
          <w:szCs w:val="18"/>
        </w:rPr>
        <w:t>岛式站台宽度（m）；</w:t>
      </w:r>
    </w:p>
    <w:p w14:paraId="17E3E46B">
      <w:pPr>
        <w:ind w:firstLine="630" w:firstLineChars="300"/>
        <w:rPr>
          <w:szCs w:val="18"/>
        </w:rPr>
      </w:pPr>
      <w:r>
        <w:rPr>
          <w:rFonts w:hint="eastAsia"/>
          <w:i/>
          <w:iCs/>
          <w:szCs w:val="18"/>
        </w:rPr>
        <w:t>B</w:t>
      </w:r>
      <w:r>
        <w:rPr>
          <w:rFonts w:hint="eastAsia"/>
          <w:szCs w:val="18"/>
          <w:vertAlign w:val="subscript"/>
        </w:rPr>
        <w:t>c</w:t>
      </w:r>
      <w:r>
        <w:rPr>
          <w:rFonts w:hint="eastAsia" w:ascii="Times" w:hAnsi="Times"/>
          <w:szCs w:val="18"/>
        </w:rPr>
        <w:t>——</w:t>
      </w:r>
      <w:r>
        <w:rPr>
          <w:rFonts w:hint="eastAsia"/>
          <w:szCs w:val="18"/>
        </w:rPr>
        <w:t>侧式站台宽度（m）；</w:t>
      </w:r>
    </w:p>
    <w:p w14:paraId="1CBE8E2D">
      <w:pPr>
        <w:ind w:firstLine="648" w:firstLineChars="309"/>
        <w:rPr>
          <w:szCs w:val="18"/>
        </w:rPr>
      </w:pPr>
      <w:r>
        <w:rPr>
          <w:rFonts w:hint="eastAsia"/>
          <w:i/>
          <w:iCs/>
          <w:szCs w:val="18"/>
        </w:rPr>
        <w:t>b</w:t>
      </w:r>
      <w:r>
        <w:rPr>
          <w:rFonts w:hint="eastAsia"/>
          <w:szCs w:val="18"/>
          <w:vertAlign w:val="subscript"/>
        </w:rPr>
        <w:t>c</w:t>
      </w:r>
      <w:r>
        <w:rPr>
          <w:rFonts w:hint="eastAsia" w:ascii="Times" w:hAnsi="Times"/>
          <w:szCs w:val="18"/>
        </w:rPr>
        <w:t>——</w:t>
      </w:r>
      <w:r>
        <w:rPr>
          <w:rFonts w:hint="eastAsia"/>
          <w:szCs w:val="18"/>
        </w:rPr>
        <w:t>侧站台宽度（m）；</w:t>
      </w:r>
    </w:p>
    <w:p w14:paraId="55611BC1">
      <w:pPr>
        <w:ind w:firstLine="735" w:firstLineChars="350"/>
        <w:rPr>
          <w:szCs w:val="18"/>
        </w:rPr>
      </w:pPr>
      <w:r>
        <w:rPr>
          <w:rFonts w:hint="eastAsia"/>
          <w:i/>
          <w:iCs/>
          <w:szCs w:val="18"/>
        </w:rPr>
        <w:t>d</w:t>
      </w:r>
      <w:r>
        <w:rPr>
          <w:rFonts w:hint="eastAsia" w:ascii="Times" w:hAnsi="Times"/>
          <w:szCs w:val="18"/>
        </w:rPr>
        <w:t>——</w:t>
      </w:r>
      <w:r>
        <w:rPr>
          <w:rFonts w:hint="eastAsia"/>
          <w:szCs w:val="18"/>
        </w:rPr>
        <w:t>纵梁或柱宽之和（m）；</w:t>
      </w:r>
    </w:p>
    <w:p w14:paraId="097298ED">
      <w:pPr>
        <w:ind w:left="1241" w:leftChars="320" w:hanging="569" w:hangingChars="271"/>
        <w:rPr>
          <w:szCs w:val="18"/>
        </w:rPr>
      </w:pPr>
      <w:r>
        <w:rPr>
          <w:rFonts w:hint="eastAsia"/>
          <w:i/>
          <w:iCs/>
          <w:szCs w:val="18"/>
        </w:rPr>
        <w:t>b</w:t>
      </w:r>
      <w:r>
        <w:rPr>
          <w:rFonts w:hint="eastAsia"/>
          <w:szCs w:val="18"/>
          <w:vertAlign w:val="subscript"/>
        </w:rPr>
        <w:t>t</w:t>
      </w:r>
      <w:r>
        <w:rPr>
          <w:rFonts w:hint="eastAsia" w:ascii="Times" w:hAnsi="Times"/>
          <w:szCs w:val="18"/>
        </w:rPr>
        <w:t>——</w:t>
      </w:r>
      <w:r>
        <w:rPr>
          <w:rFonts w:hint="eastAsia"/>
          <w:szCs w:val="18"/>
        </w:rPr>
        <w:t>每组楼梯和自动扶梯宽度之和（含扶梯之间、楼扶梯之间以及楼扶梯与纵梁间的装修层厚度和施工间隙）（m）；</w:t>
      </w:r>
    </w:p>
    <w:p w14:paraId="0C617F76">
      <w:pPr>
        <w:ind w:firstLine="602" w:firstLineChars="287"/>
        <w:rPr>
          <w:szCs w:val="18"/>
        </w:rPr>
      </w:pPr>
      <w:r>
        <w:rPr>
          <w:rFonts w:hint="eastAsia" w:ascii="Times" w:hAnsi="Times"/>
          <w:i/>
          <w:iCs/>
          <w:szCs w:val="18"/>
        </w:rPr>
        <w:t>Q</w:t>
      </w:r>
      <w:r>
        <w:rPr>
          <w:rFonts w:hint="eastAsia" w:ascii="Times" w:hAnsi="Times"/>
          <w:szCs w:val="18"/>
          <w:vertAlign w:val="subscript"/>
        </w:rPr>
        <w:t>cs</w:t>
      </w:r>
      <w:r>
        <w:rPr>
          <w:rFonts w:hint="eastAsia" w:ascii="Times" w:hAnsi="Times"/>
          <w:szCs w:val="18"/>
        </w:rPr>
        <w:t>——</w:t>
      </w:r>
      <w:r>
        <w:rPr>
          <w:rFonts w:hint="eastAsia"/>
          <w:szCs w:val="18"/>
        </w:rPr>
        <w:t>远期或客流控制期高峰小时单侧站台上车客流量，换乘车站含换乘客流量（人/h）；</w:t>
      </w:r>
    </w:p>
    <w:p w14:paraId="136390A9">
      <w:pPr>
        <w:ind w:firstLine="690" w:firstLineChars="329"/>
        <w:rPr>
          <w:szCs w:val="18"/>
        </w:rPr>
      </w:pPr>
      <w:r>
        <w:rPr>
          <w:rFonts w:ascii="Symbol" w:hAnsi="Symbol"/>
          <w:i/>
          <w:iCs/>
          <w:szCs w:val="18"/>
        </w:rPr>
        <w:t></w:t>
      </w:r>
      <w:r>
        <w:rPr>
          <w:rFonts w:hint="eastAsia" w:ascii="Times" w:hAnsi="Times"/>
          <w:sz w:val="6"/>
          <w:szCs w:val="18"/>
        </w:rPr>
        <w:t xml:space="preserve"> </w:t>
      </w:r>
      <w:r>
        <w:rPr>
          <w:rFonts w:hint="eastAsia" w:ascii="Times" w:hAnsi="Times"/>
          <w:szCs w:val="18"/>
        </w:rPr>
        <w:t>——</w:t>
      </w:r>
      <w:r>
        <w:rPr>
          <w:rFonts w:hint="eastAsia"/>
          <w:szCs w:val="18"/>
        </w:rPr>
        <w:t>超高峰系数；</w:t>
      </w:r>
    </w:p>
    <w:p w14:paraId="6DB15F1C">
      <w:pPr>
        <w:ind w:firstLine="690" w:firstLineChars="329"/>
        <w:rPr>
          <w:szCs w:val="18"/>
        </w:rPr>
      </w:pPr>
      <w:r>
        <w:rPr>
          <w:rFonts w:ascii="Symbol" w:hAnsi="Symbol"/>
          <w:i/>
          <w:iCs/>
          <w:szCs w:val="18"/>
        </w:rPr>
        <w:t></w:t>
      </w:r>
      <w:r>
        <w:rPr>
          <w:rFonts w:hint="eastAsia" w:ascii="Times" w:hAnsi="Times"/>
          <w:szCs w:val="18"/>
        </w:rPr>
        <w:t>——</w:t>
      </w:r>
      <w:r>
        <w:rPr>
          <w:rFonts w:hint="eastAsia"/>
          <w:szCs w:val="18"/>
        </w:rPr>
        <w:t>侧站台上的人流密度（1.33人/m</w:t>
      </w:r>
      <w:r>
        <w:rPr>
          <w:rFonts w:hint="eastAsia"/>
          <w:szCs w:val="18"/>
          <w:vertAlign w:val="superscript"/>
        </w:rPr>
        <w:t>2</w:t>
      </w:r>
      <w:r>
        <w:rPr>
          <w:rFonts w:hint="eastAsia"/>
          <w:szCs w:val="18"/>
        </w:rPr>
        <w:t>～2.5人/m</w:t>
      </w:r>
      <w:r>
        <w:rPr>
          <w:rFonts w:hint="eastAsia"/>
          <w:szCs w:val="18"/>
          <w:vertAlign w:val="superscript"/>
        </w:rPr>
        <w:t>2</w:t>
      </w:r>
      <w:r>
        <w:rPr>
          <w:rFonts w:hint="eastAsia"/>
          <w:szCs w:val="18"/>
        </w:rPr>
        <w:t>）；</w:t>
      </w:r>
    </w:p>
    <w:p w14:paraId="489AAC75">
      <w:pPr>
        <w:ind w:firstLine="678" w:firstLineChars="323"/>
        <w:rPr>
          <w:szCs w:val="18"/>
        </w:rPr>
      </w:pPr>
      <w:r>
        <w:rPr>
          <w:rFonts w:hint="eastAsia"/>
          <w:i/>
          <w:iCs/>
          <w:szCs w:val="18"/>
        </w:rPr>
        <w:t>C</w:t>
      </w:r>
      <w:r>
        <w:rPr>
          <w:rFonts w:hint="eastAsia" w:ascii="Times" w:hAnsi="Times"/>
          <w:szCs w:val="18"/>
        </w:rPr>
        <w:t>——</w:t>
      </w:r>
      <w:r>
        <w:rPr>
          <w:rFonts w:hint="eastAsia"/>
          <w:szCs w:val="18"/>
        </w:rPr>
        <w:t>列车车厢门的总数；</w:t>
      </w:r>
    </w:p>
    <w:p w14:paraId="70D6E4EF">
      <w:pPr>
        <w:ind w:firstLine="735" w:firstLineChars="350"/>
        <w:rPr>
          <w:szCs w:val="18"/>
        </w:rPr>
      </w:pPr>
      <w:r>
        <w:rPr>
          <w:rFonts w:hint="eastAsia" w:ascii="Times" w:hAnsi="Times"/>
          <w:i/>
          <w:iCs/>
          <w:szCs w:val="18"/>
        </w:rPr>
        <w:t>e</w:t>
      </w:r>
      <w:r>
        <w:rPr>
          <w:rFonts w:hint="eastAsia" w:ascii="Times" w:hAnsi="Times"/>
          <w:sz w:val="6"/>
          <w:szCs w:val="18"/>
        </w:rPr>
        <w:t xml:space="preserve"> </w:t>
      </w:r>
      <w:r>
        <w:rPr>
          <w:rFonts w:hint="eastAsia" w:ascii="Times" w:hAnsi="Times"/>
          <w:szCs w:val="18"/>
        </w:rPr>
        <w:t>——</w:t>
      </w:r>
      <w:r>
        <w:rPr>
          <w:rFonts w:hint="eastAsia"/>
          <w:szCs w:val="18"/>
        </w:rPr>
        <w:t>列车车厢门的宽度；</w:t>
      </w:r>
    </w:p>
    <w:p w14:paraId="7F199C42">
      <w:pPr>
        <w:tabs>
          <w:tab w:val="left" w:pos="672"/>
        </w:tabs>
        <w:ind w:firstLine="735" w:firstLineChars="350"/>
        <w:rPr>
          <w:szCs w:val="18"/>
        </w:rPr>
      </w:pPr>
      <w:r>
        <w:rPr>
          <w:rFonts w:hint="eastAsia" w:ascii="Times" w:hAnsi="Times"/>
          <w:i/>
          <w:iCs/>
          <w:szCs w:val="18"/>
        </w:rPr>
        <w:t>L</w:t>
      </w:r>
      <w:r>
        <w:rPr>
          <w:rFonts w:hint="eastAsia" w:ascii="Times" w:hAnsi="Times"/>
          <w:szCs w:val="18"/>
        </w:rPr>
        <w:t>——</w:t>
      </w:r>
      <w:r>
        <w:rPr>
          <w:rFonts w:hint="eastAsia"/>
          <w:szCs w:val="18"/>
        </w:rPr>
        <w:t>站台屏蔽门端门之间的计算长度，</w:t>
      </w:r>
      <w:r>
        <w:rPr>
          <w:rFonts w:hint="eastAsia"/>
          <w:bCs/>
        </w:rPr>
        <w:t>公共区一侧端门净距</w:t>
      </w:r>
      <w:r>
        <w:rPr>
          <w:rFonts w:hint="eastAsia"/>
          <w:szCs w:val="18"/>
        </w:rPr>
        <w:t>（m）；</w:t>
      </w:r>
    </w:p>
    <w:p w14:paraId="148C7E80">
      <w:pPr>
        <w:ind w:firstLine="749" w:firstLineChars="357"/>
        <w:rPr>
          <w:szCs w:val="18"/>
        </w:rPr>
      </w:pPr>
      <w:r>
        <w:rPr>
          <w:rFonts w:hint="eastAsia" w:ascii="Times" w:hAnsi="Times"/>
          <w:i/>
          <w:iCs/>
          <w:szCs w:val="18"/>
        </w:rPr>
        <w:t>n</w:t>
      </w:r>
      <w:r>
        <w:rPr>
          <w:rFonts w:hint="eastAsia" w:ascii="Times" w:hAnsi="Times"/>
          <w:szCs w:val="18"/>
        </w:rPr>
        <w:t>——</w:t>
      </w:r>
      <w:r>
        <w:rPr>
          <w:rFonts w:hint="eastAsia"/>
          <w:szCs w:val="18"/>
        </w:rPr>
        <w:t>高峰小时发车对数；</w:t>
      </w:r>
    </w:p>
    <w:p w14:paraId="6CDDA4FA">
      <w:pPr>
        <w:ind w:firstLine="690" w:firstLineChars="329"/>
        <w:rPr>
          <w:szCs w:val="18"/>
        </w:rPr>
      </w:pPr>
      <w:r>
        <w:rPr>
          <w:rFonts w:hint="eastAsia" w:ascii="Times" w:hAnsi="Times"/>
          <w:i/>
          <w:iCs/>
          <w:szCs w:val="18"/>
        </w:rPr>
        <w:t>M</w:t>
      </w:r>
      <w:r>
        <w:rPr>
          <w:rFonts w:hint="eastAsia" w:ascii="Times" w:hAnsi="Times"/>
          <w:szCs w:val="18"/>
        </w:rPr>
        <w:t>——</w:t>
      </w:r>
      <w:r>
        <w:rPr>
          <w:rFonts w:hint="eastAsia"/>
          <w:szCs w:val="18"/>
        </w:rPr>
        <w:t>站台边缘至站台屏蔽门立柱内侧的距离（m）。</w:t>
      </w:r>
    </w:p>
    <w:p w14:paraId="0E0EF8AB">
      <w:pPr>
        <w:numPr>
          <w:ilvl w:val="2"/>
          <w:numId w:val="1"/>
        </w:numPr>
        <w:tabs>
          <w:tab w:val="left" w:pos="709"/>
          <w:tab w:val="left" w:pos="794"/>
          <w:tab w:val="left" w:pos="935"/>
          <w:tab w:val="left" w:pos="1502"/>
        </w:tabs>
        <w:outlineLvl w:val="2"/>
        <w:rPr>
          <w:b/>
        </w:rPr>
      </w:pPr>
      <w:r>
        <w:rPr>
          <w:rFonts w:hint="eastAsia"/>
        </w:rPr>
        <w:t>具有交路折返、存在清客需求的车站，可按下式计算远期或客流控制期清客工况下站台滞留乘客的人数，并应对乘降区宽度和安全疏散计算进行校验：</w:t>
      </w:r>
    </w:p>
    <w:p w14:paraId="6F6676AF">
      <w:pPr>
        <w:spacing w:line="240" w:lineRule="auto"/>
        <w:ind w:firstLine="1470" w:firstLineChars="700"/>
        <w:jc w:val="center"/>
      </w:pPr>
      <w:r>
        <w:fldChar w:fldCharType="begin"/>
      </w:r>
      <w:r>
        <w:instrText xml:space="preserve"> QUOTE </w:instrText>
      </w:r>
      <w:r>
        <w:rPr>
          <w:position w:val="-6"/>
        </w:rPr>
        <w:pict>
          <v:shape id="_x0000_i1035" o:spt="75" type="#_x0000_t75" style="height:16.05pt;width:118.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6&quot;/&gt;&lt;w:embedTrueTypeFonts/&gt;&lt;w:doNotEmbedSystemFonts/&gt;&lt;w:saveSubsetFonts/&gt;&lt;w:bordersDontSurroundHeader/&gt;&lt;w:bordersDontSurroundFooter/&gt;&lt;w:stylePaneFormatFilter w:val=&quot;1F08&quot;/&gt;&lt;w:revisionView w:markup=&quot;off&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4935&quot;/&gt;&lt;wsp:rsid wsp:val=&quot;00035633&quot;/&gt;&lt;wsp:rsid wsp:val=&quot;00035E2E&quot;/&gt;&lt;wsp:rsid wsp:val=&quot;0003648E&quot;/&gt;&lt;wsp:rsid wsp:val=&quot;00041905&quot;/&gt;&lt;wsp:rsid wsp:val=&quot;00041B7F&quot;/&gt;&lt;wsp:rsid wsp:val=&quot;00041B89&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2341&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4EC6&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7ED&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D74CD&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63A6&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46FA&quot;/&gt;&lt;wsp:rsid wsp:val=&quot;000F6532&quot;/&gt;&lt;wsp:rsid wsp:val=&quot;000F69CC&quot;/&gt;&lt;wsp:rsid wsp:val=&quot;000F7200&quot;/&gt;&lt;wsp:rsid wsp:val=&quot;001026C9&quot;/&gt;&lt;wsp:rsid wsp:val=&quot;0010471D&quot;/&gt;&lt;wsp:rsid wsp:val=&quot;00105DDE&quot;/&gt;&lt;wsp:rsid wsp:val=&quot;00106C04&quot;/&gt;&lt;wsp:rsid wsp:val=&quot;001077B1&quot;/&gt;&lt;wsp:rsid wsp:val=&quot;00107DFB&quot;/&gt;&lt;wsp:rsid wsp:val=&quot;00107F0B&quot;/&gt;&lt;wsp:rsid wsp:val=&quot;00111748&quot;/&gt;&lt;wsp:rsid wsp:val=&quot;001120F5&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B1F&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5F5&quot;/&gt;&lt;wsp:rsid wsp:val=&quot;00174B31&quot;/&gt;&lt;wsp:rsid wsp:val=&quot;00174D9D&quot;/&gt;&lt;wsp:rsid wsp:val=&quot;00174FAD&quot;/&gt;&lt;wsp:rsid wsp:val=&quot;00175069&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6D75&quot;/&gt;&lt;wsp:rsid wsp:val=&quot;001E7289&quot;/&gt;&lt;wsp:rsid wsp:val=&quot;001E7447&quot;/&gt;&lt;wsp:rsid wsp:val=&quot;001F0237&quot;/&gt;&lt;wsp:rsid wsp:val=&quot;001F154F&quot;/&gt;&lt;wsp:rsid wsp:val=&quot;001F2C11&quot;/&gt;&lt;wsp:rsid wsp:val=&quot;001F2F4B&quot;/&gt;&lt;wsp:rsid wsp:val=&quot;001F347A&quot;/&gt;&lt;wsp:rsid wsp:val=&quot;001F350E&quot;/&gt;&lt;wsp:rsid wsp:val=&quot;001F3E35&quot;/&gt;&lt;wsp:rsid wsp:val=&quot;001F4123&quot;/&gt;&lt;wsp:rsid wsp:val=&quot;001F4F0B&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16E&quot;/&gt;&lt;wsp:rsid wsp:val=&quot;002249CF&quot;/&gt;&lt;wsp:rsid wsp:val=&quot;0022782E&quot;/&gt;&lt;wsp:rsid wsp:val=&quot;002279DE&quot;/&gt;&lt;wsp:rsid wsp:val=&quot;002300D8&quot;/&gt;&lt;wsp:rsid wsp:val=&quot;002313FF&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4490&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639&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1AF5&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0C8&quot;/&gt;&lt;wsp:rsid wsp:val=&quot;002B04D3&quot;/&gt;&lt;wsp:rsid wsp:val=&quot;002B1D50&quot;/&gt;&lt;wsp:rsid wsp:val=&quot;002B1EDF&quot;/&gt;&lt;wsp:rsid wsp:val=&quot;002B1F83&quot;/&gt;&lt;wsp:rsid wsp:val=&quot;002B454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07A&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D73B7&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77A09&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5B0&quot;/&gt;&lt;wsp:rsid wsp:val=&quot;003B6DB0&quot;/&gt;&lt;wsp:rsid wsp:val=&quot;003B75C6&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D7B4B&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05B3&quot;/&gt;&lt;wsp:rsid wsp:val=&quot;00431121&quot;/&gt;&lt;wsp:rsid wsp:val=&quot;00431583&quot;/&gt;&lt;wsp:rsid wsp:val=&quot;004320EA&quot;/&gt;&lt;wsp:rsid wsp:val=&quot;004322DF&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1FAF&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A20&quot;/&gt;&lt;wsp:rsid wsp:val=&quot;00480C16&quot;/&gt;&lt;wsp:rsid wsp:val=&quot;00481E84&quot;/&gt;&lt;wsp:rsid wsp:val=&quot;004822BD&quot;/&gt;&lt;wsp:rsid wsp:val=&quot;004841DA&quot;/&gt;&lt;wsp:rsid wsp:val=&quot;00484A7C&quot;/&gt;&lt;wsp:rsid wsp:val=&quot;00484B5E&quot;/&gt;&lt;wsp:rsid wsp:val=&quot;00484EA8&quot;/&gt;&lt;wsp:rsid wsp:val=&quot;0048585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6B30&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3797&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3F43&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65C6&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4BC&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3E00&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97E8A&quot;/&gt;&lt;wsp:rsid wsp:val=&quot;006A085A&quot;/&gt;&lt;wsp:rsid wsp:val=&quot;006A0D07&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4716&quot;/&gt;&lt;wsp:rsid wsp:val=&quot;006B6711&quot;/&gt;&lt;wsp:rsid wsp:val=&quot;006B7A54&quot;/&gt;&lt;wsp:rsid wsp:val=&quot;006C078E&quot;/&gt;&lt;wsp:rsid wsp:val=&quot;006C11B8&quot;/&gt;&lt;wsp:rsid wsp:val=&quot;006C1E75&quot;/&gt;&lt;wsp:rsid wsp:val=&quot;006C329E&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37B0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173&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2785&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8FA&quot;/&gt;&lt;wsp:rsid wsp:val=&quot;007A599A&quot;/&gt;&lt;wsp:rsid wsp:val=&quot;007A686B&quot;/&gt;&lt;wsp:rsid wsp:val=&quot;007A750F&quot;/&gt;&lt;wsp:rsid wsp:val=&quot;007A7F30&quot;/&gt;&lt;wsp:rsid wsp:val=&quot;007B0703&quot;/&gt;&lt;wsp:rsid wsp:val=&quot;007B0A96&quot;/&gt;&lt;wsp:rsid wsp:val=&quot;007B21E7&quot;/&gt;&lt;wsp:rsid wsp:val=&quot;007B2C5A&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06BB&quot;/&gt;&lt;wsp:rsid wsp:val=&quot;007F0D0A&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238C&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CC&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076D&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482&quot;/&gt;&lt;wsp:rsid wsp:val=&quot;008309AC&quot;/&gt;&lt;wsp:rsid wsp:val=&quot;00830FA7&quot;/&gt;&lt;wsp:rsid wsp:val=&quot;008315C3&quot;/&gt;&lt;wsp:rsid wsp:val=&quot;008330C3&quot;/&gt;&lt;wsp:rsid wsp:val=&quot;00833FCE&quot;/&gt;&lt;wsp:rsid wsp:val=&quot;00837FFE&quot;/&gt;&lt;wsp:rsid wsp:val=&quot;0084026A&quot;/&gt;&lt;wsp:rsid wsp:val=&quot;00840CDD&quot;/&gt;&lt;wsp:rsid wsp:val=&quot;008411EC&quot;/&gt;&lt;wsp:rsid wsp:val=&quot;008412E9&quot;/&gt;&lt;wsp:rsid wsp:val=&quot;008414A0&quot;/&gt;&lt;wsp:rsid wsp:val=&quot;00842FC7&quot;/&gt;&lt;wsp:rsid wsp:val=&quot;00844068&quot;/&gt;&lt;wsp:rsid wsp:val=&quot;00844260&quot;/&gt;&lt;wsp:rsid wsp:val=&quot;0084489F&quot;/&gt;&lt;wsp:rsid wsp:val=&quot;00844C81&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436&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7D1&quot;/&gt;&lt;wsp:rsid wsp:val=&quot;00881A5A&quot;/&gt;&lt;wsp:rsid wsp:val=&quot;00881C39&quot;/&gt;&lt;wsp:rsid wsp:val=&quot;008822DE&quot;/&gt;&lt;wsp:rsid wsp:val=&quot;00882ED2&quot;/&gt;&lt;wsp:rsid wsp:val=&quot;00884384&quot;/&gt;&lt;wsp:rsid wsp:val=&quot;00884F9F&quot;/&gt;&lt;wsp:rsid wsp:val=&quot;00885504&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15B&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6098&quot;/&gt;&lt;wsp:rsid wsp:val=&quot;008B6664&quot;/&gt;&lt;wsp:rsid wsp:val=&quot;008B6DEE&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5988&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6C4F&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980&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1A3B&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42F4&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A6&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2B7F&quot;/&gt;&lt;wsp:rsid wsp:val=&quot;00A73033&quot;/&gt;&lt;wsp:rsid wsp:val=&quot;00A73180&quot;/&gt;&lt;wsp:rsid wsp:val=&quot;00A73250&quot;/&gt;&lt;wsp:rsid wsp:val=&quot;00A7368B&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69C2&quot;/&gt;&lt;wsp:rsid wsp:val=&quot;00AA73BA&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2A82&quot;/&gt;&lt;wsp:rsid wsp:val=&quot;00AD34F1&quot;/&gt;&lt;wsp:rsid wsp:val=&quot;00AD478A&quot;/&gt;&lt;wsp:rsid wsp:val=&quot;00AD4A0C&quot;/&gt;&lt;wsp:rsid wsp:val=&quot;00AD57AF&quot;/&gt;&lt;wsp:rsid wsp:val=&quot;00AD58E1&quot;/&gt;&lt;wsp:rsid wsp:val=&quot;00AD6B65&quot;/&gt;&lt;wsp:rsid wsp:val=&quot;00AD7130&quot;/&gt;&lt;wsp:rsid wsp:val=&quot;00AD73F7&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0DD&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6E53&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3FEA&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BA4&quot;/&gt;&lt;wsp:rsid wsp:val=&quot;00B45C59&quot;/&gt;&lt;wsp:rsid wsp:val=&quot;00B45EB8&quot;/&gt;&lt;wsp:rsid wsp:val=&quot;00B4656D&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62AC&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7753B&quot;/&gt;&lt;wsp:rsid wsp:val=&quot;00B81250&quot;/&gt;&lt;wsp:rsid wsp:val=&quot;00B813B4&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0DB0&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38B8&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346&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E8E&quot;/&gt;&lt;wsp:rsid wsp:val=&quot;00C07F2E&quot;/&gt;&lt;wsp:rsid wsp:val=&quot;00C10DCA&quot;/&gt;&lt;wsp:rsid wsp:val=&quot;00C115B6&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65FC2&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6DF&quot;/&gt;&lt;wsp:rsid wsp:val=&quot;00CC296E&quot;/&gt;&lt;wsp:rsid wsp:val=&quot;00CC34A7&quot;/&gt;&lt;wsp:rsid wsp:val=&quot;00CC3868&quot;/&gt;&lt;wsp:rsid wsp:val=&quot;00CC39BC&quot;/&gt;&lt;wsp:rsid wsp:val=&quot;00CC3E7C&quot;/&gt;&lt;wsp:rsid wsp:val=&quot;00CC402D&quot;/&gt;&lt;wsp:rsid wsp:val=&quot;00CC40BC&quot;/&gt;&lt;wsp:rsid wsp:val=&quot;00CC498E&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9A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2B&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5A8&quot;/&gt;&lt;wsp:rsid wsp:val=&quot;00D21763&quot;/&gt;&lt;wsp:rsid wsp:val=&quot;00D2219E&quot;/&gt;&lt;wsp:rsid wsp:val=&quot;00D223A0&quot;/&gt;&lt;wsp:rsid wsp:val=&quot;00D22F93&quot;/&gt;&lt;wsp:rsid wsp:val=&quot;00D22FC5&quot;/&gt;&lt;wsp:rsid wsp:val=&quot;00D23AB1&quot;/&gt;&lt;wsp:rsid wsp:val=&quot;00D23D6F&quot;/&gt;&lt;wsp:rsid wsp:val=&quot;00D23E12&quot;/&gt;&lt;wsp:rsid wsp:val=&quot;00D23EDD&quot;/&gt;&lt;wsp:rsid wsp:val=&quot;00D2470A&quot;/&gt;&lt;wsp:rsid wsp:val=&quot;00D2629F&quot;/&gt;&lt;wsp:rsid wsp:val=&quot;00D26378&quot;/&gt;&lt;wsp:rsid wsp:val=&quot;00D26495&quot;/&gt;&lt;wsp:rsid wsp:val=&quot;00D3124B&quot;/&gt;&lt;wsp:rsid wsp:val=&quot;00D312E1&quot;/&gt;&lt;wsp:rsid wsp:val=&quot;00D316E1&quot;/&gt;&lt;wsp:rsid wsp:val=&quot;00D3238E&quot;/&gt;&lt;wsp:rsid wsp:val=&quot;00D325DB&quot;/&gt;&lt;wsp:rsid wsp:val=&quot;00D342BD&quot;/&gt;&lt;wsp:rsid wsp:val=&quot;00D34535&quot;/&gt;&lt;wsp:rsid wsp:val=&quot;00D348B8&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1FCF&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3EF7&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2BA8&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58D&quot;/&gt;&lt;wsp:rsid wsp:val=&quot;00E50775&quot;/&gt;&lt;wsp:rsid wsp:val=&quot;00E50AD4&quot;/&gt;&lt;wsp:rsid wsp:val=&quot;00E50F4F&quot;/&gt;&lt;wsp:rsid wsp:val=&quot;00E52C1A&quot;/&gt;&lt;wsp:rsid wsp:val=&quot;00E54375&quot;/&gt;&lt;wsp:rsid wsp:val=&quot;00E54991&quot;/&gt;&lt;wsp:rsid wsp:val=&quot;00E549A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5DE6&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3E5&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D3B&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67A6&quot;/&gt;&lt;wsp:rsid wsp:val=&quot;00EC69D7&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5B8&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87E&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04F&quot;/&gt;&lt;wsp:rsid wsp:val=&quot;00F33D15&quot;/&gt;&lt;wsp:rsid wsp:val=&quot;00F352F1&quot;/&gt;&lt;wsp:rsid wsp:val=&quot;00F36984&quot;/&gt;&lt;wsp:rsid wsp:val=&quot;00F374A1&quot;/&gt;&lt;wsp:rsid wsp:val=&quot;00F40A0F&quot;/&gt;&lt;wsp:rsid wsp:val=&quot;00F40A80&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6E2B&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579A8&quot;/&gt;&lt;wsp:rsid wsp:val=&quot;00F62368&quot;/&gt;&lt;wsp:rsid wsp:val=&quot;00F62FEE&quot;/&gt;&lt;wsp:rsid wsp:val=&quot;00F639DA&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4B54&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A9E&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0FF&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A221A8C&quot;/&gt;&lt;wsp:rsid wsp:val=&quot;3BE11D78&quot;/&gt;&lt;wsp:rsid wsp:val=&quot;427F3C93&quot;/&gt;&lt;wsp:rsid wsp:val=&quot;433C4601&quot;/&gt;&lt;wsp:rsid wsp:val=&quot;4791058B&quot;/&gt;&lt;wsp:rsid wsp:val=&quot;4DCD443A&quot;/&gt;&lt;wsp:rsid wsp:val=&quot;50064DCF&quot;/&gt;&lt;wsp:rsid wsp:val=&quot;52614F2B&quot;/&gt;&lt;wsp:rsid wsp:val=&quot;563D261E&quot;/&gt;&lt;wsp:rsid wsp:val=&quot;58D52887&quot;/&gt;&lt;wsp:rsid wsp:val=&quot;5E581D44&quot;/&gt;&lt;wsp:rsid wsp:val=&quot;60577FFF&quot;/&gt;&lt;wsp:rsid wsp:val=&quot;62F24C15&quot;/&gt;&lt;wsp:rsid wsp:val=&quot;72534367&quot;/&gt;&lt;wsp:rsid wsp:val=&quot;7580537C&quot;/&gt;&lt;/wsp:rsids&gt;&lt;/w:docPr&gt;&lt;w:body&gt;&lt;wx:sect&gt;&lt;w:p wsp:rsidR=&quot;00000000&quot; wsp:rsidRDefault=&quot;008411EC&quot; wsp:rsidP=&quot;008411EC&quot;&gt;&lt;m:oMathPara&gt;&lt;m:oMath&gt;&lt;m:sSub&gt;&lt;m:sSubPr&gt;&lt;m:ctrlPr&gt;&lt;aml:annotation aml:id=&quot;0&quot; w:type=&quot;Word.Insertion&quot; aml:author=&quot;Microsoft 甯愭埛&quot; aml:createdate=&quot;2024-11-27T20:22:00Z&quot;&gt;&lt;aml:content&gt;&lt;w:rPr&gt;&lt;w:rFonts w:ascii=&quot;Cambria Math&quot; w:h-ansi=&quot;Cambria Math&quot;/&gt;&lt;wx:font wx:val=&quot;Cambria Math&quot;/&gt;&lt;w:i/&gt;&lt;/w:rPr&gt;&lt;/aml:content&gt;&lt;/aml:ml:ml:ml:ml:ml:ml:ml:ml:ml:ml:ml:ml:ml:ml:ml:ml:ml:ml:ml:ml:annotation&gt;&lt;/m:ctrlPr&gt;&lt;/m:sSubPr&gt;&lt;m:e&gt;&lt;aml:annotation aml:id=&quot;1&quot; w:type=&quot;Word.Insertion&quot; aml:author=&quot;Microsoft 甯愭埛&quot; aml:createdate=&quot;2024-11-27T20:22:00Z&quot;&gt;&lt;aml:content&gt;&lt;m:r&gt;&lt;w:rPr&gt;&lt;w:rFonts w:aml:sciml:i=&quot;ml:Camml:briml:a Mml:athml:&quot; wml::h-ml:ansml:i=&quot;ml:Camml:briml:a Mml:athml:&quot;/&gt;ml:&lt;wxml::foml:nt ml:wx:ml:val=&quot;Cambria Math&quot;/&gt;&lt;w:i/&gt;&lt;/w:rPr&gt;&lt;m:t&gt;Q&lt;/m:t&gt;&lt;/m:r&gt;&lt;/aml:content&gt;&lt;/aml:annotation&gt;&lt;/m:e&gt;&lt;m:sub&gt;&lt;aml:annotation aml:id=&quot;2&quot; w:type=&quot;Word.Insertion&quot; aml:author=&quot;Microsoft 甯:愭埛&quot; ml:aml:crml:eatedaml:te=&quot;20ml:24-11-ml:27T20:ml:22:00Zml:&quot;&gt;&lt;amlml::conteml:nt&gt;&lt;m:ml:r&gt;&lt;w:rml:Pr&gt;&lt;w:ml:rFontsml: w:ascml:ii=&quot;Cambria Math&quot; w:fareast=&quot;MS Gothic&quot; w:h-ansi=&quot;Cambria Math&quot; w:cs=&quot;MS Gothic&quot; w:hint=&quot;fareast&quot;/ser&gt;&lt;wx:fn&quot; ont wx:au:val=&quot;r=&quot;MS Gotroshic&quot;/&gt;&lt;甯:w:i/&gt;&lt;/w:rPr&gt;&lt;m:t&gt;h&lt;/m:t&gt;&lt;/m:r&gt;&lt;m:r&gt;&lt;w:rPr&gt;&lt;w:rFonts w:ascii=&quot;Cambria Math&quot; w:h-ansi=&quot;Cambria Math&quot; w:hint=&quot;fareast&quot;/&gt;&lt;wx:font wx:val=&quot;Cambria Math&quot;/&gt;&lt;w:i/&gt;&lt;/w:rPr&gt;&lt;m:t&gt;z&lt;/m:t&gt;&lt;/m:r&gt;&lt;/aml:content&gt;&lt;/aml:annotatrion&gt;&lt;/m:s ub&gt;&lt;/m:sSuub&gt;&lt;aml:a&quot;nnotations aml:id=&quot;3&quot; w:type=&quot;Word.Insertion&quot; aml:author=&quot;Microsoft 甯愭埛s w&quot; aml:cre=&quot;Catedate=&quot; Ma2024-11-2h-a7T20:22:0amb0Z&quot;&gt;&lt;aml:th&quot;content&gt;&lt;t=&quot;m:r&gt;&lt;m:rPt&quot;/r&gt;&lt;m:sty ontm:val=&quot;p&quot;/&gt;&lt;/m:rPr&gt;&lt;w:rPr&gt;&lt;w:rFonts w:ascii=&quot;Cambriaatr Math&quot; w:h:s -ansi=&quot;CamsSubria Math&quot;:a&quot;/&gt;&lt;wx:fontons wx:val=&quot;C=&quot;3ambria Mape=th&quot;/&gt;&lt;/w:InsrPr&gt;&lt;m:t&gt;&quot; a=&lt;/m:t&gt;&lt;/horm:r&gt;&lt;/amloso:content&gt;&lt;/aml:annotation&gt;&lt;m:f&gt;&lt;m:fPr&gt;&lt;m:ctrlPr&gt;&lt;aml:annotation aml:id=&quot;4&quot; w:type=&quot;Word.Insertion&quot; aml:author=&quot;Microsoft 甯愭埛&quot; aatrml:createdate:s =&quot;2024-11-27TsSu20:22:00Z&quot;&gt;&lt;a:a&quot;ml:content&gt;&lt;wons:rPr&gt;&lt;w:rFont=&quot;3s w:ascii=&quot;Cpe=ambria Math&quot;Ins w:h-ansi=&quot;C&quot; aambria Math&quot;hor/&gt;&lt;wx:font wosox:val=&quot;Cambr&lt;/aia Math&quot;/&gt;&lt;/tiow:rPr&gt;&lt;/aml::fPcontent&gt;&lt;/amPr&gt;l:annotationtat&gt;&lt;/m:ctrlPr&gt;d=&quot;&lt;/m:fPr&gt;&lt;m:n=&quot;Wum&gt;&lt;m:d&gt;&lt;m:dtioPr&gt;&lt;m:ctrlPrtho&gt;&lt;aml:annotation aml:id=&quot;5&quot; w:type=&quot;Word.Insertion&quot; aml:author=&quot;Microsoft ?笎鎴? aml:crea&quot; atedate=&quot;2024-11hor-27T20:22:00Z&quot;&gt;oso&lt;aml:content&gt;&lt;w&lt;/a:rPr&gt;&lt;w:rFonts tiow:ascii=&quot;Cambri:fPa Math&quot; w:h-ansPr&gt;i=&quot;Cambria Mathtat&quot;/&lt;m&gt;&lt;wx:font wx:d=&quot;m:val=&quot;Cambria Ma=Pr&quot;Wth&quot;/&gt;&lt;w:i/&gt;&lt;/wat:tiorPr&gt;&lt;/aml:co wntethont&gt;&lt;/aml:asennotation&gt;&lt;/m:cthtrlPr&gt;&lt;/m:dPr&gt;t ?&lt;m:e&gt;&lt;m:sSub&gt;&lt;m:sSubPr&gt;&lt;m:ctrlPr&gt;&lt;aml:annotation aml:id=&quot;6&quot; w:type=&quot;Word.Insertion&quot; aml:author=&quot;Microsoft 甯P愭埛&quot; aml:createdaPr&gt;t/&lt;me=&quot;2024-11-27T20:t&quot;m:at22:00Z&quot;&gt;&lt;aml:con=Prted=&quot;nt&gt;&lt;w:rPr&gt;&lt;w:watrFont=&quot;Ws w:ascii=o w&quot;Cambriatio Math&quot; asew:h-ansi=&quot;Cthoambcthria Math&quot;/&gt;&lt;wx:fot ?nt wx:val=&quot;Cambria:sS Math&quot;/&gt;&lt;w:i/&gt;&lt;/w:&lt;amrPr&gt;&lt;/aml:content&gt;l:i&lt;/aml:annotation&gt;&lt;ord/m:ctrlPr&gt;&lt;/m:sSub:auPr&gt;&lt;m:e&gt;&lt;aml:annota甯Ption: aml:id=&quot;7&quot; w:type=&quot;Wrord.Insertion&quot; aml:autthor=&quot;Microsoft ?笎鎴o w? aml:createdate=&quot;W=&quot;ase2024-11-27T20:22:00tcthioZ&quot;&gt;&lt;aml:content&gt;&lt;mt ?:r&gt;tho&lt;w:rPr&gt;&lt;w:rFont:sSs w:ascii=&quot;Cambria Ma&lt;amth&quot; w:h-ansi=&quot;Cambrial:i Math&quot;/&gt;&lt;wx:font wx:vor&gt;&lt;mdal=&quot;Cambria Math&quot;/&gt;&lt;wn::au:i/&gt;&lt;/w:rPr&gt;&lt;m:t&gt;Q&lt;Wr/m:甯Pt&gt;&lt;/m:r&gt;&lt;/aml:coautntentyp&gt;&lt;/aml:annotationw&gt;&lt;/mam:e&gt;&lt;m:sub&gt;&lt;aml:anneott ?ation aml:id=&quot;8&quot; wh:type=&quot;Word.Insertion&quot; ?aml:author=&quot;Microsoft 甯sS愭埛&quot; athoml:createdate=a&lt;am&quot;2024-11-27T20:22:00Z&quot;&gt;&lt;al:iamr&gt;&lt;ml:content&gt;&lt;m:r&gt;&lt;w:rPr&gt;vo&lt;wn:rd&lt;w:rFonts w:ascii=&quot;CamQ&lt;Wrbrw:auia Math&quot; w:h-ansi=&quot;autCambri:甯Pa Math&quot;/&gt;&lt;wx:foionwnt wx:vatypl=&quot;Cambria Matanneh&quot;/&gt;&lt;w:i/mam&gt;&lt;/w:rPr&gt;&lt;m:&quot; wht&gt;d&lt;/m:t&gt;&lt;/t ?m:r&gt;&lt;/aml:n&quot; ?content&gt;&lt;/aml:pe=annotatio甯sSn&gt;&lt;/m:sub&gt;&lt;/m:sautSub&gt;&lt;aml:&lt;mamnnotation aml:id=&quot;9&quot; w:typn:e=i&quot;Word.Insertion&quot; aml:authWror=d&quot;Microsoft 甯愭埛&quot; aml:c=&quot;autreatw:auedate=&quot;2024-11-27T20:ionw22:00Z&quot;&gt;:甯P&lt;aml:content&gt;&lt;m:rtanne&gt;&lt;w:rPr&gt;&lt;typw:rFonts w:ascii:&quot; wh=&quot;Cambria mamMath&quot; w:h-ansi=:n&quot; ?&quot;Cambria Mat ?th&quot;/&gt;&lt;wx:font wl:&lt;mxo甯sS:val=&quot;Cambrpe=ia Math&quot;/&gt;typn:&lt;w:i/l:am&gt;&lt;/w:rPr&gt;&lt;m:autt&gt;-&lt;/muthWr:t&gt;&lt;/m:rpe=i&gt;&lt;/aml:contenid=t&gt;&lt;/autml:annotor=dation&gt;&lt;m:sSub&gt;&lt;m:sSubnwPr&gt;&lt;m:ctrlPur&gt;&lt;aml:annotation aml:eid=&quot;10&quot; w:type=&quot;Word.Insertion&quot; ahml:author=&quot;Microsoft 甯愭埛&quot; aml:n&quot; ?cremamatel:&lt;mdate=&quot;2024-11-27T20:22:00Z甯sSt ?&quot;&gt;ypn:&lt;aml:content&gt;&lt;w:rPr&gt;&lt;w:rFont:ampe=sthWr w:ascii=&quot;Cambria Math&quot; w:h-ae=iaut/autnsi=&quot;Cambria Math&quot;/&gt;&lt;wx:font wr=didubnw=x:val=&quot;Cambria Math&quot;/&gt;&lt;w:i/&gt;&lt;/lPuwml:e:rPr&gt;&lt;/aml:content&gt;&lt;/aml:annotatw:&quot; ahtion&gt;&lt;/m:ctrlPr&gt;&lt;/m:sSmubPr&gt;&lt;m:uthe&gt;&lt;a?ml:annotation aml:id=&quot;11&quot; w:type=&quot;Word.Insertion&quot; aml:author=&quot;Microsoft 甯?m鎴? aml:createdatpe=e=&quot;20ut24-11-27T2e=i0:22:00Z&quot;&gt;&lt;aml:conauttent&gt;nw&lt;m:r&gt;&lt;w:rPr=dr&gt;&lt;w:rFonts w:asciid=i=&quot;Ca:embria MathlPu&quot; w:h-ansi=&quot;Cambria Math&quot;ah/&gt;&lt;wx:font w:tSmwx:val=&quot;Cambria Math&quot;/&gt;&lt;a?w:i/&gt;&lt;/wuth:r&quot;1Pr&gt;&lt;m:t&gt;Q&lt;/m:t&gt;&lt;/m:r&gt;&lt;/amld.:con w:tent=&quot;&gt;&lt;/aml:annotation&gt;&lt;/m:e&gt;&lt;?mm:shorub&gt;&lt;aml:annotation aml:id=&quot;12&quot; w:type=&quot;Word.Insertion&quot; aml:author=&quot;Microsoft 甯愭埛&quot; aml:ca:ereatedate=&quot;2024-11id=lPu-27T20:22:00Z&quot;&gt;&lt;&quot;ahaml:tSmcontent&gt;&lt;m:r&gt;&lt;w:rPrw:t&gt;&lt;w:rFonts w:a&lt;a?scr&quot;1ii=&quot;Cambria Math&quot; wuth:h-ansi=&quot;Cambria ldt=&quot;.Math&quot;/&gt;&lt;wx:font wx w::val=&quot;Cambria Mat&lt;?ml:mh&quot;/&gt;&lt;w:i/&gt;&lt;/w:rPr&gt;hor&lt;m:t&gt;qc&lt;/m:t&gt;&lt;/m:r serw:&gt;&lt;/aml:content&gt;&lt;/atypml:annotation&gt;&lt;/m:crosub&gt;&lt;/m:sSub&gt;&lt;/m:ecro&gt;&lt;/m:d&gt;&lt;/m:num&gt;&lt;m:den&gt;&lt;m:sSub&gt;&lt;m:sSubPr&gt;&lt;m:ctrlPr&gt;&lt;aml:annotation aml:id=&quot;13&quot; w:type=&quot;Word.Insertion&quot; aml:author=&quot;Microsoft 甯愭埛&quot; aml:cre w:atedml:ate=&lt;?m&quot;2024-11-27T20:22:00Z&quot;&gt;&lt;aml:cohorntensert&gt;&lt;w: w:rPr&gt;&lt;w:rFonts w:ascii=&quot;Cambriatyp Macroth&quot; w:croh-ansi=&quot;Cambria Mnumath&quot;/&gt;&lt;wx:foncroten&gt; wx:val=den&quot;Cambria Mathann&quot;/&gt;&lt;w:i/&gt;&lt;/w:rPr&gt;bPionr&lt;/aml:conatitent&gt;&lt;/amn&quot; l:annotation&gt;&lt;/m:ctrlPautr&gt;&lt;/m:son&quot;SubPr&gt;&lt;m:e&gt;&lt;aml:annotation aml:id=&quot;14&quot; w:type=&quot;Word.Insertion&quot; aml:author=&quot;Microsoft 甯愭埛&quot; aml:createdatcroe=&quot;2024-11-27T20:num2crotyp2:00Z&quot;&gt;&lt;aml:content&gt;&lt;men&gt;:r&gt;&lt;w:rPr&gt;&lt;w:rFannonts dencrow:ascii=&quot;Cambria Mationh&quot; w:h-ansi=&quot;n&quot; Cambria MatibPrath&quot;/&gt;&lt;wx:font wx:vautal=&quot;Cambrie&gt;&lt;a Math&quot;/&gt;on&quot;&lt;w:i/&gt;&lt;/w:rPr&gt;&lt;m:t&gt;n&lt;/id=m:t&gt;&lt;/m:r&gt;rti&lt;/aml:con w:tent&gt;&lt;/aml:annotation&gt;&lt;icrm:ctrlPr&gt;&lt;aml:annoosotation aml:id=&quot;15&quot; w:type=&quot;Word.Insertion&quot; aml:author=&quot;Microsoft 甯愭埛&quot; amdenl:createdatione=&quot;2n&quot; cro024-11-27T20:22:00Z&quot;&gt;&lt;aml:contatient&gt;&lt;w:rPraut&gt;e&gt;&lt;&lt;w:rbPrFonts w:ascii=&quot;Cambria Maton&quot;h&quot; w:h-ansid=irti=&quot;Cambria Math&quot;/&gt;&lt;wx:font wx:val= w:&quot;Cambria Mannaicr&lt;amth&quot;/&gt;&lt;/w:rPr&gt;&lt;/aml:content&gt;&lt;/aml:osoannotatamlion&gt;&lt;etio=&quot;/m:ctrlPr&gt;&lt;/m:e&gt;&lt;m:sub&gt;&lt;aml:annot amation aml:id=&quot;16&quot; w:type=&quot;Word.Insertion&quot; aml:author=&quot;Microsoft 甯it愭埛&quot; aml:createdate=&quot;2024-11-bPr27T20:22:00rtiZ&quot;&gt;on&quot;id=&lt;aml:content&gt;&lt;m:r&gt;&lt;w:rPr&gt;&lt;w:rFoannnts w:ascii=&quot;&lt;amCam w:bicrria Math&quot; w:h-ansi=&quot;Cambriaaml Math&quot;/&gt;&lt;wx:fontiot wxoso:ve=&quot;al=&quot;Cambria Math&quot;/&gt;&lt;w:ion /&gt;&lt;/w:rPr&gt;&lt;m:t&gt;1&lt;d=&quot;/m:t&gt;&lt; am/m=&quot;1:r&gt;&lt;/aml:content&gt;&lt;/croaml:annotation&gt;&lt;/m:suitb&gt;&lt;/m::ausSu甯ib&gt;&lt;aml:annotation iaml:id=&quot;17&quot; w:type=&quot;=Word.Insenrtion&quot; aml:author=&quot;Microsomft 甯愭埛&quot; aml:creabicrtedateaaml=&quot; w:2024-11-27T20:22:00Z&quot;ntio&gt;&lt;aml:content&gt;&lt;m:r&gt;&lt;w:ve=&quot;ion rPr&gt;&lt;w:osorFonts w:ascii=&quot;Cam&lt;d=&quot;bria Math&quot; w:h-ansi=&quot;Ca/crombm=&quot;1ria Mat amh&quot; w:hint=&quot;fareassuitt&quot;/&gt;&lt;wx:font wx:val=n i&quot;Cambriau甯i Mansenth&quot;:au/&gt;&lt;w:i/&gt;&lt;/w:re=&quot;=Pr&gt;&lt;m:t&gt;+&lt;/m:t&gt;&lt;/m:osomr&gt;&lt;/aml:crtionltent&gt;&lt;/aserml:annotation&gt;r&lt;m:sSub&gt;&lt;m:sSubPr&gt;&lt;om:ctrlPr&gt;&lt;aml: annotation aml:id=&quot;18&quot; w:&quot;type=&quot;Word.Insertio&quot;n&quot; aml:author=o&quot;Microsoft 甯愭埛&quot; aml:crm=&quot;1eatedate=&quot;2024-11suit am-27T20:=n i22:00Z&quot;&gt;sen&lt;aml:content&gt;&lt;w:rPr&gt;&lt;w:ru甯iFonts w:ascie=&quot;=i=&quot;:auCamosombriaionl Math&quot; w:h-ansi=&quot;Cambria Matrtih&quot;/&gt;&lt;wx:font wxon&gt;r:valser&gt;&lt;orml: =&quot;Cambria Math&quot;/&gt;&lt;w:i/&gt;&lt;/w:rPr&gt;rlP&lt;/aml:content&gt;&lt;/am w:&quot;l:atior=oo&quot;nnotation&gt;&lt;/m:ctrlPr&gt;&lt;/m:sSubPr&gt;on&quot;&lt;m:e&gt;&lt;aml:annotation amnl1:iid=t&quot;19&quot; w:type=&quot;Word.Insertion&quot; aml:author=&quot;Microsoft 甯愭埛onl&quot; u甯osome=&quot;=iaml:createdate=&quot;2024-11-27T:au20:22:00Z&quot;&gt;&lt;aml:conteml: nt&gt;&lt;mrtir&gt;&lt;o:r&gt;on&gt;r&lt;w:rPr&gt;&lt;w:rFonts w:ascii=&quot;Casermbria Math&quot; w:hor=o-ansi=&quot;rlPCtio&quot;ambria w:&quot; Math&quot;/&gt;&lt;wx:font wx:val= amn&quot;Cambria Math&quot;/&gt;1:ii&lt;w:i/&gt;&lt;/won&quot;:rPid=tr&gt;&lt;m:t&gt;naml1&lt;/m:t&gt;&lt;/m:r&gt;&lt;/amll:content&gt;&lt;/aml:annotation&gt;&lt;/mn&quot; :e&gt;&lt;m:sub&gt;&lt;aml:annotation aml:id=&quot;20&quot; w:type=&quot;Word.Insertion&quot; aml:author=&quot;Microsoft 甯愭埛&quot; aml:createdater=o=&quot;2024-11-27T2ser0:io&quot;22:00Z&quot;&gt;&lt;amrlPw:&quot;l:contamnent&gt;&lt;m:r&gt;&lt;w:rPr&gt;&lt;w:rFont:iis w:ascii=&quot;Cambria Matd=th&quot; w:h-on&quot;ansi=mlmll1&quot;Cambria Math&quot; w:hint=&quot;farotaeast&quot;/&gt;&lt;wx:font wx:val&gt;&lt;m=&quot;Cambrn&quot; ia M20&quot;ath&quot;/ann&gt;&lt;w:i/&gt;&lt;/w:rPr&gt;&lt;m:t&gt;2ert&lt;/m:t&gt;&lt;/m:r&gt;&lt;/aml:contenhort&gt;&lt;/amionl:annMicotation&gt;&lt;/m:sub&gt;&lt;/m:sSub&gt;&lt;/m:den&gt;&lt;/m:f&gt;&lt;aml:annotation aml:id=&quot;21&quot; w:type=&quot;Word.Insertion&quot; aml:author=&quot;Microsoft 甯愭埛&quot; amml1lon&quot;:createdatotae=&quot;2024-11-27T20:22:00Z&quot;&gt;&lt;am&gt;&lt;ml:con20&quot;tent&gt;&lt;m:r&gt;&lt;m:rPr&gt;&lt;m:n&quot; annsty m:valert=&quot;p&quot;/&gt;&lt;/m:rPr&gt;&lt;w:rPr&gt;&lt;w:rFontshor :anw:ascii=&quot;Cambria Math&quot;Mic ionw:h-&gt;&lt;/ansi&gt;&lt;/=&quot;Cambria Math&quot;/&gt;&lt;wx:font wx:val&quot; wtio=&quot;Cambria Math&quot;/&gt;&lt;id=/w:rPaicrmlr&gt;&lt;m:t&gt;+uth&lt;/m:t&gt;&lt;/m:r&gt;&lt;/aml:content&gt;&lt;/aml:annotation&gt;&lt;m:f&gt;&lt;m:fPr&gt;&lt;m:ctrlPr&gt;&lt;aml:annotation aml:id=&quot;22&quot; w:type=&quot;Word.Insertion&quot; aml:author=&quot;Microsoft 甯愭埛hor&quot; aml:createdate=&quot;2&gt;&lt;/024-11-27TMic&gt;&lt;/20:22:0ion0Z&quot;&gt;&lt;aml:content&gt;&lt;w&quot; w:rPr&gt;&lt;w:rFontiots w:ascii=&quot;icrCambria Mathid=&quot; w:uthh-ansi=aml&quot;Cambria Math&quot;/&gt;ml:&lt;wx:font wx:val=nno&quot;Cambtrlria Math&quot;/&gt;&lt;/wf&gt;&lt;:rPr&gt;:an&lt;/aml:content&gt;&lt;/aml:annotrd.ation&gt;&lt;/m:ctrlPr&gt;&lt;/m:IsofnsfPr&gt;&lt;m:num&gt;&lt;m:sionSub&gt;&lt;m:sSubPr&gt;&lt;m:ctrlPr&gt;&lt;aml:annotation aml:id=&quot;23&quot; w:type=&quot;Word.Insertion&quot; aml:author=&quot;Microsoft 甯愭埛&quot; aml:creuthatedaid=te=&quot;2024-11-ml:27T20:22aml:00Z&quot;&gt;&lt;trlaml:contennnot&gt;&lt;w:rPr&gt;&lt;w:rFonts w:asc:anii=&quot;f&gt;&lt;Cambria Mathrd.&quot; w:h-ansi=&quot;Cambsofria Math&quot;/&gt;&lt;wx:onSfoInsnt wx:val=&quot;Cambria Ma:sSth&quot;ion/&gt;&lt;w:i/&gt;&lt;/wota:rPr&gt;&lt;/aml:conypetent&gt;&lt;/aml:aamlnnot&quot;23ation&gt;&lt;/m:ctrlPr&gt;&lt;/m:sSubPthor&gt;nse&lt;m:e&gt;&lt;aml:annotation aml:id=&quot;24&quot; w:type=&quot;Word.Insertion&quot; aml:author=&quot;Microsoft 甯愭埛&quot; aml:c:anreatedate=&quot;20rd.24-11-f&gt;&lt;2sof7T20:22:0onS0Z&quot;&gt;&lt;aml:content&gt;&lt;m:r&gt;&lt;w:rPr&gt;Ins&lt;w:rFonts w:asc:sSii=&quot;Cambriaota Math&quot; iypeonw:h-amlansi=&quot;Cambria Math&quot;/&gt;&lt;wx:font w&quot;23x:val=&quot;Cambria Math&quot;tho/&gt;&lt;w:i/&gt;&lt;/nnow:rPrid=&gt;&lt;npe=sem:t&gt;Q&lt;/m:t&gt;&lt;/m:r&gt;&lt;/aml:content&gt;pe=&lt;/aml:annotation&gt;&lt;m:ctrlPcror&gt;&lt;aml:annotatioMicn aml:id=&quot;25&quot; w:type=&quot;Word.Insertion&quot; aml:author=&quot;Microsoft 甯?s鎴? aml:sScreatetadatpeeml=&quot;2024-11-27T20:22:00Z&quot;ion&gt;&lt;aml:content&gt;&lt;w:rPr&gt;&lt;w:rFont&quot;23s w:ascii=&quot;Camhobria Mnoade==th&quot; w:h-ansi=&quot;Cambria Matnseh&quot;/&gt;&lt;wx:font wx:val=&quot;Cambpe=ria Math&quot;/&gt;&lt;/w:rPr&gt;ro&lt;/aanammcniol:content&gt;&lt;/aml:annotation&gt;Mic&lt;/m:ctrlPr&gt;&lt;/m:e&gt;&lt;m:sInsub&gt;&lt;aml:annotation aml:i?sd=&quot;26&quot; w:type=&quot;Word.Insertion&quot; aml:author=&quot;Microsoft ?笎鎴? aml:createdate=&quot;223024-11-2e=ho7d=Tno20:22:00Z&quot;&gt;&lt;aml:content&gt;&lt;m:r&gt;&lt;w:rPr&gt;&lt;w:rFontnses w:ascii=&quot;Cambria Me=ath&quot;am w:h-cnansiiorano=&quot;Cambria Math&quot;/&gt;&lt;wx:font wx:val=&quot;Cambria MatMich&quot;/&gt;&lt;w:i/&gt;&lt;/w:rPnsr&gt;&lt;sdm:t&gt;js1&quot;2&lt;/m:t26&gt;&lt;=&quot;/?sm:r&gt;&lt;/aml:content&gt;&lt;/aml:annotation&gt;&lt;/m:sub&gt;&lt;/m:sSub&gt;&lt;/m:numt ?&gt;&lt;m:den&gt;&lt;m:sSub&gt;&lt;m:sSubPr&gt;&lt;m:ctrlPr&gt;&lt;aml:annotation aml:id=&quot;27&quot; w:type=&quot;Word.Insertion&quot; aml:author=&quot;Microsoft 甯愭埛&quot; aml:createdate=&quot;2024-11-27T20:22:00Z&quot;&gt;&lt;aml:cMiconten&lt;sdt&gt;&lt;w:Pnsr1&quot;2Pr&gt;&lt;w:rt26Font&lt;=&quot;s w/?s:ascii=&quot;Cambria Math&quot; w:h-ansi=&quot;Cambria Math&quot;/&gt;&lt;wx:fo&gt;&lt;mnt wx:val=&quot;Cm:st ?ambria &lt;m:Mathb:sS&gt;&lt;&quot;/&gt;&lt;w:i/&gt;&lt;/w:rPr&gt;&lt;/aml:content&gt;&lt;/amserl:annotation&gt;&lt;/amlm:ctrlPr&gt;&lt;/m:sor=SubPr&gt;nse&lt;micr:e&gt;&lt;uthamosol:annotation aml:id=&quot;28&quot; w:type=&quot;Word.Insertion&quot; aml:author=&quot;Microsoft 甯愭?i=&quot;c? nsaml:cre?satedate=&quot;2024-11-27T20:22:00&lt;mZ&quot;&gt;&lt;aml:content&gt;&lt;m:s:r&gt;&lt;w:rPr&gt;&lt;w:rFom:nts w:ascii=&quot;sSC ?ambr&gt;&lt;ia Math&quot; erw:h-ansi=&quot;Cambria Mamlth&quot;/&gt;&lt;wx:font wx:var=l=&quot;Cambria Math&quot;cr/&gt;&lt;w:i/&gt;&lt;/w:rPr&gt;soseth&lt;m:t&gt;n&lt;/ypm:t&gt;&lt;/m:r&gt;&lt;/aml:contenn&quot;t&gt;&lt;/aml:annotation&gt;&lt;icm:ctrlPr&gt;&lt;aml:annotation aml:id=&quot;29c&quot; w:type=&quot;Word.Insertion&quot; aml:author=&quot;Microsoft 甯愭埛&quot; aom:ml:createdate=&quot;20&quot;sS er24-11-27TC r&gt;&lt;?20:22:00Zaml&quot;&gt;&lt;aml:content&gt;&lt;w:rPr&gt;&lt;ar=w:rFonts w:ascii=&quot;Cambr&quot;cria Math&quot; w:h-a/ypnsi=&quot;Ca&gt;sombria Methath&gt;se&quot;nn&quot;/&gt;&lt;wx:font wx:val=&quot;Cambri&lt;ica Math&quot;/&gt;&lt;/w:rPr&gt;&lt;/aml:conotntent&gt;&lt;=&quot;W/aml:annotation&gt;&lt;9c&quot;/m:=&quot;2ctrlthoPr&gt;&lt;29c/m:e&gt;&lt;m:sub&gt;&lt;aml:annotation aml:id=&quot;30&quot; w:type=&quot;Word.Insertion&quot; aml:author=&quot;Microsoft 甯=愭埛&quot; aml:createdate=&quot;2024-11&quot;/ypcr-27T20:22:00Z&quot;&gt;&lt;aml:content&gt;so&gt;nn&quot;&lt;m:r&gt;&lt;w:rPr&gt;eth&lt;w:rFonts&gt;se w:as&lt;iccii=&quot;Cambria Math&quot; w:h-an=&quot;Wsi=&quot;Canotmbria Math&quot;/&gt;&lt;wx:font wx:vathol=&quot;9c&quot;Cambria M=&quot;2otaath&quot;/&gt;&lt;w:i/&gt;&lt;/29ctatw:rPr&gt;&lt;m:t&gt;2&lt;/m:t&gt;&lt;Ins/m:r&gt;&lt;/aml:co&quot;Wontent&gt;&lt;/aml:annotation&gt;甯=&lt;/m:au:sub&gt;&lt;/m:psSub=&quot;M&gt;&lt;/m:den&gt;&lt;/m:f&gt;&lt;aml:annotation aml:&quot;id=&quot;31&quot; w:type=&quot;Word.Insertion&quot; aml:author=&quot;Microsoft 甯&quot;W?e鎴? aml:createdate=&quot;ot2024-11-27T20:22:00thoZ&quot;&gt;&lt;aml:otacontent&gt;&lt;c&quot;m:r&gt;&lt;m:rPr&gt;&lt;m:s&quot;2ty m:atval=&quot;p&quot;/&gt;&lt;Ins/m:rP29cr&gt;&lt;w:rPr&gt;&lt;w:rFonts Wow:ascii=&quot;Cambria 甯=Matm:ph&quot; w:h-ansiau=&quot;Cambria Math&quot;/&gt;&lt;&quot;Mwx:f&gt;&lt;ont wx:val:&quot;l=&quot;Cambria Math&quot;/&gt;&lt;/w:rPr&gt;&lt;m:t&gt;&quot;W+&lt;/m:t&gt;&lt;/m:r&gt;&lt;ho/&quot;Waml:contentut&gt;&lt;/aml:annotation&gt;&lt;m:f?e&gt;&lt;m:fPr&gt;&lt;m:catrloPr&gt;&lt;aml:annotation aml:id=&quot;32&quot; w:type=&quot;Word.Inserstion&quot; aml:author=&quot;Microsoft 甯?c鎴? aml:Wocreated:pate=甯=&quot;2024-11-27T20:22:00Z&quot;&gt;&lt;auaml:content&gt;&lt;w:rPr&gt;&lt;&gt;l:&quot;&lt;w:&quot;MrFonts w:ascii=&quot;Cambria Math&quot; w:h-ansi&quot;W=/&quot;W&quot;Cambrihoa Math&quot;/&gt;&lt;wx:font wx:vutal=&quot;Cambria:ca Math&quot;/&gt;&lt;/:fwrlo:rPr?e&gt;&lt;/aml:content&gt;&lt;/aml:annotation&gt;&lt;/m:cerstr wlPr&gt;&lt;/sem:fPr&gt;&lt;m:num&gt;&lt;m:sSuonb&gt;&lt;m:sSubPpr&gt;&lt;m:ctrlPr&gt;&lt;aml:anno?ctation aml:id=&quot;33&quot; w:type=&quot;Word.Insertion&quot; aml:author=&quot;Microsoft 甯愭埛&quot; aml:create/&quot;Wdate=&quot;2024-i&quot;W1iho1-27T20:22:00Z&quot;&gt;&lt;aml:c:caontent&gt;&lt;w:rvutPr&gt;&lt;w:rForlonts /:fw:ascii=&quot;Cambria r?eMath&quot; w:h-ansersi=&quot;Cambria Math&quot;/&gt;/ser w&lt;wx:font wx:vbPpal=&quot;Cambria Math&quot;uon/&gt;&lt;w:i/&gt;:an&lt;/w:rPamlr&gt;&lt;/aml:content&gt;&lt;/aml:o?cannotiotation&gt;&lt;/m:ctrlPr&gt;aml.In&lt;/m:sSubPr&gt;&lt;m:e&gt;&lt;aml:annotation amosol:id=&quot;34&quot; w:type=&quot;Word.Insertion&quot; aml:author=&quot;Microsoft 甯愭ut埛/:f&quot; aml:createdate=&quot;ers2024-11-27T20:22:00r?eZ&quot;&gt;&lt;a/seml:cbPpontent&gt;&lt;r wm:r&gt;&lt;w:rPr&gt;&lt;w:rFonts w:asc:anii=&quot;Cambria uonMatamlh&quot; w:h-ansi=&quot;Ctioambria Math&quot;/&gt;&lt;wx:font wx:vamla&gt;&lt;mo?cl=&quot;Cambr.Inia Math&quot;/&gt;&lt;w:i/&gt;&lt;w:t/w:rPr&gt;&lt;d=&quot;m:t&gt;Q&lt;/m:t&gt;&lt;/m:r&gt;oso&lt;/ape=ml:content&quot;Mi&gt;&lt;/aml:annotation&gt;&lt;m:ctrlPr&gt;&lt;aml:annotatiton aml:id=&quot;35&quot; w:type=&quot;Word.Insertion&quot; aml:author=&quot;Microsoft 甯愭埛&quot; :anaml:createdate=&quot;2024-11-27Tamtiol20:2uon2:00Z&quot;&gt;&lt;aml:content&gt;&gt;&lt;m&lt;w:rPr&gt;&lt;w:ramlFonts w:ascii=w:t&quot;Cambro.In?cia Math&quot; w:d=&quot;h-ansi=&quot;Cambria Math&quot;/&gt;&lt;wx:fon&quot;Mit pe=wx:vosoal=&quot;Cambria M&lt;amath&quot;/&gt;&lt;/w:rPr&gt;&lt;&lt;am/aml:cotypntent&gt;&lt;/aml:atitnnotation&gt;&lt;/mIns:ctrlPr&gt;&lt;/m:e&gt;&lt;m:sub&gt;&lt;aml:annotationicr aml:thoid=&quot;36&quot; w:type=&quot;Word.Insertion&quot; aml:author=&quot;Microsoft 甯愭埛&quot;w:t amlaml:createdate=&quot;2024-11-27T20:2d=&quot;2:.In00Z&quot;&gt;&lt;aml:co?content&gt;&lt;&quot;Mim:r&gt;&lt;w:rPr&gt;&lt;w:rFope=nt&lt;ams w:ascii=&quot;Camosobria typMath&quot; w:&lt;amh-ansi=&quot;Cambria Math&quot;/&gt;&lt;wx:fonInst titwx:val=&quot;Cambria Math&quot;ota/&gt;&lt;w:i/&gt;&lt;/w:rPr&gt;&lt;m:tw:t&gt;jicrs2&lt;/m:t&gt;&lt;/m:r&gt;ml:&lt;/athoml:contenertt&gt;&lt;/aml:annotation&gt;&lt;/m:sub&gt;&lt;/m:&quot;MisSub&gt;&lt;/m:num&gt;&lt;m:den&gt;&lt;m:sSub&gt;&lt;m:sSubPr&gt;&lt;m:ctrlPr&gt;&lt;aml:annotation aml:id=&quot;37&quot; w:type=&quot;Word.Insertion&quot; aml:author=&quot;Microsoft 甯愭埛&quot; aml:creaInstedate=&quot;202tit4-11-27T2ota0:22:00Z&quot;&gt;&lt;aml:cow:tntent&gt;&lt;w:rPr&gt;&lt;icml:rw:rFonts w:ascirtti=&quot;Cambria ertthoMath&quot; w:h-ansi=&quot;Cambria&gt;&lt;/ Math&quot;/&gt;&lt;wx:fo&quot;Mint wx&lt;m::val=&quot;Cambria MathlPr&quot;/&gt;&lt;w:i/&gt;&lt;/w: amr:ctPr&gt;&lt;/aml:=&quot;Wcontent&gt;&lt;/aml:annotatw:tion&gt;&lt;l:i/m:ctrlPr&gt;&lt;/m:suthSubPr&gt;&lt;m:e&gt;&lt;aml:aautnnotation aml:id=&quot;38&quot; w:type=&quot;Word.Insertion&quot; aml:author=&quot;Microsoft 甯愭?cr? aml:createdate=&quot;202rt4-11-27T20:22:00thoZ&quot;&lt;/&gt;&lt;aml:content&gt;&lt;m:r&gt;&lt;m:w:rPr&gt;&lt;w:&quot;MirFonPrts w:ascii=am&quot;Cambria Ma&quot;Wth&quot; w:h-:ctansi=&quot;Cambria Math&quot;/&gt;&lt;wx:f:tont wx:val=&quot;Cambriath Ml:iath&quot;/&gt;&lt;w:i/&gt;&lt;/wot:rPr&gt;&lt;m:t&gt;naut&lt;/w:m:t&gt;&lt;/m:r&gt;ns&lt;/aml:con:atent&gt;&lt;/amosd.Il:annotation&gt;&lt;m:ctrlPr&gt;&lt;aml:annrotation aml:id=&quot;39&quot; w:type=&quot;Word.Insertion&quot; aml:author=&quot;Microsoft 甯愭Pr埛&quot; aml=am:cre&quot;Ma&quot;Wiatedate=&quot;2024-11-27T20:22:00:ctZ&quot;&gt;&lt;aml:content&gt;&lt;w:rPrf:t&gt;&lt;w:rFonts w:ascathii=&quot;Cambria Math&quot;wot w:hl:i-ansi=/w:&quot;Camb&gt;nsrian:a Mamosth&quot;/&gt;&lt;autwx:font wx:val=&quot;Cambria d.IMath&quot;/&gt;&lt;/w:rPr&gt;&lt;/aml:contnnrent&gt;&lt;/aml:ann39&quot;otation&gt;&lt;/m:csertrlPr&gt;&lt;/m:e&gt;r=&quot;&lt;m:sub&gt;&lt;raml:annotation aml:thoid=&quot;40&quot; w:type=&quot;Word.Insertion&quot; aml:author=&quot;Microsoft 甯愭埛&quot; aml:f:tcreatedateath=&quot;2024-11-2wot7T20:22/w::&gt;nsn:amos00Z&quot;&gt;&lt;aml:content&gt;&lt;m:r&gt;l:i&lt;w:rPr&gt;&lt;w:rFonts autw:ascii=&quot;Cambria Mathd.I&quot; w:h-ansi=&quot;Cambria Mannrth&quot; w:h39&quot;int=&quot;faserreast&quot;r=&quot;/&gt;:anaml&gt;&lt;r&lt;wx:font wx:val=&quot;Cambria Math&quot;/&gt;&lt;w:i/&gt;&lt;/w:rPr&gt;&lt;m:t&gt;3tho&lt;/m:t&gt;&lt;/m:r&gt;&lt;/amd.Il:content&gt;&lt;/aml:annMicotation&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78" chromakey="#FFFFFF" o:title=""/>
            <o:lock v:ext="edit" aspectratio="t"/>
            <w10:wrap type="none"/>
            <w10:anchorlock/>
          </v:shape>
        </w:pict>
      </w:r>
      <w:r>
        <w:instrText xml:space="preserve"> </w:instrText>
      </w:r>
      <w:r>
        <w:fldChar w:fldCharType="separate"/>
      </w:r>
      <w:r>
        <w:t xml:space="preserve"> </w:t>
      </w:r>
      <w:r>
        <w:fldChar w:fldCharType="end"/>
      </w:r>
      <m:oMath>
        <m:sSub>
          <m:sSubPr>
            <m:ctrlPr>
              <w:rPr>
                <w:rFonts w:ascii="Cambria Math" w:hAnsi="Cambria Math"/>
                <w:i/>
              </w:rPr>
            </m:ctrlPr>
          </m:sSubPr>
          <m:e>
            <m:r>
              <m:rPr/>
              <w:rPr>
                <w:rFonts w:ascii="Cambria Math" w:hAnsi="Cambria Math"/>
              </w:rPr>
              <m:t>Q</m:t>
            </m:r>
            <m:ctrlPr>
              <w:rPr>
                <w:rFonts w:ascii="Cambria Math" w:hAnsi="Cambria Math"/>
                <w:i/>
              </w:rPr>
            </m:ctrlPr>
          </m:e>
          <m:sub>
            <m:r>
              <m:rPr/>
              <w:rPr>
                <w:rFonts w:hint="eastAsia" w:ascii="Cambria Math" w:hAnsi="Cambria Math" w:eastAsia="MS Gothic" w:cs="MS Gothic"/>
              </w:rPr>
              <m:t>ℎ</m:t>
            </m:r>
            <m:r>
              <m:rPr/>
              <w:rPr>
                <w:rFonts w:hint="eastAsia" w:ascii="Cambria Math" w:hAnsi="Cambria Math"/>
              </w:rPr>
              <m:t>z</m:t>
            </m:r>
            <m:ctrlPr>
              <w:rPr>
                <w:rFonts w:ascii="Cambria Math" w:hAnsi="Cambria Math"/>
                <w:i/>
              </w:rPr>
            </m:ctrlPr>
          </m:sub>
        </m:sSub>
        <m:r>
          <m:rPr>
            <m:sty m:val="p"/>
          </m:rPr>
          <w:rPr>
            <w:rFonts w:ascii="Cambria Math" w:hAnsi="Cambria Math"/>
          </w:rPr>
          <m:t>=</m:t>
        </m:r>
        <m:f>
          <m:fPr>
            <m:ctrlPr>
              <w:rPr>
                <w:rFonts w:ascii="Cambria Math" w:hAnsi="Cambria Math"/>
              </w:rPr>
            </m:ctrlPr>
          </m:fPr>
          <m:num>
            <m:d>
              <m:dPr>
                <m:ctrlPr>
                  <w:rPr>
                    <w:rFonts w:ascii="Cambria Math" w:hAnsi="Cambria Math"/>
                    <w:i/>
                  </w:rPr>
                </m:ctrlPr>
              </m:dPr>
              <m:e>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qc</m:t>
                    </m:r>
                    <m:ctrlPr>
                      <w:rPr>
                        <w:rFonts w:ascii="Cambria Math" w:hAnsi="Cambria Math"/>
                        <w:i/>
                      </w:rPr>
                    </m:ctrlPr>
                  </m:sub>
                </m:sSub>
                <m:ctrlPr>
                  <w:rPr>
                    <w:rFonts w:ascii="Cambria Math" w:hAnsi="Cambria Math"/>
                    <w:i/>
                  </w:rPr>
                </m:ctrlPr>
              </m:e>
            </m:d>
            <m:ctrlPr>
              <w:rPr>
                <w:rFonts w:ascii="Cambria Math" w:hAnsi="Cambria Math"/>
              </w:rPr>
            </m:ctrlPr>
          </m:num>
          <m:den>
            <m:sSub>
              <m:sSubPr>
                <m:ctrlPr>
                  <w:rPr>
                    <w:rFonts w:ascii="Cambria Math" w:hAnsi="Cambria Math"/>
                    <w:i/>
                  </w:rPr>
                </m:ctrlPr>
              </m:sSubPr>
              <m:e>
                <m:r>
                  <m:rPr/>
                  <w:rPr>
                    <w:rFonts w:ascii="Cambria Math" w:hAnsi="Cambria Math"/>
                  </w:rPr>
                  <m:t>n</m:t>
                </m:r>
                <m:ctrlPr>
                  <w:rPr>
                    <w:rFonts w:ascii="Cambria Math" w:hAnsi="Cambria Math"/>
                  </w:rPr>
                </m:ctrlPr>
              </m:e>
              <m:sub>
                <m:r>
                  <m:rPr/>
                  <w:rPr>
                    <w:rFonts w:ascii="Cambria Math" w:hAnsi="Cambria Math"/>
                  </w:rPr>
                  <m:t>1</m:t>
                </m:r>
                <m:ctrlPr>
                  <w:rPr>
                    <w:rFonts w:ascii="Cambria Math" w:hAnsi="Cambria Math"/>
                    <w:i/>
                  </w:rPr>
                </m:ctrlPr>
              </m:sub>
            </m:sSub>
            <m:r>
              <m:rPr/>
              <w:rPr>
                <w:rFonts w:hint="eastAsia" w:ascii="Cambria Math" w:hAns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hint="eastAsia" w:ascii="Cambria Math" w:hAnsi="Cambria Math"/>
                  </w:rPr>
                  <m:t>2</m:t>
                </m:r>
                <m:ctrlPr>
                  <w:rPr>
                    <w:rFonts w:ascii="Cambria Math" w:hAnsi="Cambria Math"/>
                    <w:i/>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m:rPr/>
                  <w:rPr>
                    <w:rFonts w:ascii="Cambria Math" w:hAnsi="Cambria Math"/>
                  </w:rPr>
                  <m:t>Q</m:t>
                </m:r>
                <m:ctrlPr>
                  <w:rPr>
                    <w:rFonts w:ascii="Cambria Math" w:hAnsi="Cambria Math"/>
                  </w:rPr>
                </m:ctrlPr>
              </m:e>
              <m:sub>
                <m:r>
                  <m:rPr/>
                  <w:rPr>
                    <w:rFonts w:ascii="Cambria Math" w:hAnsi="Cambria Math"/>
                  </w:rPr>
                  <m:t>js1</m:t>
                </m:r>
                <m:ctrlPr>
                  <w:rPr>
                    <w:rFonts w:ascii="Cambria Math" w:hAnsi="Cambria Math"/>
                    <w:i/>
                  </w:rPr>
                </m:ctrlPr>
              </m:sub>
            </m:sSub>
            <m:ctrlPr>
              <w:rPr>
                <w:rFonts w:ascii="Cambria Math" w:hAnsi="Cambria Math"/>
              </w:rPr>
            </m:ctrlPr>
          </m:num>
          <m:den>
            <m:sSub>
              <m:sSubPr>
                <m:ctrlPr>
                  <w:rPr>
                    <w:rFonts w:ascii="Cambria Math" w:hAnsi="Cambria Math"/>
                    <w:i/>
                  </w:rPr>
                </m:ctrlPr>
              </m:sSubPr>
              <m:e>
                <m:r>
                  <m:rPr/>
                  <w:rPr>
                    <w:rFonts w:ascii="Cambria Math" w:hAnsi="Cambria Math"/>
                  </w:rPr>
                  <m:t>n</m:t>
                </m:r>
                <m:ctrlPr>
                  <w:rPr>
                    <w:rFonts w:ascii="Cambria Math" w:hAnsi="Cambria Math"/>
                  </w:rPr>
                </m:ctrlPr>
              </m:e>
              <m:sub>
                <m:r>
                  <m:rPr/>
                  <w:rPr>
                    <w:rFonts w:ascii="Cambria Math" w:hAnsi="Cambria Math"/>
                  </w:rPr>
                  <m:t>2</m:t>
                </m:r>
                <m:ctrlPr>
                  <w:rPr>
                    <w:rFonts w:ascii="Cambria Math" w:hAnsi="Cambria Math"/>
                    <w:i/>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m:rPr/>
                  <w:rPr>
                    <w:rFonts w:ascii="Cambria Math" w:hAnsi="Cambria Math"/>
                  </w:rPr>
                  <m:t>Q</m:t>
                </m:r>
                <m:ctrlPr>
                  <w:rPr>
                    <w:rFonts w:ascii="Cambria Math" w:hAnsi="Cambria Math"/>
                  </w:rPr>
                </m:ctrlPr>
              </m:e>
              <m:sub>
                <m:r>
                  <m:rPr/>
                  <w:rPr>
                    <w:rFonts w:ascii="Cambria Math" w:hAnsi="Cambria Math"/>
                  </w:rPr>
                  <m:t>js2</m:t>
                </m:r>
                <m:ctrlPr>
                  <w:rPr>
                    <w:rFonts w:ascii="Cambria Math" w:hAnsi="Cambria Math"/>
                    <w:i/>
                  </w:rPr>
                </m:ctrlPr>
              </m:sub>
            </m:sSub>
            <m:ctrlPr>
              <w:rPr>
                <w:rFonts w:ascii="Cambria Math" w:hAnsi="Cambria Math"/>
              </w:rPr>
            </m:ctrlPr>
          </m:num>
          <m:den>
            <m:sSub>
              <m:sSubPr>
                <m:ctrlPr>
                  <w:rPr>
                    <w:rFonts w:ascii="Cambria Math" w:hAnsi="Cambria Math"/>
                    <w:i/>
                  </w:rPr>
                </m:ctrlPr>
              </m:sSubPr>
              <m:e>
                <m:r>
                  <m:rPr/>
                  <w:rPr>
                    <w:rFonts w:ascii="Cambria Math" w:hAnsi="Cambria Math"/>
                  </w:rPr>
                  <m:t>n</m:t>
                </m:r>
                <m:ctrlPr>
                  <w:rPr>
                    <w:rFonts w:ascii="Cambria Math" w:hAnsi="Cambria Math"/>
                  </w:rPr>
                </m:ctrlPr>
              </m:e>
              <m:sub>
                <m:r>
                  <m:rPr/>
                  <w:rPr>
                    <w:rFonts w:hint="eastAsia" w:ascii="Cambria Math" w:hAnsi="Cambria Math"/>
                  </w:rPr>
                  <m:t>3</m:t>
                </m:r>
                <m:ctrlPr>
                  <w:rPr>
                    <w:rFonts w:ascii="Cambria Math" w:hAnsi="Cambria Math"/>
                    <w:i/>
                  </w:rPr>
                </m:ctrlPr>
              </m:sub>
            </m:sSub>
            <m:ctrlPr>
              <w:rPr>
                <w:rFonts w:ascii="Cambria Math" w:hAnsi="Cambria Math"/>
              </w:rPr>
            </m:ctrlPr>
          </m:den>
        </m:f>
      </m:oMath>
      <w:r>
        <w:rPr>
          <w:rFonts w:hint="eastAsia"/>
        </w:rPr>
        <w:t xml:space="preserve">   </w:t>
      </w:r>
      <w:r>
        <w:t xml:space="preserve">  （</w:t>
      </w:r>
      <w:r>
        <w:rPr>
          <w:rFonts w:hint="eastAsia"/>
        </w:rPr>
        <w:t>10.4.13</w:t>
      </w:r>
      <w:r>
        <w:t xml:space="preserve">） </w:t>
      </w:r>
    </w:p>
    <w:p w14:paraId="48E40B1D">
      <w:pPr>
        <w:jc w:val="center"/>
        <w:rPr>
          <w:rFonts w:ascii="宋体" w:hAnsi="宋体" w:cs="宋体"/>
        </w:rPr>
      </w:pPr>
      <w:r>
        <w:rPr>
          <w:rFonts w:hint="eastAsia"/>
        </w:rPr>
        <w:t>式中：</w:t>
      </w:r>
      <w:bookmarkStart w:id="601" w:name="_Hlk77926967"/>
      <w:r>
        <w:rPr>
          <w:i/>
          <w:iCs/>
        </w:rPr>
        <w:t>Q</w:t>
      </w:r>
      <w:r>
        <w:rPr>
          <w:i/>
          <w:iCs/>
          <w:vertAlign w:val="subscript"/>
        </w:rPr>
        <w:t>hz</w:t>
      </w:r>
      <w:bookmarkEnd w:id="601"/>
      <w:r>
        <w:rPr>
          <w:rFonts w:hint="eastAsia"/>
        </w:rPr>
        <w:t>——清客工况下远期或客流控制期超高峰小时行车间隔内在站台上滞留乘客人数（人）；</w:t>
      </w:r>
    </w:p>
    <w:p w14:paraId="6F8B34F8">
      <w:r>
        <w:rPr>
          <w:i/>
          <w:iCs/>
        </w:rPr>
        <w:t>Q</w:t>
      </w:r>
      <w:r>
        <w:rPr>
          <w:i/>
          <w:iCs/>
          <w:vertAlign w:val="subscript"/>
        </w:rPr>
        <w:t>d</w:t>
      </w:r>
      <w:r>
        <w:rPr>
          <w:rFonts w:hint="eastAsia"/>
        </w:rPr>
        <w:t>——远期或客流控制期超高峰小时清客方向一侧进站断面客流量（人）；</w:t>
      </w:r>
    </w:p>
    <w:p w14:paraId="4A7BFB57">
      <w:r>
        <w:rPr>
          <w:i/>
          <w:iCs/>
        </w:rPr>
        <w:t>Q</w:t>
      </w:r>
      <w:r>
        <w:rPr>
          <w:i/>
          <w:iCs/>
          <w:vertAlign w:val="subscript"/>
        </w:rPr>
        <w:t>qc</w:t>
      </w:r>
      <w:r>
        <w:rPr>
          <w:rFonts w:hint="eastAsia"/>
        </w:rPr>
        <w:t>——</w:t>
      </w:r>
      <w:bookmarkStart w:id="602" w:name="_Hlk39163757"/>
      <w:r>
        <w:rPr>
          <w:rFonts w:hint="eastAsia"/>
        </w:rPr>
        <w:t>远期或客流控制期超高峰小时</w:t>
      </w:r>
      <w:bookmarkEnd w:id="602"/>
      <w:r>
        <w:rPr>
          <w:rFonts w:hint="eastAsia"/>
        </w:rPr>
        <w:t>清客方向一侧出站人数（人）；</w:t>
      </w:r>
    </w:p>
    <w:p w14:paraId="11660C27">
      <w:r>
        <w:rPr>
          <w:i/>
          <w:iCs/>
        </w:rPr>
        <w:t>Q</w:t>
      </w:r>
      <w:r>
        <w:rPr>
          <w:i/>
          <w:iCs/>
          <w:vertAlign w:val="subscript"/>
        </w:rPr>
        <w:t>js1</w:t>
      </w:r>
      <w:r>
        <w:rPr>
          <w:rFonts w:hint="eastAsia"/>
        </w:rPr>
        <w:t>——远期或客流控制期超高峰小时清客方向一侧进站上车人数（人）；</w:t>
      </w:r>
    </w:p>
    <w:p w14:paraId="12ECFBF4">
      <w:r>
        <w:rPr>
          <w:i/>
          <w:iCs/>
        </w:rPr>
        <w:t>Q</w:t>
      </w:r>
      <w:r>
        <w:rPr>
          <w:i/>
          <w:iCs/>
          <w:vertAlign w:val="subscript"/>
        </w:rPr>
        <w:t>js2</w:t>
      </w:r>
      <w:r>
        <w:rPr>
          <w:rFonts w:hint="eastAsia"/>
        </w:rPr>
        <w:t>——远期或客流控制期超高峰小时非清客方向一侧线路进站上车人数（人）；</w:t>
      </w:r>
    </w:p>
    <w:p w14:paraId="288A7391">
      <w:r>
        <w:rPr>
          <w:i/>
          <w:iCs/>
        </w:rPr>
        <w:t>n</w:t>
      </w:r>
      <w:r>
        <w:rPr>
          <w:i/>
          <w:iCs/>
          <w:vertAlign w:val="subscript"/>
        </w:rPr>
        <w:t>1</w:t>
      </w:r>
      <w:r>
        <w:rPr>
          <w:rFonts w:hint="eastAsia"/>
        </w:rPr>
        <w:t>——远期或高峰控制期小交路行车对数；</w:t>
      </w:r>
    </w:p>
    <w:p w14:paraId="628056CB">
      <w:r>
        <w:rPr>
          <w:i/>
          <w:iCs/>
        </w:rPr>
        <w:t>n</w:t>
      </w:r>
      <w:r>
        <w:rPr>
          <w:i/>
          <w:iCs/>
          <w:vertAlign w:val="subscript"/>
        </w:rPr>
        <w:t>2</w:t>
      </w:r>
      <w:r>
        <w:rPr>
          <w:rFonts w:hint="eastAsia"/>
        </w:rPr>
        <w:t>——远期或高峰控制期大交路行车对数；</w:t>
      </w:r>
    </w:p>
    <w:p w14:paraId="708E90C5">
      <w:pPr>
        <w:tabs>
          <w:tab w:val="left" w:pos="709"/>
          <w:tab w:val="left" w:pos="794"/>
          <w:tab w:val="left" w:pos="851"/>
          <w:tab w:val="left" w:pos="935"/>
          <w:tab w:val="left" w:pos="1502"/>
        </w:tabs>
        <w:outlineLvl w:val="2"/>
        <w:rPr>
          <w:bCs/>
        </w:rPr>
      </w:pPr>
      <w:r>
        <w:rPr>
          <w:i/>
          <w:iCs/>
        </w:rPr>
        <w:t>n</w:t>
      </w:r>
      <w:r>
        <w:rPr>
          <w:rFonts w:hint="eastAsia"/>
          <w:i/>
          <w:iCs/>
          <w:vertAlign w:val="subscript"/>
        </w:rPr>
        <w:t>3</w:t>
      </w:r>
      <w:r>
        <w:rPr>
          <w:rFonts w:hint="eastAsia"/>
        </w:rPr>
        <w:t>——远期或高峰控制期非清客一侧交路行车对数；</w:t>
      </w:r>
    </w:p>
    <w:p w14:paraId="2854CC68">
      <w:pPr>
        <w:numPr>
          <w:ilvl w:val="2"/>
          <w:numId w:val="1"/>
        </w:numPr>
        <w:tabs>
          <w:tab w:val="left" w:pos="709"/>
          <w:tab w:val="left" w:pos="794"/>
          <w:tab w:val="left" w:pos="935"/>
          <w:tab w:val="left" w:pos="1502"/>
        </w:tabs>
        <w:outlineLvl w:val="2"/>
      </w:pPr>
      <w:r>
        <w:rPr>
          <w:rFonts w:hint="eastAsia"/>
        </w:rPr>
        <w:t>岛式站台当跨中楼扶梯宽度满足客流控制期超高峰时段通行能力和紧急疏散要求时，应加大侧站台宽度。</w:t>
      </w:r>
    </w:p>
    <w:p w14:paraId="5832688D">
      <w:pPr>
        <w:numPr>
          <w:ilvl w:val="2"/>
          <w:numId w:val="1"/>
        </w:numPr>
        <w:tabs>
          <w:tab w:val="left" w:pos="709"/>
          <w:tab w:val="left" w:pos="794"/>
          <w:tab w:val="left" w:pos="935"/>
          <w:tab w:val="left" w:pos="1502"/>
        </w:tabs>
        <w:outlineLvl w:val="2"/>
      </w:pPr>
      <w:r>
        <w:rPr>
          <w:rFonts w:hint="eastAsia"/>
        </w:rPr>
        <w:t>站台公共区内的楼梯和自动扶梯宜均衡布设，楼扶梯和电梯前应有足够的缓冲空间，自动扶梯扶手带转向处或楼梯第一级踏步离站台计算长度端部的距离不宜小于一节车厢的长度，楼扶梯的设置要求应符合本规范第</w:t>
      </w:r>
      <w:r>
        <w:t>10</w:t>
      </w:r>
      <w:r>
        <w:rPr>
          <w:rFonts w:hint="eastAsia"/>
        </w:rPr>
        <w:t>.</w:t>
      </w:r>
      <w:r>
        <w:t>7</w:t>
      </w:r>
      <w:r>
        <w:rPr>
          <w:rFonts w:hint="eastAsia"/>
        </w:rPr>
        <w:t>节的有关规定。</w:t>
      </w:r>
    </w:p>
    <w:p w14:paraId="20E1E0F6">
      <w:pPr>
        <w:numPr>
          <w:ilvl w:val="2"/>
          <w:numId w:val="1"/>
        </w:numPr>
        <w:tabs>
          <w:tab w:val="left" w:pos="709"/>
          <w:tab w:val="left" w:pos="794"/>
          <w:tab w:val="left" w:pos="935"/>
          <w:tab w:val="left" w:pos="1502"/>
        </w:tabs>
        <w:outlineLvl w:val="2"/>
      </w:pPr>
      <w:r>
        <w:rPr>
          <w:rFonts w:hint="eastAsia"/>
        </w:rPr>
        <w:t>地下车站站台层两端的设备管理用房可伸入站台计算长度内，但应符合下列规定：</w:t>
      </w:r>
    </w:p>
    <w:p w14:paraId="147FFAE3">
      <w:pPr>
        <w:pStyle w:val="7"/>
        <w:ind w:firstLine="420"/>
        <w:rPr>
          <w:szCs w:val="18"/>
        </w:rPr>
      </w:pPr>
      <w:r>
        <w:rPr>
          <w:rFonts w:hint="eastAsia"/>
          <w:szCs w:val="18"/>
        </w:rPr>
        <w:t>伸入站</w:t>
      </w:r>
      <w:r>
        <w:rPr>
          <w:rFonts w:hint="eastAsia"/>
        </w:rPr>
        <w:t>台计算长度内的设备管理用房不应超过一节车厢长度，伸入部分的侧站台宽度不得小于</w:t>
      </w:r>
      <w:r>
        <w:t>2.5m</w:t>
      </w:r>
      <w:r>
        <w:rPr>
          <w:rFonts w:hint="eastAsia"/>
        </w:rPr>
        <w:t>；</w:t>
      </w:r>
    </w:p>
    <w:p w14:paraId="0CC88ED0">
      <w:pPr>
        <w:pStyle w:val="7"/>
        <w:ind w:firstLine="420"/>
      </w:pPr>
      <w:r>
        <w:rPr>
          <w:rFonts w:hint="eastAsia"/>
        </w:rPr>
        <w:t>设备管理用房端部外墙面距自动扶梯扶手带转向处或楼梯第一级踏步口的最小距离不应小于8m；</w:t>
      </w:r>
    </w:p>
    <w:p w14:paraId="051B8BD2">
      <w:pPr>
        <w:pStyle w:val="7"/>
        <w:ind w:firstLine="420"/>
        <w:rPr>
          <w:szCs w:val="18"/>
        </w:rPr>
      </w:pPr>
      <w:r>
        <w:rPr>
          <w:rFonts w:hint="eastAsia"/>
          <w:szCs w:val="18"/>
        </w:rPr>
        <w:t>当伸入长度超过半节车厢时，应保证应急门打开后的侧站台宽度不小于</w:t>
      </w:r>
      <w:r>
        <w:rPr>
          <w:szCs w:val="18"/>
        </w:rPr>
        <w:t>1.2 m</w:t>
      </w:r>
      <w:r>
        <w:rPr>
          <w:rFonts w:hint="eastAsia"/>
          <w:szCs w:val="18"/>
        </w:rPr>
        <w:t>，困难情况下，宜在伸入范围正对应急门处增设联通两侧站台的横向通道，通道最小净宽不得小于</w:t>
      </w:r>
      <w:r>
        <w:rPr>
          <w:szCs w:val="18"/>
        </w:rPr>
        <w:t>2.4m</w:t>
      </w:r>
      <w:r>
        <w:rPr>
          <w:rFonts w:hint="eastAsia"/>
          <w:szCs w:val="18"/>
        </w:rPr>
        <w:t>。</w:t>
      </w:r>
    </w:p>
    <w:p w14:paraId="0CCFAAFE">
      <w:pPr>
        <w:numPr>
          <w:ilvl w:val="2"/>
          <w:numId w:val="1"/>
        </w:numPr>
        <w:tabs>
          <w:tab w:val="left" w:pos="709"/>
          <w:tab w:val="left" w:pos="794"/>
          <w:tab w:val="left" w:pos="935"/>
          <w:tab w:val="left" w:pos="1502"/>
        </w:tabs>
        <w:outlineLvl w:val="2"/>
        <w:rPr>
          <w:bCs/>
        </w:rPr>
      </w:pPr>
      <w:r>
        <w:rPr>
          <w:rFonts w:hint="eastAsia"/>
          <w:bCs/>
        </w:rPr>
        <w:t>地下车站站台屏蔽门端门外应设置净宽不小于</w:t>
      </w:r>
      <w:r>
        <w:rPr>
          <w:bCs/>
        </w:rPr>
        <w:t>1.2m</w:t>
      </w:r>
      <w:r>
        <w:rPr>
          <w:rFonts w:hint="eastAsia"/>
          <w:bCs/>
        </w:rPr>
        <w:t>的人行通道和净宽不小于</w:t>
      </w:r>
      <w:r>
        <w:rPr>
          <w:bCs/>
        </w:rPr>
        <w:t>1.1m</w:t>
      </w:r>
      <w:r>
        <w:rPr>
          <w:rFonts w:hint="eastAsia"/>
          <w:bCs/>
        </w:rPr>
        <w:t>的楼梯，通道应设栏杆，栏杆高度不应小于</w:t>
      </w:r>
      <w:r>
        <w:rPr>
          <w:bCs/>
        </w:rPr>
        <w:t>1.1m</w:t>
      </w:r>
      <w:r>
        <w:rPr>
          <w:rFonts w:hint="eastAsia"/>
          <w:bCs/>
        </w:rPr>
        <w:t>，并不得侵入限界。</w:t>
      </w:r>
    </w:p>
    <w:p w14:paraId="15DF927D">
      <w:pPr>
        <w:numPr>
          <w:ilvl w:val="2"/>
          <w:numId w:val="1"/>
        </w:numPr>
        <w:tabs>
          <w:tab w:val="left" w:pos="709"/>
          <w:tab w:val="left" w:pos="794"/>
          <w:tab w:val="left" w:pos="935"/>
          <w:tab w:val="left" w:pos="1502"/>
        </w:tabs>
        <w:outlineLvl w:val="2"/>
      </w:pPr>
      <w:r>
        <w:rPr>
          <w:rFonts w:hint="eastAsia"/>
        </w:rPr>
        <w:t>地上车站站台雨篷应符合下列规定：</w:t>
      </w:r>
    </w:p>
    <w:p w14:paraId="3D039270">
      <w:pPr>
        <w:pStyle w:val="7"/>
        <w:ind w:firstLine="420"/>
      </w:pPr>
      <w:r>
        <w:rPr>
          <w:rFonts w:hint="eastAsia"/>
          <w:szCs w:val="18"/>
        </w:rPr>
        <w:t>雨篷应</w:t>
      </w:r>
      <w:r>
        <w:rPr>
          <w:rFonts w:hint="eastAsia"/>
        </w:rPr>
        <w:t>有防止雨雪飘入站台措施；</w:t>
      </w:r>
    </w:p>
    <w:p w14:paraId="4D15A209">
      <w:pPr>
        <w:pStyle w:val="7"/>
        <w:ind w:firstLine="420"/>
      </w:pPr>
      <w:r>
        <w:rPr>
          <w:rFonts w:hint="eastAsia"/>
        </w:rPr>
        <w:t>雨蓬防水节点应满足列车震动、活塞风作用下的构造要求；</w:t>
      </w:r>
    </w:p>
    <w:p w14:paraId="51F61AD2">
      <w:pPr>
        <w:pStyle w:val="7"/>
        <w:ind w:firstLine="420"/>
        <w:rPr>
          <w:szCs w:val="18"/>
        </w:rPr>
      </w:pPr>
      <w:r>
        <w:rPr>
          <w:rFonts w:hint="eastAsia"/>
        </w:rPr>
        <w:t>屋面应设</w:t>
      </w:r>
      <w:r>
        <w:rPr>
          <w:rFonts w:hint="eastAsia"/>
          <w:szCs w:val="18"/>
        </w:rPr>
        <w:t>置方便维修和高空保洁设施。</w:t>
      </w:r>
    </w:p>
    <w:p w14:paraId="696FC52D">
      <w:pPr>
        <w:widowControl/>
        <w:tabs>
          <w:tab w:val="left" w:pos="960"/>
        </w:tabs>
        <w:spacing w:before="100" w:beforeAutospacing="1" w:after="100" w:afterAutospacing="1" w:line="240" w:lineRule="auto"/>
        <w:jc w:val="center"/>
        <w:rPr>
          <w:b/>
        </w:rPr>
      </w:pPr>
      <w:r>
        <w:rPr>
          <w:rFonts w:hAnsi="宋体" w:cs="宋体"/>
          <w:b/>
          <w:snapToGrid w:val="0"/>
          <w:spacing w:val="6"/>
          <w:szCs w:val="21"/>
        </w:rPr>
        <w:t>Ⅱ</w:t>
      </w:r>
      <w:r>
        <w:rPr>
          <w:rFonts w:hint="eastAsia"/>
          <w:b/>
        </w:rPr>
        <w:t xml:space="preserve">  设备管理用房</w:t>
      </w:r>
    </w:p>
    <w:p w14:paraId="7FEC35D9">
      <w:pPr>
        <w:numPr>
          <w:ilvl w:val="2"/>
          <w:numId w:val="1"/>
        </w:numPr>
        <w:tabs>
          <w:tab w:val="left" w:pos="709"/>
          <w:tab w:val="left" w:pos="794"/>
          <w:tab w:val="left" w:pos="935"/>
          <w:tab w:val="left" w:pos="1502"/>
        </w:tabs>
        <w:outlineLvl w:val="2"/>
      </w:pPr>
      <w:r>
        <w:rPr>
          <w:rFonts w:hint="eastAsia"/>
        </w:rPr>
        <w:t>车站设备管理用房应根据各系统工艺和相互接口要求合理布置，并应</w:t>
      </w:r>
      <w:r>
        <w:rPr>
          <w:rFonts w:hint="eastAsia"/>
          <w:bCs/>
        </w:rPr>
        <w:t>满足</w:t>
      </w:r>
      <w:r>
        <w:rPr>
          <w:rFonts w:hint="eastAsia"/>
        </w:rPr>
        <w:t>工艺流程和管线敷设要求，应根据功能需求进行分区布置，设备用房和管理用房宜分别集中布置。</w:t>
      </w:r>
    </w:p>
    <w:p w14:paraId="23DAB241">
      <w:pPr>
        <w:numPr>
          <w:ilvl w:val="2"/>
          <w:numId w:val="1"/>
        </w:numPr>
        <w:tabs>
          <w:tab w:val="left" w:pos="709"/>
          <w:tab w:val="left" w:pos="794"/>
          <w:tab w:val="left" w:pos="935"/>
          <w:tab w:val="left" w:pos="1502"/>
        </w:tabs>
        <w:outlineLvl w:val="2"/>
      </w:pPr>
      <w:r>
        <w:rPr>
          <w:rFonts w:hint="eastAsia"/>
          <w:bCs/>
        </w:rPr>
        <w:t>设备管理</w:t>
      </w:r>
      <w:r>
        <w:rPr>
          <w:rFonts w:hint="eastAsia"/>
        </w:rPr>
        <w:t>用房区的通道宜顺直，通道宽度应满足上部设备管线的敷设和维修要求，且房间门开启后应满足疏散走道净宽要求。</w:t>
      </w:r>
    </w:p>
    <w:p w14:paraId="17F53B29">
      <w:pPr>
        <w:numPr>
          <w:ilvl w:val="2"/>
          <w:numId w:val="1"/>
        </w:numPr>
        <w:tabs>
          <w:tab w:val="left" w:pos="709"/>
          <w:tab w:val="left" w:pos="794"/>
          <w:tab w:val="left" w:pos="935"/>
          <w:tab w:val="left" w:pos="1502"/>
        </w:tabs>
        <w:outlineLvl w:val="2"/>
        <w:rPr>
          <w:bCs/>
        </w:rPr>
      </w:pPr>
      <w:r>
        <w:rPr>
          <w:rFonts w:hint="eastAsia"/>
          <w:bCs/>
        </w:rPr>
        <w:t>车站电气设备用房应采取有效的防水、防潮、防鼠措施，并应符合下列规定：</w:t>
      </w:r>
    </w:p>
    <w:p w14:paraId="35EB5BAD">
      <w:pPr>
        <w:pStyle w:val="7"/>
        <w:ind w:firstLine="420"/>
      </w:pPr>
      <w:r>
        <w:rPr>
          <w:rFonts w:hint="eastAsia"/>
        </w:rPr>
        <w:t>变电所和通信、信号等电气设备用房不应布置在消防泵房、厕所、盥洗室以及冷冻机房等经常积水区的正下方。变电所不宜与厕所、泵房等场所贴临布置。设于楼层上的有水房间地面应采取有效的防渗漏和排水措施，楼板开洞四周应设高出地饰面不小200mm的防水挡台。</w:t>
      </w:r>
    </w:p>
    <w:p w14:paraId="2128D623">
      <w:pPr>
        <w:pStyle w:val="7"/>
        <w:ind w:firstLine="420"/>
      </w:pPr>
      <w:r>
        <w:rPr>
          <w:rFonts w:hint="eastAsia"/>
        </w:rPr>
        <w:t>所有与有水房间相邻的设备房间墙面应做防潮处理。</w:t>
      </w:r>
    </w:p>
    <w:p w14:paraId="36ABD1D6">
      <w:pPr>
        <w:pStyle w:val="7"/>
        <w:ind w:firstLine="420"/>
      </w:pPr>
      <w:r>
        <w:rPr>
          <w:rFonts w:hint="eastAsia"/>
        </w:rPr>
        <w:t>电气设备房间、电缆间应配置防鼠板；房间墙角孔洞应做好封堵。</w:t>
      </w:r>
    </w:p>
    <w:p w14:paraId="789DBF67">
      <w:pPr>
        <w:pStyle w:val="7"/>
        <w:ind w:firstLine="420"/>
      </w:pPr>
      <w:r>
        <w:rPr>
          <w:rFonts w:hint="eastAsia"/>
        </w:rPr>
        <w:t>变、配电室的外窗应加装护栏等保护措施，外门应为防盗门。</w:t>
      </w:r>
    </w:p>
    <w:p w14:paraId="56C4C941">
      <w:pPr>
        <w:numPr>
          <w:ilvl w:val="2"/>
          <w:numId w:val="1"/>
        </w:numPr>
        <w:tabs>
          <w:tab w:val="left" w:pos="709"/>
          <w:tab w:val="left" w:pos="794"/>
          <w:tab w:val="left" w:pos="935"/>
          <w:tab w:val="left" w:pos="1502"/>
        </w:tabs>
        <w:outlineLvl w:val="2"/>
        <w:rPr>
          <w:bCs/>
        </w:rPr>
      </w:pPr>
      <w:r>
        <w:rPr>
          <w:rFonts w:hint="eastAsia"/>
          <w:bCs/>
        </w:rPr>
        <w:t>车站变、配电室各房间的门窗设置应符合下列规定：</w:t>
      </w:r>
    </w:p>
    <w:p w14:paraId="56699FC0">
      <w:pPr>
        <w:pStyle w:val="7"/>
        <w:ind w:firstLine="420"/>
      </w:pPr>
      <w:r>
        <w:rPr>
          <w:rFonts w:hint="eastAsia"/>
          <w:szCs w:val="18"/>
        </w:rPr>
        <w:t>长度大于</w:t>
      </w:r>
      <w:r>
        <w:rPr>
          <w:rFonts w:hint="eastAsia"/>
        </w:rPr>
        <w:t>7m 的变配电室，应设2个出入口，距离</w:t>
      </w:r>
      <w:r>
        <w:t>应大于</w:t>
      </w:r>
      <w:r>
        <w:rPr>
          <w:rFonts w:hint="eastAsia"/>
        </w:rPr>
        <w:t>5m；</w:t>
      </w:r>
      <w:r>
        <w:t xml:space="preserve"> </w:t>
      </w:r>
    </w:p>
    <w:p w14:paraId="2D225A20">
      <w:pPr>
        <w:pStyle w:val="7"/>
        <w:ind w:firstLine="420"/>
        <w:rPr>
          <w:szCs w:val="18"/>
        </w:rPr>
      </w:pPr>
      <w:r>
        <w:rPr>
          <w:rFonts w:hint="eastAsia"/>
        </w:rPr>
        <w:t>地下车站变电所各房间的联通门应为由高压部分向低压方向开启的常开</w:t>
      </w:r>
      <w:r>
        <w:rPr>
          <w:rFonts w:hint="eastAsia"/>
          <w:szCs w:val="18"/>
        </w:rPr>
        <w:t>甲级防火门，地上车站各房间的联通门可采用双向开启的钢板门。</w:t>
      </w:r>
    </w:p>
    <w:p w14:paraId="19E83B25">
      <w:pPr>
        <w:numPr>
          <w:ilvl w:val="2"/>
          <w:numId w:val="1"/>
        </w:numPr>
        <w:tabs>
          <w:tab w:val="left" w:pos="709"/>
          <w:tab w:val="left" w:pos="794"/>
          <w:tab w:val="left" w:pos="935"/>
          <w:tab w:val="left" w:pos="1502"/>
        </w:tabs>
        <w:outlineLvl w:val="2"/>
        <w:rPr>
          <w:szCs w:val="18"/>
        </w:rPr>
      </w:pPr>
      <w:r>
        <w:rPr>
          <w:rFonts w:hint="eastAsia"/>
        </w:rPr>
        <w:t>地上区间独立变电所选址不应设在地势低洼处，场地条件受限时应采取</w:t>
      </w:r>
      <w:r>
        <w:rPr>
          <w:rFonts w:hint="eastAsia"/>
          <w:bCs/>
        </w:rPr>
        <w:t>相应</w:t>
      </w:r>
      <w:r>
        <w:rPr>
          <w:rFonts w:hint="eastAsia"/>
        </w:rPr>
        <w:t>措施。</w:t>
      </w:r>
    </w:p>
    <w:p w14:paraId="7D31B2C9">
      <w:pPr>
        <w:numPr>
          <w:ilvl w:val="2"/>
          <w:numId w:val="1"/>
        </w:numPr>
        <w:tabs>
          <w:tab w:val="left" w:pos="709"/>
          <w:tab w:val="left" w:pos="794"/>
          <w:tab w:val="left" w:pos="935"/>
          <w:tab w:val="left" w:pos="1502"/>
        </w:tabs>
        <w:outlineLvl w:val="2"/>
      </w:pPr>
      <w:r>
        <w:rPr>
          <w:rFonts w:hint="eastAsia"/>
        </w:rPr>
        <w:t>主要</w:t>
      </w:r>
      <w:r>
        <w:rPr>
          <w:rFonts w:hint="eastAsia"/>
          <w:bCs/>
        </w:rPr>
        <w:t>设备管理</w:t>
      </w:r>
      <w:r>
        <w:rPr>
          <w:rFonts w:hint="eastAsia"/>
        </w:rPr>
        <w:t>区内应设员工厕所，并</w:t>
      </w:r>
      <w:r>
        <w:t>宜设置一处淋浴间</w:t>
      </w:r>
      <w:r>
        <w:rPr>
          <w:rFonts w:hint="eastAsia"/>
        </w:rPr>
        <w:t>。</w:t>
      </w:r>
    </w:p>
    <w:p w14:paraId="76A4B9A2">
      <w:pPr>
        <w:numPr>
          <w:ilvl w:val="2"/>
          <w:numId w:val="1"/>
        </w:numPr>
        <w:tabs>
          <w:tab w:val="left" w:pos="709"/>
          <w:tab w:val="left" w:pos="794"/>
          <w:tab w:val="left" w:pos="935"/>
          <w:tab w:val="left" w:pos="1502"/>
        </w:tabs>
        <w:outlineLvl w:val="2"/>
      </w:pPr>
      <w:r>
        <w:rPr>
          <w:rFonts w:hint="eastAsia"/>
        </w:rPr>
        <w:t>车站站厅应沿主体结构外墙内侧设置排水设施，站厅与出入口交界处应设截水沟，变形缝处宜设置接水盒等渗漏排水措施。</w:t>
      </w:r>
    </w:p>
    <w:p w14:paraId="28727C5B">
      <w:pPr>
        <w:numPr>
          <w:ilvl w:val="2"/>
          <w:numId w:val="1"/>
        </w:numPr>
        <w:tabs>
          <w:tab w:val="left" w:pos="709"/>
          <w:tab w:val="left" w:pos="794"/>
          <w:tab w:val="left" w:pos="935"/>
          <w:tab w:val="left" w:pos="1502"/>
        </w:tabs>
        <w:outlineLvl w:val="2"/>
      </w:pPr>
      <w:r>
        <w:rPr>
          <w:rFonts w:hint="eastAsia"/>
        </w:rPr>
        <w:t>车站和各类建筑的墙体材料应符合下列规定：</w:t>
      </w:r>
    </w:p>
    <w:p w14:paraId="4B197651">
      <w:pPr>
        <w:pStyle w:val="7"/>
        <w:ind w:firstLine="420"/>
      </w:pPr>
      <w:r>
        <w:rPr>
          <w:rFonts w:hint="eastAsia"/>
        </w:rPr>
        <w:t>砌筑砂浆和抹灰砂浆应采用干拌砂浆；</w:t>
      </w:r>
    </w:p>
    <w:p w14:paraId="2ADCD14D">
      <w:pPr>
        <w:pStyle w:val="7"/>
        <w:ind w:firstLine="420"/>
      </w:pPr>
      <w:r>
        <w:rPr>
          <w:rFonts w:hint="eastAsia"/>
        </w:rPr>
        <w:t>非承重墙的高厚比应满足刚度和稳定性要求，墙体应设置构造柱和圈梁，并与主体结构有可靠的构造连接措施；</w:t>
      </w:r>
    </w:p>
    <w:p w14:paraId="74564293">
      <w:pPr>
        <w:pStyle w:val="7"/>
        <w:ind w:firstLine="420"/>
      </w:pPr>
      <w:r>
        <w:rPr>
          <w:rFonts w:hint="eastAsia"/>
        </w:rPr>
        <w:t>处于易受水侵和干湿交替的有水房间墙体，以及±0.00以下的外墙，不应采用加气混凝土砌块等吸湿性强的墙体材料；</w:t>
      </w:r>
    </w:p>
    <w:p w14:paraId="2C44E5CF">
      <w:pPr>
        <w:pStyle w:val="7"/>
        <w:ind w:firstLine="420"/>
      </w:pPr>
      <w:r>
        <w:rPr>
          <w:rFonts w:hint="eastAsia"/>
        </w:rPr>
        <w:t>室内非承重墙采用加气混凝土等吸湿性强的砌体材料时，墙体根部应用C</w:t>
      </w:r>
      <w:r>
        <w:t>20</w:t>
      </w:r>
      <w:r>
        <w:rPr>
          <w:rFonts w:hint="eastAsia"/>
        </w:rPr>
        <w:t>混凝土或吸湿性低的实体砌块做条带，并高出地饰面不小于100mm；</w:t>
      </w:r>
    </w:p>
    <w:p w14:paraId="6A30F8F5">
      <w:pPr>
        <w:pStyle w:val="7"/>
        <w:ind w:firstLine="420"/>
      </w:pPr>
      <w:r>
        <w:rPr>
          <w:rFonts w:hint="eastAsia"/>
        </w:rPr>
        <w:t>站台设备区贴临轨行区一侧的隔墙以及两侧均受承受隧道风压影响的隔墙不宜采用砌筑墙体材料。</w:t>
      </w:r>
    </w:p>
    <w:p w14:paraId="73CBC922">
      <w:pPr>
        <w:pStyle w:val="7"/>
        <w:ind w:firstLine="420"/>
      </w:pPr>
      <w:r>
        <w:rPr>
          <w:rFonts w:hint="eastAsia"/>
        </w:rPr>
        <w:t>车站设备及管理用房区隔墙宜采用装配式墙体材料，临公共区隔墙、风道、环控机房、车控室、照明配电室、电缆间等房间采用装配式墙体材料时应满足墙体设备安装及承压要求。</w:t>
      </w:r>
    </w:p>
    <w:p w14:paraId="6BF02066">
      <w:pPr>
        <w:pStyle w:val="4"/>
        <w:tabs>
          <w:tab w:val="left" w:pos="709"/>
          <w:tab w:val="clear" w:pos="462"/>
          <w:tab w:val="clear" w:pos="794"/>
        </w:tabs>
      </w:pPr>
      <w:bookmarkStart w:id="603" w:name="_Toc183888144"/>
      <w:bookmarkStart w:id="604" w:name="_Toc183888506"/>
      <w:bookmarkStart w:id="605" w:name="_Toc183765101"/>
      <w:bookmarkStart w:id="606" w:name="_Toc183882454"/>
      <w:bookmarkStart w:id="607" w:name="_Toc183790531"/>
      <w:bookmarkStart w:id="608" w:name="_Toc183882092"/>
      <w:bookmarkStart w:id="609" w:name="_Toc27396"/>
      <w:bookmarkStart w:id="610" w:name="_Toc183683515"/>
      <w:bookmarkStart w:id="611" w:name="_Toc357929351"/>
      <w:r>
        <w:rPr>
          <w:rFonts w:hint="eastAsia"/>
        </w:rPr>
        <w:t>车站出入口</w:t>
      </w:r>
      <w:bookmarkEnd w:id="603"/>
      <w:bookmarkEnd w:id="604"/>
      <w:bookmarkEnd w:id="605"/>
      <w:bookmarkEnd w:id="606"/>
      <w:bookmarkEnd w:id="607"/>
      <w:bookmarkEnd w:id="608"/>
      <w:bookmarkEnd w:id="609"/>
      <w:bookmarkEnd w:id="610"/>
      <w:bookmarkEnd w:id="611"/>
    </w:p>
    <w:p w14:paraId="7617DD6A">
      <w:pPr>
        <w:numPr>
          <w:ilvl w:val="2"/>
          <w:numId w:val="1"/>
        </w:numPr>
        <w:tabs>
          <w:tab w:val="left" w:pos="709"/>
          <w:tab w:val="left" w:pos="794"/>
          <w:tab w:val="left" w:pos="935"/>
          <w:tab w:val="left" w:pos="1502"/>
        </w:tabs>
        <w:outlineLvl w:val="2"/>
      </w:pPr>
      <w:r>
        <w:rPr>
          <w:rFonts w:hint="eastAsia"/>
        </w:rPr>
        <w:t>车站出入口的通道宽度标准和提升段设施标准应结合车站的区域用地规划和环境条件和分向客流数据确定，应符合下列规定：</w:t>
      </w:r>
    </w:p>
    <w:p w14:paraId="0C962F29">
      <w:pPr>
        <w:pStyle w:val="7"/>
        <w:ind w:firstLine="420"/>
      </w:pPr>
      <w:r>
        <w:rPr>
          <w:rFonts w:hint="eastAsia"/>
          <w:szCs w:val="18"/>
        </w:rPr>
        <w:t xml:space="preserve"> </w:t>
      </w:r>
      <w:r>
        <w:rPr>
          <w:rFonts w:hint="eastAsia" w:ascii="Arial" w:hAnsi="Arial" w:cs="Arial"/>
          <w:szCs w:val="20"/>
        </w:rPr>
        <w:t>出入口通道采用分段转折形式时，应对提升段和通道段的宽度标准</w:t>
      </w:r>
      <w:r>
        <w:rPr>
          <w:rFonts w:hint="eastAsia"/>
        </w:rPr>
        <w:t>进行差异化设计。提升段应按照楼扶梯并列布局原则控制土建宽度，通道段应根据本象限客流规模需求确定通行宽度标准，且不应小于</w:t>
      </w:r>
      <w:r>
        <w:t>4m</w:t>
      </w:r>
      <w:r>
        <w:rPr>
          <w:rFonts w:hint="eastAsia"/>
        </w:rPr>
        <w:t>；</w:t>
      </w:r>
    </w:p>
    <w:p w14:paraId="789BF0E9">
      <w:pPr>
        <w:pStyle w:val="7"/>
        <w:ind w:firstLine="420"/>
      </w:pPr>
      <w:r>
        <w:rPr>
          <w:rFonts w:hint="eastAsia"/>
        </w:rPr>
        <w:t>当工程实施条件困难或车站出入口所处象限的高峰小时进出站客流量较少时，可采用两部0</w:t>
      </w:r>
      <w:r>
        <w:t>.60m</w:t>
      </w:r>
      <w:r>
        <w:rPr>
          <w:rFonts w:hint="eastAsia"/>
        </w:rPr>
        <w:t>扶梯或2部及以上电梯群；</w:t>
      </w:r>
    </w:p>
    <w:p w14:paraId="1176239E">
      <w:pPr>
        <w:pStyle w:val="7"/>
        <w:ind w:firstLine="420"/>
      </w:pPr>
      <w:r>
        <w:rPr>
          <w:rFonts w:hint="eastAsia"/>
        </w:rPr>
        <w:t>当受工程条件限制主客流方向出入口无法设置时，宜通过调整其他出入口位置及方向实现客流覆盖需求。</w:t>
      </w:r>
    </w:p>
    <w:p w14:paraId="7C41195F">
      <w:pPr>
        <w:numPr>
          <w:ilvl w:val="2"/>
          <w:numId w:val="1"/>
        </w:numPr>
        <w:tabs>
          <w:tab w:val="left" w:pos="709"/>
          <w:tab w:val="left" w:pos="794"/>
          <w:tab w:val="left" w:pos="935"/>
          <w:tab w:val="left" w:pos="1502"/>
        </w:tabs>
        <w:outlineLvl w:val="2"/>
        <w:rPr>
          <w:bCs/>
        </w:rPr>
      </w:pPr>
      <w:r>
        <w:rPr>
          <w:rFonts w:hint="eastAsia"/>
          <w:bCs/>
        </w:rPr>
        <w:t>地下车站出入口地面亭的设置应符合下列规定：</w:t>
      </w:r>
    </w:p>
    <w:p w14:paraId="68773B75">
      <w:pPr>
        <w:pStyle w:val="7"/>
        <w:ind w:firstLine="420"/>
      </w:pPr>
      <w:r>
        <w:rPr>
          <w:rFonts w:hint="eastAsia"/>
        </w:rPr>
        <w:t>设于城市建成区以外的出入口地面亭应退出道路红线外不小于3m，条件困难时，可压道路红线设置。</w:t>
      </w:r>
    </w:p>
    <w:p w14:paraId="4130F1B6">
      <w:pPr>
        <w:pStyle w:val="7"/>
        <w:ind w:firstLine="420"/>
      </w:pPr>
      <w:r>
        <w:rPr>
          <w:rFonts w:hint="eastAsia"/>
        </w:rPr>
        <w:t>在城市建成区确有困难的地段，在满足人行通行的条件下，出入口地面亭可设在道路红线内，但应征得规划和道路行政主管部门的同意。</w:t>
      </w:r>
    </w:p>
    <w:p w14:paraId="0DB5B6C6">
      <w:pPr>
        <w:pStyle w:val="7"/>
        <w:ind w:firstLine="420"/>
      </w:pPr>
      <w:r>
        <w:rPr>
          <w:rFonts w:hint="eastAsia"/>
        </w:rPr>
        <w:t>道路两侧的出入口地面亭宜平行道路红线设置，当地面亭的出口方向垂直主干道设置时，地面亭平台前的踏步前缘与路缘石边缘的最小距离不宜小于地面亭开口宽度的</w:t>
      </w:r>
      <w:r>
        <w:t>1.2</w:t>
      </w:r>
      <w:r>
        <w:rPr>
          <w:rFonts w:hint="eastAsia"/>
        </w:rPr>
        <w:t>倍，且不得小于</w:t>
      </w:r>
      <w:r>
        <w:t>5.4m</w:t>
      </w:r>
      <w:r>
        <w:rPr>
          <w:rFonts w:hint="eastAsia"/>
        </w:rPr>
        <w:t>。</w:t>
      </w:r>
    </w:p>
    <w:p w14:paraId="0F3193BD">
      <w:pPr>
        <w:pStyle w:val="7"/>
        <w:ind w:firstLine="420"/>
        <w:rPr>
          <w:szCs w:val="18"/>
        </w:rPr>
      </w:pPr>
      <w:r>
        <w:rPr>
          <w:rFonts w:hint="eastAsia"/>
          <w:szCs w:val="18"/>
        </w:rPr>
        <w:t>设在城市主干道交叉路口的出入口地面亭，其开口不宜朝向道路交叉口。条件困难必须设置时，应留有足够的距离，并不得侵入道路红线抹角范围。确有困难无法避免时，可进入道路红线，但不得侵入交叉路口的道路渠化规划范围，并应征得有关主管部门的同意。</w:t>
      </w:r>
    </w:p>
    <w:p w14:paraId="7BFD69E9">
      <w:pPr>
        <w:numPr>
          <w:ilvl w:val="2"/>
          <w:numId w:val="1"/>
        </w:numPr>
        <w:tabs>
          <w:tab w:val="left" w:pos="709"/>
          <w:tab w:val="left" w:pos="794"/>
          <w:tab w:val="left" w:pos="935"/>
          <w:tab w:val="left" w:pos="1502"/>
        </w:tabs>
        <w:outlineLvl w:val="2"/>
        <w:rPr>
          <w:bCs/>
        </w:rPr>
      </w:pPr>
      <w:r>
        <w:rPr>
          <w:rFonts w:hint="eastAsia"/>
          <w:bCs/>
        </w:rPr>
        <w:t>车站出入口应考虑地面亭朝向与北京地区不同季节主导风向的关系，确定通道及地面亭的设置形式，并符合下列要求：</w:t>
      </w:r>
    </w:p>
    <w:p w14:paraId="43D50EF3">
      <w:pPr>
        <w:pStyle w:val="7"/>
        <w:ind w:firstLine="420"/>
      </w:pPr>
      <w:r>
        <w:rPr>
          <w:rFonts w:hint="eastAsia"/>
        </w:rPr>
        <w:t>当地面环境和客流方向差异性不大时，出入口宜采用一次转折布局形式；</w:t>
      </w:r>
    </w:p>
    <w:p w14:paraId="5FAB4B21">
      <w:pPr>
        <w:pStyle w:val="7"/>
        <w:ind w:firstLine="420"/>
      </w:pPr>
      <w:r>
        <w:rPr>
          <w:rFonts w:hint="eastAsia"/>
        </w:rPr>
        <w:t>当出入口采用无转折直通站厅的布局形式时，地面亭宜采用侧出口形式；当地面亭不具备侧出口条件时，宜在通道内设置阻隔空气措施；</w:t>
      </w:r>
    </w:p>
    <w:p w14:paraId="496E1C6F">
      <w:pPr>
        <w:pStyle w:val="7"/>
        <w:ind w:firstLine="420"/>
      </w:pPr>
      <w:r>
        <w:rPr>
          <w:rFonts w:hint="eastAsia"/>
        </w:rPr>
        <w:t>当</w:t>
      </w:r>
      <w:r>
        <w:t>车站</w:t>
      </w:r>
      <w:r>
        <w:rPr>
          <w:rFonts w:hint="eastAsia"/>
        </w:rPr>
        <w:t>公共区与下沉广场连通时，连通位置宜设置可关闭的门体保证空调季内外空间的隔离；未采取可封闭措施时，开口面积不宜大于30m</w:t>
      </w:r>
      <w:r>
        <w:rPr>
          <w:vertAlign w:val="superscript"/>
        </w:rPr>
        <w:t>2</w:t>
      </w:r>
      <w:r>
        <w:rPr>
          <w:rFonts w:hint="eastAsia"/>
        </w:rPr>
        <w:t>；室内外分隔</w:t>
      </w:r>
      <w:r>
        <w:t>采用</w:t>
      </w:r>
      <w:r>
        <w:rPr>
          <w:rFonts w:hint="eastAsia"/>
        </w:rPr>
        <w:t>玻璃幕墙时应采取保温隔热处理措施。</w:t>
      </w:r>
    </w:p>
    <w:p w14:paraId="2045BA4C">
      <w:pPr>
        <w:pStyle w:val="7"/>
        <w:ind w:firstLine="420"/>
      </w:pPr>
      <w:r>
        <w:rPr>
          <w:rFonts w:hint="eastAsia"/>
        </w:rPr>
        <w:t>当出入口服务的分向客流量较小时，地面亭口部宜采取阻隔空气措施或缩小口部开口宽度的措施。</w:t>
      </w:r>
    </w:p>
    <w:p w14:paraId="2E08C5A2">
      <w:pPr>
        <w:numPr>
          <w:ilvl w:val="2"/>
          <w:numId w:val="1"/>
        </w:numPr>
        <w:tabs>
          <w:tab w:val="left" w:pos="709"/>
          <w:tab w:val="left" w:pos="794"/>
          <w:tab w:val="left" w:pos="935"/>
          <w:tab w:val="left" w:pos="1502"/>
        </w:tabs>
        <w:ind w:firstLine="420"/>
        <w:outlineLvl w:val="2"/>
        <w:rPr>
          <w:bCs/>
        </w:rPr>
      </w:pPr>
      <w:r>
        <w:rPr>
          <w:rFonts w:hint="eastAsia"/>
          <w:bCs/>
        </w:rPr>
        <w:t>车站出入口与建筑物地下室、下沉广场及过街地道或天桥连通时，出入口通道地面应向相邻区域找坡，并应在连接口部设截水沟截水。</w:t>
      </w:r>
    </w:p>
    <w:p w14:paraId="2192B165">
      <w:pPr>
        <w:numPr>
          <w:ilvl w:val="2"/>
          <w:numId w:val="1"/>
        </w:numPr>
        <w:tabs>
          <w:tab w:val="left" w:pos="709"/>
          <w:tab w:val="left" w:pos="794"/>
          <w:tab w:val="left" w:pos="935"/>
          <w:tab w:val="left" w:pos="1502"/>
        </w:tabs>
        <w:outlineLvl w:val="2"/>
        <w:rPr>
          <w:bCs/>
        </w:rPr>
      </w:pPr>
      <w:r>
        <w:rPr>
          <w:rFonts w:hint="eastAsia"/>
          <w:bCs/>
        </w:rPr>
        <w:t>地下车站战时人员出入口应符合下列规定：</w:t>
      </w:r>
    </w:p>
    <w:p w14:paraId="13AC257E">
      <w:pPr>
        <w:pStyle w:val="7"/>
        <w:ind w:firstLine="420"/>
      </w:pPr>
      <w:bookmarkStart w:id="612" w:name="_Hlk174974737"/>
      <w:r>
        <w:rPr>
          <w:rFonts w:hint="eastAsia"/>
          <w:szCs w:val="18"/>
        </w:rPr>
        <w:t>战时人员出入口宜设置在地面建筑倒塌范围以外，当条件受限不能设置在</w:t>
      </w:r>
      <w:r>
        <w:rPr>
          <w:rFonts w:hint="eastAsia"/>
        </w:rPr>
        <w:t>倒塌范围以外时，口部应采取防倒塌措施。出入口的设置要求和地面建（构）筑物的倒塌范围应符合现行国家标准《人民防空工程设计规范》</w:t>
      </w:r>
      <w:bookmarkEnd w:id="612"/>
      <w:r>
        <w:rPr>
          <w:rFonts w:hint="eastAsia"/>
        </w:rPr>
        <w:t>GB 50225和人民防空行业标准《轨道交通工程人民防空设计规范》RFJ 02的有关规定；</w:t>
      </w:r>
    </w:p>
    <w:p w14:paraId="4E271649">
      <w:pPr>
        <w:pStyle w:val="7"/>
        <w:ind w:firstLine="420"/>
        <w:rPr>
          <w:szCs w:val="18"/>
        </w:rPr>
      </w:pPr>
      <w:r>
        <w:rPr>
          <w:rFonts w:hint="eastAsia"/>
        </w:rPr>
        <w:t>战时人员出入口与相邻建筑结合时，结合建筑不得采用砌体结构。当结合建筑采用钢筋混凝土结构或钢结构时，出入口的设置应符合现行国</w:t>
      </w:r>
      <w:r>
        <w:rPr>
          <w:rFonts w:hint="eastAsia"/>
          <w:szCs w:val="18"/>
        </w:rPr>
        <w:t>家标准《人民防空地下室设计规范》GB 50038的有关规定。</w:t>
      </w:r>
    </w:p>
    <w:p w14:paraId="4C8EBB3F">
      <w:pPr>
        <w:numPr>
          <w:ilvl w:val="2"/>
          <w:numId w:val="1"/>
        </w:numPr>
        <w:tabs>
          <w:tab w:val="left" w:pos="709"/>
          <w:tab w:val="left" w:pos="794"/>
          <w:tab w:val="left" w:pos="935"/>
          <w:tab w:val="left" w:pos="1502"/>
        </w:tabs>
        <w:outlineLvl w:val="2"/>
        <w:rPr>
          <w:bCs/>
        </w:rPr>
      </w:pPr>
      <w:r>
        <w:rPr>
          <w:rFonts w:hint="eastAsia"/>
          <w:bCs/>
        </w:rPr>
        <w:t>地下车站出入口通道应符合下列规定：</w:t>
      </w:r>
    </w:p>
    <w:p w14:paraId="1AB239BA">
      <w:pPr>
        <w:pStyle w:val="7"/>
        <w:ind w:firstLine="420"/>
      </w:pPr>
      <w:r>
        <w:rPr>
          <w:rFonts w:hint="eastAsia"/>
        </w:rPr>
        <w:t>应便捷、顺直，通道弯折不宜超过3处，内折角不宜小于90°，小于60°时，应采取抹角等扩大空间措施。</w:t>
      </w:r>
    </w:p>
    <w:p w14:paraId="425D663E">
      <w:pPr>
        <w:pStyle w:val="7"/>
        <w:ind w:firstLine="420"/>
      </w:pPr>
      <w:r>
        <w:rPr>
          <w:rFonts w:hint="eastAsia"/>
        </w:rPr>
        <w:t>受道路管线影响时，不宜采用先下后上方式。</w:t>
      </w:r>
    </w:p>
    <w:p w14:paraId="142831EA">
      <w:pPr>
        <w:pStyle w:val="7"/>
        <w:ind w:firstLine="420"/>
      </w:pPr>
      <w:r>
        <w:rPr>
          <w:rFonts w:hint="eastAsia"/>
        </w:rPr>
        <w:t>出入口通道内不宜设台阶，无法避免时，台阶数不得少于3级。</w:t>
      </w:r>
    </w:p>
    <w:p w14:paraId="650FAC3B">
      <w:pPr>
        <w:pStyle w:val="7"/>
        <w:ind w:firstLine="420"/>
      </w:pPr>
      <w:r>
        <w:rPr>
          <w:rFonts w:hint="eastAsia"/>
        </w:rPr>
        <w:t>地面纵坡宜平缓，条件受限时，最大纵坡不得大于5%，且水平连续长度不得超过30m，超过时，应设长度不小于3m的平坡段。位于人防门开启范围的地坪宜为平坡或向门扇开启方向一侧找坡。</w:t>
      </w:r>
    </w:p>
    <w:p w14:paraId="254F458D">
      <w:pPr>
        <w:pStyle w:val="7"/>
        <w:ind w:firstLine="420"/>
      </w:pPr>
      <w:r>
        <w:rPr>
          <w:rFonts w:hint="eastAsia"/>
        </w:rPr>
        <w:t>出入口楼扶梯下应设截水沟，通道地面应向截水沟方向找不小于0.3%纵坡。截水沟两端应设挡水墙，其长度宜超出截水沟0.5m。</w:t>
      </w:r>
    </w:p>
    <w:p w14:paraId="6D2BFE33">
      <w:pPr>
        <w:numPr>
          <w:ilvl w:val="2"/>
          <w:numId w:val="1"/>
        </w:numPr>
        <w:tabs>
          <w:tab w:val="left" w:pos="709"/>
          <w:tab w:val="left" w:pos="794"/>
          <w:tab w:val="left" w:pos="935"/>
          <w:tab w:val="left" w:pos="1502"/>
        </w:tabs>
        <w:outlineLvl w:val="2"/>
        <w:rPr>
          <w:bCs/>
        </w:rPr>
      </w:pPr>
      <w:r>
        <w:rPr>
          <w:rFonts w:hint="eastAsia"/>
          <w:bCs/>
        </w:rPr>
        <w:t>地下车站出入口地面亭因周边条件需求采用敞口形式时，应采取有效的防淹和排水措施。</w:t>
      </w:r>
    </w:p>
    <w:p w14:paraId="4BC3CB69">
      <w:pPr>
        <w:numPr>
          <w:ilvl w:val="2"/>
          <w:numId w:val="1"/>
        </w:numPr>
        <w:tabs>
          <w:tab w:val="left" w:pos="709"/>
          <w:tab w:val="left" w:pos="794"/>
          <w:tab w:val="left" w:pos="935"/>
          <w:tab w:val="left" w:pos="1502"/>
        </w:tabs>
        <w:outlineLvl w:val="2"/>
        <w:rPr>
          <w:bCs/>
        </w:rPr>
      </w:pPr>
      <w:r>
        <w:rPr>
          <w:rFonts w:hint="eastAsia"/>
          <w:bCs/>
        </w:rPr>
        <w:t>出入口地面亭的门口上方应设雨罩，室外平台深度不宜小于1.8m，并应向室外地坪方向找不小于1%的坡度。台阶踏步高不宜大于135mm，宽度不宜小于350mm。</w:t>
      </w:r>
    </w:p>
    <w:p w14:paraId="315F4FBD">
      <w:pPr>
        <w:pStyle w:val="4"/>
        <w:tabs>
          <w:tab w:val="left" w:pos="709"/>
          <w:tab w:val="clear" w:pos="462"/>
          <w:tab w:val="clear" w:pos="794"/>
        </w:tabs>
      </w:pPr>
      <w:bookmarkStart w:id="613" w:name="_Toc183683304"/>
      <w:bookmarkEnd w:id="613"/>
      <w:bookmarkStart w:id="614" w:name="_Toc183683516"/>
      <w:bookmarkEnd w:id="614"/>
      <w:bookmarkStart w:id="615" w:name="_Toc183790532"/>
      <w:bookmarkStart w:id="616" w:name="_Toc183888507"/>
      <w:bookmarkStart w:id="617" w:name="_Toc183888145"/>
      <w:bookmarkStart w:id="618" w:name="_Toc183882093"/>
      <w:bookmarkStart w:id="619" w:name="_Toc183683517"/>
      <w:bookmarkStart w:id="620" w:name="_Toc357929352"/>
      <w:bookmarkStart w:id="621" w:name="_Toc183765102"/>
      <w:bookmarkStart w:id="622" w:name="_Toc183882455"/>
      <w:bookmarkStart w:id="623" w:name="_Toc2805"/>
      <w:r>
        <w:rPr>
          <w:rFonts w:hint="eastAsia"/>
        </w:rPr>
        <w:t>风亭（井）与冷却塔</w:t>
      </w:r>
      <w:bookmarkEnd w:id="615"/>
      <w:bookmarkEnd w:id="616"/>
      <w:bookmarkEnd w:id="617"/>
      <w:bookmarkEnd w:id="618"/>
      <w:bookmarkEnd w:id="619"/>
      <w:bookmarkEnd w:id="620"/>
      <w:bookmarkEnd w:id="621"/>
      <w:bookmarkEnd w:id="622"/>
      <w:bookmarkEnd w:id="623"/>
    </w:p>
    <w:p w14:paraId="3082E246">
      <w:pPr>
        <w:numPr>
          <w:ilvl w:val="2"/>
          <w:numId w:val="1"/>
        </w:numPr>
        <w:tabs>
          <w:tab w:val="left" w:pos="709"/>
          <w:tab w:val="left" w:pos="794"/>
          <w:tab w:val="left" w:pos="935"/>
          <w:tab w:val="left" w:pos="1502"/>
        </w:tabs>
        <w:outlineLvl w:val="2"/>
        <w:rPr>
          <w:b/>
        </w:rPr>
      </w:pPr>
      <w:r>
        <w:rPr>
          <w:rFonts w:hint="eastAsia"/>
        </w:rPr>
        <w:t>地下车站应按通风、空调工艺要求设置进风亭（井）、排风亭（井）和活塞风亭（井）。在满足功能的前提下，根据地面建筑的现状或规划要求，风亭（井）可采用集中组合式或独立分散式布局，当风亭（井）与地面建筑合建时，被结合建筑应满足地铁风亭（井）的技术要求。</w:t>
      </w:r>
    </w:p>
    <w:p w14:paraId="282F5E63">
      <w:pPr>
        <w:numPr>
          <w:ilvl w:val="2"/>
          <w:numId w:val="1"/>
        </w:numPr>
        <w:tabs>
          <w:tab w:val="left" w:pos="709"/>
          <w:tab w:val="left" w:pos="794"/>
          <w:tab w:val="left" w:pos="935"/>
          <w:tab w:val="left" w:pos="1502"/>
        </w:tabs>
        <w:outlineLvl w:val="2"/>
        <w:rPr>
          <w:bCs/>
        </w:rPr>
      </w:pPr>
      <w:r>
        <w:rPr>
          <w:rFonts w:hint="eastAsia"/>
          <w:bCs/>
        </w:rPr>
        <w:t>当采用侧面开设风口的风亭时，应符合下列规定：</w:t>
      </w:r>
    </w:p>
    <w:p w14:paraId="3C44D654">
      <w:pPr>
        <w:pStyle w:val="7"/>
        <w:ind w:firstLine="420"/>
      </w:pPr>
      <w:r>
        <w:rPr>
          <w:rFonts w:hint="eastAsia"/>
        </w:rPr>
        <w:t>进风、排风、活塞风亭口部之间的水平净距不应小于5</w:t>
      </w:r>
      <w:r>
        <w:t>m，且进风与</w:t>
      </w:r>
      <w:r>
        <w:rPr>
          <w:rFonts w:hint="eastAsia"/>
        </w:rPr>
        <w:t>排风</w:t>
      </w:r>
      <w:r>
        <w:t>、进风与</w:t>
      </w:r>
      <w:r>
        <w:rPr>
          <w:rFonts w:hint="eastAsia"/>
        </w:rPr>
        <w:t>活塞风</w:t>
      </w:r>
      <w:r>
        <w:t>亭口部应错开方向布置或排风、活塞风亭口部高于进风亭口部</w:t>
      </w:r>
      <w:r>
        <w:rPr>
          <w:rFonts w:hint="eastAsia"/>
        </w:rPr>
        <w:t>5</w:t>
      </w:r>
      <w:r>
        <w:t>m</w:t>
      </w:r>
      <w:r>
        <w:rPr>
          <w:rFonts w:hint="eastAsia"/>
        </w:rPr>
        <w:t>；</w:t>
      </w:r>
    </w:p>
    <w:p w14:paraId="37DF309A">
      <w:pPr>
        <w:pStyle w:val="7"/>
        <w:ind w:firstLine="420"/>
      </w:pPr>
      <w:r>
        <w:t xml:space="preserve">当风亭口部方向无法错开且高度相同时，进风与排风、进风与活塞风亭口部之间的水平净距不应小于10m： </w:t>
      </w:r>
    </w:p>
    <w:p w14:paraId="085866DB">
      <w:pPr>
        <w:pStyle w:val="7"/>
        <w:ind w:firstLine="420"/>
      </w:pPr>
      <w:r>
        <w:t xml:space="preserve">风亭口部5m内不应有阻挡通风气流的障碍物； </w:t>
      </w:r>
    </w:p>
    <w:p w14:paraId="426E8A0B">
      <w:pPr>
        <w:pStyle w:val="7"/>
        <w:ind w:firstLine="420"/>
      </w:pPr>
      <w:r>
        <w:t>风亭口部底边缘距地面的高度应满足防要求；当风亭设于路边时，高度不应小于2m；当风亭设于绿地内时，高度不应小于1m。</w:t>
      </w:r>
    </w:p>
    <w:p w14:paraId="25B2A176">
      <w:pPr>
        <w:numPr>
          <w:ilvl w:val="2"/>
          <w:numId w:val="1"/>
        </w:numPr>
        <w:tabs>
          <w:tab w:val="left" w:pos="709"/>
          <w:tab w:val="left" w:pos="794"/>
          <w:tab w:val="left" w:pos="935"/>
          <w:tab w:val="left" w:pos="1502"/>
        </w:tabs>
        <w:outlineLvl w:val="2"/>
        <w:rPr>
          <w:bCs/>
        </w:rPr>
      </w:pPr>
      <w:r>
        <w:rPr>
          <w:bCs/>
        </w:rPr>
        <w:t>当采用顶面开设风口的风亭时，应符合下列规定：</w:t>
      </w:r>
    </w:p>
    <w:p w14:paraId="50E9010F">
      <w:pPr>
        <w:pStyle w:val="7"/>
        <w:ind w:firstLine="420"/>
      </w:pPr>
      <w:r>
        <w:t>进风与排风、进风与活塞风亭口部之间的水平净距不应小于10m；</w:t>
      </w:r>
    </w:p>
    <w:p w14:paraId="15DA8A72">
      <w:pPr>
        <w:pStyle w:val="7"/>
        <w:ind w:firstLine="420"/>
      </w:pPr>
      <w:r>
        <w:t>车站出入口地面亭开口与排风、进风与活塞风亭口部之间的水平净距不应小于10m；</w:t>
      </w:r>
    </w:p>
    <w:p w14:paraId="7BFE03C3">
      <w:pPr>
        <w:pStyle w:val="7"/>
        <w:ind w:firstLine="420"/>
      </w:pPr>
      <w:r>
        <w:t xml:space="preserve">活塞风亭口部之间、活塞风亭与排风亭口部之间水平净距不应小于5m； </w:t>
      </w:r>
    </w:p>
    <w:p w14:paraId="5AE35390">
      <w:pPr>
        <w:pStyle w:val="7"/>
        <w:ind w:firstLine="420"/>
      </w:pPr>
      <w:r>
        <w:rPr>
          <w:rFonts w:hint="eastAsia"/>
        </w:rPr>
        <w:t>车站安全疏散口地面亭与</w:t>
      </w:r>
      <w:r>
        <w:t>活塞风亭、排风亭口部之间水平净距不应小于5m；</w:t>
      </w:r>
    </w:p>
    <w:p w14:paraId="5E09A1BD">
      <w:pPr>
        <w:pStyle w:val="7"/>
        <w:ind w:firstLine="420"/>
      </w:pPr>
      <w:r>
        <w:rPr>
          <w:rFonts w:hint="eastAsia"/>
        </w:rPr>
        <w:t>安全疏散口的地面亭固定排烟窗与新风亭口部</w:t>
      </w:r>
      <w:r>
        <w:t>之间水平净距</w:t>
      </w:r>
      <w:r>
        <w:rPr>
          <w:rFonts w:hint="eastAsia"/>
        </w:rPr>
        <w:t>不应小于5m；</w:t>
      </w:r>
    </w:p>
    <w:p w14:paraId="328EB51D">
      <w:pPr>
        <w:pStyle w:val="7"/>
        <w:ind w:firstLine="420"/>
      </w:pPr>
      <w:r>
        <w:rPr>
          <w:rFonts w:hint="eastAsia"/>
        </w:rPr>
        <w:t>新风井与车站出入口、安全疏散口结合设置时，地面亭开口与风井之间不应小于</w:t>
      </w:r>
      <w:r>
        <w:t>2m</w:t>
      </w:r>
      <w:r>
        <w:rPr>
          <w:rFonts w:hint="eastAsia"/>
        </w:rPr>
        <w:t>，当开口部位设置乙级防火窗或防火门等防止火灾水平蔓延的措施时，该距离不限。</w:t>
      </w:r>
    </w:p>
    <w:p w14:paraId="27C6F121">
      <w:pPr>
        <w:pStyle w:val="7"/>
        <w:ind w:firstLine="420"/>
      </w:pPr>
      <w:r>
        <w:rPr>
          <w:rFonts w:hint="eastAsia"/>
        </w:rPr>
        <w:t>出入口、疏散口采取敞口形式时，以出入口地面周圈封闭挡墙与入口平台为界，与风井计算间距；</w:t>
      </w:r>
    </w:p>
    <w:p w14:paraId="161D3F6E">
      <w:pPr>
        <w:pStyle w:val="7"/>
        <w:ind w:firstLine="420"/>
      </w:pPr>
      <w:r>
        <w:rPr>
          <w:rFonts w:hint="eastAsia"/>
        </w:rPr>
        <w:t>风口应采取防坠落和防盗措施，风口四周应设不少于</w:t>
      </w:r>
      <w:r>
        <w:t>3m</w:t>
      </w:r>
      <w:r>
        <w:rPr>
          <w:rFonts w:hint="eastAsia"/>
        </w:rPr>
        <w:t>宽的绿化隔离带，风井底部应设排水设施；</w:t>
      </w:r>
    </w:p>
    <w:p w14:paraId="7B171A87">
      <w:pPr>
        <w:pStyle w:val="7"/>
        <w:ind w:firstLine="420"/>
      </w:pPr>
      <w:r>
        <w:rPr>
          <w:rFonts w:hint="eastAsia"/>
        </w:rPr>
        <w:t>风亭的风口位</w:t>
      </w:r>
      <w:r>
        <w:rPr>
          <w:rFonts w:hint="eastAsia"/>
          <w:szCs w:val="18"/>
        </w:rPr>
        <w:t>于车站主体结构上方时应采取有效的防、排水措施。</w:t>
      </w:r>
    </w:p>
    <w:p w14:paraId="40619664">
      <w:pPr>
        <w:numPr>
          <w:ilvl w:val="2"/>
          <w:numId w:val="1"/>
        </w:numPr>
        <w:tabs>
          <w:tab w:val="left" w:pos="709"/>
          <w:tab w:val="left" w:pos="794"/>
          <w:tab w:val="left" w:pos="935"/>
          <w:tab w:val="left" w:pos="1502"/>
        </w:tabs>
        <w:outlineLvl w:val="2"/>
      </w:pPr>
      <w:r>
        <w:rPr>
          <w:rFonts w:hint="eastAsia"/>
        </w:rPr>
        <w:t>风亭与地块建筑结合时，风亭宜设置在建筑物的顶层或转角处，风亭的井道与结合建筑应用耐火极限不低于3.00h的实体墙分隔。建筑物外墙在车站风口四周5m以内不得开设门、窗洞口，必须开设窗户时，外窗应设固定的乙级防火窗。</w:t>
      </w:r>
    </w:p>
    <w:p w14:paraId="7AD36326">
      <w:pPr>
        <w:numPr>
          <w:ilvl w:val="2"/>
          <w:numId w:val="1"/>
        </w:numPr>
        <w:tabs>
          <w:tab w:val="left" w:pos="709"/>
          <w:tab w:val="left" w:pos="794"/>
          <w:tab w:val="left" w:pos="935"/>
          <w:tab w:val="left" w:pos="1502"/>
        </w:tabs>
        <w:outlineLvl w:val="2"/>
        <w:rPr>
          <w:bCs/>
        </w:rPr>
      </w:pPr>
      <w:r>
        <w:rPr>
          <w:rFonts w:hint="eastAsia"/>
          <w:bCs/>
        </w:rPr>
        <w:t>冷却塔的设置应符合下列规定：</w:t>
      </w:r>
    </w:p>
    <w:p w14:paraId="1A8FAD6E">
      <w:pPr>
        <w:pStyle w:val="7"/>
        <w:ind w:firstLine="420"/>
      </w:pPr>
      <w:r>
        <w:rPr>
          <w:rFonts w:hint="eastAsia"/>
        </w:rPr>
        <w:t>冷却塔应设在通风良好的地方，并不宜采用下沉式；当条件受限或有特殊景观要求时，可采用下沉式，但应满足通风、防水、排水和防止人员摔落要求。</w:t>
      </w:r>
    </w:p>
    <w:p w14:paraId="14FD1BEC">
      <w:pPr>
        <w:pStyle w:val="7"/>
        <w:ind w:firstLine="420"/>
      </w:pPr>
      <w:r>
        <w:rPr>
          <w:rFonts w:hint="eastAsia"/>
        </w:rPr>
        <w:t>安装在室外的冷却塔周围应设护栏，护栏与冷却塔之间的检修通道不宜小于1.0m。</w:t>
      </w:r>
    </w:p>
    <w:p w14:paraId="4D24E0BC">
      <w:pPr>
        <w:pStyle w:val="7"/>
        <w:ind w:firstLine="420"/>
      </w:pPr>
      <w:r>
        <w:rPr>
          <w:rFonts w:hint="eastAsia"/>
        </w:rPr>
        <w:t>安装在楼房屋顶上的冷却塔周围应有安全检修和维护空间，冷却塔的检修口不应朝向屋顶悬空处，塔体外侧与屋面边缘女儿墙或护栏的水平距离不宜小于2m。</w:t>
      </w:r>
    </w:p>
    <w:p w14:paraId="1ACE6863">
      <w:pPr>
        <w:numPr>
          <w:ilvl w:val="2"/>
          <w:numId w:val="1"/>
        </w:numPr>
        <w:tabs>
          <w:tab w:val="left" w:pos="709"/>
          <w:tab w:val="left" w:pos="794"/>
          <w:tab w:val="left" w:pos="935"/>
          <w:tab w:val="left" w:pos="1502"/>
        </w:tabs>
        <w:outlineLvl w:val="2"/>
      </w:pPr>
      <w:r>
        <w:rPr>
          <w:rFonts w:hint="eastAsia"/>
        </w:rPr>
        <w:t>通过轨行区进入的通风机房应在地面风亭处设置检修门及检修梯。</w:t>
      </w:r>
    </w:p>
    <w:p w14:paraId="7B875A81">
      <w:pPr>
        <w:pStyle w:val="4"/>
        <w:tabs>
          <w:tab w:val="left" w:pos="709"/>
          <w:tab w:val="clear" w:pos="462"/>
          <w:tab w:val="clear" w:pos="794"/>
        </w:tabs>
      </w:pPr>
      <w:bookmarkStart w:id="624" w:name="_Toc183683308"/>
      <w:bookmarkEnd w:id="624"/>
      <w:bookmarkStart w:id="625" w:name="_Toc183683306"/>
      <w:bookmarkEnd w:id="625"/>
      <w:bookmarkStart w:id="626" w:name="_Toc183683520"/>
      <w:bookmarkEnd w:id="626"/>
      <w:bookmarkStart w:id="627" w:name="_Toc183683518"/>
      <w:bookmarkEnd w:id="627"/>
      <w:bookmarkStart w:id="628" w:name="_Toc183683307"/>
      <w:bookmarkEnd w:id="628"/>
      <w:bookmarkStart w:id="629" w:name="_Toc183683310"/>
      <w:bookmarkEnd w:id="629"/>
      <w:bookmarkStart w:id="630" w:name="_Toc183683522"/>
      <w:bookmarkEnd w:id="630"/>
      <w:bookmarkStart w:id="631" w:name="_Toc183683521"/>
      <w:bookmarkEnd w:id="631"/>
      <w:bookmarkStart w:id="632" w:name="_Toc183683519"/>
      <w:bookmarkEnd w:id="632"/>
      <w:bookmarkStart w:id="633" w:name="_Toc183683523"/>
      <w:bookmarkEnd w:id="633"/>
      <w:bookmarkStart w:id="634" w:name="_Toc183683311"/>
      <w:bookmarkEnd w:id="634"/>
      <w:bookmarkStart w:id="635" w:name="_Toc183683309"/>
      <w:bookmarkEnd w:id="635"/>
      <w:bookmarkStart w:id="636" w:name="_Toc183683524"/>
      <w:bookmarkStart w:id="637" w:name="_Toc183790533"/>
      <w:bookmarkStart w:id="638" w:name="_Toc183882094"/>
      <w:bookmarkStart w:id="639" w:name="_Toc183888508"/>
      <w:bookmarkStart w:id="640" w:name="_Toc7971"/>
      <w:bookmarkStart w:id="641" w:name="_Toc183888146"/>
      <w:bookmarkStart w:id="642" w:name="_Toc183882456"/>
      <w:bookmarkStart w:id="643" w:name="_Toc183765103"/>
      <w:bookmarkStart w:id="644" w:name="_Toc357929350"/>
      <w:bookmarkStart w:id="645" w:name="_Toc357929353"/>
      <w:r>
        <w:rPr>
          <w:rFonts w:hint="eastAsia"/>
        </w:rPr>
        <w:t>车站内部交通设施</w:t>
      </w:r>
      <w:bookmarkEnd w:id="636"/>
      <w:bookmarkEnd w:id="637"/>
      <w:bookmarkEnd w:id="638"/>
      <w:bookmarkEnd w:id="639"/>
      <w:bookmarkEnd w:id="640"/>
      <w:bookmarkEnd w:id="641"/>
      <w:bookmarkEnd w:id="642"/>
      <w:bookmarkEnd w:id="643"/>
      <w:bookmarkEnd w:id="644"/>
    </w:p>
    <w:p w14:paraId="12A7FE14">
      <w:pPr>
        <w:numPr>
          <w:ilvl w:val="2"/>
          <w:numId w:val="1"/>
        </w:numPr>
        <w:tabs>
          <w:tab w:val="left" w:pos="709"/>
          <w:tab w:val="left" w:pos="794"/>
          <w:tab w:val="left" w:pos="935"/>
          <w:tab w:val="left" w:pos="1502"/>
        </w:tabs>
        <w:outlineLvl w:val="2"/>
        <w:rPr>
          <w:bCs/>
        </w:rPr>
      </w:pPr>
      <w:r>
        <w:rPr>
          <w:rFonts w:hint="eastAsia"/>
          <w:bCs/>
        </w:rPr>
        <w:t>车站公共区内的楼梯应符合下列规定：</w:t>
      </w:r>
    </w:p>
    <w:p w14:paraId="51CAF871">
      <w:pPr>
        <w:pStyle w:val="7"/>
        <w:ind w:firstLine="420"/>
      </w:pPr>
      <w:r>
        <w:rPr>
          <w:rFonts w:hint="eastAsia"/>
          <w:szCs w:val="18"/>
        </w:rPr>
        <w:t>室内</w:t>
      </w:r>
      <w:r>
        <w:rPr>
          <w:rFonts w:hint="eastAsia"/>
        </w:rPr>
        <w:t>楼梯踏步宽度不得小于280mm、高度不得大于160mm；</w:t>
      </w:r>
    </w:p>
    <w:p w14:paraId="72A9E336">
      <w:pPr>
        <w:pStyle w:val="7"/>
        <w:ind w:firstLine="420"/>
      </w:pPr>
      <w:r>
        <w:rPr>
          <w:rFonts w:hint="eastAsia"/>
        </w:rPr>
        <w:t>楼梯中间休息平台深度不宜小于1.5m，条件困难时，最小宽度不得小于1.2m；</w:t>
      </w:r>
    </w:p>
    <w:p w14:paraId="7A7E787D">
      <w:pPr>
        <w:pStyle w:val="7"/>
        <w:ind w:firstLine="420"/>
      </w:pPr>
      <w:r>
        <w:rPr>
          <w:rFonts w:hint="eastAsia"/>
        </w:rPr>
        <w:t>楼梯净宽大于、等于3.6m时应设中间扶手；</w:t>
      </w:r>
    </w:p>
    <w:p w14:paraId="60E14693">
      <w:pPr>
        <w:pStyle w:val="7"/>
        <w:ind w:firstLine="420"/>
        <w:rPr>
          <w:szCs w:val="18"/>
        </w:rPr>
      </w:pPr>
      <w:r>
        <w:rPr>
          <w:rFonts w:hint="eastAsia"/>
        </w:rPr>
        <w:t>地下车</w:t>
      </w:r>
      <w:r>
        <w:rPr>
          <w:rFonts w:hint="eastAsia"/>
          <w:szCs w:val="18"/>
        </w:rPr>
        <w:t>站出入口以及通过站厅进入站台供特种履带式消防车使用的楼梯应为直跑楼梯，其净宽不得小于1.65m。条件困难采用折跑楼梯时，楼梯休息平台应满足特种履带式消防车拐弯要求。楼梯的结构承载力应满足特种履带式消防车通过要求。</w:t>
      </w:r>
    </w:p>
    <w:p w14:paraId="3D5D5649">
      <w:pPr>
        <w:numPr>
          <w:ilvl w:val="2"/>
          <w:numId w:val="1"/>
        </w:numPr>
        <w:tabs>
          <w:tab w:val="left" w:pos="709"/>
          <w:tab w:val="left" w:pos="794"/>
          <w:tab w:val="left" w:pos="935"/>
          <w:tab w:val="left" w:pos="1502"/>
        </w:tabs>
        <w:outlineLvl w:val="2"/>
        <w:rPr>
          <w:bCs/>
        </w:rPr>
      </w:pPr>
      <w:r>
        <w:rPr>
          <w:rFonts w:hint="eastAsia"/>
          <w:bCs/>
        </w:rPr>
        <w:t>车站公共区的自动扶梯倾角宜采用30°，提升高度超过1</w:t>
      </w:r>
      <w:r>
        <w:rPr>
          <w:bCs/>
        </w:rPr>
        <w:t>0m的自动扶梯宜采用</w:t>
      </w:r>
      <w:r>
        <w:rPr>
          <w:rFonts w:hint="eastAsia"/>
          <w:bCs/>
        </w:rPr>
        <w:t>27.3°。</w:t>
      </w:r>
    </w:p>
    <w:p w14:paraId="40C4030A">
      <w:pPr>
        <w:numPr>
          <w:ilvl w:val="2"/>
          <w:numId w:val="1"/>
        </w:numPr>
        <w:tabs>
          <w:tab w:val="left" w:pos="709"/>
          <w:tab w:val="left" w:pos="794"/>
          <w:tab w:val="left" w:pos="935"/>
          <w:tab w:val="left" w:pos="1502"/>
        </w:tabs>
        <w:outlineLvl w:val="2"/>
        <w:rPr>
          <w:bCs/>
        </w:rPr>
      </w:pPr>
      <w:r>
        <w:rPr>
          <w:rFonts w:hint="eastAsia"/>
          <w:bCs/>
        </w:rPr>
        <w:t>车站公共区站台至站厅</w:t>
      </w:r>
      <w:r>
        <w:rPr>
          <w:rFonts w:hint="eastAsia"/>
          <w:bCs/>
          <w:szCs w:val="28"/>
        </w:rPr>
        <w:t>层高大于、等于5.1m时，应设上、下行自动扶梯，根据车站客流情况可采用2部及以上电梯群替代下行扶梯。</w:t>
      </w:r>
    </w:p>
    <w:p w14:paraId="3AB56C47">
      <w:pPr>
        <w:numPr>
          <w:ilvl w:val="2"/>
          <w:numId w:val="1"/>
        </w:numPr>
        <w:tabs>
          <w:tab w:val="left" w:pos="709"/>
          <w:tab w:val="left" w:pos="794"/>
          <w:tab w:val="left" w:pos="935"/>
          <w:tab w:val="left" w:pos="1502"/>
        </w:tabs>
        <w:outlineLvl w:val="2"/>
        <w:rPr>
          <w:bCs/>
        </w:rPr>
      </w:pPr>
      <w:r>
        <w:rPr>
          <w:rFonts w:hint="eastAsia"/>
          <w:bCs/>
        </w:rPr>
        <w:t>车站出入口楼扶梯的设置应符合下列规定：</w:t>
      </w:r>
    </w:p>
    <w:p w14:paraId="5D07AADF">
      <w:pPr>
        <w:pStyle w:val="7"/>
        <w:ind w:firstLine="420"/>
      </w:pPr>
      <w:r>
        <w:rPr>
          <w:rFonts w:hint="eastAsia"/>
          <w:szCs w:val="18"/>
        </w:rPr>
        <w:t>出入口提</w:t>
      </w:r>
      <w:r>
        <w:rPr>
          <w:rFonts w:hint="eastAsia"/>
        </w:rPr>
        <w:t>升高度大于、等于6m时应设上下行自动扶梯及1部净宽不小于1.8m的楼梯，当条件受限时，应设上行自动扶梯和净宽不小于2.4m 的楼梯，楼扶梯的位置应符合进出站流线要求；</w:t>
      </w:r>
    </w:p>
    <w:p w14:paraId="0A330701">
      <w:pPr>
        <w:pStyle w:val="7"/>
        <w:ind w:firstLine="420"/>
      </w:pPr>
      <w:r>
        <w:rPr>
          <w:rFonts w:hint="eastAsia"/>
        </w:rPr>
        <w:t>提升高度小于、等于13m的出入口，自动扶梯应一次提升。当自动扶梯提升高度大于13m时，宜同方向分段连续设置，但2段自动扶梯扶手带转向处之间的水平净距不得小于5.0m，且水平梯级踏板数以及扶梯宽度应相同；</w:t>
      </w:r>
    </w:p>
    <w:p w14:paraId="62A06A9B">
      <w:pPr>
        <w:numPr>
          <w:ilvl w:val="4"/>
          <w:numId w:val="1"/>
        </w:numPr>
        <w:tabs>
          <w:tab w:val="clear" w:pos="567"/>
        </w:tabs>
        <w:ind w:left="420"/>
        <w:jc w:val="left"/>
        <w:outlineLvl w:val="4"/>
        <w:rPr>
          <w:bCs/>
          <w:szCs w:val="28"/>
        </w:rPr>
      </w:pPr>
      <w:r>
        <w:rPr>
          <w:rFonts w:hint="eastAsia"/>
          <w:bCs/>
          <w:szCs w:val="28"/>
        </w:rPr>
        <w:t>受条件限制的地面出入口，当出入口分向客流较小且自动扶梯疏散能力满足高峰时段和事故疏散要求时，可采用宽度0.6m的自动扶梯</w:t>
      </w:r>
      <w:r>
        <w:rPr>
          <w:bCs/>
          <w:szCs w:val="28"/>
        </w:rPr>
        <w:t>或采用</w:t>
      </w:r>
      <w:r>
        <w:rPr>
          <w:rFonts w:hint="eastAsia"/>
          <w:bCs/>
          <w:szCs w:val="28"/>
        </w:rPr>
        <w:t>2部及以上</w:t>
      </w:r>
      <w:r>
        <w:rPr>
          <w:bCs/>
          <w:szCs w:val="28"/>
        </w:rPr>
        <w:t>电梯群</w:t>
      </w:r>
      <w:r>
        <w:rPr>
          <w:rFonts w:hint="eastAsia"/>
          <w:bCs/>
          <w:szCs w:val="28"/>
        </w:rPr>
        <w:t>。</w:t>
      </w:r>
    </w:p>
    <w:p w14:paraId="3F26B3D2">
      <w:pPr>
        <w:numPr>
          <w:ilvl w:val="2"/>
          <w:numId w:val="1"/>
        </w:numPr>
        <w:tabs>
          <w:tab w:val="left" w:pos="709"/>
          <w:tab w:val="left" w:pos="794"/>
          <w:tab w:val="left" w:pos="935"/>
          <w:tab w:val="left" w:pos="1502"/>
        </w:tabs>
        <w:outlineLvl w:val="2"/>
        <w:rPr>
          <w:bCs/>
        </w:rPr>
      </w:pPr>
      <w:r>
        <w:rPr>
          <w:rFonts w:hint="eastAsia"/>
          <w:bCs/>
        </w:rPr>
        <w:t>除本规范另有规定外，自动扶梯扶手带转向端距前面障碍物的距离不应小于6m；2台相对布置的自动扶梯扶手带转向端之间的距离不应小于12m。自动扶梯与楼梯相对布置时，扶梯扶手带转向端距楼梯第一级踏步的距离不应小于10m。</w:t>
      </w:r>
    </w:p>
    <w:p w14:paraId="4ACD4E43">
      <w:pPr>
        <w:numPr>
          <w:ilvl w:val="2"/>
          <w:numId w:val="1"/>
        </w:numPr>
        <w:tabs>
          <w:tab w:val="left" w:pos="709"/>
          <w:tab w:val="left" w:pos="794"/>
          <w:tab w:val="left" w:pos="935"/>
          <w:tab w:val="left" w:pos="1502"/>
        </w:tabs>
        <w:outlineLvl w:val="2"/>
        <w:rPr>
          <w:bCs/>
        </w:rPr>
      </w:pPr>
      <w:r>
        <w:rPr>
          <w:rFonts w:hint="eastAsia"/>
          <w:bCs/>
        </w:rPr>
        <w:t>自动扶梯和自动人行道穿越楼层时，扶手带外缘与楼板开口边缘装饰面的水平距离以及相邻平行交叉设置的两梯（道）之间扶手带外缘间的水平距离不得小于0.4m。当扶手带外缘与任何障碍物之间的水平距离小于0.4m时，应在扶手带上方设置一个无锐利边缘的垂直防护挡板，其高度不应小于0.3m，且至少延伸至扶手带下缘25mm处。</w:t>
      </w:r>
    </w:p>
    <w:p w14:paraId="41404B6A">
      <w:pPr>
        <w:numPr>
          <w:ilvl w:val="2"/>
          <w:numId w:val="1"/>
        </w:numPr>
        <w:tabs>
          <w:tab w:val="left" w:pos="709"/>
          <w:tab w:val="left" w:pos="794"/>
          <w:tab w:val="left" w:pos="935"/>
          <w:tab w:val="left" w:pos="1502"/>
        </w:tabs>
        <w:outlineLvl w:val="2"/>
        <w:rPr>
          <w:bCs/>
        </w:rPr>
      </w:pPr>
      <w:r>
        <w:rPr>
          <w:rFonts w:hint="eastAsia"/>
          <w:bCs/>
        </w:rPr>
        <w:t>自动扶梯或自动人行道沿封闭的垂直墙面布置时，其扶手带中心线离墙体装饰面的水平距离不得小于0.2m。</w:t>
      </w:r>
    </w:p>
    <w:p w14:paraId="5A99EAA3">
      <w:pPr>
        <w:numPr>
          <w:ilvl w:val="2"/>
          <w:numId w:val="1"/>
        </w:numPr>
        <w:tabs>
          <w:tab w:val="left" w:pos="709"/>
          <w:tab w:val="left" w:pos="794"/>
          <w:tab w:val="left" w:pos="935"/>
          <w:tab w:val="left" w:pos="1502"/>
        </w:tabs>
        <w:outlineLvl w:val="2"/>
        <w:rPr>
          <w:bCs/>
        </w:rPr>
      </w:pPr>
      <w:r>
        <w:rPr>
          <w:rFonts w:hint="eastAsia"/>
          <w:bCs/>
        </w:rPr>
        <w:t>自动扶梯和自动人行道应避开建筑物变形缝设置。当自动扶梯和自动人行道跨越结构诱导缝设置时应采取相应的构造措施。</w:t>
      </w:r>
    </w:p>
    <w:p w14:paraId="5DCB53D8">
      <w:pPr>
        <w:numPr>
          <w:ilvl w:val="2"/>
          <w:numId w:val="1"/>
        </w:numPr>
        <w:tabs>
          <w:tab w:val="left" w:pos="709"/>
          <w:tab w:val="left" w:pos="794"/>
          <w:tab w:val="left" w:pos="935"/>
          <w:tab w:val="left" w:pos="1502"/>
        </w:tabs>
        <w:outlineLvl w:val="2"/>
        <w:rPr>
          <w:bCs/>
        </w:rPr>
      </w:pPr>
      <w:r>
        <w:rPr>
          <w:rFonts w:hint="eastAsia"/>
          <w:bCs/>
        </w:rPr>
        <w:t>车站公共区的楼扶梯梯井、中庭回廊、室外楼梯、外廊、人行天桥等临空处应设防护栏杆，防护栏杆应符合下列规定：</w:t>
      </w:r>
    </w:p>
    <w:p w14:paraId="5C5C5D22">
      <w:pPr>
        <w:pStyle w:val="7"/>
        <w:ind w:firstLine="420"/>
      </w:pPr>
      <w:r>
        <w:rPr>
          <w:rFonts w:hint="eastAsia"/>
        </w:rPr>
        <w:t>防护栏杆宜采用栏板形式，当用玻璃制品做栏板时，应采用安全玻璃；</w:t>
      </w:r>
    </w:p>
    <w:p w14:paraId="5E6DCF1F">
      <w:pPr>
        <w:pStyle w:val="7"/>
        <w:ind w:firstLine="420"/>
      </w:pPr>
      <w:r>
        <w:rPr>
          <w:rFonts w:hint="eastAsia"/>
        </w:rPr>
        <w:t>栏板（栏杆）离楼面100mm高度内应设挡台；</w:t>
      </w:r>
    </w:p>
    <w:p w14:paraId="35AFB613">
      <w:pPr>
        <w:pStyle w:val="7"/>
        <w:ind w:firstLine="420"/>
      </w:pPr>
      <w:r>
        <w:rPr>
          <w:rFonts w:hint="eastAsia"/>
        </w:rPr>
        <w:t>栏板（栏杆）的扶手高度不应低于1100mm；</w:t>
      </w:r>
    </w:p>
    <w:p w14:paraId="30E8BA44">
      <w:pPr>
        <w:pStyle w:val="7"/>
        <w:ind w:firstLine="420"/>
      </w:pPr>
      <w:r>
        <w:rPr>
          <w:rFonts w:hint="eastAsia"/>
        </w:rPr>
        <w:t>自动扶梯上端扶手带与梯井一侧栏杆之间的间隙，以及两台并列设置的自动扶梯扶手带之间的开口处应设置栏板（栏杆）围挡。</w:t>
      </w:r>
    </w:p>
    <w:p w14:paraId="6B3E817E">
      <w:pPr>
        <w:pStyle w:val="4"/>
        <w:tabs>
          <w:tab w:val="left" w:pos="709"/>
          <w:tab w:val="clear" w:pos="462"/>
          <w:tab w:val="clear" w:pos="794"/>
        </w:tabs>
      </w:pPr>
      <w:bookmarkStart w:id="646" w:name="_Toc183888509"/>
      <w:bookmarkStart w:id="647" w:name="_Toc23753"/>
      <w:bookmarkStart w:id="648" w:name="_Toc183683525"/>
      <w:bookmarkStart w:id="649" w:name="_Toc183882095"/>
      <w:bookmarkStart w:id="650" w:name="_Toc183765104"/>
      <w:bookmarkStart w:id="651" w:name="_Toc183882457"/>
      <w:bookmarkStart w:id="652" w:name="_Toc183790534"/>
      <w:bookmarkStart w:id="653" w:name="_Toc183888147"/>
      <w:r>
        <w:rPr>
          <w:rFonts w:hint="eastAsia"/>
        </w:rPr>
        <w:t>车站无障碍设施</w:t>
      </w:r>
      <w:bookmarkEnd w:id="645"/>
      <w:bookmarkEnd w:id="646"/>
      <w:bookmarkEnd w:id="647"/>
      <w:bookmarkEnd w:id="648"/>
      <w:bookmarkEnd w:id="649"/>
      <w:bookmarkEnd w:id="650"/>
      <w:bookmarkEnd w:id="651"/>
      <w:bookmarkEnd w:id="652"/>
      <w:bookmarkEnd w:id="653"/>
    </w:p>
    <w:p w14:paraId="57FAA0DA">
      <w:pPr>
        <w:numPr>
          <w:ilvl w:val="2"/>
          <w:numId w:val="1"/>
        </w:numPr>
        <w:tabs>
          <w:tab w:val="left" w:pos="709"/>
          <w:tab w:val="left" w:pos="794"/>
          <w:tab w:val="left" w:pos="935"/>
          <w:tab w:val="left" w:pos="1502"/>
        </w:tabs>
        <w:outlineLvl w:val="2"/>
        <w:rPr>
          <w:bCs/>
        </w:rPr>
      </w:pPr>
      <w:r>
        <w:rPr>
          <w:rFonts w:hint="eastAsia"/>
          <w:bCs/>
        </w:rPr>
        <w:t>除本规范另有规定外，城市轨道交通的站前广场、停车设施、出入口和车站公共区为乘客服务的各类设施，以及列车车厢等无障碍设计应符合现行国家标准《无障碍设计规范》GB 50763和北京市地方标准《城市轨道交通无障碍设施设计规程》DB11/T 690的有关规定。</w:t>
      </w:r>
    </w:p>
    <w:p w14:paraId="44F9C28E">
      <w:pPr>
        <w:numPr>
          <w:ilvl w:val="2"/>
          <w:numId w:val="1"/>
        </w:numPr>
        <w:tabs>
          <w:tab w:val="left" w:pos="709"/>
          <w:tab w:val="left" w:pos="794"/>
          <w:tab w:val="left" w:pos="935"/>
          <w:tab w:val="left" w:pos="1502"/>
        </w:tabs>
        <w:outlineLvl w:val="2"/>
        <w:rPr>
          <w:bCs/>
        </w:rPr>
      </w:pPr>
      <w:r>
        <w:rPr>
          <w:rFonts w:hint="eastAsia"/>
          <w:bCs/>
        </w:rPr>
        <w:t>新建车站的站台至站厅、站厅至地面不得采用轮椅升降机，应设电梯。位于城市快速路和主、次干路上的车站，乙级以上的各类车站以及换乘车站的出入口，应至少在2个主客流方向设置电梯，当车站跨路口设置时，出入口电梯宜对角布置；位于城市支路上的车站以及各类乙、丙级车站出入口，应至少在1个主客流方向设置电梯。</w:t>
      </w:r>
    </w:p>
    <w:p w14:paraId="3CA9A8FD">
      <w:pPr>
        <w:numPr>
          <w:ilvl w:val="2"/>
          <w:numId w:val="1"/>
        </w:numPr>
        <w:tabs>
          <w:tab w:val="left" w:pos="709"/>
          <w:tab w:val="left" w:pos="794"/>
          <w:tab w:val="left" w:pos="935"/>
          <w:tab w:val="left" w:pos="1502"/>
        </w:tabs>
        <w:outlineLvl w:val="2"/>
        <w:rPr>
          <w:bCs/>
        </w:rPr>
      </w:pPr>
      <w:r>
        <w:rPr>
          <w:rFonts w:hint="eastAsia"/>
          <w:bCs/>
        </w:rPr>
        <w:t>新建线路的每列车辆均应设置无障碍车厢，无障碍车厢在列车编组中的位置宜各线统一。</w:t>
      </w:r>
    </w:p>
    <w:p w14:paraId="53C4BEDC">
      <w:pPr>
        <w:numPr>
          <w:ilvl w:val="2"/>
          <w:numId w:val="1"/>
        </w:numPr>
        <w:tabs>
          <w:tab w:val="left" w:pos="709"/>
          <w:tab w:val="left" w:pos="794"/>
          <w:tab w:val="left" w:pos="935"/>
          <w:tab w:val="left" w:pos="1502"/>
        </w:tabs>
        <w:outlineLvl w:val="2"/>
        <w:rPr>
          <w:bCs/>
        </w:rPr>
      </w:pPr>
      <w:r>
        <w:rPr>
          <w:rFonts w:hint="eastAsia"/>
          <w:bCs/>
        </w:rPr>
        <w:t>站台至站厅的电梯，应符合下列规定：</w:t>
      </w:r>
    </w:p>
    <w:p w14:paraId="3DDAECAB">
      <w:pPr>
        <w:pStyle w:val="7"/>
        <w:ind w:firstLine="420"/>
      </w:pPr>
      <w:r>
        <w:rPr>
          <w:rFonts w:hint="eastAsia"/>
          <w:szCs w:val="18"/>
        </w:rPr>
        <w:t>电梯</w:t>
      </w:r>
      <w:r>
        <w:rPr>
          <w:rFonts w:hint="eastAsia"/>
        </w:rPr>
        <w:t>宜布置在付费区内；</w:t>
      </w:r>
    </w:p>
    <w:p w14:paraId="12B6216F">
      <w:pPr>
        <w:pStyle w:val="7"/>
        <w:ind w:firstLine="420"/>
      </w:pPr>
      <w:r>
        <w:rPr>
          <w:rFonts w:hint="eastAsia"/>
        </w:rPr>
        <w:t>全线各车站站厅至站台的电梯宜布置在相同位置；</w:t>
      </w:r>
    </w:p>
    <w:p w14:paraId="702D5379">
      <w:pPr>
        <w:pStyle w:val="7"/>
        <w:ind w:firstLine="420"/>
      </w:pPr>
      <w:r>
        <w:rPr>
          <w:rFonts w:hint="eastAsia"/>
        </w:rPr>
        <w:t>站厅贯通的岛式车站，站台到站厅应设一部电梯；站厅分离的端头厅岛式车站，应在设有电梯出入口一端的站厅设置到达站台的电梯；</w:t>
      </w:r>
    </w:p>
    <w:p w14:paraId="15E832FC">
      <w:pPr>
        <w:pStyle w:val="7"/>
        <w:ind w:firstLine="420"/>
      </w:pPr>
      <w:r>
        <w:rPr>
          <w:rFonts w:hint="eastAsia"/>
        </w:rPr>
        <w:t>侧岛换乘车站以及站厅、站台不同层的侧式站台车站，应在每侧站台各设1部到达站厅的电梯；</w:t>
      </w:r>
    </w:p>
    <w:p w14:paraId="07F8A1ED">
      <w:pPr>
        <w:pStyle w:val="7"/>
        <w:ind w:firstLine="420"/>
      </w:pPr>
      <w:r>
        <w:rPr>
          <w:rFonts w:hint="eastAsia"/>
        </w:rPr>
        <w:t>站台、站厅同层的地下侧式站台车站，应在两侧站厅各设1部电梯直通地面；</w:t>
      </w:r>
    </w:p>
    <w:p w14:paraId="6868B34C">
      <w:pPr>
        <w:pStyle w:val="7"/>
        <w:ind w:firstLine="420"/>
      </w:pPr>
      <w:r>
        <w:rPr>
          <w:rFonts w:hint="eastAsia"/>
        </w:rPr>
        <w:t>电梯门前的等候空间深度不应小于1.8m，并不得小于轿厢深度的1.5倍。电梯门不应朝向轨道区布置，当确有困难时，朝向轨道区梯门前的等候空间深度不得侵入侧站台乘降区内；</w:t>
      </w:r>
    </w:p>
    <w:p w14:paraId="13B35F47">
      <w:pPr>
        <w:pStyle w:val="7"/>
        <w:ind w:firstLine="420"/>
        <w:rPr>
          <w:szCs w:val="18"/>
        </w:rPr>
      </w:pPr>
      <w:r>
        <w:rPr>
          <w:rFonts w:hint="eastAsia"/>
        </w:rPr>
        <w:t>电梯可</w:t>
      </w:r>
      <w:r>
        <w:rPr>
          <w:rFonts w:hint="eastAsia"/>
          <w:szCs w:val="18"/>
        </w:rPr>
        <w:t>兼作车站内部工作电梯使用，但进入设备管理区的梯门前应设前室，并应采取防止乘客进入设备管理区的措施。</w:t>
      </w:r>
    </w:p>
    <w:p w14:paraId="635AD326">
      <w:pPr>
        <w:numPr>
          <w:ilvl w:val="2"/>
          <w:numId w:val="1"/>
        </w:numPr>
        <w:tabs>
          <w:tab w:val="left" w:pos="709"/>
          <w:tab w:val="left" w:pos="794"/>
          <w:tab w:val="left" w:pos="935"/>
          <w:tab w:val="left" w:pos="1502"/>
        </w:tabs>
        <w:outlineLvl w:val="2"/>
        <w:rPr>
          <w:bCs/>
        </w:rPr>
      </w:pPr>
      <w:r>
        <w:rPr>
          <w:rFonts w:hint="eastAsia"/>
          <w:bCs/>
        </w:rPr>
        <w:t>设在路中的高架车站宜在人行天桥两侧设置电梯；设在路侧的地上车站，除在车站一侧设置电梯外，宜在人行过街天桥另一侧设置电梯。</w:t>
      </w:r>
    </w:p>
    <w:p w14:paraId="2E634707">
      <w:pPr>
        <w:numPr>
          <w:ilvl w:val="2"/>
          <w:numId w:val="1"/>
        </w:numPr>
        <w:tabs>
          <w:tab w:val="left" w:pos="709"/>
          <w:tab w:val="left" w:pos="794"/>
          <w:tab w:val="left" w:pos="935"/>
          <w:tab w:val="left" w:pos="1502"/>
        </w:tabs>
        <w:outlineLvl w:val="2"/>
        <w:rPr>
          <w:bCs/>
        </w:rPr>
      </w:pPr>
      <w:r>
        <w:rPr>
          <w:rFonts w:hint="eastAsia"/>
          <w:bCs/>
        </w:rPr>
        <w:t>位于地上的电梯亭梯门前应设门斗，电梯门前应设防淹平台，平台与地面间应设无障碍坡道。</w:t>
      </w:r>
    </w:p>
    <w:p w14:paraId="31A89270">
      <w:pPr>
        <w:numPr>
          <w:ilvl w:val="2"/>
          <w:numId w:val="1"/>
        </w:numPr>
        <w:tabs>
          <w:tab w:val="left" w:pos="709"/>
          <w:tab w:val="left" w:pos="794"/>
          <w:tab w:val="left" w:pos="935"/>
          <w:tab w:val="left" w:pos="1502"/>
        </w:tabs>
        <w:outlineLvl w:val="2"/>
        <w:rPr>
          <w:bCs/>
        </w:rPr>
      </w:pPr>
      <w:r>
        <w:rPr>
          <w:rFonts w:hint="eastAsia"/>
          <w:bCs/>
        </w:rPr>
        <w:t>电梯井道不应跨结构变形缝和诱导缝设置。</w:t>
      </w:r>
    </w:p>
    <w:p w14:paraId="2B06A3B0">
      <w:pPr>
        <w:numPr>
          <w:ilvl w:val="2"/>
          <w:numId w:val="1"/>
        </w:numPr>
        <w:tabs>
          <w:tab w:val="left" w:pos="709"/>
          <w:tab w:val="left" w:pos="794"/>
          <w:tab w:val="left" w:pos="935"/>
          <w:tab w:val="left" w:pos="1502"/>
        </w:tabs>
        <w:outlineLvl w:val="2"/>
        <w:rPr>
          <w:bCs/>
        </w:rPr>
      </w:pPr>
      <w:r>
        <w:rPr>
          <w:rFonts w:hint="eastAsia"/>
          <w:bCs/>
        </w:rPr>
        <w:t>车站内的盲道应与城市无障碍步行系统相衔接，盲道应采用埋入式，宽度为0.3m～0.4m，并宜符合地面装修材料模数。车站盲道的设置应方便视残者安全行走。</w:t>
      </w:r>
    </w:p>
    <w:p w14:paraId="38C257FA">
      <w:pPr>
        <w:numPr>
          <w:ilvl w:val="2"/>
          <w:numId w:val="1"/>
        </w:numPr>
        <w:tabs>
          <w:tab w:val="left" w:pos="709"/>
          <w:tab w:val="left" w:pos="794"/>
          <w:tab w:val="left" w:pos="935"/>
          <w:tab w:val="left" w:pos="1502"/>
        </w:tabs>
        <w:outlineLvl w:val="2"/>
        <w:rPr>
          <w:bCs/>
        </w:rPr>
      </w:pPr>
      <w:r>
        <w:rPr>
          <w:rFonts w:hint="eastAsia"/>
          <w:bCs/>
        </w:rPr>
        <w:t>换乘车站内的换乘设施应满足无障碍通行的要求。</w:t>
      </w:r>
    </w:p>
    <w:p w14:paraId="12B5DEC6">
      <w:pPr>
        <w:numPr>
          <w:ilvl w:val="2"/>
          <w:numId w:val="1"/>
        </w:numPr>
        <w:tabs>
          <w:tab w:val="left" w:pos="709"/>
          <w:tab w:val="left" w:pos="794"/>
          <w:tab w:val="left" w:pos="935"/>
          <w:tab w:val="left" w:pos="1502"/>
        </w:tabs>
        <w:outlineLvl w:val="2"/>
        <w:rPr>
          <w:bCs/>
        </w:rPr>
      </w:pPr>
      <w:r>
        <w:rPr>
          <w:rFonts w:hint="eastAsia"/>
          <w:bCs/>
        </w:rPr>
        <w:t>车站站台公共区应设无障碍专用厕所，其厕所门不得直接开向侧站台。当无障碍厕所门采用外开门时，不应影响相邻厕所入口的通行。</w:t>
      </w:r>
    </w:p>
    <w:p w14:paraId="66301A4F">
      <w:pPr>
        <w:numPr>
          <w:ilvl w:val="2"/>
          <w:numId w:val="1"/>
        </w:numPr>
        <w:tabs>
          <w:tab w:val="left" w:pos="709"/>
          <w:tab w:val="left" w:pos="794"/>
          <w:tab w:val="left" w:pos="935"/>
          <w:tab w:val="left" w:pos="1502"/>
        </w:tabs>
        <w:outlineLvl w:val="2"/>
        <w:rPr>
          <w:bCs/>
        </w:rPr>
      </w:pPr>
      <w:r>
        <w:rPr>
          <w:rFonts w:hint="eastAsia"/>
          <w:bCs/>
        </w:rPr>
        <w:t>站厅非付费区内宜设低位售票口或低位自动售票机。</w:t>
      </w:r>
    </w:p>
    <w:p w14:paraId="5E6E345F">
      <w:pPr>
        <w:numPr>
          <w:ilvl w:val="2"/>
          <w:numId w:val="1"/>
        </w:numPr>
        <w:tabs>
          <w:tab w:val="left" w:pos="709"/>
          <w:tab w:val="left" w:pos="794"/>
          <w:tab w:val="left" w:pos="935"/>
          <w:tab w:val="left" w:pos="1502"/>
        </w:tabs>
        <w:outlineLvl w:val="2"/>
        <w:rPr>
          <w:bCs/>
        </w:rPr>
      </w:pPr>
      <w:r>
        <w:rPr>
          <w:rFonts w:hint="eastAsia"/>
          <w:bCs/>
        </w:rPr>
        <w:t>车站无障碍各类设施的构造设计，应满足无障碍通行和使用安全要求。</w:t>
      </w:r>
    </w:p>
    <w:p w14:paraId="44DBFB06">
      <w:pPr>
        <w:pStyle w:val="4"/>
        <w:tabs>
          <w:tab w:val="left" w:pos="709"/>
          <w:tab w:val="clear" w:pos="462"/>
          <w:tab w:val="clear" w:pos="794"/>
        </w:tabs>
      </w:pPr>
      <w:bookmarkStart w:id="654" w:name="_Toc357929354"/>
      <w:bookmarkStart w:id="655" w:name="_Toc183888148"/>
      <w:bookmarkStart w:id="656" w:name="_Toc183683526"/>
      <w:bookmarkStart w:id="657" w:name="_Toc183882096"/>
      <w:bookmarkStart w:id="658" w:name="_Toc29365"/>
      <w:bookmarkStart w:id="659" w:name="_Toc183882458"/>
      <w:bookmarkStart w:id="660" w:name="_Toc183790535"/>
      <w:bookmarkStart w:id="661" w:name="_Toc183765105"/>
      <w:bookmarkStart w:id="662" w:name="_Toc183888510"/>
      <w:r>
        <w:rPr>
          <w:rFonts w:hint="eastAsia"/>
        </w:rPr>
        <w:t>车站环境</w:t>
      </w:r>
      <w:bookmarkEnd w:id="654"/>
      <w:r>
        <w:rPr>
          <w:rFonts w:hint="eastAsia"/>
        </w:rPr>
        <w:t>设计</w:t>
      </w:r>
      <w:bookmarkEnd w:id="655"/>
      <w:bookmarkEnd w:id="656"/>
      <w:bookmarkEnd w:id="657"/>
      <w:bookmarkEnd w:id="658"/>
      <w:bookmarkEnd w:id="659"/>
      <w:bookmarkEnd w:id="660"/>
      <w:bookmarkEnd w:id="661"/>
      <w:bookmarkEnd w:id="662"/>
    </w:p>
    <w:p w14:paraId="4639FF34">
      <w:pPr>
        <w:numPr>
          <w:ilvl w:val="2"/>
          <w:numId w:val="1"/>
        </w:numPr>
        <w:tabs>
          <w:tab w:val="left" w:pos="709"/>
          <w:tab w:val="left" w:pos="794"/>
          <w:tab w:val="left" w:pos="935"/>
          <w:tab w:val="left" w:pos="1502"/>
        </w:tabs>
        <w:outlineLvl w:val="2"/>
        <w:rPr>
          <w:bCs/>
        </w:rPr>
      </w:pPr>
      <w:r>
        <w:rPr>
          <w:rFonts w:hint="eastAsia"/>
          <w:bCs/>
        </w:rPr>
        <w:t>车站的环境设计装修适度，充分利用结构天然美，体现现代交通建筑特点，并兼顾北京市的人文环境和地域特色。地上车站应与周边环境相协调，并宜减小体量。</w:t>
      </w:r>
    </w:p>
    <w:p w14:paraId="3A00488E">
      <w:pPr>
        <w:numPr>
          <w:ilvl w:val="2"/>
          <w:numId w:val="1"/>
        </w:numPr>
        <w:tabs>
          <w:tab w:val="left" w:pos="709"/>
          <w:tab w:val="left" w:pos="794"/>
          <w:tab w:val="left" w:pos="935"/>
          <w:tab w:val="left" w:pos="1502"/>
        </w:tabs>
        <w:outlineLvl w:val="2"/>
        <w:rPr>
          <w:bCs/>
        </w:rPr>
      </w:pPr>
      <w:r>
        <w:rPr>
          <w:rFonts w:hint="eastAsia"/>
          <w:bCs/>
        </w:rPr>
        <w:t>装修材料应采用防火、防潮、防腐、无毒、耐久、易清洁且放射性指标满足国家标准规定的环保材料，装饰制品宜标准化、模数化和便于清洁维修。地面和楼梯踏步材料应防滑耐磨。</w:t>
      </w:r>
    </w:p>
    <w:p w14:paraId="37EC412F">
      <w:pPr>
        <w:numPr>
          <w:ilvl w:val="2"/>
          <w:numId w:val="1"/>
        </w:numPr>
        <w:tabs>
          <w:tab w:val="left" w:pos="709"/>
          <w:tab w:val="left" w:pos="794"/>
          <w:tab w:val="left" w:pos="935"/>
          <w:tab w:val="left" w:pos="1502"/>
        </w:tabs>
        <w:outlineLvl w:val="2"/>
        <w:rPr>
          <w:bCs/>
        </w:rPr>
      </w:pPr>
      <w:r>
        <w:rPr>
          <w:rFonts w:hint="eastAsia"/>
          <w:bCs/>
        </w:rPr>
        <w:t>车站内的各种导向、消防安全疏散标志、服务乘客标志应符合现行国家标准《城市轨道交通照明》GB/T 16275的有关规定。</w:t>
      </w:r>
    </w:p>
    <w:p w14:paraId="7D8D7A7E">
      <w:pPr>
        <w:numPr>
          <w:ilvl w:val="2"/>
          <w:numId w:val="1"/>
        </w:numPr>
        <w:tabs>
          <w:tab w:val="left" w:pos="709"/>
          <w:tab w:val="left" w:pos="794"/>
          <w:tab w:val="left" w:pos="935"/>
          <w:tab w:val="left" w:pos="1502"/>
        </w:tabs>
        <w:outlineLvl w:val="2"/>
        <w:rPr>
          <w:bCs/>
        </w:rPr>
      </w:pPr>
      <w:r>
        <w:rPr>
          <w:rFonts w:hint="eastAsia"/>
          <w:bCs/>
        </w:rPr>
        <w:t>照明器宜采用深罩明露式，并应方便维修、清洁和保养，地下车站照度标准应符合现行国家标准《城市轨道交通照明》GB/T 16275的有关规定。地上车站应选用防潮、防尘、抗风的灯具，线路轨道区上部不得设置照明器。</w:t>
      </w:r>
    </w:p>
    <w:p w14:paraId="37A12C7C">
      <w:pPr>
        <w:numPr>
          <w:ilvl w:val="2"/>
          <w:numId w:val="1"/>
        </w:numPr>
        <w:tabs>
          <w:tab w:val="left" w:pos="709"/>
          <w:tab w:val="left" w:pos="794"/>
          <w:tab w:val="left" w:pos="935"/>
          <w:tab w:val="left" w:pos="1502"/>
        </w:tabs>
        <w:outlineLvl w:val="2"/>
        <w:rPr>
          <w:bCs/>
        </w:rPr>
      </w:pPr>
      <w:r>
        <w:rPr>
          <w:rFonts w:hint="eastAsia"/>
          <w:bCs/>
        </w:rPr>
        <w:t>有噪声源的房间，应采取隔声、吸声措施，房门应采用隔声门，当有防火要求时，应采用防火隔声门。</w:t>
      </w:r>
    </w:p>
    <w:p w14:paraId="3D345C80">
      <w:pPr>
        <w:pStyle w:val="4"/>
        <w:tabs>
          <w:tab w:val="left" w:pos="709"/>
          <w:tab w:val="clear" w:pos="462"/>
          <w:tab w:val="clear" w:pos="567"/>
          <w:tab w:val="clear" w:pos="794"/>
        </w:tabs>
      </w:pPr>
      <w:bookmarkStart w:id="663" w:name="_Toc183882097"/>
      <w:bookmarkStart w:id="664" w:name="_Toc183888149"/>
      <w:bookmarkStart w:id="665" w:name="_Toc183765106"/>
      <w:bookmarkStart w:id="666" w:name="_Toc183683527"/>
      <w:bookmarkStart w:id="667" w:name="_Toc19462"/>
      <w:bookmarkStart w:id="668" w:name="_Toc183882459"/>
      <w:bookmarkStart w:id="669" w:name="_Toc183888511"/>
      <w:bookmarkStart w:id="670" w:name="_Toc357929356"/>
      <w:bookmarkStart w:id="671" w:name="_Toc183790536"/>
      <w:r>
        <w:rPr>
          <w:rFonts w:hint="eastAsia"/>
        </w:rPr>
        <w:t>换乘车站</w:t>
      </w:r>
      <w:bookmarkEnd w:id="663"/>
      <w:bookmarkEnd w:id="664"/>
      <w:bookmarkEnd w:id="665"/>
      <w:bookmarkEnd w:id="666"/>
      <w:bookmarkEnd w:id="667"/>
      <w:bookmarkEnd w:id="668"/>
      <w:bookmarkEnd w:id="669"/>
      <w:bookmarkEnd w:id="670"/>
      <w:bookmarkEnd w:id="671"/>
    </w:p>
    <w:p w14:paraId="1CCD70F8">
      <w:pPr>
        <w:numPr>
          <w:ilvl w:val="2"/>
          <w:numId w:val="1"/>
        </w:numPr>
        <w:tabs>
          <w:tab w:val="left" w:pos="709"/>
          <w:tab w:val="left" w:pos="794"/>
          <w:tab w:val="left" w:pos="935"/>
          <w:tab w:val="left" w:pos="1502"/>
        </w:tabs>
        <w:outlineLvl w:val="2"/>
        <w:rPr>
          <w:bCs/>
        </w:rPr>
      </w:pPr>
      <w:r>
        <w:rPr>
          <w:rFonts w:hint="eastAsia"/>
          <w:bCs/>
        </w:rPr>
        <w:t>车站的换乘形式应根据线网规划、客流特征、换乘线路的建设时序、线路敷设方式和工程实施条件等因素确定。换乘线属初期建设的车站，应一次建成；属近期建设的车站，换乘节点的土建工程宜一次建成；属远期建设的车站，应预留换乘条件和后期施工条件。</w:t>
      </w:r>
    </w:p>
    <w:p w14:paraId="1073A51A">
      <w:pPr>
        <w:numPr>
          <w:ilvl w:val="2"/>
          <w:numId w:val="1"/>
        </w:numPr>
        <w:tabs>
          <w:tab w:val="left" w:pos="709"/>
          <w:tab w:val="left" w:pos="794"/>
          <w:tab w:val="left" w:pos="935"/>
          <w:tab w:val="left" w:pos="1502"/>
        </w:tabs>
        <w:outlineLvl w:val="2"/>
        <w:rPr>
          <w:bCs/>
        </w:rPr>
      </w:pPr>
      <w:r>
        <w:rPr>
          <w:rFonts w:hint="eastAsia"/>
          <w:bCs/>
        </w:rPr>
        <w:t>同步实施换乘节点的车站，应确保预留节点的有效性和可实施性，避免废弃工程，后建车站实施时不应影响既有线车站的运营。一次建成的车站，应统一利用两站的地下空间实现资源共享。</w:t>
      </w:r>
    </w:p>
    <w:p w14:paraId="3F91831A">
      <w:pPr>
        <w:numPr>
          <w:ilvl w:val="2"/>
          <w:numId w:val="1"/>
        </w:numPr>
        <w:tabs>
          <w:tab w:val="left" w:pos="709"/>
          <w:tab w:val="left" w:pos="794"/>
          <w:tab w:val="left" w:pos="935"/>
          <w:tab w:val="left" w:pos="1502"/>
        </w:tabs>
        <w:outlineLvl w:val="2"/>
        <w:rPr>
          <w:szCs w:val="18"/>
        </w:rPr>
      </w:pPr>
      <w:r>
        <w:rPr>
          <w:rFonts w:hint="eastAsia"/>
        </w:rPr>
        <w:t>换乘车站应进行车站通行设施能力适应性、站台短时冲击性、换乘便捷性以及运能匹配性功能验算，换乘功能各项评价指标标准应符合表10.1</w:t>
      </w:r>
      <w:r>
        <w:t>0</w:t>
      </w:r>
      <w:r>
        <w:rPr>
          <w:rFonts w:hint="eastAsia"/>
        </w:rPr>
        <w:t>.</w:t>
      </w:r>
      <w:r>
        <w:t>3</w:t>
      </w:r>
      <w:r>
        <w:rPr>
          <w:rFonts w:hint="eastAsia"/>
        </w:rPr>
        <w:t>的规定</w:t>
      </w:r>
      <w:r>
        <w:rPr>
          <w:rFonts w:hint="eastAsia"/>
          <w:szCs w:val="18"/>
        </w:rPr>
        <w:t>。</w:t>
      </w:r>
    </w:p>
    <w:p w14:paraId="4C5F602D">
      <w:pPr>
        <w:pStyle w:val="198"/>
      </w:pPr>
      <w:r>
        <w:br w:type="page"/>
      </w:r>
      <w:r>
        <w:rPr>
          <w:rFonts w:hint="eastAsia"/>
        </w:rPr>
        <w:t>表10.1</w:t>
      </w:r>
      <w:r>
        <w:t>0</w:t>
      </w:r>
      <w:r>
        <w:rPr>
          <w:rFonts w:hint="eastAsia"/>
        </w:rPr>
        <w:t>.</w:t>
      </w:r>
      <w:r>
        <w:t>3</w:t>
      </w:r>
      <w:r>
        <w:rPr>
          <w:rFonts w:hint="eastAsia"/>
        </w:rPr>
        <w:t xml:space="preserve">  换乘功能评价指标与标准</w:t>
      </w:r>
    </w:p>
    <w:tbl>
      <w:tblPr>
        <w:tblStyle w:val="88"/>
        <w:tblW w:w="6131"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102"/>
        <w:gridCol w:w="1606"/>
        <w:gridCol w:w="1184"/>
        <w:gridCol w:w="595"/>
        <w:gridCol w:w="891"/>
      </w:tblGrid>
      <w:tr w14:paraId="077C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right"/>
        </w:trPr>
        <w:tc>
          <w:tcPr>
            <w:tcW w:w="753" w:type="dxa"/>
            <w:vAlign w:val="center"/>
          </w:tcPr>
          <w:p w14:paraId="01F96F20">
            <w:pPr>
              <w:autoSpaceDE w:val="0"/>
              <w:autoSpaceDN w:val="0"/>
              <w:spacing w:line="240" w:lineRule="auto"/>
              <w:jc w:val="center"/>
              <w:rPr>
                <w:kern w:val="0"/>
                <w:sz w:val="15"/>
                <w:szCs w:val="15"/>
              </w:rPr>
            </w:pPr>
            <w:r>
              <w:rPr>
                <w:kern w:val="0"/>
                <w:sz w:val="15"/>
                <w:szCs w:val="15"/>
              </w:rPr>
              <w:t>评价内容</w:t>
            </w:r>
          </w:p>
        </w:tc>
        <w:tc>
          <w:tcPr>
            <w:tcW w:w="1102" w:type="dxa"/>
            <w:vAlign w:val="center"/>
          </w:tcPr>
          <w:p w14:paraId="5928CAC2">
            <w:pPr>
              <w:autoSpaceDE w:val="0"/>
              <w:autoSpaceDN w:val="0"/>
              <w:spacing w:line="240" w:lineRule="auto"/>
              <w:jc w:val="center"/>
              <w:rPr>
                <w:kern w:val="0"/>
                <w:sz w:val="15"/>
                <w:szCs w:val="15"/>
              </w:rPr>
            </w:pPr>
            <w:r>
              <w:rPr>
                <w:kern w:val="0"/>
                <w:sz w:val="15"/>
                <w:szCs w:val="15"/>
              </w:rPr>
              <w:t>指标</w:t>
            </w:r>
          </w:p>
        </w:tc>
        <w:tc>
          <w:tcPr>
            <w:tcW w:w="1606" w:type="dxa"/>
            <w:vAlign w:val="center"/>
          </w:tcPr>
          <w:p w14:paraId="0CF74DCC">
            <w:pPr>
              <w:autoSpaceDE w:val="0"/>
              <w:autoSpaceDN w:val="0"/>
              <w:spacing w:line="240" w:lineRule="auto"/>
              <w:jc w:val="center"/>
              <w:rPr>
                <w:kern w:val="0"/>
                <w:sz w:val="15"/>
                <w:szCs w:val="15"/>
              </w:rPr>
            </w:pPr>
            <w:r>
              <w:rPr>
                <w:kern w:val="0"/>
                <w:sz w:val="15"/>
                <w:szCs w:val="15"/>
              </w:rPr>
              <w:t>含</w:t>
            </w:r>
            <w:r>
              <w:rPr>
                <w:rFonts w:hint="eastAsia"/>
                <w:kern w:val="0"/>
                <w:sz w:val="15"/>
                <w:szCs w:val="15"/>
              </w:rPr>
              <w:t xml:space="preserve">    </w:t>
            </w:r>
            <w:r>
              <w:rPr>
                <w:kern w:val="0"/>
                <w:sz w:val="15"/>
                <w:szCs w:val="15"/>
              </w:rPr>
              <w:t>义</w:t>
            </w:r>
          </w:p>
        </w:tc>
        <w:tc>
          <w:tcPr>
            <w:tcW w:w="1184" w:type="dxa"/>
            <w:vAlign w:val="center"/>
          </w:tcPr>
          <w:p w14:paraId="06704302">
            <w:pPr>
              <w:autoSpaceDE w:val="0"/>
              <w:autoSpaceDN w:val="0"/>
              <w:spacing w:line="240" w:lineRule="auto"/>
              <w:jc w:val="center"/>
              <w:rPr>
                <w:kern w:val="0"/>
                <w:sz w:val="15"/>
                <w:szCs w:val="15"/>
              </w:rPr>
            </w:pPr>
            <w:r>
              <w:rPr>
                <w:kern w:val="0"/>
                <w:sz w:val="15"/>
                <w:szCs w:val="15"/>
              </w:rPr>
              <w:t>评价范围</w:t>
            </w:r>
          </w:p>
        </w:tc>
        <w:tc>
          <w:tcPr>
            <w:tcW w:w="595" w:type="dxa"/>
            <w:vAlign w:val="center"/>
          </w:tcPr>
          <w:p w14:paraId="1BC76A89">
            <w:pPr>
              <w:autoSpaceDE w:val="0"/>
              <w:autoSpaceDN w:val="0"/>
              <w:spacing w:line="240" w:lineRule="auto"/>
              <w:jc w:val="center"/>
              <w:rPr>
                <w:kern w:val="0"/>
                <w:sz w:val="15"/>
                <w:szCs w:val="15"/>
              </w:rPr>
            </w:pPr>
            <w:r>
              <w:rPr>
                <w:kern w:val="0"/>
                <w:sz w:val="15"/>
                <w:szCs w:val="15"/>
              </w:rPr>
              <w:t>指标标准</w:t>
            </w:r>
          </w:p>
        </w:tc>
        <w:tc>
          <w:tcPr>
            <w:tcW w:w="891" w:type="dxa"/>
            <w:vAlign w:val="center"/>
          </w:tcPr>
          <w:p w14:paraId="4C4ED632">
            <w:pPr>
              <w:autoSpaceDE w:val="0"/>
              <w:autoSpaceDN w:val="0"/>
              <w:spacing w:line="240" w:lineRule="auto"/>
              <w:jc w:val="center"/>
              <w:rPr>
                <w:kern w:val="0"/>
                <w:sz w:val="15"/>
                <w:szCs w:val="15"/>
              </w:rPr>
            </w:pPr>
            <w:r>
              <w:rPr>
                <w:kern w:val="0"/>
                <w:sz w:val="15"/>
                <w:szCs w:val="15"/>
              </w:rPr>
              <w:t>能力适应性评价</w:t>
            </w:r>
          </w:p>
        </w:tc>
      </w:tr>
      <w:tr w14:paraId="4AC4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right"/>
        </w:trPr>
        <w:tc>
          <w:tcPr>
            <w:tcW w:w="753" w:type="dxa"/>
            <w:vMerge w:val="restart"/>
            <w:vAlign w:val="center"/>
          </w:tcPr>
          <w:p w14:paraId="3FF763EE">
            <w:pPr>
              <w:autoSpaceDE w:val="0"/>
              <w:autoSpaceDN w:val="0"/>
              <w:spacing w:line="240" w:lineRule="auto"/>
              <w:jc w:val="center"/>
              <w:rPr>
                <w:kern w:val="0"/>
                <w:sz w:val="15"/>
                <w:szCs w:val="15"/>
              </w:rPr>
            </w:pPr>
            <w:r>
              <w:rPr>
                <w:kern w:val="0"/>
                <w:sz w:val="15"/>
                <w:szCs w:val="15"/>
              </w:rPr>
              <w:t>通行设施</w:t>
            </w:r>
          </w:p>
          <w:p w14:paraId="10C1795B">
            <w:pPr>
              <w:autoSpaceDE w:val="0"/>
              <w:autoSpaceDN w:val="0"/>
              <w:spacing w:line="240" w:lineRule="auto"/>
              <w:jc w:val="center"/>
              <w:rPr>
                <w:kern w:val="0"/>
                <w:sz w:val="15"/>
                <w:szCs w:val="15"/>
              </w:rPr>
            </w:pPr>
            <w:r>
              <w:rPr>
                <w:kern w:val="0"/>
                <w:sz w:val="15"/>
                <w:szCs w:val="15"/>
              </w:rPr>
              <w:t>能力适应性</w:t>
            </w:r>
          </w:p>
        </w:tc>
        <w:tc>
          <w:tcPr>
            <w:tcW w:w="1102" w:type="dxa"/>
            <w:vMerge w:val="restart"/>
            <w:vAlign w:val="center"/>
          </w:tcPr>
          <w:p w14:paraId="69594E01">
            <w:pPr>
              <w:autoSpaceDE w:val="0"/>
              <w:autoSpaceDN w:val="0"/>
              <w:spacing w:line="240" w:lineRule="auto"/>
              <w:jc w:val="center"/>
              <w:rPr>
                <w:kern w:val="0"/>
                <w:sz w:val="15"/>
                <w:szCs w:val="15"/>
              </w:rPr>
            </w:pPr>
            <w:r>
              <w:rPr>
                <w:kern w:val="0"/>
                <w:sz w:val="15"/>
                <w:szCs w:val="15"/>
              </w:rPr>
              <w:t>设施利用的</w:t>
            </w:r>
          </w:p>
          <w:p w14:paraId="2212742D">
            <w:pPr>
              <w:autoSpaceDE w:val="0"/>
              <w:autoSpaceDN w:val="0"/>
              <w:spacing w:line="240" w:lineRule="auto"/>
              <w:jc w:val="center"/>
              <w:rPr>
                <w:kern w:val="0"/>
                <w:sz w:val="15"/>
                <w:szCs w:val="15"/>
              </w:rPr>
            </w:pPr>
            <w:r>
              <w:rPr>
                <w:kern w:val="0"/>
                <w:sz w:val="15"/>
                <w:szCs w:val="15"/>
              </w:rPr>
              <w:t>均衡性</w:t>
            </w:r>
          </w:p>
        </w:tc>
        <w:tc>
          <w:tcPr>
            <w:tcW w:w="1606" w:type="dxa"/>
            <w:vMerge w:val="restart"/>
            <w:vAlign w:val="center"/>
          </w:tcPr>
          <w:p w14:paraId="38FFA6D5">
            <w:pPr>
              <w:autoSpaceDE w:val="0"/>
              <w:autoSpaceDN w:val="0"/>
              <w:spacing w:line="240" w:lineRule="auto"/>
              <w:jc w:val="center"/>
              <w:rPr>
                <w:kern w:val="0"/>
                <w:sz w:val="15"/>
                <w:szCs w:val="15"/>
              </w:rPr>
            </w:pPr>
            <w:r>
              <w:rPr>
                <w:kern w:val="0"/>
                <w:sz w:val="15"/>
                <w:szCs w:val="15"/>
              </w:rPr>
              <w:t>换乘路径上所有设施能力是否匹配，设施布置与需求的协调性</w:t>
            </w:r>
          </w:p>
        </w:tc>
        <w:tc>
          <w:tcPr>
            <w:tcW w:w="1184" w:type="dxa"/>
            <w:vMerge w:val="restart"/>
            <w:vAlign w:val="center"/>
          </w:tcPr>
          <w:p w14:paraId="42B013F8">
            <w:pPr>
              <w:autoSpaceDE w:val="0"/>
              <w:autoSpaceDN w:val="0"/>
              <w:spacing w:line="240" w:lineRule="auto"/>
              <w:jc w:val="center"/>
              <w:rPr>
                <w:kern w:val="0"/>
                <w:sz w:val="15"/>
                <w:szCs w:val="15"/>
              </w:rPr>
            </w:pPr>
            <w:r>
              <w:rPr>
                <w:kern w:val="0"/>
                <w:sz w:val="15"/>
                <w:szCs w:val="15"/>
              </w:rPr>
              <w:t>楼扶梯</w:t>
            </w:r>
          </w:p>
        </w:tc>
        <w:tc>
          <w:tcPr>
            <w:tcW w:w="595" w:type="dxa"/>
            <w:vAlign w:val="center"/>
          </w:tcPr>
          <w:p w14:paraId="77FADBB8">
            <w:pPr>
              <w:autoSpaceDE w:val="0"/>
              <w:autoSpaceDN w:val="0"/>
              <w:spacing w:line="240" w:lineRule="auto"/>
              <w:jc w:val="center"/>
              <w:rPr>
                <w:kern w:val="0"/>
                <w:sz w:val="15"/>
                <w:szCs w:val="15"/>
              </w:rPr>
            </w:pPr>
            <w:r>
              <w:rPr>
                <w:kern w:val="0"/>
                <w:sz w:val="15"/>
                <w:szCs w:val="15"/>
              </w:rPr>
              <w:t>＜1.2</w:t>
            </w:r>
          </w:p>
        </w:tc>
        <w:tc>
          <w:tcPr>
            <w:tcW w:w="891" w:type="dxa"/>
            <w:vAlign w:val="center"/>
          </w:tcPr>
          <w:p w14:paraId="6DCC1EBF">
            <w:pPr>
              <w:autoSpaceDE w:val="0"/>
              <w:autoSpaceDN w:val="0"/>
              <w:spacing w:line="240" w:lineRule="auto"/>
              <w:jc w:val="center"/>
              <w:rPr>
                <w:kern w:val="0"/>
                <w:sz w:val="15"/>
                <w:szCs w:val="15"/>
              </w:rPr>
            </w:pPr>
            <w:r>
              <w:rPr>
                <w:kern w:val="0"/>
                <w:sz w:val="15"/>
                <w:szCs w:val="15"/>
              </w:rPr>
              <w:t>良好</w:t>
            </w:r>
          </w:p>
        </w:tc>
      </w:tr>
      <w:tr w14:paraId="290D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right"/>
        </w:trPr>
        <w:tc>
          <w:tcPr>
            <w:tcW w:w="753" w:type="dxa"/>
            <w:vMerge w:val="continue"/>
            <w:vAlign w:val="center"/>
          </w:tcPr>
          <w:p w14:paraId="6F1AD10D">
            <w:pPr>
              <w:autoSpaceDE w:val="0"/>
              <w:autoSpaceDN w:val="0"/>
              <w:spacing w:line="240" w:lineRule="auto"/>
              <w:jc w:val="center"/>
              <w:rPr>
                <w:kern w:val="0"/>
                <w:sz w:val="15"/>
                <w:szCs w:val="15"/>
              </w:rPr>
            </w:pPr>
          </w:p>
        </w:tc>
        <w:tc>
          <w:tcPr>
            <w:tcW w:w="1102" w:type="dxa"/>
            <w:vMerge w:val="continue"/>
            <w:vAlign w:val="center"/>
          </w:tcPr>
          <w:p w14:paraId="72D2C6AC">
            <w:pPr>
              <w:autoSpaceDE w:val="0"/>
              <w:autoSpaceDN w:val="0"/>
              <w:spacing w:line="240" w:lineRule="auto"/>
              <w:jc w:val="center"/>
              <w:rPr>
                <w:kern w:val="0"/>
                <w:sz w:val="15"/>
                <w:szCs w:val="15"/>
              </w:rPr>
            </w:pPr>
          </w:p>
        </w:tc>
        <w:tc>
          <w:tcPr>
            <w:tcW w:w="1606" w:type="dxa"/>
            <w:vMerge w:val="continue"/>
            <w:vAlign w:val="center"/>
          </w:tcPr>
          <w:p w14:paraId="1B1CA481">
            <w:pPr>
              <w:autoSpaceDE w:val="0"/>
              <w:autoSpaceDN w:val="0"/>
              <w:spacing w:line="240" w:lineRule="auto"/>
              <w:jc w:val="center"/>
              <w:rPr>
                <w:kern w:val="0"/>
                <w:sz w:val="15"/>
                <w:szCs w:val="15"/>
              </w:rPr>
            </w:pPr>
          </w:p>
        </w:tc>
        <w:tc>
          <w:tcPr>
            <w:tcW w:w="1184" w:type="dxa"/>
            <w:vMerge w:val="continue"/>
            <w:vAlign w:val="center"/>
          </w:tcPr>
          <w:p w14:paraId="34DFB19F">
            <w:pPr>
              <w:autoSpaceDE w:val="0"/>
              <w:autoSpaceDN w:val="0"/>
              <w:spacing w:line="240" w:lineRule="auto"/>
              <w:jc w:val="center"/>
              <w:rPr>
                <w:kern w:val="0"/>
                <w:sz w:val="15"/>
                <w:szCs w:val="15"/>
              </w:rPr>
            </w:pPr>
          </w:p>
        </w:tc>
        <w:tc>
          <w:tcPr>
            <w:tcW w:w="595" w:type="dxa"/>
            <w:vAlign w:val="center"/>
          </w:tcPr>
          <w:p w14:paraId="04ADE28D">
            <w:pPr>
              <w:autoSpaceDE w:val="0"/>
              <w:autoSpaceDN w:val="0"/>
              <w:spacing w:line="240" w:lineRule="auto"/>
              <w:jc w:val="center"/>
              <w:rPr>
                <w:kern w:val="0"/>
                <w:sz w:val="15"/>
                <w:szCs w:val="15"/>
              </w:rPr>
            </w:pPr>
            <w:r>
              <w:rPr>
                <w:kern w:val="0"/>
                <w:sz w:val="15"/>
                <w:szCs w:val="15"/>
              </w:rPr>
              <w:t>1.2～1.5</w:t>
            </w:r>
          </w:p>
        </w:tc>
        <w:tc>
          <w:tcPr>
            <w:tcW w:w="891" w:type="dxa"/>
            <w:vAlign w:val="center"/>
          </w:tcPr>
          <w:p w14:paraId="1DD90122">
            <w:pPr>
              <w:autoSpaceDE w:val="0"/>
              <w:autoSpaceDN w:val="0"/>
              <w:spacing w:line="240" w:lineRule="auto"/>
              <w:jc w:val="center"/>
              <w:rPr>
                <w:kern w:val="0"/>
                <w:sz w:val="15"/>
                <w:szCs w:val="15"/>
              </w:rPr>
            </w:pPr>
            <w:r>
              <w:rPr>
                <w:kern w:val="0"/>
                <w:sz w:val="15"/>
                <w:szCs w:val="15"/>
              </w:rPr>
              <w:t>一般</w:t>
            </w:r>
          </w:p>
        </w:tc>
      </w:tr>
      <w:tr w14:paraId="5CA1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right"/>
        </w:trPr>
        <w:tc>
          <w:tcPr>
            <w:tcW w:w="753" w:type="dxa"/>
            <w:vMerge w:val="continue"/>
            <w:vAlign w:val="center"/>
          </w:tcPr>
          <w:p w14:paraId="7B98DF84">
            <w:pPr>
              <w:autoSpaceDE w:val="0"/>
              <w:autoSpaceDN w:val="0"/>
              <w:spacing w:line="240" w:lineRule="auto"/>
              <w:jc w:val="center"/>
              <w:rPr>
                <w:kern w:val="0"/>
                <w:sz w:val="15"/>
                <w:szCs w:val="15"/>
              </w:rPr>
            </w:pPr>
          </w:p>
        </w:tc>
        <w:tc>
          <w:tcPr>
            <w:tcW w:w="1102" w:type="dxa"/>
            <w:vMerge w:val="continue"/>
            <w:vAlign w:val="center"/>
          </w:tcPr>
          <w:p w14:paraId="32C3CEFA">
            <w:pPr>
              <w:autoSpaceDE w:val="0"/>
              <w:autoSpaceDN w:val="0"/>
              <w:spacing w:line="240" w:lineRule="auto"/>
              <w:jc w:val="center"/>
              <w:rPr>
                <w:kern w:val="0"/>
                <w:sz w:val="15"/>
                <w:szCs w:val="15"/>
              </w:rPr>
            </w:pPr>
          </w:p>
        </w:tc>
        <w:tc>
          <w:tcPr>
            <w:tcW w:w="1606" w:type="dxa"/>
            <w:vMerge w:val="continue"/>
            <w:vAlign w:val="center"/>
          </w:tcPr>
          <w:p w14:paraId="1CE828C3">
            <w:pPr>
              <w:autoSpaceDE w:val="0"/>
              <w:autoSpaceDN w:val="0"/>
              <w:spacing w:line="240" w:lineRule="auto"/>
              <w:jc w:val="center"/>
              <w:rPr>
                <w:kern w:val="0"/>
                <w:sz w:val="15"/>
                <w:szCs w:val="15"/>
              </w:rPr>
            </w:pPr>
          </w:p>
        </w:tc>
        <w:tc>
          <w:tcPr>
            <w:tcW w:w="1184" w:type="dxa"/>
            <w:vMerge w:val="continue"/>
            <w:vAlign w:val="center"/>
          </w:tcPr>
          <w:p w14:paraId="11706F73">
            <w:pPr>
              <w:autoSpaceDE w:val="0"/>
              <w:autoSpaceDN w:val="0"/>
              <w:spacing w:line="240" w:lineRule="auto"/>
              <w:jc w:val="center"/>
              <w:rPr>
                <w:kern w:val="0"/>
                <w:sz w:val="15"/>
                <w:szCs w:val="15"/>
              </w:rPr>
            </w:pPr>
          </w:p>
        </w:tc>
        <w:tc>
          <w:tcPr>
            <w:tcW w:w="595" w:type="dxa"/>
            <w:vAlign w:val="center"/>
          </w:tcPr>
          <w:p w14:paraId="21704182">
            <w:pPr>
              <w:autoSpaceDE w:val="0"/>
              <w:autoSpaceDN w:val="0"/>
              <w:spacing w:line="240" w:lineRule="auto"/>
              <w:jc w:val="center"/>
              <w:rPr>
                <w:kern w:val="0"/>
                <w:sz w:val="15"/>
                <w:szCs w:val="15"/>
              </w:rPr>
            </w:pPr>
            <w:r>
              <w:rPr>
                <w:kern w:val="0"/>
                <w:sz w:val="15"/>
                <w:szCs w:val="15"/>
              </w:rPr>
              <w:t>＞1.5</w:t>
            </w:r>
          </w:p>
        </w:tc>
        <w:tc>
          <w:tcPr>
            <w:tcW w:w="891" w:type="dxa"/>
            <w:vAlign w:val="center"/>
          </w:tcPr>
          <w:p w14:paraId="6A8DCA93">
            <w:pPr>
              <w:autoSpaceDE w:val="0"/>
              <w:autoSpaceDN w:val="0"/>
              <w:spacing w:line="240" w:lineRule="auto"/>
              <w:jc w:val="center"/>
              <w:rPr>
                <w:kern w:val="0"/>
                <w:sz w:val="15"/>
                <w:szCs w:val="15"/>
              </w:rPr>
            </w:pPr>
            <w:r>
              <w:rPr>
                <w:kern w:val="0"/>
                <w:sz w:val="15"/>
                <w:szCs w:val="15"/>
              </w:rPr>
              <w:t>差</w:t>
            </w:r>
          </w:p>
        </w:tc>
      </w:tr>
      <w:tr w14:paraId="6B75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right"/>
        </w:trPr>
        <w:tc>
          <w:tcPr>
            <w:tcW w:w="753" w:type="dxa"/>
            <w:vMerge w:val="restart"/>
            <w:vAlign w:val="center"/>
          </w:tcPr>
          <w:p w14:paraId="37B92CD8">
            <w:pPr>
              <w:autoSpaceDE w:val="0"/>
              <w:autoSpaceDN w:val="0"/>
              <w:spacing w:line="240" w:lineRule="auto"/>
              <w:jc w:val="center"/>
              <w:rPr>
                <w:kern w:val="0"/>
                <w:sz w:val="15"/>
                <w:szCs w:val="15"/>
              </w:rPr>
            </w:pPr>
            <w:r>
              <w:rPr>
                <w:kern w:val="0"/>
                <w:sz w:val="15"/>
                <w:szCs w:val="15"/>
              </w:rPr>
              <w:t>站台短时</w:t>
            </w:r>
          </w:p>
          <w:p w14:paraId="55FA2313">
            <w:pPr>
              <w:autoSpaceDE w:val="0"/>
              <w:autoSpaceDN w:val="0"/>
              <w:spacing w:line="240" w:lineRule="auto"/>
              <w:jc w:val="center"/>
              <w:rPr>
                <w:kern w:val="0"/>
                <w:sz w:val="15"/>
                <w:szCs w:val="15"/>
              </w:rPr>
            </w:pPr>
            <w:r>
              <w:rPr>
                <w:kern w:val="0"/>
                <w:sz w:val="15"/>
                <w:szCs w:val="15"/>
              </w:rPr>
              <w:t>冲击性</w:t>
            </w:r>
          </w:p>
        </w:tc>
        <w:tc>
          <w:tcPr>
            <w:tcW w:w="1102" w:type="dxa"/>
            <w:vMerge w:val="restart"/>
            <w:vAlign w:val="center"/>
          </w:tcPr>
          <w:p w14:paraId="78206A1D">
            <w:pPr>
              <w:autoSpaceDE w:val="0"/>
              <w:autoSpaceDN w:val="0"/>
              <w:spacing w:line="240" w:lineRule="auto"/>
              <w:jc w:val="center"/>
              <w:rPr>
                <w:kern w:val="0"/>
                <w:sz w:val="15"/>
                <w:szCs w:val="15"/>
              </w:rPr>
            </w:pPr>
            <w:r>
              <w:rPr>
                <w:kern w:val="0"/>
                <w:sz w:val="15"/>
                <w:szCs w:val="15"/>
              </w:rPr>
              <w:t>瓶颈设施最大等待人数</w:t>
            </w:r>
            <w:r>
              <w:rPr>
                <w:rFonts w:hint="eastAsia"/>
                <w:kern w:val="0"/>
                <w:sz w:val="15"/>
                <w:szCs w:val="15"/>
              </w:rPr>
              <w:t>（</w:t>
            </w:r>
            <w:r>
              <w:rPr>
                <w:kern w:val="0"/>
                <w:sz w:val="15"/>
                <w:szCs w:val="15"/>
              </w:rPr>
              <w:t>人</w:t>
            </w:r>
            <w:r>
              <w:rPr>
                <w:rFonts w:hint="eastAsia"/>
                <w:kern w:val="0"/>
                <w:sz w:val="15"/>
                <w:szCs w:val="15"/>
              </w:rPr>
              <w:t>）</w:t>
            </w:r>
          </w:p>
        </w:tc>
        <w:tc>
          <w:tcPr>
            <w:tcW w:w="1606" w:type="dxa"/>
            <w:vMerge w:val="restart"/>
            <w:vAlign w:val="center"/>
          </w:tcPr>
          <w:p w14:paraId="0E93CF0D">
            <w:pPr>
              <w:autoSpaceDE w:val="0"/>
              <w:autoSpaceDN w:val="0"/>
              <w:spacing w:line="240" w:lineRule="auto"/>
              <w:jc w:val="center"/>
              <w:rPr>
                <w:kern w:val="0"/>
                <w:sz w:val="15"/>
                <w:szCs w:val="15"/>
              </w:rPr>
            </w:pPr>
            <w:r>
              <w:rPr>
                <w:kern w:val="0"/>
                <w:sz w:val="15"/>
                <w:szCs w:val="15"/>
              </w:rPr>
              <w:t>反映一批客流到达时的短时冲击大小，反映了换乘的安全性</w:t>
            </w:r>
          </w:p>
        </w:tc>
        <w:tc>
          <w:tcPr>
            <w:tcW w:w="1184" w:type="dxa"/>
            <w:vMerge w:val="restart"/>
            <w:vAlign w:val="center"/>
          </w:tcPr>
          <w:p w14:paraId="577AEA95">
            <w:pPr>
              <w:autoSpaceDE w:val="0"/>
              <w:autoSpaceDN w:val="0"/>
              <w:spacing w:line="240" w:lineRule="auto"/>
              <w:jc w:val="center"/>
              <w:rPr>
                <w:kern w:val="0"/>
                <w:sz w:val="15"/>
                <w:szCs w:val="15"/>
              </w:rPr>
            </w:pPr>
            <w:r>
              <w:rPr>
                <w:kern w:val="0"/>
                <w:sz w:val="15"/>
                <w:szCs w:val="15"/>
              </w:rPr>
              <w:t>换乘路径端部设施（站台楼扶梯）</w:t>
            </w:r>
          </w:p>
        </w:tc>
        <w:tc>
          <w:tcPr>
            <w:tcW w:w="595" w:type="dxa"/>
            <w:vAlign w:val="center"/>
          </w:tcPr>
          <w:p w14:paraId="21862D33">
            <w:pPr>
              <w:autoSpaceDE w:val="0"/>
              <w:autoSpaceDN w:val="0"/>
              <w:spacing w:line="240" w:lineRule="auto"/>
              <w:jc w:val="center"/>
              <w:rPr>
                <w:kern w:val="0"/>
                <w:sz w:val="15"/>
                <w:szCs w:val="15"/>
              </w:rPr>
            </w:pPr>
            <w:r>
              <w:rPr>
                <w:kern w:val="0"/>
                <w:sz w:val="15"/>
                <w:szCs w:val="15"/>
              </w:rPr>
              <w:t>＜50</w:t>
            </w:r>
          </w:p>
        </w:tc>
        <w:tc>
          <w:tcPr>
            <w:tcW w:w="891" w:type="dxa"/>
            <w:vAlign w:val="center"/>
          </w:tcPr>
          <w:p w14:paraId="3380B38D">
            <w:pPr>
              <w:autoSpaceDE w:val="0"/>
              <w:autoSpaceDN w:val="0"/>
              <w:spacing w:line="240" w:lineRule="auto"/>
              <w:jc w:val="center"/>
              <w:rPr>
                <w:kern w:val="0"/>
                <w:sz w:val="15"/>
                <w:szCs w:val="15"/>
              </w:rPr>
            </w:pPr>
            <w:r>
              <w:rPr>
                <w:kern w:val="0"/>
                <w:sz w:val="15"/>
                <w:szCs w:val="15"/>
              </w:rPr>
              <w:t>良好</w:t>
            </w:r>
          </w:p>
        </w:tc>
      </w:tr>
      <w:tr w14:paraId="08EC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right"/>
        </w:trPr>
        <w:tc>
          <w:tcPr>
            <w:tcW w:w="753" w:type="dxa"/>
            <w:vMerge w:val="continue"/>
            <w:vAlign w:val="center"/>
          </w:tcPr>
          <w:p w14:paraId="02A653F2">
            <w:pPr>
              <w:autoSpaceDE w:val="0"/>
              <w:autoSpaceDN w:val="0"/>
              <w:spacing w:line="240" w:lineRule="auto"/>
              <w:jc w:val="center"/>
              <w:rPr>
                <w:kern w:val="0"/>
                <w:sz w:val="15"/>
                <w:szCs w:val="15"/>
              </w:rPr>
            </w:pPr>
          </w:p>
        </w:tc>
        <w:tc>
          <w:tcPr>
            <w:tcW w:w="1102" w:type="dxa"/>
            <w:vMerge w:val="continue"/>
            <w:vAlign w:val="center"/>
          </w:tcPr>
          <w:p w14:paraId="41EF1F97">
            <w:pPr>
              <w:autoSpaceDE w:val="0"/>
              <w:autoSpaceDN w:val="0"/>
              <w:spacing w:line="240" w:lineRule="auto"/>
              <w:jc w:val="center"/>
              <w:rPr>
                <w:kern w:val="0"/>
                <w:sz w:val="15"/>
                <w:szCs w:val="15"/>
              </w:rPr>
            </w:pPr>
          </w:p>
        </w:tc>
        <w:tc>
          <w:tcPr>
            <w:tcW w:w="1606" w:type="dxa"/>
            <w:vMerge w:val="continue"/>
            <w:vAlign w:val="center"/>
          </w:tcPr>
          <w:p w14:paraId="0D9BB1F0">
            <w:pPr>
              <w:autoSpaceDE w:val="0"/>
              <w:autoSpaceDN w:val="0"/>
              <w:spacing w:line="240" w:lineRule="auto"/>
              <w:jc w:val="center"/>
              <w:rPr>
                <w:kern w:val="0"/>
                <w:sz w:val="15"/>
                <w:szCs w:val="15"/>
              </w:rPr>
            </w:pPr>
          </w:p>
        </w:tc>
        <w:tc>
          <w:tcPr>
            <w:tcW w:w="1184" w:type="dxa"/>
            <w:vMerge w:val="continue"/>
            <w:vAlign w:val="center"/>
          </w:tcPr>
          <w:p w14:paraId="2905F2A5">
            <w:pPr>
              <w:autoSpaceDE w:val="0"/>
              <w:autoSpaceDN w:val="0"/>
              <w:spacing w:line="240" w:lineRule="auto"/>
              <w:jc w:val="center"/>
              <w:rPr>
                <w:kern w:val="0"/>
                <w:sz w:val="15"/>
                <w:szCs w:val="15"/>
              </w:rPr>
            </w:pPr>
          </w:p>
        </w:tc>
        <w:tc>
          <w:tcPr>
            <w:tcW w:w="595" w:type="dxa"/>
            <w:vAlign w:val="center"/>
          </w:tcPr>
          <w:p w14:paraId="643A6F18">
            <w:pPr>
              <w:autoSpaceDE w:val="0"/>
              <w:autoSpaceDN w:val="0"/>
              <w:spacing w:line="240" w:lineRule="auto"/>
              <w:jc w:val="center"/>
              <w:rPr>
                <w:kern w:val="0"/>
                <w:sz w:val="15"/>
                <w:szCs w:val="15"/>
              </w:rPr>
            </w:pPr>
            <w:r>
              <w:rPr>
                <w:kern w:val="0"/>
                <w:sz w:val="15"/>
                <w:szCs w:val="15"/>
              </w:rPr>
              <w:t>50～200</w:t>
            </w:r>
          </w:p>
        </w:tc>
        <w:tc>
          <w:tcPr>
            <w:tcW w:w="891" w:type="dxa"/>
            <w:vAlign w:val="center"/>
          </w:tcPr>
          <w:p w14:paraId="30C4CCAD">
            <w:pPr>
              <w:autoSpaceDE w:val="0"/>
              <w:autoSpaceDN w:val="0"/>
              <w:spacing w:line="240" w:lineRule="auto"/>
              <w:jc w:val="center"/>
              <w:rPr>
                <w:kern w:val="0"/>
                <w:sz w:val="15"/>
                <w:szCs w:val="15"/>
              </w:rPr>
            </w:pPr>
            <w:r>
              <w:rPr>
                <w:kern w:val="0"/>
                <w:sz w:val="15"/>
                <w:szCs w:val="15"/>
              </w:rPr>
              <w:t>一般</w:t>
            </w:r>
          </w:p>
        </w:tc>
      </w:tr>
      <w:tr w14:paraId="1F33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right"/>
        </w:trPr>
        <w:tc>
          <w:tcPr>
            <w:tcW w:w="753" w:type="dxa"/>
            <w:vMerge w:val="continue"/>
            <w:vAlign w:val="center"/>
          </w:tcPr>
          <w:p w14:paraId="030088C5">
            <w:pPr>
              <w:autoSpaceDE w:val="0"/>
              <w:autoSpaceDN w:val="0"/>
              <w:spacing w:line="240" w:lineRule="auto"/>
              <w:jc w:val="center"/>
              <w:rPr>
                <w:kern w:val="0"/>
                <w:sz w:val="15"/>
                <w:szCs w:val="15"/>
              </w:rPr>
            </w:pPr>
          </w:p>
        </w:tc>
        <w:tc>
          <w:tcPr>
            <w:tcW w:w="1102" w:type="dxa"/>
            <w:vMerge w:val="continue"/>
            <w:vAlign w:val="center"/>
          </w:tcPr>
          <w:p w14:paraId="468B92A8">
            <w:pPr>
              <w:autoSpaceDE w:val="0"/>
              <w:autoSpaceDN w:val="0"/>
              <w:spacing w:line="240" w:lineRule="auto"/>
              <w:jc w:val="center"/>
              <w:rPr>
                <w:kern w:val="0"/>
                <w:sz w:val="15"/>
                <w:szCs w:val="15"/>
              </w:rPr>
            </w:pPr>
          </w:p>
        </w:tc>
        <w:tc>
          <w:tcPr>
            <w:tcW w:w="1606" w:type="dxa"/>
            <w:vMerge w:val="continue"/>
            <w:vAlign w:val="center"/>
          </w:tcPr>
          <w:p w14:paraId="73860D7F">
            <w:pPr>
              <w:autoSpaceDE w:val="0"/>
              <w:autoSpaceDN w:val="0"/>
              <w:spacing w:line="240" w:lineRule="auto"/>
              <w:jc w:val="center"/>
              <w:rPr>
                <w:kern w:val="0"/>
                <w:sz w:val="15"/>
                <w:szCs w:val="15"/>
              </w:rPr>
            </w:pPr>
          </w:p>
        </w:tc>
        <w:tc>
          <w:tcPr>
            <w:tcW w:w="1184" w:type="dxa"/>
            <w:vMerge w:val="continue"/>
            <w:vAlign w:val="center"/>
          </w:tcPr>
          <w:p w14:paraId="78C0C981">
            <w:pPr>
              <w:autoSpaceDE w:val="0"/>
              <w:autoSpaceDN w:val="0"/>
              <w:spacing w:line="240" w:lineRule="auto"/>
              <w:jc w:val="center"/>
              <w:rPr>
                <w:kern w:val="0"/>
                <w:sz w:val="15"/>
                <w:szCs w:val="15"/>
              </w:rPr>
            </w:pPr>
          </w:p>
        </w:tc>
        <w:tc>
          <w:tcPr>
            <w:tcW w:w="595" w:type="dxa"/>
            <w:vAlign w:val="center"/>
          </w:tcPr>
          <w:p w14:paraId="16FF4A2F">
            <w:pPr>
              <w:autoSpaceDE w:val="0"/>
              <w:autoSpaceDN w:val="0"/>
              <w:spacing w:line="240" w:lineRule="auto"/>
              <w:jc w:val="center"/>
              <w:rPr>
                <w:kern w:val="0"/>
                <w:sz w:val="15"/>
                <w:szCs w:val="15"/>
              </w:rPr>
            </w:pPr>
            <w:r>
              <w:rPr>
                <w:kern w:val="0"/>
                <w:sz w:val="15"/>
                <w:szCs w:val="15"/>
              </w:rPr>
              <w:t>＞200</w:t>
            </w:r>
          </w:p>
        </w:tc>
        <w:tc>
          <w:tcPr>
            <w:tcW w:w="891" w:type="dxa"/>
            <w:vAlign w:val="center"/>
          </w:tcPr>
          <w:p w14:paraId="5ACDAB57">
            <w:pPr>
              <w:autoSpaceDE w:val="0"/>
              <w:autoSpaceDN w:val="0"/>
              <w:spacing w:line="240" w:lineRule="auto"/>
              <w:jc w:val="center"/>
              <w:rPr>
                <w:kern w:val="0"/>
                <w:sz w:val="15"/>
                <w:szCs w:val="15"/>
              </w:rPr>
            </w:pPr>
            <w:r>
              <w:rPr>
                <w:kern w:val="0"/>
                <w:sz w:val="15"/>
                <w:szCs w:val="15"/>
              </w:rPr>
              <w:t>差</w:t>
            </w:r>
          </w:p>
        </w:tc>
      </w:tr>
      <w:tr w14:paraId="7D13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right"/>
        </w:trPr>
        <w:tc>
          <w:tcPr>
            <w:tcW w:w="753" w:type="dxa"/>
            <w:vMerge w:val="continue"/>
            <w:vAlign w:val="center"/>
          </w:tcPr>
          <w:p w14:paraId="029E44D7">
            <w:pPr>
              <w:autoSpaceDE w:val="0"/>
              <w:autoSpaceDN w:val="0"/>
              <w:spacing w:line="240" w:lineRule="auto"/>
              <w:jc w:val="center"/>
              <w:rPr>
                <w:kern w:val="0"/>
                <w:sz w:val="15"/>
                <w:szCs w:val="15"/>
              </w:rPr>
            </w:pPr>
          </w:p>
        </w:tc>
        <w:tc>
          <w:tcPr>
            <w:tcW w:w="1102" w:type="dxa"/>
            <w:vMerge w:val="restart"/>
            <w:vAlign w:val="center"/>
          </w:tcPr>
          <w:p w14:paraId="0CC3A38E">
            <w:pPr>
              <w:autoSpaceDE w:val="0"/>
              <w:autoSpaceDN w:val="0"/>
              <w:spacing w:line="240" w:lineRule="auto"/>
              <w:jc w:val="center"/>
              <w:rPr>
                <w:kern w:val="0"/>
                <w:sz w:val="15"/>
                <w:szCs w:val="15"/>
              </w:rPr>
            </w:pPr>
            <w:r>
              <w:rPr>
                <w:kern w:val="0"/>
                <w:sz w:val="15"/>
                <w:szCs w:val="15"/>
              </w:rPr>
              <w:t>两端站台人流密度</w:t>
            </w:r>
          </w:p>
          <w:p w14:paraId="486641F3">
            <w:pPr>
              <w:autoSpaceDE w:val="0"/>
              <w:autoSpaceDN w:val="0"/>
              <w:spacing w:line="240" w:lineRule="auto"/>
              <w:jc w:val="center"/>
              <w:rPr>
                <w:kern w:val="0"/>
                <w:sz w:val="15"/>
                <w:szCs w:val="15"/>
              </w:rPr>
            </w:pPr>
            <w:r>
              <w:rPr>
                <w:kern w:val="0"/>
                <w:sz w:val="15"/>
                <w:szCs w:val="15"/>
              </w:rPr>
              <w:t>（人/</w:t>
            </w:r>
            <w:r>
              <w:rPr>
                <w:rFonts w:hint="eastAsia"/>
                <w:kern w:val="0"/>
                <w:sz w:val="15"/>
                <w:szCs w:val="15"/>
              </w:rPr>
              <w:t>m</w:t>
            </w:r>
            <w:r>
              <w:rPr>
                <w:rFonts w:hint="eastAsia"/>
                <w:kern w:val="0"/>
                <w:sz w:val="15"/>
                <w:szCs w:val="15"/>
                <w:vertAlign w:val="superscript"/>
              </w:rPr>
              <w:t>2</w:t>
            </w:r>
            <w:r>
              <w:rPr>
                <w:kern w:val="0"/>
                <w:sz w:val="15"/>
                <w:szCs w:val="15"/>
              </w:rPr>
              <w:t>）</w:t>
            </w:r>
          </w:p>
        </w:tc>
        <w:tc>
          <w:tcPr>
            <w:tcW w:w="1606" w:type="dxa"/>
            <w:vMerge w:val="restart"/>
            <w:vAlign w:val="center"/>
          </w:tcPr>
          <w:p w14:paraId="15FCDD10">
            <w:pPr>
              <w:autoSpaceDE w:val="0"/>
              <w:autoSpaceDN w:val="0"/>
              <w:spacing w:line="240" w:lineRule="auto"/>
              <w:jc w:val="center"/>
              <w:rPr>
                <w:kern w:val="0"/>
                <w:sz w:val="15"/>
                <w:szCs w:val="15"/>
              </w:rPr>
            </w:pPr>
            <w:r>
              <w:rPr>
                <w:kern w:val="0"/>
                <w:sz w:val="15"/>
                <w:szCs w:val="15"/>
              </w:rPr>
              <w:t>反映一批客流达到时，换乘路径两端站台有效面积内的人流拥挤</w:t>
            </w:r>
            <w:r>
              <w:rPr>
                <w:rFonts w:hint="eastAsia"/>
                <w:kern w:val="0"/>
                <w:sz w:val="15"/>
                <w:szCs w:val="15"/>
              </w:rPr>
              <w:t>程度（换乘的安全性和舒适度）</w:t>
            </w:r>
          </w:p>
        </w:tc>
        <w:tc>
          <w:tcPr>
            <w:tcW w:w="1184" w:type="dxa"/>
            <w:vMerge w:val="restart"/>
            <w:vAlign w:val="center"/>
          </w:tcPr>
          <w:p w14:paraId="20B9788B">
            <w:pPr>
              <w:autoSpaceDE w:val="0"/>
              <w:autoSpaceDN w:val="0"/>
              <w:spacing w:line="240" w:lineRule="auto"/>
              <w:jc w:val="center"/>
              <w:rPr>
                <w:kern w:val="0"/>
                <w:sz w:val="15"/>
                <w:szCs w:val="15"/>
              </w:rPr>
            </w:pPr>
            <w:r>
              <w:rPr>
                <w:kern w:val="0"/>
                <w:sz w:val="15"/>
                <w:szCs w:val="15"/>
              </w:rPr>
              <w:t>换乘路径的</w:t>
            </w:r>
          </w:p>
          <w:p w14:paraId="06523C26">
            <w:pPr>
              <w:autoSpaceDE w:val="0"/>
              <w:autoSpaceDN w:val="0"/>
              <w:spacing w:line="240" w:lineRule="auto"/>
              <w:jc w:val="center"/>
              <w:rPr>
                <w:kern w:val="0"/>
                <w:sz w:val="15"/>
                <w:szCs w:val="15"/>
              </w:rPr>
            </w:pPr>
            <w:r>
              <w:rPr>
                <w:kern w:val="0"/>
                <w:sz w:val="15"/>
                <w:szCs w:val="15"/>
              </w:rPr>
              <w:t>两端站台</w:t>
            </w:r>
          </w:p>
        </w:tc>
        <w:tc>
          <w:tcPr>
            <w:tcW w:w="595" w:type="dxa"/>
            <w:vAlign w:val="center"/>
          </w:tcPr>
          <w:p w14:paraId="1BDA3481">
            <w:pPr>
              <w:autoSpaceDE w:val="0"/>
              <w:autoSpaceDN w:val="0"/>
              <w:spacing w:line="240" w:lineRule="auto"/>
              <w:jc w:val="center"/>
              <w:rPr>
                <w:kern w:val="0"/>
                <w:sz w:val="15"/>
                <w:szCs w:val="15"/>
              </w:rPr>
            </w:pPr>
            <w:r>
              <w:rPr>
                <w:kern w:val="0"/>
                <w:sz w:val="15"/>
                <w:szCs w:val="15"/>
              </w:rPr>
              <w:t>＜1.0</w:t>
            </w:r>
          </w:p>
        </w:tc>
        <w:tc>
          <w:tcPr>
            <w:tcW w:w="891" w:type="dxa"/>
            <w:vAlign w:val="center"/>
          </w:tcPr>
          <w:p w14:paraId="1D1D0345">
            <w:pPr>
              <w:autoSpaceDE w:val="0"/>
              <w:autoSpaceDN w:val="0"/>
              <w:spacing w:line="240" w:lineRule="auto"/>
              <w:jc w:val="center"/>
              <w:rPr>
                <w:kern w:val="0"/>
                <w:sz w:val="15"/>
                <w:szCs w:val="15"/>
              </w:rPr>
            </w:pPr>
            <w:r>
              <w:rPr>
                <w:kern w:val="0"/>
                <w:sz w:val="15"/>
                <w:szCs w:val="15"/>
              </w:rPr>
              <w:t>良好</w:t>
            </w:r>
          </w:p>
        </w:tc>
      </w:tr>
      <w:tr w14:paraId="3F54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right"/>
        </w:trPr>
        <w:tc>
          <w:tcPr>
            <w:tcW w:w="753" w:type="dxa"/>
            <w:vMerge w:val="continue"/>
            <w:vAlign w:val="center"/>
          </w:tcPr>
          <w:p w14:paraId="6419EAB9">
            <w:pPr>
              <w:autoSpaceDE w:val="0"/>
              <w:autoSpaceDN w:val="0"/>
              <w:spacing w:line="240" w:lineRule="auto"/>
              <w:jc w:val="center"/>
              <w:rPr>
                <w:kern w:val="0"/>
                <w:sz w:val="15"/>
                <w:szCs w:val="15"/>
              </w:rPr>
            </w:pPr>
          </w:p>
        </w:tc>
        <w:tc>
          <w:tcPr>
            <w:tcW w:w="1102" w:type="dxa"/>
            <w:vMerge w:val="continue"/>
            <w:vAlign w:val="center"/>
          </w:tcPr>
          <w:p w14:paraId="514EAF6C">
            <w:pPr>
              <w:autoSpaceDE w:val="0"/>
              <w:autoSpaceDN w:val="0"/>
              <w:spacing w:line="240" w:lineRule="auto"/>
              <w:jc w:val="center"/>
              <w:rPr>
                <w:kern w:val="0"/>
                <w:sz w:val="15"/>
                <w:szCs w:val="15"/>
              </w:rPr>
            </w:pPr>
          </w:p>
        </w:tc>
        <w:tc>
          <w:tcPr>
            <w:tcW w:w="1606" w:type="dxa"/>
            <w:vMerge w:val="continue"/>
            <w:vAlign w:val="center"/>
          </w:tcPr>
          <w:p w14:paraId="52AC9182">
            <w:pPr>
              <w:autoSpaceDE w:val="0"/>
              <w:autoSpaceDN w:val="0"/>
              <w:spacing w:line="240" w:lineRule="auto"/>
              <w:jc w:val="center"/>
              <w:rPr>
                <w:kern w:val="0"/>
                <w:sz w:val="15"/>
                <w:szCs w:val="15"/>
              </w:rPr>
            </w:pPr>
          </w:p>
        </w:tc>
        <w:tc>
          <w:tcPr>
            <w:tcW w:w="1184" w:type="dxa"/>
            <w:vMerge w:val="continue"/>
            <w:vAlign w:val="center"/>
          </w:tcPr>
          <w:p w14:paraId="415708CF">
            <w:pPr>
              <w:autoSpaceDE w:val="0"/>
              <w:autoSpaceDN w:val="0"/>
              <w:spacing w:line="240" w:lineRule="auto"/>
              <w:jc w:val="center"/>
              <w:rPr>
                <w:kern w:val="0"/>
                <w:sz w:val="15"/>
                <w:szCs w:val="15"/>
              </w:rPr>
            </w:pPr>
          </w:p>
        </w:tc>
        <w:tc>
          <w:tcPr>
            <w:tcW w:w="595" w:type="dxa"/>
            <w:vAlign w:val="center"/>
          </w:tcPr>
          <w:p w14:paraId="42F9CC35">
            <w:pPr>
              <w:autoSpaceDE w:val="0"/>
              <w:autoSpaceDN w:val="0"/>
              <w:spacing w:line="240" w:lineRule="auto"/>
              <w:jc w:val="center"/>
              <w:rPr>
                <w:kern w:val="0"/>
                <w:sz w:val="15"/>
                <w:szCs w:val="15"/>
              </w:rPr>
            </w:pPr>
            <w:r>
              <w:rPr>
                <w:kern w:val="0"/>
                <w:sz w:val="15"/>
                <w:szCs w:val="15"/>
              </w:rPr>
              <w:t>1.0～1.2</w:t>
            </w:r>
          </w:p>
        </w:tc>
        <w:tc>
          <w:tcPr>
            <w:tcW w:w="891" w:type="dxa"/>
            <w:vAlign w:val="center"/>
          </w:tcPr>
          <w:p w14:paraId="041BF363">
            <w:pPr>
              <w:autoSpaceDE w:val="0"/>
              <w:autoSpaceDN w:val="0"/>
              <w:spacing w:line="240" w:lineRule="auto"/>
              <w:jc w:val="center"/>
              <w:rPr>
                <w:kern w:val="0"/>
                <w:sz w:val="15"/>
                <w:szCs w:val="15"/>
              </w:rPr>
            </w:pPr>
            <w:r>
              <w:rPr>
                <w:kern w:val="0"/>
                <w:sz w:val="15"/>
                <w:szCs w:val="15"/>
              </w:rPr>
              <w:t>一般</w:t>
            </w:r>
          </w:p>
        </w:tc>
      </w:tr>
      <w:tr w14:paraId="6CBA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right"/>
        </w:trPr>
        <w:tc>
          <w:tcPr>
            <w:tcW w:w="753" w:type="dxa"/>
            <w:vMerge w:val="continue"/>
            <w:vAlign w:val="center"/>
          </w:tcPr>
          <w:p w14:paraId="315D8CCA">
            <w:pPr>
              <w:autoSpaceDE w:val="0"/>
              <w:autoSpaceDN w:val="0"/>
              <w:spacing w:line="240" w:lineRule="auto"/>
              <w:jc w:val="center"/>
              <w:rPr>
                <w:kern w:val="0"/>
                <w:sz w:val="15"/>
                <w:szCs w:val="15"/>
              </w:rPr>
            </w:pPr>
          </w:p>
        </w:tc>
        <w:tc>
          <w:tcPr>
            <w:tcW w:w="1102" w:type="dxa"/>
            <w:vMerge w:val="continue"/>
            <w:vAlign w:val="center"/>
          </w:tcPr>
          <w:p w14:paraId="6CEEE052">
            <w:pPr>
              <w:autoSpaceDE w:val="0"/>
              <w:autoSpaceDN w:val="0"/>
              <w:spacing w:line="240" w:lineRule="auto"/>
              <w:jc w:val="center"/>
              <w:rPr>
                <w:kern w:val="0"/>
                <w:sz w:val="15"/>
                <w:szCs w:val="15"/>
              </w:rPr>
            </w:pPr>
          </w:p>
        </w:tc>
        <w:tc>
          <w:tcPr>
            <w:tcW w:w="1606" w:type="dxa"/>
            <w:vMerge w:val="continue"/>
            <w:vAlign w:val="center"/>
          </w:tcPr>
          <w:p w14:paraId="232099CF">
            <w:pPr>
              <w:autoSpaceDE w:val="0"/>
              <w:autoSpaceDN w:val="0"/>
              <w:spacing w:line="240" w:lineRule="auto"/>
              <w:jc w:val="center"/>
              <w:rPr>
                <w:kern w:val="0"/>
                <w:sz w:val="15"/>
                <w:szCs w:val="15"/>
              </w:rPr>
            </w:pPr>
          </w:p>
        </w:tc>
        <w:tc>
          <w:tcPr>
            <w:tcW w:w="1184" w:type="dxa"/>
            <w:vMerge w:val="continue"/>
            <w:vAlign w:val="center"/>
          </w:tcPr>
          <w:p w14:paraId="34B962F5">
            <w:pPr>
              <w:autoSpaceDE w:val="0"/>
              <w:autoSpaceDN w:val="0"/>
              <w:spacing w:line="240" w:lineRule="auto"/>
              <w:jc w:val="center"/>
              <w:rPr>
                <w:kern w:val="0"/>
                <w:sz w:val="15"/>
                <w:szCs w:val="15"/>
              </w:rPr>
            </w:pPr>
          </w:p>
        </w:tc>
        <w:tc>
          <w:tcPr>
            <w:tcW w:w="595" w:type="dxa"/>
            <w:vAlign w:val="center"/>
          </w:tcPr>
          <w:p w14:paraId="471612CA">
            <w:pPr>
              <w:autoSpaceDE w:val="0"/>
              <w:autoSpaceDN w:val="0"/>
              <w:spacing w:line="240" w:lineRule="auto"/>
              <w:jc w:val="center"/>
              <w:rPr>
                <w:kern w:val="0"/>
                <w:sz w:val="15"/>
                <w:szCs w:val="15"/>
              </w:rPr>
            </w:pPr>
            <w:r>
              <w:rPr>
                <w:kern w:val="0"/>
                <w:sz w:val="15"/>
                <w:szCs w:val="15"/>
              </w:rPr>
              <w:t>＞1.2</w:t>
            </w:r>
          </w:p>
        </w:tc>
        <w:tc>
          <w:tcPr>
            <w:tcW w:w="891" w:type="dxa"/>
            <w:vAlign w:val="center"/>
          </w:tcPr>
          <w:p w14:paraId="34DBBBA8">
            <w:pPr>
              <w:autoSpaceDE w:val="0"/>
              <w:autoSpaceDN w:val="0"/>
              <w:spacing w:line="240" w:lineRule="auto"/>
              <w:jc w:val="center"/>
              <w:rPr>
                <w:kern w:val="0"/>
                <w:sz w:val="15"/>
                <w:szCs w:val="15"/>
              </w:rPr>
            </w:pPr>
            <w:r>
              <w:rPr>
                <w:kern w:val="0"/>
                <w:sz w:val="15"/>
                <w:szCs w:val="15"/>
              </w:rPr>
              <w:t>差</w:t>
            </w:r>
          </w:p>
        </w:tc>
      </w:tr>
      <w:tr w14:paraId="29E2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right"/>
        </w:trPr>
        <w:tc>
          <w:tcPr>
            <w:tcW w:w="753" w:type="dxa"/>
            <w:vMerge w:val="restart"/>
            <w:vAlign w:val="center"/>
          </w:tcPr>
          <w:p w14:paraId="586C40BB">
            <w:pPr>
              <w:autoSpaceDE w:val="0"/>
              <w:autoSpaceDN w:val="0"/>
              <w:spacing w:line="240" w:lineRule="auto"/>
              <w:jc w:val="center"/>
              <w:rPr>
                <w:kern w:val="0"/>
                <w:sz w:val="15"/>
                <w:szCs w:val="15"/>
              </w:rPr>
            </w:pPr>
            <w:r>
              <w:rPr>
                <w:kern w:val="0"/>
                <w:sz w:val="15"/>
                <w:szCs w:val="15"/>
              </w:rPr>
              <w:t>换乘</w:t>
            </w:r>
          </w:p>
          <w:p w14:paraId="4BFC23AB">
            <w:pPr>
              <w:autoSpaceDE w:val="0"/>
              <w:autoSpaceDN w:val="0"/>
              <w:spacing w:line="240" w:lineRule="auto"/>
              <w:jc w:val="center"/>
              <w:rPr>
                <w:kern w:val="0"/>
                <w:sz w:val="15"/>
                <w:szCs w:val="15"/>
              </w:rPr>
            </w:pPr>
            <w:r>
              <w:rPr>
                <w:kern w:val="0"/>
                <w:sz w:val="15"/>
                <w:szCs w:val="15"/>
              </w:rPr>
              <w:t>便捷性</w:t>
            </w:r>
          </w:p>
        </w:tc>
        <w:tc>
          <w:tcPr>
            <w:tcW w:w="1102" w:type="dxa"/>
            <w:vMerge w:val="restart"/>
            <w:vAlign w:val="center"/>
          </w:tcPr>
          <w:p w14:paraId="22F139E1">
            <w:pPr>
              <w:autoSpaceDE w:val="0"/>
              <w:autoSpaceDN w:val="0"/>
              <w:spacing w:line="240" w:lineRule="auto"/>
              <w:jc w:val="center"/>
              <w:rPr>
                <w:kern w:val="0"/>
                <w:sz w:val="15"/>
                <w:szCs w:val="15"/>
              </w:rPr>
            </w:pPr>
            <w:r>
              <w:rPr>
                <w:kern w:val="0"/>
                <w:sz w:val="15"/>
                <w:szCs w:val="15"/>
              </w:rPr>
              <w:t>平均换乘时间</w:t>
            </w:r>
          </w:p>
          <w:p w14:paraId="1B462FA7">
            <w:pPr>
              <w:autoSpaceDE w:val="0"/>
              <w:autoSpaceDN w:val="0"/>
              <w:spacing w:line="240" w:lineRule="auto"/>
              <w:jc w:val="center"/>
              <w:rPr>
                <w:kern w:val="0"/>
                <w:sz w:val="15"/>
                <w:szCs w:val="15"/>
              </w:rPr>
            </w:pPr>
            <w:r>
              <w:rPr>
                <w:kern w:val="0"/>
                <w:sz w:val="15"/>
                <w:szCs w:val="15"/>
              </w:rPr>
              <w:t>（min）</w:t>
            </w:r>
          </w:p>
        </w:tc>
        <w:tc>
          <w:tcPr>
            <w:tcW w:w="1606" w:type="dxa"/>
            <w:vMerge w:val="restart"/>
            <w:vAlign w:val="center"/>
          </w:tcPr>
          <w:p w14:paraId="6E9ED502">
            <w:pPr>
              <w:autoSpaceDE w:val="0"/>
              <w:autoSpaceDN w:val="0"/>
              <w:spacing w:line="240" w:lineRule="auto"/>
              <w:jc w:val="center"/>
              <w:rPr>
                <w:kern w:val="0"/>
                <w:sz w:val="15"/>
                <w:szCs w:val="15"/>
              </w:rPr>
            </w:pPr>
            <w:r>
              <w:rPr>
                <w:kern w:val="0"/>
                <w:sz w:val="15"/>
                <w:szCs w:val="15"/>
              </w:rPr>
              <w:t>反映换乘方式及通行设施的完善程度对换乘行走时间的影响</w:t>
            </w:r>
          </w:p>
        </w:tc>
        <w:tc>
          <w:tcPr>
            <w:tcW w:w="1184" w:type="dxa"/>
            <w:vMerge w:val="restart"/>
            <w:vAlign w:val="center"/>
          </w:tcPr>
          <w:p w14:paraId="5E5EA888">
            <w:pPr>
              <w:autoSpaceDE w:val="0"/>
              <w:autoSpaceDN w:val="0"/>
              <w:spacing w:line="240" w:lineRule="auto"/>
              <w:jc w:val="center"/>
              <w:rPr>
                <w:kern w:val="0"/>
                <w:sz w:val="15"/>
                <w:szCs w:val="15"/>
              </w:rPr>
            </w:pPr>
            <w:r>
              <w:rPr>
                <w:kern w:val="0"/>
                <w:sz w:val="15"/>
                <w:szCs w:val="15"/>
              </w:rPr>
              <w:t>所有换乘方向</w:t>
            </w:r>
          </w:p>
        </w:tc>
        <w:tc>
          <w:tcPr>
            <w:tcW w:w="595" w:type="dxa"/>
            <w:vAlign w:val="center"/>
          </w:tcPr>
          <w:p w14:paraId="70745E84">
            <w:pPr>
              <w:autoSpaceDE w:val="0"/>
              <w:autoSpaceDN w:val="0"/>
              <w:spacing w:line="240" w:lineRule="auto"/>
              <w:jc w:val="center"/>
              <w:rPr>
                <w:kern w:val="0"/>
                <w:sz w:val="15"/>
                <w:szCs w:val="15"/>
              </w:rPr>
            </w:pPr>
            <w:r>
              <w:rPr>
                <w:kern w:val="0"/>
                <w:sz w:val="15"/>
                <w:szCs w:val="15"/>
              </w:rPr>
              <w:t>＜1</w:t>
            </w:r>
          </w:p>
        </w:tc>
        <w:tc>
          <w:tcPr>
            <w:tcW w:w="891" w:type="dxa"/>
            <w:vAlign w:val="center"/>
          </w:tcPr>
          <w:p w14:paraId="3B5AEA7C">
            <w:pPr>
              <w:autoSpaceDE w:val="0"/>
              <w:autoSpaceDN w:val="0"/>
              <w:spacing w:line="240" w:lineRule="auto"/>
              <w:jc w:val="center"/>
              <w:rPr>
                <w:kern w:val="0"/>
                <w:sz w:val="15"/>
                <w:szCs w:val="15"/>
              </w:rPr>
            </w:pPr>
            <w:r>
              <w:rPr>
                <w:kern w:val="0"/>
                <w:sz w:val="15"/>
                <w:szCs w:val="15"/>
              </w:rPr>
              <w:t>良好</w:t>
            </w:r>
          </w:p>
        </w:tc>
      </w:tr>
      <w:tr w14:paraId="1558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right"/>
        </w:trPr>
        <w:tc>
          <w:tcPr>
            <w:tcW w:w="753" w:type="dxa"/>
            <w:vMerge w:val="continue"/>
            <w:vAlign w:val="center"/>
          </w:tcPr>
          <w:p w14:paraId="6E708D60">
            <w:pPr>
              <w:autoSpaceDE w:val="0"/>
              <w:autoSpaceDN w:val="0"/>
              <w:spacing w:line="240" w:lineRule="auto"/>
              <w:jc w:val="center"/>
              <w:rPr>
                <w:kern w:val="0"/>
                <w:sz w:val="15"/>
                <w:szCs w:val="15"/>
              </w:rPr>
            </w:pPr>
          </w:p>
        </w:tc>
        <w:tc>
          <w:tcPr>
            <w:tcW w:w="1102" w:type="dxa"/>
            <w:vMerge w:val="continue"/>
            <w:vAlign w:val="center"/>
          </w:tcPr>
          <w:p w14:paraId="6EEC9C3A">
            <w:pPr>
              <w:autoSpaceDE w:val="0"/>
              <w:autoSpaceDN w:val="0"/>
              <w:spacing w:line="240" w:lineRule="auto"/>
              <w:jc w:val="center"/>
              <w:rPr>
                <w:kern w:val="0"/>
                <w:sz w:val="15"/>
                <w:szCs w:val="15"/>
              </w:rPr>
            </w:pPr>
          </w:p>
        </w:tc>
        <w:tc>
          <w:tcPr>
            <w:tcW w:w="1606" w:type="dxa"/>
            <w:vMerge w:val="continue"/>
            <w:vAlign w:val="center"/>
          </w:tcPr>
          <w:p w14:paraId="06323CC2">
            <w:pPr>
              <w:autoSpaceDE w:val="0"/>
              <w:autoSpaceDN w:val="0"/>
              <w:spacing w:line="240" w:lineRule="auto"/>
              <w:jc w:val="center"/>
              <w:rPr>
                <w:kern w:val="0"/>
                <w:sz w:val="15"/>
                <w:szCs w:val="15"/>
              </w:rPr>
            </w:pPr>
          </w:p>
        </w:tc>
        <w:tc>
          <w:tcPr>
            <w:tcW w:w="1184" w:type="dxa"/>
            <w:vMerge w:val="continue"/>
            <w:vAlign w:val="center"/>
          </w:tcPr>
          <w:p w14:paraId="5051904E">
            <w:pPr>
              <w:autoSpaceDE w:val="0"/>
              <w:autoSpaceDN w:val="0"/>
              <w:spacing w:line="240" w:lineRule="auto"/>
              <w:jc w:val="center"/>
              <w:rPr>
                <w:kern w:val="0"/>
                <w:sz w:val="15"/>
                <w:szCs w:val="15"/>
              </w:rPr>
            </w:pPr>
          </w:p>
        </w:tc>
        <w:tc>
          <w:tcPr>
            <w:tcW w:w="595" w:type="dxa"/>
            <w:vAlign w:val="center"/>
          </w:tcPr>
          <w:p w14:paraId="6419D228">
            <w:pPr>
              <w:autoSpaceDE w:val="0"/>
              <w:autoSpaceDN w:val="0"/>
              <w:spacing w:line="240" w:lineRule="auto"/>
              <w:jc w:val="center"/>
              <w:rPr>
                <w:kern w:val="0"/>
                <w:sz w:val="15"/>
                <w:szCs w:val="15"/>
              </w:rPr>
            </w:pPr>
            <w:r>
              <w:rPr>
                <w:kern w:val="0"/>
                <w:sz w:val="15"/>
                <w:szCs w:val="15"/>
              </w:rPr>
              <w:t>1～3</w:t>
            </w:r>
          </w:p>
        </w:tc>
        <w:tc>
          <w:tcPr>
            <w:tcW w:w="891" w:type="dxa"/>
            <w:vAlign w:val="center"/>
          </w:tcPr>
          <w:p w14:paraId="4DA02FDB">
            <w:pPr>
              <w:autoSpaceDE w:val="0"/>
              <w:autoSpaceDN w:val="0"/>
              <w:spacing w:line="240" w:lineRule="auto"/>
              <w:jc w:val="center"/>
              <w:rPr>
                <w:kern w:val="0"/>
                <w:sz w:val="15"/>
                <w:szCs w:val="15"/>
              </w:rPr>
            </w:pPr>
            <w:r>
              <w:rPr>
                <w:kern w:val="0"/>
                <w:sz w:val="15"/>
                <w:szCs w:val="15"/>
              </w:rPr>
              <w:t>一般</w:t>
            </w:r>
          </w:p>
        </w:tc>
      </w:tr>
      <w:tr w14:paraId="4EA5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right"/>
        </w:trPr>
        <w:tc>
          <w:tcPr>
            <w:tcW w:w="753" w:type="dxa"/>
            <w:vMerge w:val="continue"/>
            <w:vAlign w:val="center"/>
          </w:tcPr>
          <w:p w14:paraId="0B5320C9">
            <w:pPr>
              <w:autoSpaceDE w:val="0"/>
              <w:autoSpaceDN w:val="0"/>
              <w:spacing w:line="240" w:lineRule="auto"/>
              <w:jc w:val="center"/>
              <w:rPr>
                <w:kern w:val="0"/>
                <w:sz w:val="15"/>
                <w:szCs w:val="15"/>
              </w:rPr>
            </w:pPr>
          </w:p>
        </w:tc>
        <w:tc>
          <w:tcPr>
            <w:tcW w:w="1102" w:type="dxa"/>
            <w:vMerge w:val="continue"/>
            <w:vAlign w:val="center"/>
          </w:tcPr>
          <w:p w14:paraId="0F1D83F5">
            <w:pPr>
              <w:autoSpaceDE w:val="0"/>
              <w:autoSpaceDN w:val="0"/>
              <w:spacing w:line="240" w:lineRule="auto"/>
              <w:jc w:val="center"/>
              <w:rPr>
                <w:kern w:val="0"/>
                <w:sz w:val="15"/>
                <w:szCs w:val="15"/>
              </w:rPr>
            </w:pPr>
          </w:p>
        </w:tc>
        <w:tc>
          <w:tcPr>
            <w:tcW w:w="1606" w:type="dxa"/>
            <w:vMerge w:val="continue"/>
            <w:vAlign w:val="center"/>
          </w:tcPr>
          <w:p w14:paraId="7A5C05AC">
            <w:pPr>
              <w:autoSpaceDE w:val="0"/>
              <w:autoSpaceDN w:val="0"/>
              <w:spacing w:line="240" w:lineRule="auto"/>
              <w:jc w:val="center"/>
              <w:rPr>
                <w:kern w:val="0"/>
                <w:sz w:val="15"/>
                <w:szCs w:val="15"/>
              </w:rPr>
            </w:pPr>
          </w:p>
        </w:tc>
        <w:tc>
          <w:tcPr>
            <w:tcW w:w="1184" w:type="dxa"/>
            <w:vMerge w:val="continue"/>
            <w:vAlign w:val="center"/>
          </w:tcPr>
          <w:p w14:paraId="3752961D">
            <w:pPr>
              <w:autoSpaceDE w:val="0"/>
              <w:autoSpaceDN w:val="0"/>
              <w:spacing w:line="240" w:lineRule="auto"/>
              <w:jc w:val="center"/>
              <w:rPr>
                <w:kern w:val="0"/>
                <w:sz w:val="15"/>
                <w:szCs w:val="15"/>
              </w:rPr>
            </w:pPr>
          </w:p>
        </w:tc>
        <w:tc>
          <w:tcPr>
            <w:tcW w:w="595" w:type="dxa"/>
            <w:vAlign w:val="center"/>
          </w:tcPr>
          <w:p w14:paraId="7655AF79">
            <w:pPr>
              <w:autoSpaceDE w:val="0"/>
              <w:autoSpaceDN w:val="0"/>
              <w:spacing w:line="240" w:lineRule="auto"/>
              <w:jc w:val="center"/>
              <w:rPr>
                <w:kern w:val="0"/>
                <w:sz w:val="15"/>
                <w:szCs w:val="15"/>
              </w:rPr>
            </w:pPr>
            <w:r>
              <w:rPr>
                <w:kern w:val="0"/>
                <w:sz w:val="15"/>
                <w:szCs w:val="15"/>
              </w:rPr>
              <w:t>＞3</w:t>
            </w:r>
          </w:p>
        </w:tc>
        <w:tc>
          <w:tcPr>
            <w:tcW w:w="891" w:type="dxa"/>
            <w:vAlign w:val="center"/>
          </w:tcPr>
          <w:p w14:paraId="5039A619">
            <w:pPr>
              <w:autoSpaceDE w:val="0"/>
              <w:autoSpaceDN w:val="0"/>
              <w:spacing w:line="240" w:lineRule="auto"/>
              <w:jc w:val="center"/>
              <w:rPr>
                <w:kern w:val="0"/>
                <w:sz w:val="15"/>
                <w:szCs w:val="15"/>
              </w:rPr>
            </w:pPr>
            <w:r>
              <w:rPr>
                <w:kern w:val="0"/>
                <w:sz w:val="15"/>
                <w:szCs w:val="15"/>
              </w:rPr>
              <w:t>差</w:t>
            </w:r>
          </w:p>
        </w:tc>
      </w:tr>
      <w:tr w14:paraId="75E5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right"/>
        </w:trPr>
        <w:tc>
          <w:tcPr>
            <w:tcW w:w="753" w:type="dxa"/>
            <w:vMerge w:val="restart"/>
            <w:vAlign w:val="center"/>
          </w:tcPr>
          <w:p w14:paraId="4F36AAC8">
            <w:pPr>
              <w:autoSpaceDE w:val="0"/>
              <w:autoSpaceDN w:val="0"/>
              <w:spacing w:line="240" w:lineRule="auto"/>
              <w:jc w:val="center"/>
              <w:rPr>
                <w:kern w:val="0"/>
                <w:sz w:val="15"/>
                <w:szCs w:val="15"/>
              </w:rPr>
            </w:pPr>
            <w:r>
              <w:rPr>
                <w:kern w:val="0"/>
                <w:sz w:val="15"/>
                <w:szCs w:val="15"/>
              </w:rPr>
              <w:t>运能</w:t>
            </w:r>
          </w:p>
          <w:p w14:paraId="7F42A86C">
            <w:pPr>
              <w:autoSpaceDE w:val="0"/>
              <w:autoSpaceDN w:val="0"/>
              <w:spacing w:line="240" w:lineRule="auto"/>
              <w:jc w:val="center"/>
              <w:rPr>
                <w:kern w:val="0"/>
                <w:sz w:val="15"/>
                <w:szCs w:val="15"/>
              </w:rPr>
            </w:pPr>
            <w:r>
              <w:rPr>
                <w:kern w:val="0"/>
                <w:sz w:val="15"/>
                <w:szCs w:val="15"/>
              </w:rPr>
              <w:t>匹配性</w:t>
            </w:r>
          </w:p>
        </w:tc>
        <w:tc>
          <w:tcPr>
            <w:tcW w:w="1102" w:type="dxa"/>
            <w:vMerge w:val="restart"/>
            <w:vAlign w:val="center"/>
          </w:tcPr>
          <w:p w14:paraId="3B443B69">
            <w:pPr>
              <w:autoSpaceDE w:val="0"/>
              <w:autoSpaceDN w:val="0"/>
              <w:spacing w:line="240" w:lineRule="auto"/>
              <w:jc w:val="center"/>
              <w:rPr>
                <w:kern w:val="0"/>
                <w:sz w:val="15"/>
                <w:szCs w:val="15"/>
              </w:rPr>
            </w:pPr>
            <w:r>
              <w:rPr>
                <w:kern w:val="0"/>
                <w:sz w:val="15"/>
                <w:szCs w:val="15"/>
              </w:rPr>
              <w:t>站台</w:t>
            </w:r>
          </w:p>
          <w:p w14:paraId="43A7EE81">
            <w:pPr>
              <w:autoSpaceDE w:val="0"/>
              <w:autoSpaceDN w:val="0"/>
              <w:spacing w:line="240" w:lineRule="auto"/>
              <w:jc w:val="center"/>
              <w:rPr>
                <w:kern w:val="0"/>
                <w:sz w:val="15"/>
                <w:szCs w:val="15"/>
              </w:rPr>
            </w:pPr>
            <w:r>
              <w:rPr>
                <w:kern w:val="0"/>
                <w:sz w:val="15"/>
                <w:szCs w:val="15"/>
              </w:rPr>
              <w:t>滞留人数</w:t>
            </w:r>
          </w:p>
          <w:p w14:paraId="1C75B005">
            <w:pPr>
              <w:autoSpaceDE w:val="0"/>
              <w:autoSpaceDN w:val="0"/>
              <w:spacing w:line="240" w:lineRule="auto"/>
              <w:jc w:val="center"/>
              <w:rPr>
                <w:kern w:val="0"/>
                <w:sz w:val="15"/>
                <w:szCs w:val="15"/>
              </w:rPr>
            </w:pPr>
            <w:r>
              <w:rPr>
                <w:kern w:val="0"/>
                <w:sz w:val="15"/>
                <w:szCs w:val="15"/>
              </w:rPr>
              <w:t>（人）</w:t>
            </w:r>
          </w:p>
        </w:tc>
        <w:tc>
          <w:tcPr>
            <w:tcW w:w="1606" w:type="dxa"/>
            <w:vMerge w:val="restart"/>
            <w:vAlign w:val="center"/>
          </w:tcPr>
          <w:p w14:paraId="69EE6B88">
            <w:pPr>
              <w:autoSpaceDE w:val="0"/>
              <w:autoSpaceDN w:val="0"/>
              <w:spacing w:line="240" w:lineRule="auto"/>
              <w:jc w:val="center"/>
              <w:rPr>
                <w:kern w:val="0"/>
                <w:sz w:val="15"/>
                <w:szCs w:val="15"/>
              </w:rPr>
            </w:pPr>
            <w:r>
              <w:rPr>
                <w:kern w:val="0"/>
                <w:sz w:val="15"/>
                <w:szCs w:val="15"/>
              </w:rPr>
              <w:t>超高峰时，考核一批换乘客流是否会滞留在站台</w:t>
            </w:r>
          </w:p>
        </w:tc>
        <w:tc>
          <w:tcPr>
            <w:tcW w:w="1184" w:type="dxa"/>
            <w:vMerge w:val="restart"/>
            <w:vAlign w:val="center"/>
          </w:tcPr>
          <w:p w14:paraId="7AA037B0">
            <w:pPr>
              <w:autoSpaceDE w:val="0"/>
              <w:autoSpaceDN w:val="0"/>
              <w:spacing w:line="240" w:lineRule="auto"/>
              <w:jc w:val="center"/>
              <w:rPr>
                <w:kern w:val="0"/>
                <w:sz w:val="15"/>
                <w:szCs w:val="15"/>
              </w:rPr>
            </w:pPr>
            <w:r>
              <w:rPr>
                <w:kern w:val="0"/>
                <w:sz w:val="15"/>
                <w:szCs w:val="15"/>
              </w:rPr>
              <w:t>相交线路上下行方向的断面富余能力与换乘客流之间的匹配性</w:t>
            </w:r>
          </w:p>
        </w:tc>
        <w:tc>
          <w:tcPr>
            <w:tcW w:w="595" w:type="dxa"/>
            <w:vAlign w:val="center"/>
          </w:tcPr>
          <w:p w14:paraId="6F8561BB">
            <w:pPr>
              <w:autoSpaceDE w:val="0"/>
              <w:autoSpaceDN w:val="0"/>
              <w:spacing w:line="240" w:lineRule="auto"/>
              <w:jc w:val="center"/>
              <w:rPr>
                <w:kern w:val="0"/>
                <w:sz w:val="15"/>
                <w:szCs w:val="15"/>
              </w:rPr>
            </w:pPr>
            <w:r>
              <w:rPr>
                <w:kern w:val="0"/>
                <w:sz w:val="15"/>
                <w:szCs w:val="15"/>
              </w:rPr>
              <w:t>＜0</w:t>
            </w:r>
          </w:p>
        </w:tc>
        <w:tc>
          <w:tcPr>
            <w:tcW w:w="891" w:type="dxa"/>
            <w:vAlign w:val="center"/>
          </w:tcPr>
          <w:p w14:paraId="6B033A71">
            <w:pPr>
              <w:autoSpaceDE w:val="0"/>
              <w:autoSpaceDN w:val="0"/>
              <w:spacing w:line="240" w:lineRule="auto"/>
              <w:jc w:val="center"/>
              <w:rPr>
                <w:kern w:val="0"/>
                <w:sz w:val="15"/>
                <w:szCs w:val="15"/>
              </w:rPr>
            </w:pPr>
            <w:r>
              <w:rPr>
                <w:kern w:val="0"/>
                <w:sz w:val="15"/>
                <w:szCs w:val="15"/>
              </w:rPr>
              <w:t>良好</w:t>
            </w:r>
          </w:p>
        </w:tc>
      </w:tr>
      <w:tr w14:paraId="02A1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right"/>
        </w:trPr>
        <w:tc>
          <w:tcPr>
            <w:tcW w:w="753" w:type="dxa"/>
            <w:vMerge w:val="continue"/>
            <w:vAlign w:val="center"/>
          </w:tcPr>
          <w:p w14:paraId="122CFEFC">
            <w:pPr>
              <w:autoSpaceDE w:val="0"/>
              <w:autoSpaceDN w:val="0"/>
              <w:spacing w:line="240" w:lineRule="auto"/>
              <w:jc w:val="center"/>
              <w:rPr>
                <w:kern w:val="0"/>
                <w:sz w:val="15"/>
                <w:szCs w:val="15"/>
              </w:rPr>
            </w:pPr>
          </w:p>
        </w:tc>
        <w:tc>
          <w:tcPr>
            <w:tcW w:w="1102" w:type="dxa"/>
            <w:vMerge w:val="continue"/>
            <w:vAlign w:val="center"/>
          </w:tcPr>
          <w:p w14:paraId="633ED599">
            <w:pPr>
              <w:autoSpaceDE w:val="0"/>
              <w:autoSpaceDN w:val="0"/>
              <w:spacing w:line="240" w:lineRule="auto"/>
              <w:jc w:val="center"/>
              <w:rPr>
                <w:kern w:val="0"/>
                <w:sz w:val="15"/>
                <w:szCs w:val="15"/>
              </w:rPr>
            </w:pPr>
          </w:p>
        </w:tc>
        <w:tc>
          <w:tcPr>
            <w:tcW w:w="1606" w:type="dxa"/>
            <w:vMerge w:val="continue"/>
            <w:vAlign w:val="center"/>
          </w:tcPr>
          <w:p w14:paraId="7C95366E">
            <w:pPr>
              <w:autoSpaceDE w:val="0"/>
              <w:autoSpaceDN w:val="0"/>
              <w:spacing w:line="240" w:lineRule="auto"/>
              <w:jc w:val="center"/>
              <w:rPr>
                <w:kern w:val="0"/>
                <w:sz w:val="15"/>
                <w:szCs w:val="15"/>
              </w:rPr>
            </w:pPr>
          </w:p>
        </w:tc>
        <w:tc>
          <w:tcPr>
            <w:tcW w:w="1184" w:type="dxa"/>
            <w:vMerge w:val="continue"/>
            <w:vAlign w:val="center"/>
          </w:tcPr>
          <w:p w14:paraId="035610BA">
            <w:pPr>
              <w:autoSpaceDE w:val="0"/>
              <w:autoSpaceDN w:val="0"/>
              <w:spacing w:line="240" w:lineRule="auto"/>
              <w:jc w:val="center"/>
              <w:rPr>
                <w:kern w:val="0"/>
                <w:sz w:val="15"/>
                <w:szCs w:val="15"/>
              </w:rPr>
            </w:pPr>
          </w:p>
        </w:tc>
        <w:tc>
          <w:tcPr>
            <w:tcW w:w="595" w:type="dxa"/>
            <w:vAlign w:val="center"/>
          </w:tcPr>
          <w:p w14:paraId="17CC5F4D">
            <w:pPr>
              <w:autoSpaceDE w:val="0"/>
              <w:autoSpaceDN w:val="0"/>
              <w:spacing w:line="240" w:lineRule="auto"/>
              <w:jc w:val="center"/>
              <w:rPr>
                <w:kern w:val="0"/>
                <w:sz w:val="15"/>
                <w:szCs w:val="15"/>
              </w:rPr>
            </w:pPr>
            <w:r>
              <w:rPr>
                <w:kern w:val="0"/>
                <w:sz w:val="15"/>
                <w:szCs w:val="15"/>
              </w:rPr>
              <w:t>0～400</w:t>
            </w:r>
          </w:p>
        </w:tc>
        <w:tc>
          <w:tcPr>
            <w:tcW w:w="891" w:type="dxa"/>
            <w:vAlign w:val="center"/>
          </w:tcPr>
          <w:p w14:paraId="1670DB80">
            <w:pPr>
              <w:autoSpaceDE w:val="0"/>
              <w:autoSpaceDN w:val="0"/>
              <w:spacing w:line="240" w:lineRule="auto"/>
              <w:jc w:val="center"/>
              <w:rPr>
                <w:kern w:val="0"/>
                <w:sz w:val="15"/>
                <w:szCs w:val="15"/>
              </w:rPr>
            </w:pPr>
            <w:r>
              <w:rPr>
                <w:kern w:val="0"/>
                <w:sz w:val="15"/>
                <w:szCs w:val="15"/>
              </w:rPr>
              <w:t>一般</w:t>
            </w:r>
          </w:p>
        </w:tc>
      </w:tr>
      <w:tr w14:paraId="7D26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right"/>
        </w:trPr>
        <w:tc>
          <w:tcPr>
            <w:tcW w:w="753" w:type="dxa"/>
            <w:vMerge w:val="continue"/>
            <w:vAlign w:val="center"/>
          </w:tcPr>
          <w:p w14:paraId="0888E0B3">
            <w:pPr>
              <w:autoSpaceDE w:val="0"/>
              <w:autoSpaceDN w:val="0"/>
              <w:spacing w:line="240" w:lineRule="auto"/>
              <w:jc w:val="center"/>
              <w:rPr>
                <w:kern w:val="0"/>
                <w:sz w:val="15"/>
                <w:szCs w:val="15"/>
              </w:rPr>
            </w:pPr>
          </w:p>
        </w:tc>
        <w:tc>
          <w:tcPr>
            <w:tcW w:w="1102" w:type="dxa"/>
            <w:vMerge w:val="continue"/>
            <w:vAlign w:val="center"/>
          </w:tcPr>
          <w:p w14:paraId="0620EF0D">
            <w:pPr>
              <w:autoSpaceDE w:val="0"/>
              <w:autoSpaceDN w:val="0"/>
              <w:spacing w:line="240" w:lineRule="auto"/>
              <w:jc w:val="center"/>
              <w:rPr>
                <w:kern w:val="0"/>
                <w:sz w:val="15"/>
                <w:szCs w:val="15"/>
              </w:rPr>
            </w:pPr>
          </w:p>
        </w:tc>
        <w:tc>
          <w:tcPr>
            <w:tcW w:w="1606" w:type="dxa"/>
            <w:vMerge w:val="continue"/>
            <w:vAlign w:val="center"/>
          </w:tcPr>
          <w:p w14:paraId="387F7CC9">
            <w:pPr>
              <w:autoSpaceDE w:val="0"/>
              <w:autoSpaceDN w:val="0"/>
              <w:spacing w:line="240" w:lineRule="auto"/>
              <w:jc w:val="center"/>
              <w:rPr>
                <w:kern w:val="0"/>
                <w:sz w:val="15"/>
                <w:szCs w:val="15"/>
              </w:rPr>
            </w:pPr>
          </w:p>
        </w:tc>
        <w:tc>
          <w:tcPr>
            <w:tcW w:w="1184" w:type="dxa"/>
            <w:vMerge w:val="continue"/>
            <w:vAlign w:val="center"/>
          </w:tcPr>
          <w:p w14:paraId="0DE30903">
            <w:pPr>
              <w:autoSpaceDE w:val="0"/>
              <w:autoSpaceDN w:val="0"/>
              <w:spacing w:line="240" w:lineRule="auto"/>
              <w:jc w:val="center"/>
              <w:rPr>
                <w:kern w:val="0"/>
                <w:sz w:val="15"/>
                <w:szCs w:val="15"/>
              </w:rPr>
            </w:pPr>
          </w:p>
        </w:tc>
        <w:tc>
          <w:tcPr>
            <w:tcW w:w="595" w:type="dxa"/>
            <w:vAlign w:val="center"/>
          </w:tcPr>
          <w:p w14:paraId="59DD6A71">
            <w:pPr>
              <w:autoSpaceDE w:val="0"/>
              <w:autoSpaceDN w:val="0"/>
              <w:spacing w:line="240" w:lineRule="auto"/>
              <w:jc w:val="center"/>
              <w:rPr>
                <w:kern w:val="0"/>
                <w:sz w:val="15"/>
                <w:szCs w:val="15"/>
              </w:rPr>
            </w:pPr>
            <w:r>
              <w:rPr>
                <w:kern w:val="0"/>
                <w:sz w:val="15"/>
                <w:szCs w:val="15"/>
              </w:rPr>
              <w:t>＞400</w:t>
            </w:r>
          </w:p>
        </w:tc>
        <w:tc>
          <w:tcPr>
            <w:tcW w:w="891" w:type="dxa"/>
            <w:vAlign w:val="center"/>
          </w:tcPr>
          <w:p w14:paraId="1E494D4A">
            <w:pPr>
              <w:autoSpaceDE w:val="0"/>
              <w:autoSpaceDN w:val="0"/>
              <w:spacing w:line="240" w:lineRule="auto"/>
              <w:jc w:val="center"/>
              <w:rPr>
                <w:kern w:val="0"/>
                <w:sz w:val="15"/>
                <w:szCs w:val="15"/>
              </w:rPr>
            </w:pPr>
            <w:r>
              <w:rPr>
                <w:kern w:val="0"/>
                <w:sz w:val="15"/>
                <w:szCs w:val="15"/>
              </w:rPr>
              <w:t>差</w:t>
            </w:r>
          </w:p>
        </w:tc>
      </w:tr>
    </w:tbl>
    <w:p w14:paraId="5693EA64">
      <w:pPr>
        <w:ind w:left="945" w:leftChars="200" w:hanging="525" w:hangingChars="350"/>
        <w:rPr>
          <w:sz w:val="15"/>
          <w:szCs w:val="18"/>
        </w:rPr>
      </w:pPr>
      <w:r>
        <w:rPr>
          <w:rFonts w:hint="eastAsia"/>
          <w:sz w:val="15"/>
          <w:szCs w:val="18"/>
        </w:rPr>
        <w:t>注：</w:t>
      </w:r>
      <w:r>
        <w:rPr>
          <w:sz w:val="15"/>
          <w:szCs w:val="18"/>
        </w:rPr>
        <w:t xml:space="preserve">1. </w:t>
      </w:r>
      <w:r>
        <w:rPr>
          <w:rFonts w:hint="eastAsia"/>
          <w:sz w:val="15"/>
          <w:szCs w:val="18"/>
        </w:rPr>
        <w:t xml:space="preserve"> 换乘车站站台滞留人数评价标准中的</w:t>
      </w:r>
      <w:r>
        <w:rPr>
          <w:sz w:val="15"/>
          <w:szCs w:val="18"/>
        </w:rPr>
        <w:t>400</w:t>
      </w:r>
      <w:r>
        <w:rPr>
          <w:rFonts w:hint="eastAsia"/>
          <w:sz w:val="15"/>
          <w:szCs w:val="18"/>
        </w:rPr>
        <w:t>人是对应</w:t>
      </w:r>
      <w:r>
        <w:rPr>
          <w:sz w:val="15"/>
          <w:szCs w:val="18"/>
        </w:rPr>
        <w:t>6</w:t>
      </w:r>
      <w:r>
        <w:rPr>
          <w:rFonts w:hint="eastAsia"/>
          <w:sz w:val="15"/>
          <w:szCs w:val="18"/>
        </w:rPr>
        <w:t>节</w:t>
      </w:r>
      <w:r>
        <w:rPr>
          <w:sz w:val="15"/>
          <w:szCs w:val="18"/>
        </w:rPr>
        <w:t>B</w:t>
      </w:r>
      <w:r>
        <w:rPr>
          <w:rFonts w:hint="eastAsia"/>
          <w:sz w:val="15"/>
          <w:szCs w:val="18"/>
        </w:rPr>
        <w:t>型车的标准；</w:t>
      </w:r>
    </w:p>
    <w:p w14:paraId="0393D89F">
      <w:pPr>
        <w:ind w:left="958" w:leftChars="352" w:hanging="219" w:hangingChars="146"/>
        <w:rPr>
          <w:sz w:val="15"/>
          <w:szCs w:val="18"/>
        </w:rPr>
      </w:pPr>
      <w:r>
        <w:rPr>
          <w:sz w:val="15"/>
          <w:szCs w:val="18"/>
        </w:rPr>
        <w:t xml:space="preserve">2. </w:t>
      </w:r>
      <w:r>
        <w:rPr>
          <w:rFonts w:hint="eastAsia"/>
          <w:sz w:val="15"/>
          <w:szCs w:val="18"/>
        </w:rPr>
        <w:t xml:space="preserve"> 换乘便捷性评价标准中，换乘时间小于</w:t>
      </w:r>
      <w:r>
        <w:rPr>
          <w:sz w:val="15"/>
          <w:szCs w:val="18"/>
        </w:rPr>
        <w:t>1min</w:t>
      </w:r>
      <w:r>
        <w:rPr>
          <w:rFonts w:hint="eastAsia"/>
          <w:sz w:val="15"/>
          <w:szCs w:val="18"/>
        </w:rPr>
        <w:t>是针对同站台换乘车站，小于、等于</w:t>
      </w:r>
      <w:r>
        <w:rPr>
          <w:sz w:val="15"/>
          <w:szCs w:val="18"/>
        </w:rPr>
        <w:t>3min</w:t>
      </w:r>
      <w:r>
        <w:rPr>
          <w:rFonts w:hint="eastAsia"/>
          <w:sz w:val="15"/>
          <w:szCs w:val="18"/>
        </w:rPr>
        <w:t>是指节点换乘车站。</w:t>
      </w:r>
    </w:p>
    <w:p w14:paraId="59E9FA84">
      <w:pPr>
        <w:numPr>
          <w:ilvl w:val="2"/>
          <w:numId w:val="1"/>
        </w:numPr>
        <w:tabs>
          <w:tab w:val="left" w:pos="709"/>
          <w:tab w:val="left" w:pos="794"/>
          <w:tab w:val="left" w:pos="935"/>
          <w:tab w:val="left" w:pos="1502"/>
        </w:tabs>
        <w:outlineLvl w:val="2"/>
        <w:rPr>
          <w:bCs/>
        </w:rPr>
      </w:pPr>
      <w:r>
        <w:rPr>
          <w:rFonts w:hint="eastAsia"/>
          <w:bCs/>
        </w:rPr>
        <w:t>换乘车站在换乘全路径上各部位的换乘设施通行能力应匹配，通行设施的布置和组织应相互协调，所有换乘设施的超高峰饱和度不得大于</w:t>
      </w:r>
      <w:r>
        <w:rPr>
          <w:bCs/>
        </w:rPr>
        <w:t>1.0</w:t>
      </w:r>
      <w:r>
        <w:rPr>
          <w:rFonts w:hint="eastAsia"/>
          <w:bCs/>
        </w:rPr>
        <w:t>，各换乘设施利用的均衡性指标不得超过</w:t>
      </w:r>
      <w:r>
        <w:rPr>
          <w:bCs/>
        </w:rPr>
        <w:t>1.5</w:t>
      </w:r>
      <w:r>
        <w:rPr>
          <w:rFonts w:hint="eastAsia"/>
          <w:bCs/>
        </w:rPr>
        <w:t>。</w:t>
      </w:r>
    </w:p>
    <w:p w14:paraId="003C80FC">
      <w:pPr>
        <w:numPr>
          <w:ilvl w:val="2"/>
          <w:numId w:val="1"/>
        </w:numPr>
        <w:tabs>
          <w:tab w:val="left" w:pos="709"/>
          <w:tab w:val="left" w:pos="794"/>
          <w:tab w:val="left" w:pos="935"/>
          <w:tab w:val="left" w:pos="1502"/>
        </w:tabs>
        <w:outlineLvl w:val="2"/>
        <w:rPr>
          <w:bCs/>
        </w:rPr>
      </w:pPr>
      <w:r>
        <w:rPr>
          <w:rFonts w:hint="eastAsia"/>
          <w:bCs/>
        </w:rPr>
        <w:t>换乘车站换乘路径的两端站台中跨区域的人流密度不应大于</w:t>
      </w:r>
      <w:r>
        <w:rPr>
          <w:bCs/>
        </w:rPr>
        <w:t>1.2</w:t>
      </w:r>
      <w:r>
        <w:rPr>
          <w:rFonts w:hint="eastAsia"/>
          <w:bCs/>
        </w:rPr>
        <w:t>人</w:t>
      </w:r>
      <w:r>
        <w:rPr>
          <w:bCs/>
        </w:rPr>
        <w:t>/m</w:t>
      </w:r>
      <w:r>
        <w:rPr>
          <w:bCs/>
          <w:vertAlign w:val="superscript"/>
        </w:rPr>
        <w:t>2</w:t>
      </w:r>
      <w:r>
        <w:rPr>
          <w:rFonts w:hint="eastAsia"/>
          <w:bCs/>
        </w:rPr>
        <w:t>，各组换乘设施端部前的最大拥堵人数不应超过</w:t>
      </w:r>
      <w:r>
        <w:rPr>
          <w:bCs/>
        </w:rPr>
        <w:t>200</w:t>
      </w:r>
      <w:r>
        <w:rPr>
          <w:rFonts w:hint="eastAsia"/>
          <w:bCs/>
        </w:rPr>
        <w:t>人。</w:t>
      </w:r>
    </w:p>
    <w:p w14:paraId="2C2CEDA8">
      <w:pPr>
        <w:numPr>
          <w:ilvl w:val="2"/>
          <w:numId w:val="1"/>
        </w:numPr>
        <w:tabs>
          <w:tab w:val="left" w:pos="709"/>
          <w:tab w:val="left" w:pos="794"/>
          <w:tab w:val="left" w:pos="935"/>
          <w:tab w:val="left" w:pos="1502"/>
        </w:tabs>
        <w:outlineLvl w:val="2"/>
        <w:rPr>
          <w:bCs/>
        </w:rPr>
      </w:pPr>
      <w:r>
        <w:rPr>
          <w:rFonts w:hint="eastAsia"/>
          <w:bCs/>
        </w:rPr>
        <w:t>换乘车站交通流线应便捷，同站台换乘的行走时间不应超过</w:t>
      </w:r>
      <w:r>
        <w:rPr>
          <w:bCs/>
        </w:rPr>
        <w:t>1.00min</w:t>
      </w:r>
      <w:r>
        <w:rPr>
          <w:rFonts w:hint="eastAsia"/>
          <w:bCs/>
        </w:rPr>
        <w:t>，节点换乘的平均行走时间不宜超过</w:t>
      </w:r>
      <w:r>
        <w:rPr>
          <w:bCs/>
        </w:rPr>
        <w:t>3.00min</w:t>
      </w:r>
      <w:r>
        <w:rPr>
          <w:rFonts w:hint="eastAsia"/>
          <w:bCs/>
        </w:rPr>
        <w:t>，通道换乘的平均行走时间不宜超过</w:t>
      </w:r>
      <w:r>
        <w:rPr>
          <w:bCs/>
        </w:rPr>
        <w:t>5min</w:t>
      </w:r>
      <w:r>
        <w:rPr>
          <w:rFonts w:hint="eastAsia"/>
          <w:bCs/>
        </w:rPr>
        <w:t>。</w:t>
      </w:r>
    </w:p>
    <w:p w14:paraId="52A62305">
      <w:pPr>
        <w:numPr>
          <w:ilvl w:val="2"/>
          <w:numId w:val="1"/>
        </w:numPr>
        <w:tabs>
          <w:tab w:val="left" w:pos="709"/>
          <w:tab w:val="left" w:pos="794"/>
          <w:tab w:val="left" w:pos="935"/>
          <w:tab w:val="left" w:pos="1502"/>
        </w:tabs>
        <w:outlineLvl w:val="2"/>
        <w:rPr>
          <w:bCs/>
        </w:rPr>
      </w:pPr>
      <w:r>
        <w:rPr>
          <w:rFonts w:hint="eastAsia"/>
          <w:bCs/>
        </w:rPr>
        <w:t>节点换乘车站的端部交通设施前应加大客流集散空间，并应符合下列规定：</w:t>
      </w:r>
    </w:p>
    <w:p w14:paraId="4A9A48A3">
      <w:pPr>
        <w:pStyle w:val="7"/>
        <w:ind w:firstLine="420"/>
        <w:rPr>
          <w:szCs w:val="18"/>
        </w:rPr>
      </w:pPr>
      <w:r>
        <w:rPr>
          <w:rFonts w:hint="eastAsia"/>
        </w:rPr>
        <w:t>十字型台、台双向换乘车站的</w:t>
      </w:r>
      <w:r>
        <w:rPr>
          <w:rFonts w:hint="eastAsia"/>
          <w:szCs w:val="18"/>
        </w:rPr>
        <w:t>站台宽度不</w:t>
      </w:r>
      <w:r>
        <w:rPr>
          <w:rFonts w:hint="eastAsia"/>
        </w:rPr>
        <w:t>宜小于</w:t>
      </w:r>
      <w:r>
        <w:t>14m</w:t>
      </w:r>
      <w:r>
        <w:rPr>
          <w:rFonts w:hint="eastAsia"/>
        </w:rPr>
        <w:t>；</w:t>
      </w:r>
      <w:r>
        <w:t>T</w:t>
      </w:r>
      <w:r>
        <w:rPr>
          <w:rFonts w:hint="eastAsia"/>
        </w:rPr>
        <w:t>型、</w:t>
      </w:r>
      <w:r>
        <w:t>L</w:t>
      </w:r>
      <w:r>
        <w:rPr>
          <w:rFonts w:hint="eastAsia"/>
        </w:rPr>
        <w:t>型岛式换乘车站节点处的台、台换乘楼梯总净宽不宜小于</w:t>
      </w:r>
      <w:r>
        <w:t>5.6m</w:t>
      </w:r>
      <w:r>
        <w:rPr>
          <w:rFonts w:hint="eastAsia"/>
        </w:rPr>
        <w:t>。</w:t>
      </w:r>
    </w:p>
    <w:p w14:paraId="1BE17C8B">
      <w:pPr>
        <w:pStyle w:val="7"/>
        <w:ind w:firstLine="420"/>
        <w:rPr>
          <w:szCs w:val="18"/>
        </w:rPr>
      </w:pPr>
      <w:r>
        <w:rPr>
          <w:rFonts w:hint="eastAsia"/>
          <w:szCs w:val="18"/>
        </w:rPr>
        <w:t>节点区域相交区域的一端站台端部距离另一条线的站台边距离不</w:t>
      </w:r>
      <w:r>
        <w:rPr>
          <w:rFonts w:hint="eastAsia"/>
        </w:rPr>
        <w:t>宜</w:t>
      </w:r>
      <w:r>
        <w:rPr>
          <w:rFonts w:hint="eastAsia"/>
          <w:szCs w:val="18"/>
        </w:rPr>
        <w:t>小于</w:t>
      </w:r>
      <w:r>
        <w:rPr>
          <w:szCs w:val="18"/>
        </w:rPr>
        <w:t>10m</w:t>
      </w:r>
      <w:r>
        <w:rPr>
          <w:rFonts w:hint="eastAsia"/>
          <w:szCs w:val="18"/>
        </w:rPr>
        <w:t>，换乘</w:t>
      </w:r>
      <w:r>
        <w:rPr>
          <w:rFonts w:hint="eastAsia"/>
        </w:rPr>
        <w:t>楼梯下端距站台屏蔽门端门的距离不应小于</w:t>
      </w:r>
      <w:r>
        <w:t>6m</w:t>
      </w:r>
      <w:r>
        <w:rPr>
          <w:rFonts w:hint="eastAsia"/>
        </w:rPr>
        <w:t>；</w:t>
      </w:r>
      <w:r>
        <w:rPr>
          <w:rFonts w:hint="eastAsia"/>
          <w:szCs w:val="18"/>
        </w:rPr>
        <w:t>换乘节点拐弯区域</w:t>
      </w:r>
      <w:r>
        <w:rPr>
          <w:rFonts w:hint="eastAsia"/>
        </w:rPr>
        <w:t>楼梯踏步距离平台拐角不宜小于</w:t>
      </w:r>
      <w:r>
        <w:rPr>
          <w:szCs w:val="18"/>
        </w:rPr>
        <w:t>0.5m</w:t>
      </w:r>
      <w:r>
        <w:rPr>
          <w:rFonts w:hint="eastAsia"/>
          <w:szCs w:val="18"/>
        </w:rPr>
        <w:t>。</w:t>
      </w:r>
    </w:p>
    <w:p w14:paraId="3473A67B">
      <w:pPr>
        <w:pStyle w:val="7"/>
        <w:ind w:firstLine="420"/>
        <w:rPr>
          <w:szCs w:val="18"/>
        </w:rPr>
      </w:pPr>
      <w:r>
        <w:rPr>
          <w:rFonts w:hint="eastAsia"/>
          <w:szCs w:val="18"/>
        </w:rPr>
        <w:t>两线站厅垂直交点处的结构外扩不宜小于</w:t>
      </w:r>
      <w:r>
        <w:rPr>
          <w:szCs w:val="18"/>
        </w:rPr>
        <w:t>2</w:t>
      </w:r>
      <w:r>
        <w:rPr>
          <w:rFonts w:hint="eastAsia" w:ascii="宋体" w:hAnsi="宋体"/>
          <w:szCs w:val="18"/>
        </w:rPr>
        <w:t>×</w:t>
      </w:r>
      <w:r>
        <w:rPr>
          <w:szCs w:val="18"/>
        </w:rPr>
        <w:t>2</w:t>
      </w:r>
      <w:r>
        <w:rPr>
          <w:rFonts w:hint="eastAsia"/>
          <w:szCs w:val="18"/>
        </w:rPr>
        <w:t>跨的空间，提供进出站及售票安检设施的</w:t>
      </w:r>
      <w:r>
        <w:rPr>
          <w:szCs w:val="18"/>
        </w:rPr>
        <w:t>设置条件</w:t>
      </w:r>
      <w:r>
        <w:rPr>
          <w:rFonts w:hint="eastAsia"/>
          <w:szCs w:val="18"/>
        </w:rPr>
        <w:t>，避免付费区通行能力受影响。</w:t>
      </w:r>
    </w:p>
    <w:p w14:paraId="53C6892F">
      <w:pPr>
        <w:pStyle w:val="7"/>
        <w:ind w:firstLine="420"/>
        <w:rPr>
          <w:szCs w:val="18"/>
        </w:rPr>
      </w:pPr>
      <w:r>
        <w:rPr>
          <w:rFonts w:hint="eastAsia"/>
          <w:szCs w:val="18"/>
        </w:rPr>
        <w:t>车站宜将紧邻换乘节点区或大客流方向的一组公共区楼扶梯采用全扶梯配置。</w:t>
      </w:r>
    </w:p>
    <w:p w14:paraId="0289BB60">
      <w:pPr>
        <w:pStyle w:val="7"/>
        <w:ind w:firstLine="420"/>
      </w:pPr>
      <w:r>
        <w:rPr>
          <w:rFonts w:hint="eastAsia"/>
        </w:rPr>
        <w:t>电梯宜避开换乘节点人流集中处。</w:t>
      </w:r>
    </w:p>
    <w:p w14:paraId="78E6098B">
      <w:pPr>
        <w:pStyle w:val="7"/>
        <w:ind w:firstLine="420"/>
        <w:rPr>
          <w:szCs w:val="18"/>
        </w:rPr>
      </w:pPr>
      <w:r>
        <w:rPr>
          <w:rFonts w:hint="eastAsia"/>
        </w:rPr>
        <w:t>换乘设施应有台</w:t>
      </w:r>
      <w:r>
        <w:rPr>
          <w:rFonts w:hint="eastAsia"/>
          <w:szCs w:val="18"/>
        </w:rPr>
        <w:t>、厅、台单向换乘的能力和运营条件。</w:t>
      </w:r>
    </w:p>
    <w:p w14:paraId="2C091821">
      <w:pPr>
        <w:numPr>
          <w:ilvl w:val="2"/>
          <w:numId w:val="1"/>
        </w:numPr>
        <w:tabs>
          <w:tab w:val="left" w:pos="709"/>
          <w:tab w:val="left" w:pos="794"/>
          <w:tab w:val="left" w:pos="935"/>
          <w:tab w:val="left" w:pos="1502"/>
        </w:tabs>
        <w:outlineLvl w:val="2"/>
        <w:rPr>
          <w:bCs/>
        </w:rPr>
      </w:pPr>
      <w:r>
        <w:rPr>
          <w:rFonts w:hint="eastAsia"/>
          <w:bCs/>
        </w:rPr>
        <w:t>采用通道换乘的车站应根据两线换乘接口部位和长距离换乘的空间尺度，合理采用换乘路径的服务设施，应符合如下规定：</w:t>
      </w:r>
    </w:p>
    <w:p w14:paraId="73EF737D">
      <w:pPr>
        <w:pStyle w:val="7"/>
        <w:ind w:firstLine="420"/>
      </w:pPr>
      <w:r>
        <w:rPr>
          <w:rFonts w:hint="eastAsia"/>
        </w:rPr>
        <w:t>换乘通道的单段长度超过</w:t>
      </w:r>
      <w:r>
        <w:t>120m</w:t>
      </w:r>
      <w:r>
        <w:rPr>
          <w:rFonts w:hint="eastAsia"/>
        </w:rPr>
        <w:t>时，宜在通道内设置净宽不小于</w:t>
      </w:r>
      <w:r>
        <w:t>1.2m</w:t>
      </w:r>
      <w:r>
        <w:rPr>
          <w:rFonts w:hint="eastAsia"/>
        </w:rPr>
        <w:t>的自动步道，两个自动步道之间应满足单方向通行宽度不小于</w:t>
      </w:r>
      <w:r>
        <w:t>3m</w:t>
      </w:r>
      <w:r>
        <w:rPr>
          <w:rFonts w:hint="eastAsia"/>
        </w:rPr>
        <w:t>。</w:t>
      </w:r>
    </w:p>
    <w:p w14:paraId="442E89E1">
      <w:pPr>
        <w:pStyle w:val="7"/>
        <w:ind w:firstLine="420"/>
      </w:pPr>
      <w:r>
        <w:rPr>
          <w:rFonts w:hint="eastAsia"/>
        </w:rPr>
        <w:t>换乘通道总长度超过</w:t>
      </w:r>
      <w:r>
        <w:t>200m</w:t>
      </w:r>
      <w:r>
        <w:rPr>
          <w:rFonts w:hint="eastAsia"/>
        </w:rPr>
        <w:t>时，宜结合地面规划条件在通道中部设置进出站厅或是节点转换厅。</w:t>
      </w:r>
    </w:p>
    <w:p w14:paraId="486C662A">
      <w:pPr>
        <w:numPr>
          <w:ilvl w:val="2"/>
          <w:numId w:val="1"/>
        </w:numPr>
        <w:tabs>
          <w:tab w:val="left" w:pos="709"/>
          <w:tab w:val="left" w:pos="794"/>
          <w:tab w:val="left" w:pos="935"/>
          <w:tab w:val="left" w:pos="1502"/>
        </w:tabs>
        <w:outlineLvl w:val="2"/>
        <w:rPr>
          <w:bCs/>
        </w:rPr>
      </w:pPr>
      <w:r>
        <w:rPr>
          <w:rFonts w:hint="eastAsia" w:ascii="Arial" w:hAnsi="Arial" w:cs="Arial"/>
          <w:bCs/>
          <w:szCs w:val="20"/>
        </w:rPr>
        <w:t>同站台平行换乘车站，应对远期超高峰小时或客流控制期发</w:t>
      </w:r>
      <w:r>
        <w:rPr>
          <w:rFonts w:hint="eastAsia"/>
          <w:bCs/>
          <w:szCs w:val="20"/>
        </w:rPr>
        <w:t>车间隔内</w:t>
      </w:r>
      <w:r>
        <w:rPr>
          <w:bCs/>
          <w:szCs w:val="20"/>
        </w:rPr>
        <w:t>2</w:t>
      </w:r>
      <w:r>
        <w:rPr>
          <w:rFonts w:hint="eastAsia"/>
          <w:bCs/>
          <w:szCs w:val="20"/>
        </w:rPr>
        <w:t>列</w:t>
      </w:r>
      <w:r>
        <w:rPr>
          <w:rFonts w:hint="eastAsia" w:ascii="Arial" w:hAnsi="Arial" w:cs="Arial"/>
          <w:bCs/>
          <w:szCs w:val="20"/>
        </w:rPr>
        <w:t>车同时到达时的</w:t>
      </w:r>
      <w:r>
        <w:rPr>
          <w:rFonts w:hint="eastAsia"/>
          <w:bCs/>
        </w:rPr>
        <w:t>客流总量进行站台人流密度和紧急疏散时间验算。当站台两侧线路行车密度不等时，应以行车密度低的列车间隔内的换乘客流量以及进、出站客流量之和进行验算。</w:t>
      </w:r>
    </w:p>
    <w:p w14:paraId="0198228B">
      <w:pPr>
        <w:numPr>
          <w:ilvl w:val="2"/>
          <w:numId w:val="1"/>
        </w:numPr>
        <w:tabs>
          <w:tab w:val="left" w:pos="709"/>
          <w:tab w:val="left" w:pos="794"/>
          <w:tab w:val="left" w:pos="935"/>
          <w:tab w:val="left" w:pos="1502"/>
        </w:tabs>
        <w:outlineLvl w:val="2"/>
        <w:rPr>
          <w:bCs/>
        </w:rPr>
      </w:pPr>
      <w:r>
        <w:rPr>
          <w:rFonts w:hint="eastAsia"/>
          <w:bCs/>
        </w:rPr>
        <w:t>接力型换乘车站，应按编组小、发车间隔长的线路进行站台人流密度以及车站功能评价和紧急疏散时间校验。</w:t>
      </w:r>
    </w:p>
    <w:p w14:paraId="4471D456">
      <w:pPr>
        <w:numPr>
          <w:ilvl w:val="2"/>
          <w:numId w:val="1"/>
        </w:numPr>
        <w:tabs>
          <w:tab w:val="left" w:pos="709"/>
          <w:tab w:val="left" w:pos="794"/>
          <w:tab w:val="left" w:pos="935"/>
          <w:tab w:val="left" w:pos="1502"/>
        </w:tabs>
        <w:outlineLvl w:val="2"/>
        <w:rPr>
          <w:bCs/>
        </w:rPr>
      </w:pPr>
      <w:r>
        <w:rPr>
          <w:rFonts w:hint="eastAsia"/>
          <w:bCs/>
        </w:rPr>
        <w:t>与既有线换乘时，宜选择换乘客流冲击小的换乘方式。</w:t>
      </w:r>
    </w:p>
    <w:p w14:paraId="5DEBB6AA">
      <w:pPr>
        <w:pStyle w:val="4"/>
        <w:tabs>
          <w:tab w:val="left" w:pos="709"/>
          <w:tab w:val="clear" w:pos="462"/>
          <w:tab w:val="clear" w:pos="567"/>
          <w:tab w:val="clear" w:pos="794"/>
        </w:tabs>
      </w:pPr>
      <w:bookmarkStart w:id="672" w:name="_Toc183882098"/>
      <w:bookmarkStart w:id="673" w:name="_Toc6085"/>
      <w:bookmarkStart w:id="674" w:name="_Toc183683528"/>
      <w:bookmarkStart w:id="675" w:name="_Toc357929355"/>
      <w:bookmarkStart w:id="676" w:name="_Toc183765107"/>
      <w:bookmarkStart w:id="677" w:name="_Toc183790537"/>
      <w:bookmarkStart w:id="678" w:name="_Toc183888512"/>
      <w:bookmarkStart w:id="679" w:name="_Toc183888150"/>
      <w:bookmarkStart w:id="680" w:name="_Toc183882460"/>
      <w:r>
        <w:rPr>
          <w:rFonts w:hint="eastAsia"/>
        </w:rPr>
        <w:t>管线综合</w:t>
      </w:r>
      <w:bookmarkEnd w:id="672"/>
      <w:bookmarkEnd w:id="673"/>
      <w:bookmarkEnd w:id="674"/>
      <w:bookmarkEnd w:id="675"/>
      <w:bookmarkEnd w:id="676"/>
      <w:bookmarkEnd w:id="677"/>
      <w:bookmarkEnd w:id="678"/>
      <w:bookmarkEnd w:id="679"/>
      <w:bookmarkEnd w:id="680"/>
    </w:p>
    <w:p w14:paraId="36CB91BE">
      <w:pPr>
        <w:numPr>
          <w:ilvl w:val="2"/>
          <w:numId w:val="1"/>
        </w:numPr>
        <w:tabs>
          <w:tab w:val="left" w:pos="709"/>
          <w:tab w:val="left" w:pos="794"/>
          <w:tab w:val="left" w:pos="935"/>
          <w:tab w:val="left" w:pos="1502"/>
        </w:tabs>
        <w:outlineLvl w:val="2"/>
        <w:rPr>
          <w:bCs/>
        </w:rPr>
      </w:pPr>
      <w:r>
        <w:rPr>
          <w:rFonts w:hint="eastAsia"/>
          <w:bCs/>
        </w:rPr>
        <w:t>车站管线综合应统筹各设备专业管线，结合建筑装修，充分利用结构空间。管线布置应避开构造柱、圈梁、楼扶梯、设备吊装孔、竖井和大型设备预留运输门洞。管线与墙体、结构梁柱、吊顶之间以及各管线之间应留有足够的安装和检修空间。</w:t>
      </w:r>
    </w:p>
    <w:p w14:paraId="3AA2F4C6">
      <w:pPr>
        <w:numPr>
          <w:ilvl w:val="2"/>
          <w:numId w:val="1"/>
        </w:numPr>
        <w:tabs>
          <w:tab w:val="left" w:pos="709"/>
          <w:tab w:val="left" w:pos="794"/>
          <w:tab w:val="left" w:pos="935"/>
          <w:tab w:val="left" w:pos="1502"/>
        </w:tabs>
        <w:outlineLvl w:val="2"/>
        <w:rPr>
          <w:bCs/>
        </w:rPr>
      </w:pPr>
      <w:r>
        <w:rPr>
          <w:rFonts w:hint="eastAsia"/>
          <w:bCs/>
        </w:rPr>
        <w:t>车站管线集中处的布置应符合下列规定：</w:t>
      </w:r>
    </w:p>
    <w:p w14:paraId="1895261A">
      <w:pPr>
        <w:pStyle w:val="7"/>
        <w:ind w:firstLine="420"/>
      </w:pPr>
      <w:r>
        <w:rPr>
          <w:rFonts w:hint="eastAsia"/>
          <w:szCs w:val="18"/>
        </w:rPr>
        <w:t>各种管线</w:t>
      </w:r>
      <w:r>
        <w:rPr>
          <w:rFonts w:hint="eastAsia"/>
        </w:rPr>
        <w:t>应按：风管——动照电缆桥架——弱电电缆线槽——各类水管从上至下顺序排列；</w:t>
      </w:r>
    </w:p>
    <w:p w14:paraId="2CE36294">
      <w:pPr>
        <w:pStyle w:val="7"/>
        <w:ind w:firstLine="420"/>
        <w:rPr>
          <w:szCs w:val="18"/>
        </w:rPr>
      </w:pPr>
      <w:r>
        <w:rPr>
          <w:rFonts w:hint="eastAsia"/>
        </w:rPr>
        <w:t>强、弱电管线交叉时，管线应按：中压电缆——直流牵引电缆——低压电缆——</w:t>
      </w:r>
      <w:r>
        <w:rPr>
          <w:rFonts w:hint="eastAsia"/>
          <w:szCs w:val="18"/>
        </w:rPr>
        <w:t>通信、信号电缆或各种控制电缆从上到下依次排列。</w:t>
      </w:r>
    </w:p>
    <w:p w14:paraId="2A4984E9">
      <w:pPr>
        <w:numPr>
          <w:ilvl w:val="2"/>
          <w:numId w:val="1"/>
        </w:numPr>
        <w:tabs>
          <w:tab w:val="left" w:pos="709"/>
          <w:tab w:val="left" w:pos="794"/>
          <w:tab w:val="left" w:pos="935"/>
          <w:tab w:val="left" w:pos="1502"/>
        </w:tabs>
        <w:outlineLvl w:val="2"/>
        <w:rPr>
          <w:bCs/>
        </w:rPr>
      </w:pPr>
      <w:r>
        <w:rPr>
          <w:rFonts w:hint="eastAsia"/>
          <w:bCs/>
        </w:rPr>
        <w:t>风阀、水阀、风机盘管及挡烟垂帘控制箱等设备设置在吊顶内时，应在设备下方的吊顶上开设检查口。检查口的尺寸不应小于600mm×600mm，其他管线不得遮挡检查口。</w:t>
      </w:r>
    </w:p>
    <w:p w14:paraId="617C9A83">
      <w:pPr>
        <w:numPr>
          <w:ilvl w:val="2"/>
          <w:numId w:val="1"/>
        </w:numPr>
        <w:tabs>
          <w:tab w:val="left" w:pos="709"/>
          <w:tab w:val="left" w:pos="794"/>
          <w:tab w:val="left" w:pos="935"/>
          <w:tab w:val="left" w:pos="1502"/>
        </w:tabs>
        <w:outlineLvl w:val="2"/>
        <w:rPr>
          <w:bCs/>
        </w:rPr>
      </w:pPr>
      <w:r>
        <w:rPr>
          <w:rFonts w:hint="eastAsia"/>
          <w:bCs/>
        </w:rPr>
        <w:t>地下车站列车底部排热风道设置应符合下列规定：</w:t>
      </w:r>
    </w:p>
    <w:p w14:paraId="04407274">
      <w:pPr>
        <w:pStyle w:val="7"/>
        <w:ind w:firstLine="420"/>
      </w:pPr>
      <w:r>
        <w:rPr>
          <w:rFonts w:hint="eastAsia"/>
          <w:szCs w:val="18"/>
        </w:rPr>
        <w:t>排热风道风口</w:t>
      </w:r>
      <w:r>
        <w:rPr>
          <w:rFonts w:hint="eastAsia"/>
        </w:rPr>
        <w:t>位置应靠近列车底部发热体；</w:t>
      </w:r>
    </w:p>
    <w:p w14:paraId="37737DF8">
      <w:pPr>
        <w:pStyle w:val="7"/>
        <w:ind w:firstLine="420"/>
      </w:pPr>
      <w:r>
        <w:rPr>
          <w:rFonts w:hint="eastAsia"/>
        </w:rPr>
        <w:t>排热风道内不宜有阻挡气流的结构纵梁和立柱，局部困难地段无法避免时，结构底板纵梁可下翻，立柱处排热风道的横截面应满足通风排热要求。</w:t>
      </w:r>
    </w:p>
    <w:p w14:paraId="64B464EA">
      <w:pPr>
        <w:numPr>
          <w:ilvl w:val="2"/>
          <w:numId w:val="1"/>
        </w:numPr>
        <w:tabs>
          <w:tab w:val="left" w:pos="709"/>
          <w:tab w:val="left" w:pos="794"/>
          <w:tab w:val="left" w:pos="935"/>
          <w:tab w:val="left" w:pos="1502"/>
        </w:tabs>
        <w:outlineLvl w:val="2"/>
        <w:rPr>
          <w:bCs/>
        </w:rPr>
      </w:pPr>
      <w:r>
        <w:rPr>
          <w:rFonts w:hint="eastAsia"/>
          <w:bCs/>
        </w:rPr>
        <w:t>站台板下电缆等管线通道的设置应符合下列规定：</w:t>
      </w:r>
    </w:p>
    <w:p w14:paraId="77904C55">
      <w:pPr>
        <w:pStyle w:val="7"/>
        <w:ind w:firstLine="420"/>
      </w:pPr>
      <w:r>
        <w:rPr>
          <w:rFonts w:hint="eastAsia"/>
          <w:szCs w:val="18"/>
        </w:rPr>
        <w:t>自动扶梯</w:t>
      </w:r>
      <w:r>
        <w:rPr>
          <w:rFonts w:hint="eastAsia"/>
        </w:rPr>
        <w:t>、电梯等底坑宜设在同一侧，另一侧管线通道宜顺直、通畅；</w:t>
      </w:r>
    </w:p>
    <w:p w14:paraId="75CD4539">
      <w:pPr>
        <w:pStyle w:val="7"/>
        <w:ind w:firstLine="420"/>
      </w:pPr>
      <w:r>
        <w:rPr>
          <w:rFonts w:hint="eastAsia"/>
        </w:rPr>
        <w:t>并列设置上下行扶梯时，扶梯基坑侧面应留出不小于0.80m的管线通道；</w:t>
      </w:r>
    </w:p>
    <w:p w14:paraId="5EE58EB8">
      <w:pPr>
        <w:pStyle w:val="7"/>
        <w:ind w:firstLine="420"/>
      </w:pPr>
      <w:r>
        <w:rPr>
          <w:rFonts w:hint="eastAsia"/>
        </w:rPr>
        <w:t>站台板下电缆不应跨越污水、集水池敷设。污水、集水池外壁与结构底板纵梁间的水平净距不宜小于1.0m，条件困难时应采取结构纵梁下翻等措施；</w:t>
      </w:r>
    </w:p>
    <w:p w14:paraId="27A12228">
      <w:pPr>
        <w:pStyle w:val="7"/>
        <w:ind w:firstLine="420"/>
        <w:rPr>
          <w:szCs w:val="18"/>
        </w:rPr>
      </w:pPr>
      <w:r>
        <w:rPr>
          <w:rFonts w:hint="eastAsia"/>
        </w:rPr>
        <w:t>电缆等管线通道上方宜每隔40m设一处人孔</w:t>
      </w:r>
      <w:r>
        <w:rPr>
          <w:rFonts w:hint="eastAsia"/>
          <w:szCs w:val="18"/>
        </w:rPr>
        <w:t>。</w:t>
      </w:r>
    </w:p>
    <w:p w14:paraId="6BA80EED">
      <w:pPr>
        <w:numPr>
          <w:ilvl w:val="2"/>
          <w:numId w:val="1"/>
        </w:numPr>
        <w:tabs>
          <w:tab w:val="left" w:pos="709"/>
          <w:tab w:val="left" w:pos="794"/>
          <w:tab w:val="left" w:pos="935"/>
          <w:tab w:val="left" w:pos="1502"/>
        </w:tabs>
        <w:outlineLvl w:val="2"/>
        <w:rPr>
          <w:bCs/>
        </w:rPr>
      </w:pPr>
      <w:r>
        <w:rPr>
          <w:rFonts w:hint="eastAsia"/>
          <w:bCs/>
        </w:rPr>
        <w:t>综合管线应分类设置色环和标识。</w:t>
      </w:r>
    </w:p>
    <w:p w14:paraId="2951955B">
      <w:pPr>
        <w:pStyle w:val="4"/>
        <w:tabs>
          <w:tab w:val="left" w:pos="709"/>
          <w:tab w:val="clear" w:pos="462"/>
          <w:tab w:val="clear" w:pos="567"/>
          <w:tab w:val="clear" w:pos="794"/>
        </w:tabs>
      </w:pPr>
      <w:bookmarkStart w:id="681" w:name="_Toc29353"/>
      <w:bookmarkStart w:id="682" w:name="_Toc183888151"/>
      <w:bookmarkStart w:id="683" w:name="_Toc183790538"/>
      <w:bookmarkStart w:id="684" w:name="_Toc183765108"/>
      <w:bookmarkStart w:id="685" w:name="_Toc183888513"/>
      <w:bookmarkStart w:id="686" w:name="_Toc183683529"/>
      <w:bookmarkStart w:id="687" w:name="_Toc183882461"/>
      <w:bookmarkStart w:id="688" w:name="_Toc183882099"/>
      <w:r>
        <w:rPr>
          <w:rFonts w:hint="eastAsia"/>
        </w:rPr>
        <w:t>便民服务设施</w:t>
      </w:r>
      <w:bookmarkEnd w:id="681"/>
      <w:bookmarkEnd w:id="682"/>
      <w:bookmarkEnd w:id="683"/>
      <w:bookmarkEnd w:id="684"/>
      <w:bookmarkEnd w:id="685"/>
      <w:bookmarkEnd w:id="686"/>
      <w:bookmarkEnd w:id="687"/>
      <w:bookmarkEnd w:id="688"/>
    </w:p>
    <w:p w14:paraId="39DB9641">
      <w:pPr>
        <w:numPr>
          <w:ilvl w:val="2"/>
          <w:numId w:val="1"/>
        </w:numPr>
        <w:tabs>
          <w:tab w:val="left" w:pos="709"/>
          <w:tab w:val="left" w:pos="794"/>
          <w:tab w:val="left" w:pos="935"/>
          <w:tab w:val="left" w:pos="1502"/>
        </w:tabs>
        <w:outlineLvl w:val="2"/>
        <w:rPr>
          <w:bCs/>
        </w:rPr>
      </w:pPr>
      <w:r>
        <w:rPr>
          <w:bCs/>
        </w:rPr>
        <w:t>车站便民服务设施</w:t>
      </w:r>
      <w:r>
        <w:rPr>
          <w:rFonts w:hint="eastAsia"/>
          <w:bCs/>
          <w:szCs w:val="28"/>
        </w:rPr>
        <w:t>应结合站点周边用地统筹考虑，基于进出站客流流线进行布设，并结合商业策划确定商业业态及位置布局，实现与周边区域的动线连续、功能互补、站内外商业空间有效衔接。</w:t>
      </w:r>
    </w:p>
    <w:p w14:paraId="38201F6B">
      <w:pPr>
        <w:numPr>
          <w:ilvl w:val="2"/>
          <w:numId w:val="1"/>
        </w:numPr>
        <w:tabs>
          <w:tab w:val="left" w:pos="709"/>
          <w:tab w:val="left" w:pos="794"/>
          <w:tab w:val="left" w:pos="935"/>
          <w:tab w:val="left" w:pos="1502"/>
        </w:tabs>
        <w:outlineLvl w:val="2"/>
        <w:rPr>
          <w:bCs/>
        </w:rPr>
      </w:pPr>
      <w:r>
        <w:rPr>
          <w:rFonts w:hint="eastAsia"/>
          <w:bCs/>
        </w:rPr>
        <w:t>车站公共区外便民服务设施应满足下列要求：</w:t>
      </w:r>
    </w:p>
    <w:p w14:paraId="4362239D">
      <w:pPr>
        <w:pStyle w:val="7"/>
        <w:ind w:firstLine="420"/>
      </w:pPr>
      <w:r>
        <w:rPr>
          <w:rFonts w:hint="eastAsia" w:ascii="宋体" w:hAnsi="宋体" w:cs="宋体"/>
          <w:szCs w:val="20"/>
        </w:rPr>
        <w:t>便民服务设</w:t>
      </w:r>
      <w:r>
        <w:rPr>
          <w:rFonts w:hint="eastAsia"/>
        </w:rPr>
        <w:t>施位于地面以上，建筑面积不宜超过</w:t>
      </w:r>
      <w:r>
        <w:t>800 m</w:t>
      </w:r>
      <w:r>
        <w:rPr>
          <w:vertAlign w:val="superscript"/>
        </w:rPr>
        <w:t>2</w:t>
      </w:r>
      <w:r>
        <w:rPr>
          <w:rFonts w:hint="eastAsia"/>
        </w:rPr>
        <w:t>。设施与出入口结合设置在主客流动线旁；旅游站点宜结合出入口地面亭设置旅游服务中心和行李寄存设施</w:t>
      </w:r>
      <w:r>
        <w:t>。</w:t>
      </w:r>
    </w:p>
    <w:p w14:paraId="26FD0C69">
      <w:pPr>
        <w:pStyle w:val="7"/>
        <w:ind w:firstLine="420"/>
      </w:pPr>
      <w:r>
        <w:rPr>
          <w:rFonts w:hint="eastAsia"/>
        </w:rPr>
        <w:t>便民服务设施空间宜单独设立公共卫生间及垃圾消纳空间、货物存储空间，并应预留设置轻餐饮区域的条件。</w:t>
      </w:r>
    </w:p>
    <w:p w14:paraId="54D1F1D5">
      <w:pPr>
        <w:numPr>
          <w:ilvl w:val="2"/>
          <w:numId w:val="1"/>
        </w:numPr>
        <w:tabs>
          <w:tab w:val="left" w:pos="709"/>
          <w:tab w:val="left" w:pos="794"/>
          <w:tab w:val="left" w:pos="935"/>
          <w:tab w:val="left" w:pos="1502"/>
        </w:tabs>
        <w:outlineLvl w:val="2"/>
        <w:rPr>
          <w:bCs/>
        </w:rPr>
      </w:pPr>
      <w:r>
        <w:rPr>
          <w:rFonts w:hint="eastAsia"/>
          <w:bCs/>
        </w:rPr>
        <w:t>车站公共区内便民服务设施应满足下列要求：</w:t>
      </w:r>
    </w:p>
    <w:p w14:paraId="1537627B">
      <w:pPr>
        <w:pStyle w:val="7"/>
        <w:ind w:firstLine="420"/>
      </w:pPr>
      <w:r>
        <w:rPr>
          <w:rFonts w:hint="eastAsia"/>
        </w:rPr>
        <w:t>站内便民服务设施不应设置在楼扶梯、闸机口部、出入口等乘客疏散路径上；</w:t>
      </w:r>
    </w:p>
    <w:p w14:paraId="08C9C3F5">
      <w:pPr>
        <w:pStyle w:val="7"/>
        <w:ind w:firstLine="420"/>
      </w:pPr>
      <w:r>
        <w:rPr>
          <w:rFonts w:hint="eastAsia"/>
        </w:rPr>
        <w:t>车站非付费区应根据站址区位、客流规模及服务需求，配置对应的便民服务设施，可包括零售商铺、食物和饮料、自助服务区和展览场地等多类设施。旅游站点应增设旅游服务中心和行李寄存等专属服务设施；</w:t>
      </w:r>
    </w:p>
    <w:p w14:paraId="3F6F351E">
      <w:pPr>
        <w:pStyle w:val="7"/>
        <w:ind w:firstLine="420"/>
      </w:pPr>
      <w:r>
        <w:rPr>
          <w:rFonts w:hint="eastAsia"/>
        </w:rPr>
        <w:t xml:space="preserve"> 站厅付费区可在非乘客疏散区设置自助售货机等小型服务设施和</w:t>
      </w:r>
      <w:r>
        <w:t>便民服务用房</w:t>
      </w:r>
      <w:r>
        <w:rPr>
          <w:rFonts w:hint="eastAsia"/>
        </w:rPr>
        <w:t>，可设置在站厅层楼扶梯栏杆和电梯的侧面或背面、站厅层侧墙或端墙、付费区与非付费区之间栏杆侧边、自动售（补）票机、充值机、查询机两侧的非乘客疏散区；</w:t>
      </w:r>
      <w:r>
        <w:t xml:space="preserve"> </w:t>
      </w:r>
    </w:p>
    <w:p w14:paraId="285592B2">
      <w:pPr>
        <w:pStyle w:val="7"/>
        <w:ind w:firstLine="420"/>
      </w:pPr>
      <w:r>
        <w:rPr>
          <w:rFonts w:hint="eastAsia"/>
        </w:rPr>
        <w:t>换乘通道在满足消防要求的前提下，可在非乘客疏散区设置便民服务用房或便民服务设施。</w:t>
      </w:r>
    </w:p>
    <w:p w14:paraId="75E9857C">
      <w:pPr>
        <w:pStyle w:val="3"/>
      </w:pPr>
      <w:r>
        <w:rPr>
          <w:rFonts w:eastAsia="宋体"/>
          <w:kern w:val="2"/>
          <w:sz w:val="21"/>
          <w:szCs w:val="24"/>
        </w:rPr>
        <w:br w:type="page"/>
      </w:r>
      <w:bookmarkEnd w:id="399"/>
      <w:bookmarkEnd w:id="400"/>
      <w:bookmarkEnd w:id="401"/>
      <w:bookmarkEnd w:id="402"/>
      <w:bookmarkStart w:id="689" w:name="_bookmark95"/>
      <w:bookmarkEnd w:id="689"/>
      <w:bookmarkStart w:id="690" w:name="_bookmark238"/>
      <w:bookmarkEnd w:id="690"/>
      <w:bookmarkStart w:id="691" w:name="_Toc183882100"/>
      <w:bookmarkStart w:id="692" w:name="_Toc183790539"/>
      <w:bookmarkStart w:id="693" w:name="_Toc183683530"/>
      <w:bookmarkStart w:id="694" w:name="_Toc183699869"/>
      <w:bookmarkStart w:id="695" w:name="_Toc183765109"/>
      <w:bookmarkStart w:id="696" w:name="_Toc183888152"/>
      <w:bookmarkStart w:id="697" w:name="_Toc183888514"/>
      <w:bookmarkStart w:id="698" w:name="_Toc183735413"/>
      <w:bookmarkStart w:id="699" w:name="_Toc183882462"/>
      <w:bookmarkStart w:id="700" w:name="_Toc168061707"/>
      <w:bookmarkStart w:id="701" w:name="_Toc168061254"/>
      <w:bookmarkStart w:id="702" w:name="_Toc168059446"/>
      <w:bookmarkStart w:id="703" w:name="_Toc168061260"/>
      <w:bookmarkStart w:id="704" w:name="_Toc168059452"/>
      <w:bookmarkStart w:id="705" w:name="_Toc168061701"/>
      <w:bookmarkStart w:id="706" w:name="_Toc174462053"/>
      <w:r>
        <w:t>高架结构</w:t>
      </w:r>
      <w:bookmarkEnd w:id="691"/>
      <w:bookmarkEnd w:id="692"/>
      <w:bookmarkEnd w:id="693"/>
      <w:bookmarkEnd w:id="694"/>
      <w:bookmarkEnd w:id="695"/>
      <w:bookmarkEnd w:id="696"/>
      <w:bookmarkEnd w:id="697"/>
      <w:bookmarkEnd w:id="698"/>
      <w:bookmarkEnd w:id="699"/>
    </w:p>
    <w:p w14:paraId="1AB2E98C">
      <w:pPr>
        <w:numPr>
          <w:ilvl w:val="1"/>
          <w:numId w:val="1"/>
        </w:numPr>
        <w:tabs>
          <w:tab w:val="left" w:pos="794"/>
        </w:tabs>
        <w:snapToGrid w:val="0"/>
        <w:spacing w:before="156" w:after="156" w:line="240" w:lineRule="auto"/>
        <w:jc w:val="center"/>
        <w:outlineLvl w:val="1"/>
        <w:rPr>
          <w:rFonts w:eastAsia="黑体"/>
          <w:bCs/>
          <w:szCs w:val="28"/>
        </w:rPr>
      </w:pPr>
      <w:bookmarkStart w:id="707" w:name="_Toc183765110"/>
      <w:bookmarkStart w:id="708" w:name="_Toc183888153"/>
      <w:bookmarkStart w:id="709" w:name="_Toc183882463"/>
      <w:bookmarkStart w:id="710" w:name="_Toc183790540"/>
      <w:bookmarkStart w:id="711" w:name="_Toc183888515"/>
      <w:bookmarkStart w:id="712" w:name="_Toc183882101"/>
      <w:r>
        <w:rPr>
          <w:rFonts w:eastAsia="黑体"/>
          <w:bCs/>
          <w:szCs w:val="28"/>
        </w:rPr>
        <w:t>高架桥梁结构</w:t>
      </w:r>
      <w:bookmarkEnd w:id="707"/>
      <w:bookmarkEnd w:id="708"/>
      <w:bookmarkEnd w:id="709"/>
      <w:bookmarkEnd w:id="710"/>
      <w:bookmarkEnd w:id="711"/>
      <w:bookmarkEnd w:id="712"/>
    </w:p>
    <w:p w14:paraId="5CB6714E">
      <w:pPr>
        <w:jc w:val="center"/>
        <w:rPr>
          <w:b/>
        </w:rPr>
      </w:pPr>
      <w:bookmarkStart w:id="713" w:name="_bookmark66"/>
      <w:bookmarkEnd w:id="713"/>
      <w:bookmarkStart w:id="714" w:name="_bookmark219"/>
      <w:bookmarkEnd w:id="714"/>
      <w:bookmarkStart w:id="715" w:name="_bookmark67"/>
      <w:bookmarkEnd w:id="715"/>
      <w:r>
        <w:rPr>
          <w:b/>
        </w:rPr>
        <w:t xml:space="preserve">Ⅰ  </w:t>
      </w:r>
      <w:r>
        <w:t>一般规定</w:t>
      </w:r>
    </w:p>
    <w:p w14:paraId="5E25A82F">
      <w:pPr>
        <w:numPr>
          <w:ilvl w:val="2"/>
          <w:numId w:val="1"/>
        </w:numPr>
        <w:tabs>
          <w:tab w:val="left" w:pos="709"/>
          <w:tab w:val="left" w:pos="794"/>
        </w:tabs>
        <w:outlineLvl w:val="2"/>
        <w:rPr>
          <w:bCs/>
        </w:rPr>
      </w:pPr>
      <w:r>
        <w:rPr>
          <w:bCs/>
        </w:rPr>
        <w:t>本节适用于轨道交通下列</w:t>
      </w:r>
      <w:r>
        <w:rPr>
          <w:rFonts w:hint="eastAsia"/>
          <w:bCs/>
        </w:rPr>
        <w:t>桥梁</w:t>
      </w:r>
      <w:r>
        <w:rPr>
          <w:bCs/>
        </w:rPr>
        <w:t>的设计：</w:t>
      </w:r>
    </w:p>
    <w:p w14:paraId="65B1EDA9">
      <w:pPr>
        <w:pStyle w:val="7"/>
        <w:ind w:firstLine="420"/>
      </w:pPr>
      <w:r>
        <w:t>梁式高架区间结构；</w:t>
      </w:r>
    </w:p>
    <w:p w14:paraId="75F75D62">
      <w:pPr>
        <w:pStyle w:val="7"/>
        <w:ind w:firstLine="420"/>
      </w:pPr>
      <w:r>
        <w:t>建－桥分离的高架车站结构的轨道梁及其墩柱和基础；</w:t>
      </w:r>
    </w:p>
    <w:p w14:paraId="2DC67582">
      <w:pPr>
        <w:pStyle w:val="7"/>
        <w:ind w:firstLine="420"/>
      </w:pPr>
      <w:r>
        <w:t>建－桥合一的高架车站结构中直接承受列车荷载的轨道梁和其下的</w:t>
      </w:r>
      <w:r>
        <w:rPr>
          <w:rFonts w:hint="eastAsia" w:ascii="Calibri" w:hAnsi="Calibri"/>
        </w:rPr>
        <w:t>框架梁、</w:t>
      </w:r>
      <w:bookmarkStart w:id="716" w:name="_Hlk183004620"/>
      <w:r>
        <w:rPr>
          <w:rFonts w:hint="eastAsia" w:ascii="Calibri" w:hAnsi="Calibri"/>
        </w:rPr>
        <w:t>兼做轨道梁的楼面梁等结构</w:t>
      </w:r>
      <w:bookmarkEnd w:id="716"/>
      <w:r>
        <w:t>；</w:t>
      </w:r>
    </w:p>
    <w:p w14:paraId="3196CE46">
      <w:pPr>
        <w:pStyle w:val="7"/>
        <w:ind w:firstLine="420"/>
      </w:pPr>
      <w:r>
        <w:t>特殊结构及大跨度桥梁的设计可参考相关规范执行。</w:t>
      </w:r>
    </w:p>
    <w:p w14:paraId="0174294D">
      <w:pPr>
        <w:numPr>
          <w:ilvl w:val="2"/>
          <w:numId w:val="1"/>
        </w:numPr>
        <w:tabs>
          <w:tab w:val="left" w:pos="709"/>
          <w:tab w:val="left" w:pos="794"/>
        </w:tabs>
        <w:jc w:val="left"/>
        <w:outlineLvl w:val="2"/>
        <w:rPr>
          <w:bCs/>
        </w:rPr>
      </w:pPr>
      <w:r>
        <w:rPr>
          <w:bCs/>
        </w:rPr>
        <w:t>高架建筑结构形式应与周边环境和城市景观相协调。</w:t>
      </w:r>
      <w:r>
        <w:rPr>
          <w:rFonts w:hint="eastAsia"/>
          <w:bCs/>
        </w:rPr>
        <w:t>区间标准跨</w:t>
      </w:r>
      <w:r>
        <w:rPr>
          <w:bCs/>
        </w:rPr>
        <w:t>桥梁宜选用噪声小</w:t>
      </w:r>
      <w:r>
        <w:rPr>
          <w:rFonts w:hint="eastAsia"/>
          <w:bCs/>
        </w:rPr>
        <w:t>、</w:t>
      </w:r>
      <w:r>
        <w:rPr>
          <w:bCs/>
        </w:rPr>
        <w:t>振动小的结构形式</w:t>
      </w:r>
      <w:r>
        <w:rPr>
          <w:rFonts w:hint="eastAsia"/>
          <w:bCs/>
        </w:rPr>
        <w:t>。</w:t>
      </w:r>
    </w:p>
    <w:p w14:paraId="60612897">
      <w:pPr>
        <w:numPr>
          <w:ilvl w:val="2"/>
          <w:numId w:val="1"/>
        </w:numPr>
        <w:tabs>
          <w:tab w:val="left" w:pos="709"/>
          <w:tab w:val="left" w:pos="794"/>
        </w:tabs>
        <w:jc w:val="left"/>
        <w:outlineLvl w:val="2"/>
        <w:rPr>
          <w:bCs/>
        </w:rPr>
      </w:pPr>
      <w:r>
        <w:rPr>
          <w:bCs/>
        </w:rPr>
        <w:t>高架</w:t>
      </w:r>
      <w:r>
        <w:rPr>
          <w:rFonts w:hint="eastAsia"/>
          <w:bCs/>
        </w:rPr>
        <w:t>桥梁</w:t>
      </w:r>
      <w:r>
        <w:rPr>
          <w:bCs/>
        </w:rPr>
        <w:t>应满足列车安全运行和乘客乘坐舒适的要求。结构除应满足规定的强度外，还应有足够的竖向刚度、横向刚度，并应保证结构的整体性和稳定性。</w:t>
      </w:r>
    </w:p>
    <w:p w14:paraId="0A5F1CD9">
      <w:pPr>
        <w:numPr>
          <w:ilvl w:val="2"/>
          <w:numId w:val="1"/>
        </w:numPr>
        <w:tabs>
          <w:tab w:val="left" w:pos="709"/>
          <w:tab w:val="left" w:pos="794"/>
        </w:tabs>
        <w:jc w:val="left"/>
        <w:outlineLvl w:val="2"/>
        <w:rPr>
          <w:bCs/>
        </w:rPr>
      </w:pPr>
      <w:bookmarkStart w:id="717" w:name="OLE_LINK17"/>
      <w:bookmarkStart w:id="718" w:name="OLE_LINK3"/>
      <w:bookmarkStart w:id="719" w:name="_Hlk183614502"/>
      <w:r>
        <w:rPr>
          <w:bCs/>
        </w:rPr>
        <w:t>高架桥梁主体结构设计工作年限为100年</w:t>
      </w:r>
      <w:r>
        <w:rPr>
          <w:rFonts w:hint="eastAsia"/>
          <w:bCs/>
        </w:rPr>
        <w:t>；</w:t>
      </w:r>
      <w:r>
        <w:rPr>
          <w:bCs/>
        </w:rPr>
        <w:t>吊杆索、斜拉索、伸缩缝设计工作年限为30年</w:t>
      </w:r>
      <w:r>
        <w:rPr>
          <w:rFonts w:hint="eastAsia"/>
          <w:bCs/>
        </w:rPr>
        <w:t>；</w:t>
      </w:r>
      <w:r>
        <w:rPr>
          <w:bCs/>
        </w:rPr>
        <w:t>不可更换栏板设计工作年限为60年</w:t>
      </w:r>
      <w:r>
        <w:rPr>
          <w:rFonts w:hint="eastAsia"/>
          <w:bCs/>
        </w:rPr>
        <w:t>；</w:t>
      </w:r>
      <w:r>
        <w:rPr>
          <w:bCs/>
        </w:rPr>
        <w:t>排水系统设计工作年限为15年</w:t>
      </w:r>
      <w:r>
        <w:rPr>
          <w:rFonts w:hint="eastAsia"/>
          <w:bCs/>
        </w:rPr>
        <w:t>；</w:t>
      </w:r>
      <w:r>
        <w:rPr>
          <w:bCs/>
        </w:rPr>
        <w:t>球形钢支座设计工作年限为60年。</w:t>
      </w:r>
      <w:bookmarkEnd w:id="717"/>
      <w:bookmarkEnd w:id="718"/>
    </w:p>
    <w:bookmarkEnd w:id="719"/>
    <w:p w14:paraId="7DE276A9">
      <w:pPr>
        <w:numPr>
          <w:ilvl w:val="2"/>
          <w:numId w:val="1"/>
        </w:numPr>
        <w:tabs>
          <w:tab w:val="left" w:pos="709"/>
          <w:tab w:val="left" w:pos="794"/>
        </w:tabs>
        <w:jc w:val="left"/>
        <w:outlineLvl w:val="2"/>
        <w:rPr>
          <w:bCs/>
        </w:rPr>
      </w:pPr>
      <w:r>
        <w:rPr>
          <w:bCs/>
        </w:rPr>
        <w:t>高架</w:t>
      </w:r>
      <w:r>
        <w:rPr>
          <w:rFonts w:hint="eastAsia"/>
          <w:bCs/>
        </w:rPr>
        <w:t>桥梁</w:t>
      </w:r>
      <w:r>
        <w:rPr>
          <w:bCs/>
        </w:rPr>
        <w:t>混凝土耐久性设计应</w:t>
      </w:r>
      <w:r>
        <w:rPr>
          <w:rFonts w:hint="eastAsia"/>
          <w:bCs/>
        </w:rPr>
        <w:t>符合</w:t>
      </w:r>
      <w:r>
        <w:rPr>
          <w:bCs/>
        </w:rPr>
        <w:t>现行行业标准《铁路混凝土结构耐久性设计规范》TB10005的相关规定。</w:t>
      </w:r>
    </w:p>
    <w:p w14:paraId="73EF3CAF">
      <w:pPr>
        <w:numPr>
          <w:ilvl w:val="2"/>
          <w:numId w:val="1"/>
        </w:numPr>
        <w:tabs>
          <w:tab w:val="left" w:pos="709"/>
          <w:tab w:val="left" w:pos="794"/>
        </w:tabs>
        <w:jc w:val="left"/>
        <w:outlineLvl w:val="2"/>
        <w:rPr>
          <w:bCs/>
        </w:rPr>
      </w:pPr>
      <w:r>
        <w:rPr>
          <w:bCs/>
        </w:rPr>
        <w:t>桥跨布置应避开不可改移或拆迁的地下管线和地下构筑物。</w:t>
      </w:r>
    </w:p>
    <w:p w14:paraId="3BF7F930">
      <w:pPr>
        <w:numPr>
          <w:ilvl w:val="2"/>
          <w:numId w:val="1"/>
        </w:numPr>
        <w:tabs>
          <w:tab w:val="left" w:pos="709"/>
          <w:tab w:val="left" w:pos="794"/>
        </w:tabs>
        <w:jc w:val="left"/>
        <w:outlineLvl w:val="2"/>
        <w:rPr>
          <w:bCs/>
        </w:rPr>
      </w:pPr>
      <w:bookmarkStart w:id="720" w:name="OLE_LINK18"/>
      <w:r>
        <w:rPr>
          <w:bCs/>
        </w:rPr>
        <w:t>跨越市政道路及其交叉路口的高架桥的孔径和墩台位置应根据线路位置、道路等级、路幅分布、路口渠化等因素确定</w:t>
      </w:r>
      <w:bookmarkEnd w:id="720"/>
      <w:r>
        <w:rPr>
          <w:bCs/>
        </w:rPr>
        <w:t>。</w:t>
      </w:r>
    </w:p>
    <w:p w14:paraId="331F8AC5">
      <w:pPr>
        <w:numPr>
          <w:ilvl w:val="2"/>
          <w:numId w:val="1"/>
        </w:numPr>
        <w:tabs>
          <w:tab w:val="left" w:pos="709"/>
          <w:tab w:val="left" w:pos="794"/>
        </w:tabs>
        <w:outlineLvl w:val="2"/>
        <w:rPr>
          <w:bCs/>
        </w:rPr>
      </w:pPr>
      <w:r>
        <w:rPr>
          <w:bCs/>
        </w:rPr>
        <w:t>桥梁跨越既有或规划的公路、铁路、市政道路和其他设施时，桥下净空应满足被跨越设施的限界及安全防护距离要求，同时应保证车辆视距满足相关规范要求。</w:t>
      </w:r>
    </w:p>
    <w:p w14:paraId="5C1B635C">
      <w:pPr>
        <w:numPr>
          <w:ilvl w:val="2"/>
          <w:numId w:val="1"/>
        </w:numPr>
        <w:tabs>
          <w:tab w:val="left" w:pos="709"/>
          <w:tab w:val="left" w:pos="794"/>
        </w:tabs>
        <w:jc w:val="left"/>
        <w:outlineLvl w:val="2"/>
        <w:rPr>
          <w:bCs/>
        </w:rPr>
      </w:pPr>
      <w:r>
        <w:rPr>
          <w:rFonts w:hint="eastAsia"/>
          <w:bCs/>
        </w:rPr>
        <w:t>高架桥梁</w:t>
      </w:r>
      <w:r>
        <w:rPr>
          <w:bCs/>
        </w:rPr>
        <w:t>一般地段宜采用等跨简支梁式桥跨结构，并宜推广采用预制架设等工厂化施工方法。</w:t>
      </w:r>
    </w:p>
    <w:p w14:paraId="21BF9851">
      <w:pPr>
        <w:numPr>
          <w:ilvl w:val="2"/>
          <w:numId w:val="1"/>
        </w:numPr>
        <w:tabs>
          <w:tab w:val="left" w:pos="709"/>
          <w:tab w:val="left" w:pos="794"/>
        </w:tabs>
        <w:outlineLvl w:val="2"/>
        <w:rPr>
          <w:bCs/>
        </w:rPr>
      </w:pPr>
      <w:r>
        <w:rPr>
          <w:bCs/>
        </w:rPr>
        <w:t>区间桥梁桥墩宜采用钢筋混凝土结构，桥墩类型宜分段统一。</w:t>
      </w:r>
    </w:p>
    <w:p w14:paraId="4E431160">
      <w:pPr>
        <w:numPr>
          <w:ilvl w:val="2"/>
          <w:numId w:val="1"/>
        </w:numPr>
        <w:tabs>
          <w:tab w:val="left" w:pos="709"/>
          <w:tab w:val="left" w:pos="794"/>
        </w:tabs>
        <w:outlineLvl w:val="2"/>
        <w:rPr>
          <w:bCs/>
        </w:rPr>
      </w:pPr>
      <w:r>
        <w:rPr>
          <w:bCs/>
        </w:rPr>
        <w:t>单组道岔宜设置在连续的桥跨结构上</w:t>
      </w:r>
      <w:r>
        <w:rPr>
          <w:rFonts w:hint="eastAsia"/>
          <w:bCs/>
        </w:rPr>
        <w:t>。</w:t>
      </w:r>
      <w:r>
        <w:rPr>
          <w:bCs/>
        </w:rPr>
        <w:t>梁缝的位置应避开道岔的转辙器及辙叉部位2m以上</w:t>
      </w:r>
      <w:r>
        <w:rPr>
          <w:rFonts w:hint="eastAsia"/>
          <w:bCs/>
        </w:rPr>
        <w:t>并满足轨道专业要求</w:t>
      </w:r>
      <w:r>
        <w:rPr>
          <w:bCs/>
        </w:rPr>
        <w:t>。</w:t>
      </w:r>
    </w:p>
    <w:p w14:paraId="7DFE6152">
      <w:pPr>
        <w:numPr>
          <w:ilvl w:val="2"/>
          <w:numId w:val="1"/>
        </w:numPr>
        <w:tabs>
          <w:tab w:val="left" w:pos="709"/>
          <w:tab w:val="left" w:pos="794"/>
        </w:tabs>
        <w:outlineLvl w:val="2"/>
        <w:rPr>
          <w:bCs/>
        </w:rPr>
      </w:pPr>
      <w:r>
        <w:rPr>
          <w:bCs/>
        </w:rPr>
        <w:t>高架桥设计应满足桥梁检查和检修的要求，对不具备常规地面检修条件的桥梁，宜设置从桥面到桥墩的检修爬梯或其他检修施。</w:t>
      </w:r>
    </w:p>
    <w:p w14:paraId="22E871A4">
      <w:pPr>
        <w:numPr>
          <w:ilvl w:val="2"/>
          <w:numId w:val="1"/>
        </w:numPr>
        <w:tabs>
          <w:tab w:val="left" w:pos="709"/>
          <w:tab w:val="left" w:pos="794"/>
        </w:tabs>
        <w:outlineLvl w:val="2"/>
        <w:rPr>
          <w:bCs/>
        </w:rPr>
      </w:pPr>
      <w:r>
        <w:rPr>
          <w:rFonts w:hint="eastAsia"/>
          <w:bCs/>
        </w:rPr>
        <w:t>区间轨道梁支座设计应满足支座检修、更换要求。在墩台帽顶面与主梁梁底之间应预留顶升主梁更换支座的空间，并应设置坡度不小于</w:t>
      </w:r>
      <w:r>
        <w:rPr>
          <w:bCs/>
        </w:rPr>
        <w:t>3</w:t>
      </w:r>
      <w:r>
        <w:rPr>
          <w:rFonts w:hint="eastAsia"/>
          <w:bCs/>
        </w:rPr>
        <w:t>％的排水坡。</w:t>
      </w:r>
    </w:p>
    <w:p w14:paraId="4A5C54F4">
      <w:pPr>
        <w:numPr>
          <w:ilvl w:val="2"/>
          <w:numId w:val="1"/>
        </w:numPr>
        <w:tabs>
          <w:tab w:val="left" w:pos="709"/>
          <w:tab w:val="left" w:pos="794"/>
        </w:tabs>
        <w:jc w:val="left"/>
        <w:outlineLvl w:val="2"/>
        <w:rPr>
          <w:bCs/>
        </w:rPr>
      </w:pPr>
      <w:r>
        <w:rPr>
          <w:bCs/>
        </w:rPr>
        <w:t>下穿现状公路桥、市政桥、铁路桥的高架线，宜在现状桥范围内设置防抛网并将现状公路桥、市政桥的防撞护栏等级提高至</w:t>
      </w:r>
      <w:r>
        <w:rPr>
          <w:rFonts w:hint="eastAsia"/>
          <w:bCs/>
        </w:rPr>
        <w:t>不低于</w:t>
      </w:r>
      <w:r>
        <w:rPr>
          <w:bCs/>
        </w:rPr>
        <w:t>SS级。</w:t>
      </w:r>
    </w:p>
    <w:p w14:paraId="5333ED34">
      <w:pPr>
        <w:numPr>
          <w:ilvl w:val="2"/>
          <w:numId w:val="1"/>
        </w:numPr>
        <w:tabs>
          <w:tab w:val="left" w:pos="709"/>
          <w:tab w:val="left" w:pos="794"/>
        </w:tabs>
        <w:jc w:val="left"/>
        <w:outlineLvl w:val="2"/>
        <w:rPr>
          <w:bCs/>
        </w:rPr>
      </w:pPr>
      <w:r>
        <w:rPr>
          <w:bCs/>
        </w:rPr>
        <w:t>跨越河流的桥跨布置应满足1/100设计洪水频率，技术复杂、修复困难的大桥、特大桥应按1/300洪水频率进行验算。当观测或调查洪水频率小于前述洪水频率时，应采用观测或调查洪水频率值，跨越有通航要求的河流，桥下净空应</w:t>
      </w:r>
      <w:r>
        <w:rPr>
          <w:rFonts w:hint="eastAsia"/>
          <w:bCs/>
        </w:rPr>
        <w:t>符合</w:t>
      </w:r>
      <w:r>
        <w:rPr>
          <w:bCs/>
        </w:rPr>
        <w:t>现行国家标准《内河通航标准》GB50139的</w:t>
      </w:r>
      <w:r>
        <w:rPr>
          <w:rFonts w:hint="eastAsia"/>
          <w:bCs/>
        </w:rPr>
        <w:t>规定</w:t>
      </w:r>
      <w:r>
        <w:rPr>
          <w:bCs/>
        </w:rPr>
        <w:t>。</w:t>
      </w:r>
    </w:p>
    <w:p w14:paraId="0A1FD88F">
      <w:pPr>
        <w:numPr>
          <w:ilvl w:val="2"/>
          <w:numId w:val="1"/>
        </w:numPr>
        <w:tabs>
          <w:tab w:val="left" w:pos="709"/>
          <w:tab w:val="left" w:pos="794"/>
        </w:tabs>
        <w:jc w:val="left"/>
        <w:outlineLvl w:val="2"/>
        <w:rPr>
          <w:bCs/>
        </w:rPr>
      </w:pPr>
      <w:r>
        <w:rPr>
          <w:bCs/>
        </w:rPr>
        <w:t>桥面系布置应满足桥上线路轨道和其他设备系统使用要求，同时还应满足桥上设备维修和乘客紧急疏散的要求。</w:t>
      </w:r>
    </w:p>
    <w:p w14:paraId="02C39250">
      <w:pPr>
        <w:jc w:val="center"/>
        <w:rPr>
          <w:b/>
        </w:rPr>
      </w:pPr>
      <w:r>
        <w:rPr>
          <w:b/>
        </w:rPr>
        <w:t>Ⅱ  设计荷载</w:t>
      </w:r>
    </w:p>
    <w:p w14:paraId="23D0A88F">
      <w:pPr>
        <w:numPr>
          <w:ilvl w:val="2"/>
          <w:numId w:val="1"/>
        </w:numPr>
        <w:tabs>
          <w:tab w:val="left" w:pos="709"/>
          <w:tab w:val="left" w:pos="794"/>
        </w:tabs>
        <w:jc w:val="left"/>
        <w:outlineLvl w:val="2"/>
      </w:pPr>
      <w:r>
        <w:t>区间桥梁结构应按表11.1.</w:t>
      </w:r>
      <w:r>
        <w:rPr>
          <w:rFonts w:hint="eastAsia"/>
        </w:rPr>
        <w:t>17</w:t>
      </w:r>
      <w:r>
        <w:t>所列的荷载，就其可能出现的最不利组合情况进行计算。</w:t>
      </w:r>
    </w:p>
    <w:p w14:paraId="16DF30D9">
      <w:pPr>
        <w:tabs>
          <w:tab w:val="left" w:pos="709"/>
          <w:tab w:val="left" w:pos="794"/>
          <w:tab w:val="left" w:pos="851"/>
        </w:tabs>
        <w:jc w:val="left"/>
        <w:outlineLvl w:val="2"/>
      </w:pPr>
    </w:p>
    <w:p w14:paraId="0B61B679">
      <w:pPr>
        <w:tabs>
          <w:tab w:val="left" w:pos="709"/>
          <w:tab w:val="left" w:pos="794"/>
          <w:tab w:val="left" w:pos="851"/>
        </w:tabs>
        <w:jc w:val="left"/>
        <w:outlineLvl w:val="2"/>
      </w:pPr>
    </w:p>
    <w:p w14:paraId="3EA1F7EE">
      <w:pPr>
        <w:tabs>
          <w:tab w:val="left" w:pos="709"/>
          <w:tab w:val="left" w:pos="794"/>
          <w:tab w:val="left" w:pos="851"/>
        </w:tabs>
        <w:jc w:val="left"/>
        <w:outlineLvl w:val="2"/>
      </w:pPr>
    </w:p>
    <w:p w14:paraId="66B1333C">
      <w:pPr>
        <w:tabs>
          <w:tab w:val="left" w:pos="709"/>
          <w:tab w:val="left" w:pos="794"/>
          <w:tab w:val="left" w:pos="851"/>
        </w:tabs>
        <w:jc w:val="left"/>
        <w:outlineLvl w:val="2"/>
      </w:pPr>
    </w:p>
    <w:p w14:paraId="37077378">
      <w:pPr>
        <w:tabs>
          <w:tab w:val="left" w:pos="709"/>
          <w:tab w:val="left" w:pos="794"/>
          <w:tab w:val="left" w:pos="851"/>
        </w:tabs>
        <w:jc w:val="left"/>
        <w:outlineLvl w:val="2"/>
      </w:pPr>
    </w:p>
    <w:p w14:paraId="33E580EF">
      <w:pPr>
        <w:pStyle w:val="198"/>
      </w:pPr>
      <w:r>
        <w:t>表11.1.</w:t>
      </w:r>
      <w:r>
        <w:rPr>
          <w:rFonts w:hint="eastAsia"/>
        </w:rPr>
        <w:t>17</w:t>
      </w:r>
      <w:r>
        <w:t xml:space="preserve">  区间桥梁荷载分类表</w:t>
      </w:r>
    </w:p>
    <w:tbl>
      <w:tblPr>
        <w:tblStyle w:val="88"/>
        <w:tblW w:w="6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1242"/>
        <w:gridCol w:w="3955"/>
      </w:tblGrid>
      <w:tr w14:paraId="24F6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exact"/>
          <w:jc w:val="center"/>
        </w:trPr>
        <w:tc>
          <w:tcPr>
            <w:tcW w:w="2385" w:type="dxa"/>
            <w:gridSpan w:val="2"/>
            <w:vAlign w:val="center"/>
          </w:tcPr>
          <w:p w14:paraId="06902F76">
            <w:pPr>
              <w:snapToGrid w:val="0"/>
              <w:spacing w:before="20" w:after="20" w:line="240" w:lineRule="auto"/>
              <w:jc w:val="center"/>
              <w:rPr>
                <w:sz w:val="15"/>
                <w:szCs w:val="20"/>
              </w:rPr>
            </w:pPr>
            <w:r>
              <w:rPr>
                <w:sz w:val="15"/>
                <w:szCs w:val="20"/>
              </w:rPr>
              <w:t>荷载分类</w:t>
            </w:r>
          </w:p>
        </w:tc>
        <w:tc>
          <w:tcPr>
            <w:tcW w:w="3955" w:type="dxa"/>
            <w:vAlign w:val="center"/>
          </w:tcPr>
          <w:p w14:paraId="64798527">
            <w:pPr>
              <w:snapToGrid w:val="0"/>
              <w:spacing w:before="20" w:after="20" w:line="240" w:lineRule="auto"/>
              <w:jc w:val="center"/>
              <w:rPr>
                <w:sz w:val="15"/>
                <w:szCs w:val="20"/>
              </w:rPr>
            </w:pPr>
            <w:r>
              <w:rPr>
                <w:sz w:val="15"/>
                <w:szCs w:val="20"/>
              </w:rPr>
              <w:t>荷载名称</w:t>
            </w:r>
          </w:p>
        </w:tc>
      </w:tr>
      <w:tr w14:paraId="2337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1143" w:type="dxa"/>
            <w:vMerge w:val="restart"/>
            <w:vAlign w:val="center"/>
          </w:tcPr>
          <w:p w14:paraId="0D84EDE7">
            <w:pPr>
              <w:snapToGrid w:val="0"/>
              <w:spacing w:before="20" w:after="20" w:line="240" w:lineRule="auto"/>
              <w:jc w:val="center"/>
              <w:rPr>
                <w:sz w:val="15"/>
                <w:szCs w:val="20"/>
              </w:rPr>
            </w:pPr>
            <w:r>
              <w:rPr>
                <w:sz w:val="15"/>
                <w:szCs w:val="20"/>
              </w:rPr>
              <w:t>主力</w:t>
            </w:r>
          </w:p>
        </w:tc>
        <w:tc>
          <w:tcPr>
            <w:tcW w:w="1242" w:type="dxa"/>
            <w:vAlign w:val="center"/>
          </w:tcPr>
          <w:p w14:paraId="3FA7611A">
            <w:pPr>
              <w:snapToGrid w:val="0"/>
              <w:spacing w:before="20" w:after="20" w:line="240" w:lineRule="auto"/>
              <w:jc w:val="center"/>
              <w:rPr>
                <w:sz w:val="15"/>
                <w:szCs w:val="20"/>
              </w:rPr>
            </w:pPr>
            <w:r>
              <w:rPr>
                <w:sz w:val="15"/>
                <w:szCs w:val="20"/>
              </w:rPr>
              <w:t>恒载</w:t>
            </w:r>
          </w:p>
        </w:tc>
        <w:tc>
          <w:tcPr>
            <w:tcW w:w="3955" w:type="dxa"/>
            <w:vAlign w:val="center"/>
          </w:tcPr>
          <w:p w14:paraId="13450667">
            <w:pPr>
              <w:snapToGrid w:val="0"/>
              <w:spacing w:before="20" w:after="20" w:line="240" w:lineRule="auto"/>
              <w:jc w:val="center"/>
              <w:rPr>
                <w:sz w:val="15"/>
                <w:szCs w:val="20"/>
              </w:rPr>
            </w:pPr>
            <w:r>
              <w:rPr>
                <w:sz w:val="15"/>
                <w:szCs w:val="20"/>
              </w:rPr>
              <w:t>结构自重</w:t>
            </w:r>
          </w:p>
          <w:p w14:paraId="5A135CBB">
            <w:pPr>
              <w:snapToGrid w:val="0"/>
              <w:spacing w:before="20" w:after="20" w:line="240" w:lineRule="auto"/>
              <w:jc w:val="center"/>
              <w:rPr>
                <w:sz w:val="15"/>
                <w:szCs w:val="20"/>
              </w:rPr>
            </w:pPr>
            <w:r>
              <w:rPr>
                <w:sz w:val="15"/>
                <w:szCs w:val="20"/>
              </w:rPr>
              <w:t>附属设备和附属建筑自重</w:t>
            </w:r>
          </w:p>
          <w:p w14:paraId="33D95E6E">
            <w:pPr>
              <w:snapToGrid w:val="0"/>
              <w:spacing w:before="20" w:after="20" w:line="240" w:lineRule="auto"/>
              <w:jc w:val="center"/>
              <w:rPr>
                <w:sz w:val="15"/>
                <w:szCs w:val="20"/>
              </w:rPr>
            </w:pPr>
            <w:r>
              <w:rPr>
                <w:sz w:val="15"/>
                <w:szCs w:val="20"/>
              </w:rPr>
              <w:t>预加力</w:t>
            </w:r>
          </w:p>
          <w:p w14:paraId="35087C66">
            <w:pPr>
              <w:snapToGrid w:val="0"/>
              <w:spacing w:before="20" w:after="20" w:line="240" w:lineRule="auto"/>
              <w:jc w:val="center"/>
              <w:rPr>
                <w:sz w:val="15"/>
                <w:szCs w:val="20"/>
              </w:rPr>
            </w:pPr>
            <w:r>
              <w:rPr>
                <w:sz w:val="15"/>
                <w:szCs w:val="20"/>
              </w:rPr>
              <w:t>混凝土收缩及徐变影响</w:t>
            </w:r>
          </w:p>
          <w:p w14:paraId="2199381D">
            <w:pPr>
              <w:snapToGrid w:val="0"/>
              <w:spacing w:before="20" w:after="20" w:line="240" w:lineRule="auto"/>
              <w:jc w:val="center"/>
              <w:rPr>
                <w:sz w:val="15"/>
                <w:szCs w:val="20"/>
              </w:rPr>
            </w:pPr>
            <w:r>
              <w:rPr>
                <w:sz w:val="15"/>
                <w:szCs w:val="20"/>
              </w:rPr>
              <w:t>基础变位的影响</w:t>
            </w:r>
          </w:p>
          <w:p w14:paraId="0E0A68F6">
            <w:pPr>
              <w:snapToGrid w:val="0"/>
              <w:spacing w:before="20" w:after="20" w:line="240" w:lineRule="auto"/>
              <w:jc w:val="center"/>
              <w:rPr>
                <w:sz w:val="15"/>
                <w:szCs w:val="20"/>
              </w:rPr>
            </w:pPr>
            <w:r>
              <w:rPr>
                <w:sz w:val="15"/>
                <w:szCs w:val="20"/>
              </w:rPr>
              <w:t>土压力</w:t>
            </w:r>
          </w:p>
          <w:p w14:paraId="4069503A">
            <w:pPr>
              <w:snapToGrid w:val="0"/>
              <w:spacing w:before="20" w:after="20" w:line="240" w:lineRule="auto"/>
              <w:jc w:val="center"/>
              <w:rPr>
                <w:sz w:val="15"/>
                <w:szCs w:val="20"/>
              </w:rPr>
            </w:pPr>
            <w:r>
              <w:rPr>
                <w:sz w:val="15"/>
                <w:szCs w:val="20"/>
              </w:rPr>
              <w:t>静水压力及浮力</w:t>
            </w:r>
          </w:p>
        </w:tc>
      </w:tr>
      <w:tr w14:paraId="535C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jc w:val="center"/>
        </w:trPr>
        <w:tc>
          <w:tcPr>
            <w:tcW w:w="1143" w:type="dxa"/>
            <w:vMerge w:val="continue"/>
            <w:vAlign w:val="center"/>
          </w:tcPr>
          <w:p w14:paraId="26A9350B">
            <w:pPr>
              <w:snapToGrid w:val="0"/>
              <w:spacing w:before="20" w:after="20" w:line="240" w:lineRule="auto"/>
              <w:jc w:val="center"/>
              <w:rPr>
                <w:sz w:val="15"/>
                <w:szCs w:val="20"/>
              </w:rPr>
            </w:pPr>
          </w:p>
        </w:tc>
        <w:tc>
          <w:tcPr>
            <w:tcW w:w="1242" w:type="dxa"/>
            <w:vAlign w:val="center"/>
          </w:tcPr>
          <w:p w14:paraId="4464B080">
            <w:pPr>
              <w:snapToGrid w:val="0"/>
              <w:spacing w:before="20" w:after="20" w:line="240" w:lineRule="auto"/>
              <w:jc w:val="center"/>
              <w:rPr>
                <w:sz w:val="15"/>
                <w:szCs w:val="20"/>
              </w:rPr>
            </w:pPr>
            <w:r>
              <w:rPr>
                <w:sz w:val="15"/>
                <w:szCs w:val="20"/>
              </w:rPr>
              <w:t>活载</w:t>
            </w:r>
          </w:p>
        </w:tc>
        <w:tc>
          <w:tcPr>
            <w:tcW w:w="3955" w:type="dxa"/>
            <w:vAlign w:val="center"/>
          </w:tcPr>
          <w:p w14:paraId="65D3FF9B">
            <w:pPr>
              <w:snapToGrid w:val="0"/>
              <w:spacing w:before="20" w:after="20" w:line="240" w:lineRule="auto"/>
              <w:jc w:val="center"/>
              <w:rPr>
                <w:sz w:val="15"/>
                <w:szCs w:val="20"/>
              </w:rPr>
            </w:pPr>
            <w:r>
              <w:rPr>
                <w:sz w:val="15"/>
                <w:szCs w:val="20"/>
              </w:rPr>
              <w:t>列车竖向静活载</w:t>
            </w:r>
          </w:p>
          <w:p w14:paraId="1101C6BC">
            <w:pPr>
              <w:snapToGrid w:val="0"/>
              <w:spacing w:before="20" w:after="20" w:line="240" w:lineRule="auto"/>
              <w:jc w:val="center"/>
              <w:rPr>
                <w:sz w:val="15"/>
                <w:szCs w:val="20"/>
              </w:rPr>
            </w:pPr>
            <w:r>
              <w:rPr>
                <w:sz w:val="15"/>
                <w:szCs w:val="20"/>
              </w:rPr>
              <w:t>列车竖向动力作用</w:t>
            </w:r>
          </w:p>
          <w:p w14:paraId="0C31E395">
            <w:pPr>
              <w:snapToGrid w:val="0"/>
              <w:spacing w:before="20" w:after="20" w:line="240" w:lineRule="auto"/>
              <w:jc w:val="center"/>
              <w:rPr>
                <w:sz w:val="15"/>
                <w:szCs w:val="20"/>
              </w:rPr>
            </w:pPr>
            <w:r>
              <w:rPr>
                <w:sz w:val="15"/>
                <w:szCs w:val="20"/>
              </w:rPr>
              <w:t>列车离心力</w:t>
            </w:r>
          </w:p>
          <w:p w14:paraId="70F470F7">
            <w:pPr>
              <w:snapToGrid w:val="0"/>
              <w:spacing w:before="20" w:after="20" w:line="240" w:lineRule="auto"/>
              <w:jc w:val="center"/>
              <w:rPr>
                <w:sz w:val="15"/>
                <w:szCs w:val="20"/>
              </w:rPr>
            </w:pPr>
            <w:r>
              <w:rPr>
                <w:sz w:val="15"/>
                <w:szCs w:val="20"/>
              </w:rPr>
              <w:t>列车横向摇摆力</w:t>
            </w:r>
          </w:p>
          <w:p w14:paraId="6C9EA984">
            <w:pPr>
              <w:snapToGrid w:val="0"/>
              <w:spacing w:before="20" w:after="20" w:line="240" w:lineRule="auto"/>
              <w:jc w:val="center"/>
              <w:rPr>
                <w:sz w:val="15"/>
                <w:szCs w:val="20"/>
              </w:rPr>
            </w:pPr>
            <w:r>
              <w:rPr>
                <w:sz w:val="15"/>
                <w:szCs w:val="20"/>
              </w:rPr>
              <w:t>活载土压力</w:t>
            </w:r>
          </w:p>
          <w:p w14:paraId="1DDA1B7A">
            <w:pPr>
              <w:snapToGrid w:val="0"/>
              <w:spacing w:before="20" w:after="20" w:line="240" w:lineRule="auto"/>
              <w:jc w:val="center"/>
              <w:rPr>
                <w:sz w:val="15"/>
                <w:szCs w:val="20"/>
              </w:rPr>
            </w:pPr>
            <w:r>
              <w:rPr>
                <w:sz w:val="15"/>
                <w:szCs w:val="20"/>
              </w:rPr>
              <w:t>人群荷载</w:t>
            </w:r>
          </w:p>
        </w:tc>
      </w:tr>
      <w:tr w14:paraId="5E02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2385" w:type="dxa"/>
            <w:gridSpan w:val="2"/>
            <w:vAlign w:val="center"/>
          </w:tcPr>
          <w:p w14:paraId="2969CAF5">
            <w:pPr>
              <w:snapToGrid w:val="0"/>
              <w:spacing w:before="20" w:after="20" w:line="240" w:lineRule="auto"/>
              <w:jc w:val="center"/>
              <w:rPr>
                <w:sz w:val="15"/>
                <w:szCs w:val="20"/>
              </w:rPr>
            </w:pPr>
            <w:r>
              <w:rPr>
                <w:sz w:val="15"/>
                <w:szCs w:val="20"/>
              </w:rPr>
              <w:t>附加力</w:t>
            </w:r>
          </w:p>
        </w:tc>
        <w:tc>
          <w:tcPr>
            <w:tcW w:w="3955" w:type="dxa"/>
            <w:vAlign w:val="center"/>
          </w:tcPr>
          <w:p w14:paraId="5A9BD76B">
            <w:pPr>
              <w:snapToGrid w:val="0"/>
              <w:spacing w:before="20" w:after="20" w:line="240" w:lineRule="auto"/>
              <w:jc w:val="center"/>
              <w:rPr>
                <w:sz w:val="15"/>
                <w:szCs w:val="20"/>
              </w:rPr>
            </w:pPr>
            <w:r>
              <w:rPr>
                <w:sz w:val="15"/>
                <w:szCs w:val="20"/>
              </w:rPr>
              <w:t>列车制动力或牵引力</w:t>
            </w:r>
          </w:p>
          <w:p w14:paraId="27A4097A">
            <w:pPr>
              <w:snapToGrid w:val="0"/>
              <w:spacing w:before="20" w:after="20" w:line="240" w:lineRule="auto"/>
              <w:jc w:val="center"/>
              <w:rPr>
                <w:sz w:val="15"/>
                <w:szCs w:val="20"/>
              </w:rPr>
            </w:pPr>
            <w:r>
              <w:rPr>
                <w:sz w:val="15"/>
                <w:szCs w:val="20"/>
              </w:rPr>
              <w:t>支座摩擦阻力</w:t>
            </w:r>
          </w:p>
          <w:p w14:paraId="5B0C4C7C">
            <w:pPr>
              <w:snapToGrid w:val="0"/>
              <w:spacing w:before="20" w:after="20" w:line="240" w:lineRule="auto"/>
              <w:jc w:val="center"/>
              <w:rPr>
                <w:sz w:val="15"/>
                <w:szCs w:val="20"/>
              </w:rPr>
            </w:pPr>
            <w:r>
              <w:rPr>
                <w:sz w:val="15"/>
                <w:szCs w:val="20"/>
              </w:rPr>
              <w:t>风力</w:t>
            </w:r>
          </w:p>
          <w:p w14:paraId="01DF0F9C">
            <w:pPr>
              <w:snapToGrid w:val="0"/>
              <w:spacing w:before="20" w:after="20" w:line="240" w:lineRule="auto"/>
              <w:jc w:val="center"/>
              <w:rPr>
                <w:sz w:val="15"/>
                <w:szCs w:val="20"/>
              </w:rPr>
            </w:pPr>
            <w:r>
              <w:rPr>
                <w:sz w:val="15"/>
                <w:szCs w:val="20"/>
              </w:rPr>
              <w:t>温度变化的作用</w:t>
            </w:r>
          </w:p>
          <w:p w14:paraId="65668FFD">
            <w:pPr>
              <w:snapToGrid w:val="0"/>
              <w:spacing w:before="20" w:after="20" w:line="240" w:lineRule="auto"/>
              <w:jc w:val="center"/>
              <w:rPr>
                <w:sz w:val="15"/>
                <w:szCs w:val="20"/>
              </w:rPr>
            </w:pPr>
            <w:r>
              <w:rPr>
                <w:sz w:val="15"/>
                <w:szCs w:val="20"/>
              </w:rPr>
              <w:t>流水压力</w:t>
            </w:r>
          </w:p>
          <w:p w14:paraId="2AAEBF38">
            <w:pPr>
              <w:snapToGrid w:val="0"/>
              <w:spacing w:before="20" w:after="20" w:line="240" w:lineRule="auto"/>
              <w:jc w:val="center"/>
              <w:rPr>
                <w:sz w:val="15"/>
                <w:szCs w:val="20"/>
              </w:rPr>
            </w:pPr>
            <w:r>
              <w:rPr>
                <w:sz w:val="15"/>
                <w:szCs w:val="20"/>
              </w:rPr>
              <w:t>冰压力</w:t>
            </w:r>
          </w:p>
          <w:p w14:paraId="0CEA9DD0">
            <w:pPr>
              <w:snapToGrid w:val="0"/>
              <w:spacing w:before="20" w:after="20" w:line="240" w:lineRule="auto"/>
              <w:jc w:val="center"/>
              <w:rPr>
                <w:sz w:val="15"/>
                <w:szCs w:val="20"/>
              </w:rPr>
            </w:pPr>
            <w:r>
              <w:rPr>
                <w:sz w:val="15"/>
                <w:szCs w:val="20"/>
              </w:rPr>
              <w:t>冻胀力</w:t>
            </w:r>
          </w:p>
          <w:p w14:paraId="1FB4FF91">
            <w:pPr>
              <w:snapToGrid w:val="0"/>
              <w:spacing w:before="20" w:after="20" w:line="240" w:lineRule="auto"/>
              <w:jc w:val="center"/>
              <w:rPr>
                <w:sz w:val="15"/>
                <w:szCs w:val="20"/>
              </w:rPr>
            </w:pPr>
            <w:r>
              <w:rPr>
                <w:sz w:val="15"/>
                <w:szCs w:val="20"/>
              </w:rPr>
              <w:t>救援列车荷载、检修列车荷载</w:t>
            </w:r>
          </w:p>
          <w:p w14:paraId="7DBD30B1">
            <w:pPr>
              <w:snapToGrid w:val="0"/>
              <w:spacing w:before="20" w:after="20" w:line="240" w:lineRule="auto"/>
              <w:jc w:val="center"/>
              <w:rPr>
                <w:sz w:val="15"/>
                <w:szCs w:val="20"/>
              </w:rPr>
            </w:pPr>
            <w:r>
              <w:rPr>
                <w:sz w:val="15"/>
                <w:szCs w:val="20"/>
              </w:rPr>
              <w:t>顶梁荷载</w:t>
            </w:r>
          </w:p>
        </w:tc>
      </w:tr>
      <w:tr w14:paraId="6218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2385" w:type="dxa"/>
            <w:gridSpan w:val="2"/>
            <w:tcBorders>
              <w:bottom w:val="single" w:color="auto" w:sz="4" w:space="0"/>
            </w:tcBorders>
            <w:vAlign w:val="center"/>
          </w:tcPr>
          <w:p w14:paraId="0DD5F38B">
            <w:pPr>
              <w:snapToGrid w:val="0"/>
              <w:spacing w:before="20" w:after="20" w:line="240" w:lineRule="auto"/>
              <w:jc w:val="center"/>
              <w:rPr>
                <w:sz w:val="15"/>
                <w:szCs w:val="20"/>
              </w:rPr>
            </w:pPr>
            <w:r>
              <w:rPr>
                <w:sz w:val="15"/>
                <w:szCs w:val="20"/>
              </w:rPr>
              <w:t>特殊荷载</w:t>
            </w:r>
          </w:p>
        </w:tc>
        <w:tc>
          <w:tcPr>
            <w:tcW w:w="3955" w:type="dxa"/>
            <w:tcBorders>
              <w:bottom w:val="single" w:color="auto" w:sz="4" w:space="0"/>
            </w:tcBorders>
            <w:vAlign w:val="center"/>
          </w:tcPr>
          <w:p w14:paraId="63ECCE98">
            <w:pPr>
              <w:snapToGrid w:val="0"/>
              <w:spacing w:before="20" w:after="20" w:line="240" w:lineRule="auto"/>
              <w:jc w:val="center"/>
              <w:rPr>
                <w:sz w:val="15"/>
                <w:szCs w:val="20"/>
              </w:rPr>
            </w:pPr>
            <w:r>
              <w:rPr>
                <w:sz w:val="15"/>
                <w:szCs w:val="20"/>
              </w:rPr>
              <w:t>无缝线路纵向作用力（伸缩力、挠曲力、断轨力）</w:t>
            </w:r>
          </w:p>
          <w:p w14:paraId="0EBE98C7">
            <w:pPr>
              <w:snapToGrid w:val="0"/>
              <w:spacing w:before="20" w:after="20" w:line="240" w:lineRule="auto"/>
              <w:jc w:val="center"/>
              <w:rPr>
                <w:sz w:val="15"/>
                <w:szCs w:val="20"/>
              </w:rPr>
            </w:pPr>
            <w:r>
              <w:rPr>
                <w:sz w:val="15"/>
                <w:szCs w:val="20"/>
              </w:rPr>
              <w:t>船只撞击力</w:t>
            </w:r>
          </w:p>
          <w:p w14:paraId="40F7D1ED">
            <w:pPr>
              <w:snapToGrid w:val="0"/>
              <w:spacing w:before="20" w:after="20" w:line="240" w:lineRule="auto"/>
              <w:jc w:val="center"/>
              <w:rPr>
                <w:sz w:val="15"/>
                <w:szCs w:val="20"/>
              </w:rPr>
            </w:pPr>
            <w:r>
              <w:rPr>
                <w:sz w:val="15"/>
                <w:szCs w:val="20"/>
              </w:rPr>
              <w:t>汽车撞击力</w:t>
            </w:r>
          </w:p>
          <w:p w14:paraId="7E3D3D72">
            <w:pPr>
              <w:snapToGrid w:val="0"/>
              <w:spacing w:before="20" w:after="20" w:line="240" w:lineRule="auto"/>
              <w:jc w:val="center"/>
              <w:rPr>
                <w:sz w:val="15"/>
                <w:szCs w:val="20"/>
              </w:rPr>
            </w:pPr>
            <w:r>
              <w:rPr>
                <w:sz w:val="15"/>
                <w:szCs w:val="20"/>
              </w:rPr>
              <w:t>地震</w:t>
            </w:r>
            <w:r>
              <w:rPr>
                <w:rFonts w:hint="eastAsia"/>
                <w:sz w:val="15"/>
                <w:szCs w:val="20"/>
              </w:rPr>
              <w:t>力</w:t>
            </w:r>
          </w:p>
          <w:p w14:paraId="0E6B4224">
            <w:pPr>
              <w:snapToGrid w:val="0"/>
              <w:spacing w:before="20" w:after="20" w:line="240" w:lineRule="auto"/>
              <w:jc w:val="center"/>
              <w:rPr>
                <w:sz w:val="15"/>
                <w:szCs w:val="20"/>
              </w:rPr>
            </w:pPr>
            <w:r>
              <w:rPr>
                <w:sz w:val="15"/>
                <w:szCs w:val="20"/>
              </w:rPr>
              <w:t>施工临时荷载</w:t>
            </w:r>
          </w:p>
          <w:p w14:paraId="43D51F24">
            <w:pPr>
              <w:snapToGrid w:val="0"/>
              <w:spacing w:before="20" w:after="20" w:line="240" w:lineRule="auto"/>
              <w:jc w:val="center"/>
              <w:rPr>
                <w:sz w:val="15"/>
                <w:szCs w:val="20"/>
              </w:rPr>
            </w:pPr>
            <w:r>
              <w:rPr>
                <w:sz w:val="15"/>
                <w:szCs w:val="20"/>
              </w:rPr>
              <w:t>列车脱轨荷载</w:t>
            </w:r>
          </w:p>
        </w:tc>
      </w:tr>
      <w:tr w14:paraId="5D94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340" w:type="dxa"/>
            <w:gridSpan w:val="3"/>
            <w:tcBorders>
              <w:left w:val="nil"/>
              <w:bottom w:val="nil"/>
              <w:right w:val="nil"/>
            </w:tcBorders>
            <w:vAlign w:val="center"/>
          </w:tcPr>
          <w:p w14:paraId="62FA71FF">
            <w:pPr>
              <w:spacing w:line="240" w:lineRule="auto"/>
              <w:ind w:firstLine="300" w:firstLineChars="200"/>
              <w:jc w:val="left"/>
              <w:rPr>
                <w:sz w:val="15"/>
                <w:szCs w:val="20"/>
              </w:rPr>
            </w:pPr>
            <w:r>
              <w:rPr>
                <w:sz w:val="15"/>
                <w:szCs w:val="20"/>
              </w:rPr>
              <w:t xml:space="preserve">注：1 </w:t>
            </w:r>
            <w:r>
              <w:rPr>
                <w:rFonts w:hint="eastAsia"/>
                <w:sz w:val="15"/>
                <w:szCs w:val="20"/>
              </w:rPr>
              <w:t xml:space="preserve"> </w:t>
            </w:r>
            <w:r>
              <w:rPr>
                <w:sz w:val="15"/>
                <w:szCs w:val="20"/>
              </w:rPr>
              <w:t>如杆件的</w:t>
            </w:r>
            <w:r>
              <w:rPr>
                <w:sz w:val="15"/>
                <w:szCs w:val="15"/>
              </w:rPr>
              <w:t>主要</w:t>
            </w:r>
            <w:r>
              <w:rPr>
                <w:sz w:val="15"/>
                <w:szCs w:val="20"/>
              </w:rPr>
              <w:t>用途为承受某种附加力，在计算此杆件时，该附加力应按主力计；</w:t>
            </w:r>
          </w:p>
          <w:p w14:paraId="3CF42A70">
            <w:pPr>
              <w:spacing w:line="240" w:lineRule="auto"/>
              <w:ind w:left="823" w:leftChars="285" w:hanging="225" w:hangingChars="150"/>
              <w:jc w:val="left"/>
              <w:rPr>
                <w:sz w:val="15"/>
                <w:szCs w:val="20"/>
              </w:rPr>
            </w:pPr>
            <w:r>
              <w:rPr>
                <w:sz w:val="15"/>
                <w:szCs w:val="20"/>
              </w:rPr>
              <w:t xml:space="preserve">2 </w:t>
            </w:r>
            <w:r>
              <w:rPr>
                <w:rFonts w:hint="eastAsia"/>
                <w:sz w:val="15"/>
                <w:szCs w:val="20"/>
              </w:rPr>
              <w:t xml:space="preserve"> </w:t>
            </w:r>
            <w:r>
              <w:rPr>
                <w:sz w:val="15"/>
                <w:szCs w:val="15"/>
              </w:rPr>
              <w:t>流水压力</w:t>
            </w:r>
            <w:r>
              <w:rPr>
                <w:sz w:val="15"/>
                <w:szCs w:val="20"/>
              </w:rPr>
              <w:t>不与冰压力、制动力或牵引力组合；</w:t>
            </w:r>
          </w:p>
          <w:p w14:paraId="7E0CEC9E">
            <w:pPr>
              <w:spacing w:line="240" w:lineRule="auto"/>
              <w:ind w:left="823" w:leftChars="285" w:hanging="225" w:hangingChars="150"/>
              <w:jc w:val="left"/>
              <w:rPr>
                <w:sz w:val="15"/>
                <w:szCs w:val="20"/>
              </w:rPr>
            </w:pPr>
            <w:r>
              <w:rPr>
                <w:sz w:val="15"/>
                <w:szCs w:val="20"/>
              </w:rPr>
              <w:t xml:space="preserve">3 </w:t>
            </w:r>
            <w:r>
              <w:rPr>
                <w:rFonts w:hint="eastAsia"/>
                <w:sz w:val="15"/>
                <w:szCs w:val="20"/>
              </w:rPr>
              <w:t xml:space="preserve"> </w:t>
            </w:r>
            <w:r>
              <w:rPr>
                <w:sz w:val="15"/>
                <w:szCs w:val="20"/>
              </w:rPr>
              <w:t>船只或汽车撞击力，只计算其中一种荷载与主力相组合，不与其他附加力组合；</w:t>
            </w:r>
          </w:p>
          <w:p w14:paraId="50DE52BF">
            <w:pPr>
              <w:spacing w:line="240" w:lineRule="auto"/>
              <w:ind w:left="823" w:leftChars="285" w:hanging="225" w:hangingChars="150"/>
              <w:jc w:val="left"/>
              <w:rPr>
                <w:sz w:val="15"/>
                <w:szCs w:val="20"/>
              </w:rPr>
            </w:pPr>
            <w:r>
              <w:rPr>
                <w:sz w:val="15"/>
                <w:szCs w:val="20"/>
              </w:rPr>
              <w:t xml:space="preserve">4 </w:t>
            </w:r>
            <w:r>
              <w:rPr>
                <w:rFonts w:hint="eastAsia"/>
                <w:sz w:val="15"/>
                <w:szCs w:val="20"/>
              </w:rPr>
              <w:t xml:space="preserve"> </w:t>
            </w:r>
            <w:r>
              <w:rPr>
                <w:sz w:val="15"/>
                <w:szCs w:val="15"/>
              </w:rPr>
              <w:t>地震力</w:t>
            </w:r>
            <w:r>
              <w:rPr>
                <w:sz w:val="15"/>
                <w:szCs w:val="20"/>
              </w:rPr>
              <w:t>与其他荷载的组合应</w:t>
            </w:r>
            <w:r>
              <w:rPr>
                <w:rFonts w:hint="eastAsia"/>
                <w:sz w:val="15"/>
                <w:szCs w:val="20"/>
              </w:rPr>
              <w:t>符合</w:t>
            </w:r>
            <w:r>
              <w:rPr>
                <w:sz w:val="15"/>
                <w:szCs w:val="20"/>
              </w:rPr>
              <w:t>现行国家标准《铁路工程抗震设计规范》GB 50111的规定；</w:t>
            </w:r>
          </w:p>
          <w:p w14:paraId="7C195235">
            <w:pPr>
              <w:spacing w:line="240" w:lineRule="auto"/>
              <w:ind w:left="823" w:leftChars="285" w:hanging="225" w:hangingChars="150"/>
              <w:jc w:val="left"/>
              <w:rPr>
                <w:sz w:val="15"/>
                <w:szCs w:val="20"/>
              </w:rPr>
            </w:pPr>
            <w:r>
              <w:rPr>
                <w:sz w:val="15"/>
                <w:szCs w:val="20"/>
              </w:rPr>
              <w:t xml:space="preserve">5 </w:t>
            </w:r>
            <w:r>
              <w:rPr>
                <w:rFonts w:hint="eastAsia"/>
                <w:sz w:val="15"/>
                <w:szCs w:val="20"/>
              </w:rPr>
              <w:t xml:space="preserve"> </w:t>
            </w:r>
            <w:r>
              <w:rPr>
                <w:sz w:val="15"/>
                <w:szCs w:val="20"/>
              </w:rPr>
              <w:t>当</w:t>
            </w:r>
            <w:r>
              <w:rPr>
                <w:sz w:val="15"/>
                <w:szCs w:val="15"/>
              </w:rPr>
              <w:t>主力</w:t>
            </w:r>
            <w:r>
              <w:rPr>
                <w:sz w:val="15"/>
                <w:szCs w:val="20"/>
              </w:rPr>
              <w:t>加特殊荷载组合时，列车脱轨荷载应仅与主力中恒载组合。</w:t>
            </w:r>
          </w:p>
          <w:p w14:paraId="7273BFE0">
            <w:pPr>
              <w:spacing w:line="240" w:lineRule="auto"/>
              <w:ind w:left="823" w:leftChars="285" w:hanging="225" w:hangingChars="150"/>
              <w:jc w:val="left"/>
              <w:rPr>
                <w:sz w:val="15"/>
                <w:szCs w:val="20"/>
              </w:rPr>
            </w:pPr>
            <w:r>
              <w:rPr>
                <w:sz w:val="15"/>
                <w:szCs w:val="20"/>
              </w:rPr>
              <w:t xml:space="preserve">6 </w:t>
            </w:r>
            <w:r>
              <w:rPr>
                <w:rFonts w:hint="eastAsia"/>
                <w:sz w:val="15"/>
                <w:szCs w:val="20"/>
              </w:rPr>
              <w:t xml:space="preserve"> </w:t>
            </w:r>
            <w:r>
              <w:rPr>
                <w:sz w:val="15"/>
                <w:szCs w:val="20"/>
              </w:rPr>
              <w:t>计算中要求计入的其他荷载，可根据其性质，分别列入主力、附加力和特殊荷载三类荷载中。</w:t>
            </w:r>
          </w:p>
        </w:tc>
      </w:tr>
    </w:tbl>
    <w:p w14:paraId="33A3441B">
      <w:pPr>
        <w:numPr>
          <w:ilvl w:val="2"/>
          <w:numId w:val="1"/>
        </w:numPr>
        <w:tabs>
          <w:tab w:val="left" w:pos="709"/>
          <w:tab w:val="left" w:pos="794"/>
        </w:tabs>
        <w:jc w:val="left"/>
        <w:outlineLvl w:val="2"/>
      </w:pPr>
      <w:r>
        <w:t>列车竖向活载应包括列车竖向静活载及列车动力作用。列车竖向静活载确定应符合下列规定：</w:t>
      </w:r>
    </w:p>
    <w:p w14:paraId="19787C81">
      <w:pPr>
        <w:ind w:firstLine="422" w:firstLineChars="200"/>
      </w:pPr>
      <w:r>
        <w:rPr>
          <w:b/>
        </w:rPr>
        <w:t>1</w:t>
      </w:r>
      <w:r>
        <w:t xml:space="preserve">  列车竖向静活载按列车的最大轴重、轴距及近、远期中最长的编组确定。其中：</w:t>
      </w:r>
    </w:p>
    <w:p w14:paraId="3E4D1949">
      <w:pPr>
        <w:ind w:firstLine="420" w:firstLineChars="200"/>
      </w:pPr>
      <w:r>
        <w:t>A型车计算车辆长22.1m，固定轴距2.5m，车辆定距为15.7m，载客轴重1</w:t>
      </w:r>
      <w:r>
        <w:rPr>
          <w:rFonts w:hint="eastAsia"/>
        </w:rPr>
        <w:t>7</w:t>
      </w:r>
      <w:r>
        <w:t>0kN，空车轴重85kN，列车荷载图示见图11.1.</w:t>
      </w:r>
      <w:r>
        <w:rPr>
          <w:rFonts w:hint="eastAsia"/>
        </w:rPr>
        <w:t>18</w:t>
      </w:r>
      <w:r>
        <w:t>-1；</w:t>
      </w:r>
    </w:p>
    <w:p w14:paraId="2ECFD6BE">
      <w:pPr>
        <w:ind w:firstLine="420" w:firstLineChars="200"/>
      </w:pPr>
      <w:r>
        <w:t>B型车计算车辆长19.00m，固定轴距2.2m(或2.3m)，车辆定距为12.6m，载客轴重140kN，空车轴重75kN列车荷载图示见图11.1.</w:t>
      </w:r>
      <w:r>
        <w:rPr>
          <w:rFonts w:hint="eastAsia"/>
        </w:rPr>
        <w:t>18</w:t>
      </w:r>
      <w:r>
        <w:t>-2。</w:t>
      </w:r>
    </w:p>
    <w:p w14:paraId="766E0CF7">
      <w:pPr>
        <w:spacing w:line="240" w:lineRule="auto"/>
        <w:jc w:val="center"/>
      </w:pPr>
      <w:r>
        <w:drawing>
          <wp:inline distT="0" distB="0" distL="0" distR="0">
            <wp:extent cx="3875405" cy="1076325"/>
            <wp:effectExtent l="0" t="0" r="0" b="9525"/>
            <wp:docPr id="17" name="图片 17" descr="}7]~6_@YC1BMH8PASISL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6_@YC1BMH8PASISLIG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3875405" cy="1076325"/>
                    </a:xfrm>
                    <a:prstGeom prst="rect">
                      <a:avLst/>
                    </a:prstGeom>
                    <a:noFill/>
                    <a:ln>
                      <a:noFill/>
                    </a:ln>
                  </pic:spPr>
                </pic:pic>
              </a:graphicData>
            </a:graphic>
          </wp:inline>
        </w:drawing>
      </w:r>
    </w:p>
    <w:p w14:paraId="76F446AE">
      <w:pPr>
        <w:adjustRightInd w:val="0"/>
        <w:snapToGrid w:val="0"/>
        <w:jc w:val="center"/>
        <w:rPr>
          <w:rFonts w:eastAsia="黑体"/>
          <w:sz w:val="18"/>
          <w:szCs w:val="18"/>
        </w:rPr>
      </w:pPr>
      <w:r>
        <w:rPr>
          <w:rFonts w:eastAsia="黑体"/>
          <w:sz w:val="18"/>
          <w:szCs w:val="18"/>
        </w:rPr>
        <w:t>图11.1.</w:t>
      </w:r>
      <w:r>
        <w:rPr>
          <w:rFonts w:hint="eastAsia" w:eastAsia="黑体"/>
          <w:sz w:val="18"/>
          <w:szCs w:val="18"/>
        </w:rPr>
        <w:t>18</w:t>
      </w:r>
      <w:r>
        <w:rPr>
          <w:rFonts w:eastAsia="黑体"/>
          <w:sz w:val="18"/>
          <w:szCs w:val="18"/>
        </w:rPr>
        <w:t>-1  A型车列车荷载图示</w:t>
      </w:r>
    </w:p>
    <w:p w14:paraId="1448713B">
      <w:pPr>
        <w:adjustRightInd w:val="0"/>
        <w:snapToGrid w:val="0"/>
        <w:spacing w:line="240" w:lineRule="auto"/>
        <w:jc w:val="center"/>
        <w:rPr>
          <w:rFonts w:eastAsia="黑体"/>
          <w:sz w:val="18"/>
          <w:szCs w:val="18"/>
        </w:rPr>
      </w:pPr>
      <w:r>
        <w:drawing>
          <wp:inline distT="0" distB="0" distL="0" distR="0">
            <wp:extent cx="3833495" cy="1076325"/>
            <wp:effectExtent l="0" t="0" r="0" b="9525"/>
            <wp:docPr id="18" name="图片 18" descr="RGK8PMJBFD~3V03AUA%5N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RGK8PMJBFD~3V03AUA%5NWX"/>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833495" cy="1076325"/>
                    </a:xfrm>
                    <a:prstGeom prst="rect">
                      <a:avLst/>
                    </a:prstGeom>
                    <a:noFill/>
                    <a:ln>
                      <a:noFill/>
                    </a:ln>
                  </pic:spPr>
                </pic:pic>
              </a:graphicData>
            </a:graphic>
          </wp:inline>
        </w:drawing>
      </w:r>
      <w: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-1051560</wp:posOffset>
                </wp:positionV>
                <wp:extent cx="5841365" cy="1211580"/>
                <wp:effectExtent l="0" t="0" r="0" b="7620"/>
                <wp:wrapNone/>
                <wp:docPr id="13" name="矩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41365" cy="121158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35pt;margin-top:-82.8pt;height:95.4pt;width:459.95pt;z-index:251659264;mso-width-relative:page;mso-height-relative:page;" filled="f" stroked="f" coordsize="21600,21600" o:gfxdata="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GtJBtoAAAAIAQAADwAAAAAA&#10;AAABACAAAAAiAAAAZHJzL2Rvd25yZXYueG1sUEsBAhQAFAAAAAgAh07iQEvgoNgRAgAAEwQAAA4A&#10;AAAAAAAAAQAgAAAAKQEAAGRycy9lMm9Eb2MueG1sUEsFBgAAAAAGAAYAWQEAAKwFAAAAAA==&#10;">
                <v:fill on="f" focussize="0,0"/>
                <v:stroke on="f"/>
                <v:imagedata o:title=""/>
                <o:lock v:ext="edit" aspectratio="t"/>
              </v:rect>
            </w:pict>
          </mc:Fallback>
        </mc:AlternateContent>
      </w:r>
    </w:p>
    <w:p w14:paraId="3A2CAD31">
      <w:pPr>
        <w:adjustRightInd w:val="0"/>
        <w:snapToGrid w:val="0"/>
        <w:jc w:val="center"/>
        <w:rPr>
          <w:rFonts w:eastAsia="黑体"/>
          <w:sz w:val="18"/>
          <w:szCs w:val="18"/>
        </w:rPr>
      </w:pPr>
      <w:r>
        <w:rPr>
          <w:rFonts w:eastAsia="黑体"/>
          <w:sz w:val="18"/>
          <w:szCs w:val="18"/>
        </w:rPr>
        <w:t>图11.1.</w:t>
      </w:r>
      <w:r>
        <w:rPr>
          <w:rFonts w:hint="eastAsia" w:eastAsia="黑体"/>
          <w:sz w:val="18"/>
          <w:szCs w:val="18"/>
        </w:rPr>
        <w:t>18</w:t>
      </w:r>
      <w:r>
        <w:rPr>
          <w:rFonts w:eastAsia="黑体"/>
          <w:sz w:val="18"/>
          <w:szCs w:val="18"/>
        </w:rPr>
        <w:t>-2  B型车列车荷载图示</w:t>
      </w:r>
    </w:p>
    <w:p w14:paraId="5EFCF296">
      <w:pPr>
        <w:ind w:firstLine="422" w:firstLineChars="200"/>
      </w:pPr>
      <w:r>
        <w:rPr>
          <w:b/>
        </w:rPr>
        <w:t xml:space="preserve">2 </w:t>
      </w:r>
      <w:r>
        <w:t xml:space="preserve"> 单线和双线高架结构，应按列车活载作用于每一条线路确定；</w:t>
      </w:r>
    </w:p>
    <w:p w14:paraId="28F350C4">
      <w:pPr>
        <w:ind w:firstLine="422" w:firstLineChars="200"/>
      </w:pPr>
      <w:r>
        <w:rPr>
          <w:b/>
        </w:rPr>
        <w:t xml:space="preserve">3 </w:t>
      </w:r>
      <w:r>
        <w:t xml:space="preserve"> 多于两线的高架结构，应按下列最不利情况确定：1)应按两条线路在最不利位置承受列车活载，其余线路不承受列车活载；2)所有线路在最不利位置承受75%的活载。</w:t>
      </w:r>
    </w:p>
    <w:p w14:paraId="196E34BD">
      <w:pPr>
        <w:ind w:firstLine="422" w:firstLineChars="200"/>
      </w:pPr>
      <w:r>
        <w:rPr>
          <w:b/>
        </w:rPr>
        <w:t xml:space="preserve">4 </w:t>
      </w:r>
      <w:r>
        <w:t xml:space="preserve"> 影响线加载时，活载图式不可任意截取，但对影响线异符号区段，轴重应按空车重计，还应计及本线初、近、远期中最不利的编组长度；</w:t>
      </w:r>
    </w:p>
    <w:p w14:paraId="33E9FFB7">
      <w:pPr>
        <w:ind w:firstLine="422" w:firstLineChars="200"/>
      </w:pPr>
      <w:r>
        <w:rPr>
          <w:b/>
        </w:rPr>
        <w:t>5</w:t>
      </w:r>
      <w:r>
        <w:t xml:space="preserve">  列车活载的效应为列车静活载与列车竖向动力作用效应之和，列车的竖向动力作用应按列车竖向静活载乘以动力系数进行计算。动力系数根据列车最高运行速度</w:t>
      </w:r>
      <w:r>
        <w:rPr>
          <w:i/>
          <w:iCs/>
        </w:rPr>
        <w:t>V</w:t>
      </w:r>
      <w:r>
        <w:t>应按下列规定取值：</w:t>
      </w:r>
    </w:p>
    <w:p w14:paraId="3303ED24">
      <w:pPr>
        <w:ind w:firstLine="420" w:firstLineChars="200"/>
      </w:pPr>
      <w:r>
        <w:t>1）当V</w:t>
      </w:r>
      <w:r>
        <w:rPr>
          <w:rFonts w:hint="eastAsia"/>
        </w:rPr>
        <w:t>≥</w:t>
      </w:r>
      <w:r>
        <w:t>120km/h时，动力系数应按现行行业标准《铁路桥涵设计规范》TB10002规定取值</w:t>
      </w:r>
      <w:r>
        <w:rPr>
          <w:rFonts w:hint="eastAsia"/>
        </w:rPr>
        <w:t>为（1+</w:t>
      </w:r>
      <w:r>
        <w:rPr>
          <w:i/>
          <w:iCs/>
        </w:rPr>
        <w:t>μ</w:t>
      </w:r>
      <w:r>
        <w:rPr>
          <w:rFonts w:hint="eastAsia"/>
        </w:rPr>
        <w:t>）</w:t>
      </w:r>
      <w:r>
        <w:t>；</w:t>
      </w:r>
    </w:p>
    <w:p w14:paraId="38AD59DE">
      <w:pPr>
        <w:ind w:firstLine="420" w:firstLineChars="200"/>
      </w:pPr>
      <w:r>
        <w:t>2）当V≤80km/h时，动力系数应按现行行业标准《铁路桥涵设计规范》TB10002规定取值</w:t>
      </w:r>
      <w:r>
        <w:rPr>
          <w:rFonts w:hint="eastAsia"/>
        </w:rPr>
        <w:t>为（1+</w:t>
      </w:r>
      <w:r>
        <w:t>0.8</w:t>
      </w:r>
      <w:r>
        <w:rPr>
          <w:rFonts w:hint="eastAsia"/>
        </w:rPr>
        <w:t>×</w:t>
      </w:r>
      <w:r>
        <w:rPr>
          <w:i/>
          <w:iCs/>
        </w:rPr>
        <w:t>μ</w:t>
      </w:r>
      <w:r>
        <w:rPr>
          <w:rFonts w:hint="eastAsia"/>
        </w:rPr>
        <w:t>）</w:t>
      </w:r>
      <w:r>
        <w:t>；</w:t>
      </w:r>
    </w:p>
    <w:p w14:paraId="6D5D60AE">
      <w:pPr>
        <w:ind w:firstLine="420" w:firstLineChars="200"/>
      </w:pPr>
      <w:r>
        <w:t>3）当80 km/h &lt;V&lt;120km/h时，动力系数应按列车最高运行速度进行线性插值确定。</w:t>
      </w:r>
    </w:p>
    <w:p w14:paraId="3252D48B">
      <w:pPr>
        <w:ind w:firstLine="420" w:firstLineChars="200"/>
      </w:pPr>
      <w:r>
        <w:t>6  单线U形梁桥道板的动力系数</w:t>
      </w:r>
      <w:r>
        <w:rPr>
          <w:i/>
          <w:iCs/>
        </w:rPr>
        <w:t>μ</w:t>
      </w:r>
      <w:r>
        <w:t>宜取</w:t>
      </w:r>
      <w:r>
        <w:rPr>
          <w:rFonts w:hint="eastAsia"/>
        </w:rPr>
        <w:t>1+0.</w:t>
      </w:r>
      <w:r>
        <w:t>4，双线U形梁桥道板的动力系数宜取</w:t>
      </w:r>
      <w:r>
        <w:rPr>
          <w:rFonts w:hint="eastAsia"/>
        </w:rPr>
        <w:t>1+0.</w:t>
      </w:r>
      <w:r>
        <w:t>3。</w:t>
      </w:r>
    </w:p>
    <w:p w14:paraId="2EB0B08A">
      <w:pPr>
        <w:numPr>
          <w:ilvl w:val="2"/>
          <w:numId w:val="1"/>
        </w:numPr>
        <w:tabs>
          <w:tab w:val="left" w:pos="709"/>
          <w:tab w:val="left" w:pos="794"/>
        </w:tabs>
        <w:jc w:val="left"/>
        <w:outlineLvl w:val="2"/>
        <w:rPr>
          <w:bCs/>
        </w:rPr>
      </w:pPr>
      <w:r>
        <w:rPr>
          <w:bCs/>
        </w:rPr>
        <w:t>位于曲线上的桥梁应考虑列车产生的离心力，离心力应作用于轨顶以上车辆重心处，其大小应等于列车竖向静活载乘以离心力率</w:t>
      </w:r>
      <w:r>
        <w:rPr>
          <w:bCs/>
          <w:i/>
          <w:iCs/>
        </w:rPr>
        <w:t>C</w:t>
      </w:r>
      <w:r>
        <w:rPr>
          <w:bCs/>
        </w:rPr>
        <w:t>。</w:t>
      </w:r>
      <w:r>
        <w:rPr>
          <w:bCs/>
          <w:i/>
          <w:iCs/>
        </w:rPr>
        <w:t>C</w:t>
      </w:r>
      <w:r>
        <w:rPr>
          <w:bCs/>
        </w:rPr>
        <w:t>值可按下式计算：</w:t>
      </w:r>
    </w:p>
    <w:p w14:paraId="4B716204">
      <w:pPr>
        <w:spacing w:line="240" w:lineRule="auto"/>
        <w:jc w:val="center"/>
      </w:pPr>
      <w:r>
        <w:rPr>
          <w:position w:val="-24"/>
        </w:rPr>
        <w:object>
          <v:shape id="_x0000_i1036" o:spt="75" type="#_x0000_t75" style="height:29pt;width:44.5pt;" o:ole="t" filled="f" o:preferrelative="t" stroked="f" coordsize="21600,21600">
            <v:path/>
            <v:fill on="f" focussize="0,0"/>
            <v:stroke on="f" joinstyle="miter"/>
            <v:imagedata r:id="rId82" o:title=""/>
            <o:lock v:ext="edit" aspectratio="t"/>
            <w10:wrap type="none"/>
            <w10:anchorlock/>
          </v:shape>
          <o:OLEObject Type="Embed" ProgID="Equation.3" ShapeID="_x0000_i1036" DrawAspect="Content" ObjectID="_1468075735" r:id="rId81">
            <o:LockedField>false</o:LockedField>
          </o:OLEObject>
        </w:object>
      </w:r>
      <w:r>
        <w:rPr>
          <w:rFonts w:hint="eastAsia"/>
        </w:rPr>
        <w:t xml:space="preserve">           </w:t>
      </w:r>
      <w:r>
        <w:t xml:space="preserve">  </w:t>
      </w:r>
      <w:r>
        <w:rPr>
          <w:rFonts w:hint="eastAsia"/>
        </w:rPr>
        <w:t xml:space="preserve">    </w:t>
      </w:r>
      <w:r>
        <w:t xml:space="preserve">  (1</w:t>
      </w:r>
      <w:r>
        <w:rPr>
          <w:rFonts w:hint="eastAsia"/>
        </w:rPr>
        <w:t>1</w:t>
      </w:r>
      <w:r>
        <w:t>.1.</w:t>
      </w:r>
      <w:r>
        <w:rPr>
          <w:rFonts w:hint="eastAsia"/>
        </w:rPr>
        <w:t>19</w:t>
      </w:r>
      <w:r>
        <w:t>)</w:t>
      </w:r>
    </w:p>
    <w:p w14:paraId="57CA2305">
      <w:pPr>
        <w:adjustRightInd w:val="0"/>
        <w:snapToGrid w:val="0"/>
        <w:rPr>
          <w:rFonts w:eastAsia="方正书宋_GBK"/>
          <w:sz w:val="20"/>
          <w:szCs w:val="22"/>
        </w:rPr>
      </w:pPr>
      <w:r>
        <w:rPr>
          <w:rFonts w:eastAsia="方正书宋_GBK"/>
          <w:sz w:val="20"/>
          <w:szCs w:val="22"/>
        </w:rPr>
        <w:t>式中：</w:t>
      </w:r>
    </w:p>
    <w:p w14:paraId="00AE626B">
      <w:pPr>
        <w:ind w:left="420" w:leftChars="200"/>
      </w:pPr>
      <w:r>
        <w:rPr>
          <w:i/>
          <w:iCs/>
        </w:rPr>
        <w:t>v</w:t>
      </w:r>
      <w:r>
        <w:t>——本线设计最高列车速度(km/h)；</w:t>
      </w:r>
    </w:p>
    <w:p w14:paraId="3D02500E">
      <w:pPr>
        <w:ind w:left="420" w:leftChars="200"/>
      </w:pPr>
      <w:r>
        <w:rPr>
          <w:i/>
          <w:iCs/>
        </w:rPr>
        <w:t>R</w:t>
      </w:r>
      <w:r>
        <w:t>——曲线半径(m)。</w:t>
      </w:r>
    </w:p>
    <w:p w14:paraId="1CC5F0DF">
      <w:pPr>
        <w:numPr>
          <w:ilvl w:val="2"/>
          <w:numId w:val="1"/>
        </w:numPr>
        <w:tabs>
          <w:tab w:val="left" w:pos="709"/>
          <w:tab w:val="left" w:pos="794"/>
        </w:tabs>
        <w:jc w:val="left"/>
        <w:outlineLvl w:val="2"/>
        <w:rPr>
          <w:bCs/>
        </w:rPr>
      </w:pPr>
      <w:r>
        <w:rPr>
          <w:bCs/>
        </w:rPr>
        <w:t>列车横向摇摆力应按60kN计，并应以横桥向集中力形式取最不利位置作用于轨顶面。多线桥只计算任一条线上的横向摇摆力。</w:t>
      </w:r>
    </w:p>
    <w:p w14:paraId="70B65A66">
      <w:pPr>
        <w:numPr>
          <w:ilvl w:val="2"/>
          <w:numId w:val="1"/>
        </w:numPr>
        <w:tabs>
          <w:tab w:val="left" w:pos="709"/>
          <w:tab w:val="left" w:pos="794"/>
        </w:tabs>
        <w:jc w:val="left"/>
        <w:outlineLvl w:val="2"/>
        <w:rPr>
          <w:bCs/>
        </w:rPr>
      </w:pPr>
      <w:r>
        <w:rPr>
          <w:bCs/>
        </w:rPr>
        <w:t>列车制动力或牵引力应</w:t>
      </w:r>
      <w:r>
        <w:rPr>
          <w:rFonts w:hint="eastAsia"/>
          <w:bCs/>
        </w:rPr>
        <w:t>符合下列规定：</w:t>
      </w:r>
    </w:p>
    <w:p w14:paraId="1EB6EE86">
      <w:pPr>
        <w:tabs>
          <w:tab w:val="left" w:pos="709"/>
          <w:tab w:val="left" w:pos="794"/>
          <w:tab w:val="left" w:pos="851"/>
        </w:tabs>
        <w:ind w:firstLine="422" w:firstLineChars="200"/>
        <w:jc w:val="left"/>
        <w:outlineLvl w:val="2"/>
        <w:rPr>
          <w:bCs/>
        </w:rPr>
      </w:pPr>
      <w:r>
        <w:rPr>
          <w:rFonts w:hint="eastAsia"/>
          <w:b/>
          <w:bCs/>
        </w:rPr>
        <w:t>1</w:t>
      </w:r>
      <w:r>
        <w:rPr>
          <w:rFonts w:hint="eastAsia"/>
          <w:bCs/>
        </w:rPr>
        <w:t xml:space="preserve">  </w:t>
      </w:r>
      <w:r>
        <w:rPr>
          <w:bCs/>
        </w:rPr>
        <w:t>按列车竖向静活载的15%计算，当与离心力同时计算时，可按竖向静活载10%计算。</w:t>
      </w:r>
    </w:p>
    <w:p w14:paraId="6AE93AB5">
      <w:pPr>
        <w:ind w:firstLine="422" w:firstLineChars="200"/>
      </w:pPr>
      <w:r>
        <w:rPr>
          <w:rFonts w:hint="eastAsia"/>
          <w:b/>
        </w:rPr>
        <w:t xml:space="preserve">2 </w:t>
      </w:r>
      <w:r>
        <w:rPr>
          <w:rFonts w:hint="eastAsia"/>
        </w:rPr>
        <w:t xml:space="preserve"> </w:t>
      </w:r>
      <w:r>
        <w:t>区间双线桥应采用一条线的制动力或牵引力；三线或三线以上的桥应采用二条线的制动力或牵引力。</w:t>
      </w:r>
    </w:p>
    <w:p w14:paraId="107E1C28">
      <w:pPr>
        <w:ind w:firstLine="422" w:firstLineChars="200"/>
      </w:pPr>
      <w:r>
        <w:rPr>
          <w:rFonts w:hint="eastAsia"/>
          <w:b/>
        </w:rPr>
        <w:t xml:space="preserve">3 </w:t>
      </w:r>
      <w:r>
        <w:rPr>
          <w:rFonts w:hint="eastAsia"/>
        </w:rPr>
        <w:t xml:space="preserve"> </w:t>
      </w:r>
      <w:r>
        <w:t>高架车站及与车站相邻两侧100m范围内的区间双线桥应按双线制动力或牵引力计，每条线制动力或牵引力值应为竖向静活载的10%。</w:t>
      </w:r>
    </w:p>
    <w:p w14:paraId="510ADB4F">
      <w:pPr>
        <w:ind w:firstLine="422" w:firstLineChars="200"/>
      </w:pPr>
      <w:r>
        <w:rPr>
          <w:rFonts w:hint="eastAsia"/>
          <w:b/>
        </w:rPr>
        <w:t xml:space="preserve">4 </w:t>
      </w:r>
      <w:r>
        <w:rPr>
          <w:rFonts w:hint="eastAsia"/>
        </w:rPr>
        <w:t xml:space="preserve"> </w:t>
      </w:r>
      <w:r>
        <w:t>制动力或牵引力作用于轨顶以上车辆重心处，但计算墩台时应移至支座中心处，计算刚架结构应移至横梁中线处，均不应计移动作用点所产生的力矩。</w:t>
      </w:r>
    </w:p>
    <w:p w14:paraId="288C490E">
      <w:pPr>
        <w:numPr>
          <w:ilvl w:val="2"/>
          <w:numId w:val="1"/>
        </w:numPr>
        <w:tabs>
          <w:tab w:val="left" w:pos="709"/>
          <w:tab w:val="left" w:pos="794"/>
        </w:tabs>
        <w:jc w:val="left"/>
        <w:outlineLvl w:val="2"/>
        <w:rPr>
          <w:bCs/>
        </w:rPr>
      </w:pPr>
      <w:r>
        <w:rPr>
          <w:bCs/>
        </w:rPr>
        <w:t>检算墩台时，无缝线路纵向力作用点应为墩台支座铰中心，检算支座时应为支座顶中心</w:t>
      </w:r>
      <w:r>
        <w:rPr>
          <w:rFonts w:hint="eastAsia"/>
          <w:bCs/>
        </w:rPr>
        <w:t>。</w:t>
      </w:r>
      <w:r>
        <w:rPr>
          <w:bCs/>
        </w:rPr>
        <w:t>桥台顶断轨力作用点为台顶。需要计算对梁的影响时应做专门研究。</w:t>
      </w:r>
    </w:p>
    <w:p w14:paraId="28DB7262">
      <w:pPr>
        <w:numPr>
          <w:ilvl w:val="2"/>
          <w:numId w:val="1"/>
        </w:numPr>
        <w:tabs>
          <w:tab w:val="left" w:pos="709"/>
          <w:tab w:val="left" w:pos="794"/>
        </w:tabs>
        <w:jc w:val="left"/>
        <w:outlineLvl w:val="2"/>
        <w:rPr>
          <w:bCs/>
        </w:rPr>
      </w:pPr>
      <w:r>
        <w:rPr>
          <w:bCs/>
        </w:rPr>
        <w:t>无缝线路纵向水平力（</w:t>
      </w:r>
      <w:r>
        <w:rPr>
          <w:rFonts w:hint="eastAsia"/>
          <w:bCs/>
        </w:rPr>
        <w:t>断轨力、</w:t>
      </w:r>
      <w:r>
        <w:rPr>
          <w:bCs/>
        </w:rPr>
        <w:t>伸缩力、挠曲力），应根据轨道结构及梁、轨共同作用的原理计算确定。桥梁位于无缝线路区段时，墩台设计无缝线路纵向力组合应符合下列规定：</w:t>
      </w:r>
    </w:p>
    <w:p w14:paraId="05BFDA58">
      <w:pPr>
        <w:ind w:firstLine="422" w:firstLineChars="200"/>
      </w:pPr>
      <w:r>
        <w:rPr>
          <w:rFonts w:hint="eastAsia"/>
          <w:b/>
        </w:rPr>
        <w:t xml:space="preserve">1  </w:t>
      </w:r>
      <w:r>
        <w:t>同一根钢轨作用于墩台顶的伸缩力、挠曲力、断轨力不应叠加</w:t>
      </w:r>
      <w:r>
        <w:rPr>
          <w:rFonts w:hint="eastAsia"/>
        </w:rPr>
        <w:t>;</w:t>
      </w:r>
    </w:p>
    <w:p w14:paraId="2C28130C">
      <w:pPr>
        <w:ind w:firstLine="422" w:firstLineChars="200"/>
      </w:pPr>
      <w:r>
        <w:rPr>
          <w:rFonts w:hint="eastAsia"/>
          <w:b/>
        </w:rPr>
        <w:t xml:space="preserve">2 </w:t>
      </w:r>
      <w:r>
        <w:rPr>
          <w:rFonts w:hint="eastAsia"/>
        </w:rPr>
        <w:t xml:space="preserve"> </w:t>
      </w:r>
      <w:r>
        <w:t>单线及多线桥应只计算一根钢轨的断轨力</w:t>
      </w:r>
      <w:r>
        <w:rPr>
          <w:rFonts w:hint="eastAsia"/>
        </w:rPr>
        <w:t>;</w:t>
      </w:r>
    </w:p>
    <w:p w14:paraId="186F8C3A">
      <w:pPr>
        <w:ind w:firstLine="422" w:firstLineChars="200"/>
      </w:pPr>
      <w:r>
        <w:rPr>
          <w:rFonts w:hint="eastAsia"/>
          <w:b/>
        </w:rPr>
        <w:t xml:space="preserve">3 </w:t>
      </w:r>
      <w:r>
        <w:rPr>
          <w:rFonts w:hint="eastAsia"/>
        </w:rPr>
        <w:t xml:space="preserve"> </w:t>
      </w:r>
      <w:r>
        <w:t>伸缩力、挠曲力、断轨力不得与同线列车活载引起的作用力组合</w:t>
      </w:r>
      <w:r>
        <w:rPr>
          <w:rFonts w:hint="eastAsia"/>
        </w:rPr>
        <w:t>;</w:t>
      </w:r>
    </w:p>
    <w:p w14:paraId="0A6350E2">
      <w:pPr>
        <w:ind w:firstLine="422" w:firstLineChars="200"/>
      </w:pPr>
      <w:r>
        <w:rPr>
          <w:rFonts w:hint="eastAsia"/>
          <w:b/>
        </w:rPr>
        <w:t>4</w:t>
      </w:r>
      <w:r>
        <w:rPr>
          <w:rFonts w:hint="eastAsia"/>
        </w:rPr>
        <w:t xml:space="preserve">  </w:t>
      </w:r>
      <w:r>
        <w:t>无缝线路纵向力荷载组合应符合现行行业标准《铁路无缝线路设计规范》TB10015</w:t>
      </w:r>
      <w:r>
        <w:rPr>
          <w:rFonts w:hint="eastAsia"/>
        </w:rPr>
        <w:t>的相关规定。</w:t>
      </w:r>
    </w:p>
    <w:p w14:paraId="1F22B057">
      <w:pPr>
        <w:numPr>
          <w:ilvl w:val="2"/>
          <w:numId w:val="1"/>
        </w:numPr>
        <w:tabs>
          <w:tab w:val="left" w:pos="709"/>
          <w:tab w:val="left" w:pos="794"/>
        </w:tabs>
        <w:jc w:val="left"/>
        <w:outlineLvl w:val="2"/>
        <w:rPr>
          <w:bCs/>
        </w:rPr>
      </w:pPr>
      <w:r>
        <w:rPr>
          <w:bCs/>
        </w:rPr>
        <w:t>风荷载应</w:t>
      </w:r>
      <w:r>
        <w:rPr>
          <w:rFonts w:hint="eastAsia"/>
          <w:bCs/>
        </w:rPr>
        <w:t>符合</w:t>
      </w:r>
      <w:r>
        <w:rPr>
          <w:bCs/>
        </w:rPr>
        <w:t>现行行业标准《铁路桥涵设计规范》TB10002的规定。</w:t>
      </w:r>
    </w:p>
    <w:p w14:paraId="10D3C2F7">
      <w:pPr>
        <w:numPr>
          <w:ilvl w:val="2"/>
          <w:numId w:val="1"/>
        </w:numPr>
        <w:tabs>
          <w:tab w:val="left" w:pos="709"/>
          <w:tab w:val="left" w:pos="794"/>
        </w:tabs>
        <w:jc w:val="left"/>
        <w:outlineLvl w:val="2"/>
        <w:rPr>
          <w:bCs/>
        </w:rPr>
      </w:pPr>
      <w:r>
        <w:rPr>
          <w:bCs/>
        </w:rPr>
        <w:t>温度变化的作用，宜</w:t>
      </w:r>
      <w:r>
        <w:rPr>
          <w:rFonts w:hint="eastAsia"/>
          <w:bCs/>
        </w:rPr>
        <w:t>按</w:t>
      </w:r>
      <w:r>
        <w:rPr>
          <w:bCs/>
        </w:rPr>
        <w:t>现行国家标准《城市轨道交通桥梁设计规范》GB/T51234的相关规定执行。</w:t>
      </w:r>
    </w:p>
    <w:p w14:paraId="26EB2A8A">
      <w:pPr>
        <w:numPr>
          <w:ilvl w:val="2"/>
          <w:numId w:val="1"/>
        </w:numPr>
        <w:tabs>
          <w:tab w:val="left" w:pos="709"/>
          <w:tab w:val="left" w:pos="794"/>
        </w:tabs>
        <w:jc w:val="left"/>
        <w:outlineLvl w:val="2"/>
        <w:rPr>
          <w:bCs/>
        </w:rPr>
      </w:pPr>
      <w:r>
        <w:rPr>
          <w:bCs/>
        </w:rPr>
        <w:t>混凝土收缩影响、混凝土徐变系数及徐变影响可按现行行业标准《公路钢筋混凝土及预应力混凝土桥涵设计规范》JTG3362的</w:t>
      </w:r>
      <w:r>
        <w:rPr>
          <w:rFonts w:hint="eastAsia"/>
          <w:bCs/>
        </w:rPr>
        <w:t>相关</w:t>
      </w:r>
      <w:r>
        <w:rPr>
          <w:bCs/>
        </w:rPr>
        <w:t>规定执行。</w:t>
      </w:r>
    </w:p>
    <w:p w14:paraId="26CBBB70">
      <w:pPr>
        <w:numPr>
          <w:ilvl w:val="2"/>
          <w:numId w:val="1"/>
        </w:numPr>
        <w:tabs>
          <w:tab w:val="left" w:pos="709"/>
          <w:tab w:val="left" w:pos="794"/>
        </w:tabs>
        <w:jc w:val="left"/>
        <w:outlineLvl w:val="2"/>
        <w:rPr>
          <w:bCs/>
        </w:rPr>
      </w:pPr>
      <w:r>
        <w:rPr>
          <w:rFonts w:hint="eastAsia"/>
          <w:bCs/>
        </w:rPr>
        <w:t>桥墩</w:t>
      </w:r>
      <w:r>
        <w:rPr>
          <w:bCs/>
        </w:rPr>
        <w:t>承受</w:t>
      </w:r>
      <w:r>
        <w:rPr>
          <w:rFonts w:hint="eastAsia"/>
          <w:bCs/>
        </w:rPr>
        <w:t>的</w:t>
      </w:r>
      <w:r>
        <w:rPr>
          <w:bCs/>
        </w:rPr>
        <w:t>流水压力、冰压力、冻胀力、船只或排筏的撞击力等，可按现行行业标准《铁路桥涵设计规范》TB10002的</w:t>
      </w:r>
      <w:r>
        <w:rPr>
          <w:rFonts w:hint="eastAsia"/>
          <w:bCs/>
        </w:rPr>
        <w:t>相关</w:t>
      </w:r>
      <w:r>
        <w:rPr>
          <w:bCs/>
        </w:rPr>
        <w:t>规定执行。</w:t>
      </w:r>
    </w:p>
    <w:p w14:paraId="70E28037">
      <w:pPr>
        <w:numPr>
          <w:ilvl w:val="2"/>
          <w:numId w:val="1"/>
        </w:numPr>
        <w:tabs>
          <w:tab w:val="left" w:pos="709"/>
          <w:tab w:val="left" w:pos="794"/>
        </w:tabs>
        <w:jc w:val="left"/>
        <w:outlineLvl w:val="2"/>
        <w:rPr>
          <w:bCs/>
        </w:rPr>
      </w:pPr>
      <w:r>
        <w:rPr>
          <w:bCs/>
        </w:rPr>
        <w:t>桥墩承受的汽车撞击力顺行车方向宜采用1000kN，横行车方向宜采用500kN，作用在路面以上1.2m高度处。</w:t>
      </w:r>
    </w:p>
    <w:p w14:paraId="3C5DB797">
      <w:pPr>
        <w:numPr>
          <w:ilvl w:val="2"/>
          <w:numId w:val="1"/>
        </w:numPr>
        <w:tabs>
          <w:tab w:val="left" w:pos="709"/>
          <w:tab w:val="left" w:pos="794"/>
        </w:tabs>
        <w:jc w:val="left"/>
        <w:outlineLvl w:val="2"/>
        <w:rPr>
          <w:bCs/>
        </w:rPr>
      </w:pPr>
      <w:r>
        <w:rPr>
          <w:bCs/>
        </w:rPr>
        <w:t>地震力的作用，应按现行国家标准《铁路工程抗震设计规范》GB50111的相关规定计算。</w:t>
      </w:r>
    </w:p>
    <w:p w14:paraId="7258EE33">
      <w:pPr>
        <w:numPr>
          <w:ilvl w:val="2"/>
          <w:numId w:val="1"/>
        </w:numPr>
        <w:tabs>
          <w:tab w:val="left" w:pos="709"/>
          <w:tab w:val="left" w:pos="794"/>
        </w:tabs>
        <w:jc w:val="left"/>
        <w:outlineLvl w:val="2"/>
        <w:rPr>
          <w:bCs/>
        </w:rPr>
      </w:pPr>
      <w:r>
        <w:rPr>
          <w:bCs/>
        </w:rPr>
        <w:t>不设护轮轨或防脱轨装置的区间桥梁应计算列车脱轨荷载作用，可按下列两种情形进行结构强度和稳定性检算。</w:t>
      </w:r>
    </w:p>
    <w:p w14:paraId="58B70C44">
      <w:pPr>
        <w:ind w:firstLine="422" w:firstLineChars="200"/>
      </w:pPr>
      <w:r>
        <w:rPr>
          <w:b/>
        </w:rPr>
        <w:t xml:space="preserve">1 </w:t>
      </w:r>
      <w:r>
        <w:t xml:space="preserve"> 车辆集中力直接作用于线路中线两侧2.1m以内的桥面板最不利位置处，应检算桥面板强度。检算时，集中力值为本线列车实际轴重的1/2，不计列车动力系数，应力提高系数宜采用1.4；</w:t>
      </w:r>
    </w:p>
    <w:p w14:paraId="015E82B8">
      <w:pPr>
        <w:ind w:firstLine="422" w:firstLineChars="200"/>
      </w:pPr>
      <w:r>
        <w:rPr>
          <w:b/>
        </w:rPr>
        <w:t xml:space="preserve">2 </w:t>
      </w:r>
      <w:r>
        <w:t xml:space="preserve"> 列车位于轨道外侧但未坠落桥下时，应检算结构的横向稳定性。检算时，可采用长度为20.0m、位于线路中线外侧1.4m、平行于线路的线荷载，其值应为本线列车一节车轴重之和除以20.0m，不应计列车动力系数、离心力和另一线竖向荷载。倾覆稳定系数不得小于1.3。</w:t>
      </w:r>
    </w:p>
    <w:p w14:paraId="21C9838B">
      <w:pPr>
        <w:numPr>
          <w:ilvl w:val="2"/>
          <w:numId w:val="1"/>
        </w:numPr>
        <w:tabs>
          <w:tab w:val="left" w:pos="709"/>
          <w:tab w:val="left" w:pos="794"/>
        </w:tabs>
        <w:jc w:val="left"/>
        <w:outlineLvl w:val="2"/>
        <w:rPr>
          <w:bCs/>
        </w:rPr>
      </w:pPr>
      <w:r>
        <w:rPr>
          <w:bCs/>
        </w:rPr>
        <w:t>救援列车荷载和检修列车荷载应符合下列规定：</w:t>
      </w:r>
    </w:p>
    <w:p w14:paraId="4AC835E7">
      <w:pPr>
        <w:ind w:firstLine="422" w:firstLineChars="200"/>
      </w:pPr>
      <w:r>
        <w:rPr>
          <w:b/>
        </w:rPr>
        <w:t>1</w:t>
      </w:r>
      <w:r>
        <w:t xml:space="preserve">  救援列车荷载应根据运营救援模式确定。当无详细资料时，救援列车荷载宜取一列满载列车，并应与运营列车进行最不利组合；</w:t>
      </w:r>
    </w:p>
    <w:p w14:paraId="7DC8AC0E">
      <w:pPr>
        <w:ind w:firstLine="422" w:firstLineChars="200"/>
      </w:pPr>
      <w:r>
        <w:rPr>
          <w:b/>
        </w:rPr>
        <w:t>2</w:t>
      </w:r>
      <w:r>
        <w:t xml:space="preserve">  检修列车荷载应根据检修列车的实际情况确定。</w:t>
      </w:r>
    </w:p>
    <w:p w14:paraId="167D8209">
      <w:pPr>
        <w:numPr>
          <w:ilvl w:val="2"/>
          <w:numId w:val="1"/>
        </w:numPr>
        <w:tabs>
          <w:tab w:val="left" w:pos="709"/>
          <w:tab w:val="left" w:pos="794"/>
        </w:tabs>
        <w:jc w:val="left"/>
        <w:outlineLvl w:val="2"/>
        <w:rPr>
          <w:bCs/>
        </w:rPr>
      </w:pPr>
      <w:r>
        <w:rPr>
          <w:bCs/>
        </w:rPr>
        <w:t>顶梁荷载宜按照1.3倍最大顶力计。</w:t>
      </w:r>
    </w:p>
    <w:p w14:paraId="67F24AF0">
      <w:pPr>
        <w:numPr>
          <w:ilvl w:val="2"/>
          <w:numId w:val="1"/>
        </w:numPr>
        <w:tabs>
          <w:tab w:val="left" w:pos="709"/>
          <w:tab w:val="left" w:pos="794"/>
        </w:tabs>
        <w:jc w:val="left"/>
        <w:outlineLvl w:val="2"/>
        <w:rPr>
          <w:bCs/>
        </w:rPr>
      </w:pPr>
      <w:r>
        <w:rPr>
          <w:bCs/>
        </w:rPr>
        <w:t>区间桥梁结构桥面人行道和疏散平台的竖向静活载应采用4.0kN/m2，人行道板还应按竖向集中荷载1.5kN检算，主梁设计时此竖向静活载可不与列车荷载同时计算。</w:t>
      </w:r>
    </w:p>
    <w:p w14:paraId="5531D7D1">
      <w:pPr>
        <w:numPr>
          <w:ilvl w:val="2"/>
          <w:numId w:val="1"/>
        </w:numPr>
        <w:tabs>
          <w:tab w:val="left" w:pos="709"/>
          <w:tab w:val="left" w:pos="794"/>
        </w:tabs>
        <w:jc w:val="left"/>
        <w:outlineLvl w:val="2"/>
        <w:rPr>
          <w:bCs/>
        </w:rPr>
      </w:pPr>
      <w:r>
        <w:rPr>
          <w:bCs/>
        </w:rPr>
        <w:t xml:space="preserve">桥梁栏板结构的横向水平推力和竖向压力应分别按0.75kN/m和0.36kN/m计算，水平推力应作用于桥面以上1.2m处。  </w:t>
      </w:r>
    </w:p>
    <w:p w14:paraId="743145B7">
      <w:pPr>
        <w:jc w:val="center"/>
        <w:rPr>
          <w:b/>
        </w:rPr>
      </w:pPr>
      <w:r>
        <w:rPr>
          <w:b/>
        </w:rPr>
        <w:t xml:space="preserve">Ⅲ  </w:t>
      </w:r>
      <w:r>
        <w:rPr>
          <w:rFonts w:hint="eastAsia"/>
          <w:b/>
        </w:rPr>
        <w:t>刚度要求</w:t>
      </w:r>
    </w:p>
    <w:p w14:paraId="214C60B0">
      <w:pPr>
        <w:numPr>
          <w:ilvl w:val="2"/>
          <w:numId w:val="1"/>
        </w:numPr>
        <w:tabs>
          <w:tab w:val="left" w:pos="709"/>
          <w:tab w:val="left" w:pos="794"/>
        </w:tabs>
        <w:jc w:val="left"/>
        <w:outlineLvl w:val="2"/>
        <w:rPr>
          <w:bCs/>
        </w:rPr>
      </w:pPr>
      <w:r>
        <w:rPr>
          <w:rFonts w:hint="eastAsia"/>
          <w:bCs/>
        </w:rPr>
        <w:t>梁体的竖向变形、变位限值应符合下列规定：</w:t>
      </w:r>
    </w:p>
    <w:p w14:paraId="0A26064C">
      <w:pPr>
        <w:ind w:firstLine="420" w:firstLineChars="200"/>
      </w:pPr>
      <w:r>
        <w:rPr>
          <w:rFonts w:hint="eastAsia"/>
        </w:rPr>
        <w:t>1  梁式桥跨</w:t>
      </w:r>
      <w:r>
        <w:t>在列车静活载作用下，梁体竖向挠度不应大于表1</w:t>
      </w:r>
      <w:r>
        <w:rPr>
          <w:rFonts w:hint="eastAsia"/>
        </w:rPr>
        <w:t>1</w:t>
      </w:r>
      <w:r>
        <w:t>.1.</w:t>
      </w:r>
      <w:r>
        <w:rPr>
          <w:rFonts w:hint="eastAsia"/>
        </w:rPr>
        <w:t>35</w:t>
      </w:r>
      <w:r>
        <w:t>的规定。</w:t>
      </w:r>
    </w:p>
    <w:p w14:paraId="6FCC5A96">
      <w:pPr>
        <w:pStyle w:val="198"/>
      </w:pPr>
      <w:r>
        <w:t>表1</w:t>
      </w:r>
      <w:r>
        <w:rPr>
          <w:rFonts w:hint="eastAsia"/>
        </w:rPr>
        <w:t>1</w:t>
      </w:r>
      <w:r>
        <w:t>.1.</w:t>
      </w:r>
      <w:r>
        <w:rPr>
          <w:rFonts w:hint="eastAsia"/>
        </w:rPr>
        <w:t>35</w:t>
      </w:r>
      <w:r>
        <w:t xml:space="preserve">  梁体竖向挠度的限值</w:t>
      </w:r>
    </w:p>
    <w:tbl>
      <w:tblPr>
        <w:tblStyle w:val="88"/>
        <w:tblW w:w="5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361"/>
        <w:gridCol w:w="1361"/>
        <w:gridCol w:w="1361"/>
      </w:tblGrid>
      <w:tr w14:paraId="7E39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tcBorders>
              <w:tl2br w:val="single" w:color="auto" w:sz="4" w:space="0"/>
            </w:tcBorders>
            <w:vAlign w:val="center"/>
          </w:tcPr>
          <w:p w14:paraId="0DBC298D">
            <w:pPr>
              <w:snapToGrid w:val="0"/>
              <w:spacing w:before="20" w:after="20" w:line="240" w:lineRule="auto"/>
              <w:ind w:firstLine="750" w:firstLineChars="500"/>
              <w:rPr>
                <w:sz w:val="15"/>
                <w:szCs w:val="20"/>
              </w:rPr>
            </w:pPr>
            <w:r>
              <w:rPr>
                <w:rFonts w:hint="eastAsia"/>
                <w:sz w:val="15"/>
                <w:szCs w:val="20"/>
              </w:rPr>
              <w:t>跨度范围</w:t>
            </w:r>
          </w:p>
          <w:p w14:paraId="0692BFD9">
            <w:pPr>
              <w:snapToGrid w:val="0"/>
              <w:spacing w:before="20" w:after="20" w:line="240" w:lineRule="auto"/>
              <w:rPr>
                <w:sz w:val="15"/>
                <w:szCs w:val="20"/>
              </w:rPr>
            </w:pPr>
            <w:r>
              <w:rPr>
                <w:rFonts w:hint="eastAsia"/>
                <w:sz w:val="15"/>
                <w:szCs w:val="20"/>
              </w:rPr>
              <w:t>设计速度</w:t>
            </w:r>
          </w:p>
        </w:tc>
        <w:tc>
          <w:tcPr>
            <w:tcW w:w="1361" w:type="dxa"/>
            <w:vAlign w:val="center"/>
          </w:tcPr>
          <w:p w14:paraId="46D68F18">
            <w:pPr>
              <w:snapToGrid w:val="0"/>
              <w:spacing w:before="20" w:after="20" w:line="240" w:lineRule="auto"/>
              <w:jc w:val="center"/>
              <w:rPr>
                <w:sz w:val="15"/>
                <w:szCs w:val="20"/>
              </w:rPr>
            </w:pPr>
            <w:r>
              <w:rPr>
                <w:rFonts w:hint="eastAsia"/>
                <w:sz w:val="15"/>
                <w:szCs w:val="20"/>
              </w:rPr>
              <w:t>L≤40m</w:t>
            </w:r>
          </w:p>
        </w:tc>
        <w:tc>
          <w:tcPr>
            <w:tcW w:w="1361" w:type="dxa"/>
            <w:vAlign w:val="center"/>
          </w:tcPr>
          <w:p w14:paraId="303C6C74">
            <w:pPr>
              <w:snapToGrid w:val="0"/>
              <w:spacing w:before="20" w:after="20" w:line="240" w:lineRule="auto"/>
              <w:jc w:val="center"/>
              <w:rPr>
                <w:sz w:val="15"/>
                <w:szCs w:val="20"/>
              </w:rPr>
            </w:pPr>
            <w:r>
              <w:rPr>
                <w:rFonts w:hint="eastAsia"/>
                <w:sz w:val="15"/>
                <w:szCs w:val="20"/>
              </w:rPr>
              <w:t>40m＜L≤80m</w:t>
            </w:r>
          </w:p>
        </w:tc>
        <w:tc>
          <w:tcPr>
            <w:tcW w:w="1361" w:type="dxa"/>
            <w:vAlign w:val="center"/>
          </w:tcPr>
          <w:p w14:paraId="191964BA">
            <w:pPr>
              <w:snapToGrid w:val="0"/>
              <w:spacing w:before="20" w:after="20" w:line="240" w:lineRule="auto"/>
              <w:jc w:val="center"/>
              <w:rPr>
                <w:sz w:val="15"/>
                <w:szCs w:val="20"/>
              </w:rPr>
            </w:pPr>
            <w:r>
              <w:rPr>
                <w:rFonts w:hint="eastAsia"/>
                <w:sz w:val="15"/>
                <w:szCs w:val="20"/>
              </w:rPr>
              <w:t>L＞80m</w:t>
            </w:r>
          </w:p>
        </w:tc>
      </w:tr>
      <w:tr w14:paraId="1A5D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6" w:type="dxa"/>
            <w:vAlign w:val="center"/>
          </w:tcPr>
          <w:p w14:paraId="0EFCC20D">
            <w:pPr>
              <w:snapToGrid w:val="0"/>
              <w:spacing w:before="20" w:after="20" w:line="240" w:lineRule="auto"/>
              <w:jc w:val="center"/>
              <w:rPr>
                <w:sz w:val="15"/>
                <w:szCs w:val="20"/>
              </w:rPr>
            </w:pPr>
            <w:r>
              <w:rPr>
                <w:rFonts w:hint="eastAsia"/>
                <w:sz w:val="15"/>
                <w:szCs w:val="20"/>
              </w:rPr>
              <w:t>V≤120km</w:t>
            </w:r>
          </w:p>
        </w:tc>
        <w:tc>
          <w:tcPr>
            <w:tcW w:w="1361" w:type="dxa"/>
            <w:vAlign w:val="center"/>
          </w:tcPr>
          <w:p w14:paraId="11AD2765">
            <w:pPr>
              <w:snapToGrid w:val="0"/>
              <w:spacing w:before="20" w:after="20" w:line="240" w:lineRule="auto"/>
              <w:jc w:val="center"/>
              <w:rPr>
                <w:sz w:val="15"/>
                <w:szCs w:val="20"/>
              </w:rPr>
            </w:pPr>
            <w:r>
              <w:rPr>
                <w:sz w:val="15"/>
                <w:szCs w:val="20"/>
              </w:rPr>
              <w:t>L/2000</w:t>
            </w:r>
          </w:p>
        </w:tc>
        <w:tc>
          <w:tcPr>
            <w:tcW w:w="1361" w:type="dxa"/>
            <w:vAlign w:val="center"/>
          </w:tcPr>
          <w:p w14:paraId="3ACD09C9">
            <w:pPr>
              <w:snapToGrid w:val="0"/>
              <w:spacing w:before="20" w:after="20" w:line="240" w:lineRule="auto"/>
              <w:jc w:val="center"/>
              <w:rPr>
                <w:sz w:val="15"/>
                <w:szCs w:val="20"/>
              </w:rPr>
            </w:pPr>
            <w:r>
              <w:rPr>
                <w:sz w:val="15"/>
                <w:szCs w:val="20"/>
              </w:rPr>
              <w:t>L/</w:t>
            </w:r>
            <w:r>
              <w:rPr>
                <w:rFonts w:hint="eastAsia"/>
                <w:sz w:val="15"/>
                <w:szCs w:val="20"/>
              </w:rPr>
              <w:t>15</w:t>
            </w:r>
            <w:r>
              <w:rPr>
                <w:sz w:val="15"/>
                <w:szCs w:val="20"/>
              </w:rPr>
              <w:t>00</w:t>
            </w:r>
          </w:p>
        </w:tc>
        <w:tc>
          <w:tcPr>
            <w:tcW w:w="1361" w:type="dxa"/>
            <w:vAlign w:val="center"/>
          </w:tcPr>
          <w:p w14:paraId="66FD316B">
            <w:pPr>
              <w:snapToGrid w:val="0"/>
              <w:spacing w:before="20" w:after="20" w:line="240" w:lineRule="auto"/>
              <w:jc w:val="center"/>
              <w:rPr>
                <w:sz w:val="15"/>
                <w:szCs w:val="20"/>
              </w:rPr>
            </w:pPr>
            <w:r>
              <w:rPr>
                <w:sz w:val="15"/>
                <w:szCs w:val="20"/>
              </w:rPr>
              <w:t>L/</w:t>
            </w:r>
            <w:r>
              <w:rPr>
                <w:rFonts w:hint="eastAsia"/>
                <w:sz w:val="15"/>
                <w:szCs w:val="20"/>
              </w:rPr>
              <w:t>10</w:t>
            </w:r>
            <w:r>
              <w:rPr>
                <w:sz w:val="15"/>
                <w:szCs w:val="20"/>
              </w:rPr>
              <w:t>00</w:t>
            </w:r>
          </w:p>
        </w:tc>
      </w:tr>
      <w:tr w14:paraId="20A8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6" w:type="dxa"/>
            <w:vAlign w:val="center"/>
          </w:tcPr>
          <w:p w14:paraId="1AD0E0C3">
            <w:pPr>
              <w:snapToGrid w:val="0"/>
              <w:spacing w:before="20" w:after="20" w:line="240" w:lineRule="auto"/>
              <w:jc w:val="center"/>
              <w:rPr>
                <w:sz w:val="15"/>
                <w:szCs w:val="20"/>
              </w:rPr>
            </w:pPr>
            <w:r>
              <w:rPr>
                <w:rFonts w:hint="eastAsia"/>
                <w:sz w:val="15"/>
                <w:szCs w:val="20"/>
              </w:rPr>
              <w:t>V＞120km/h</w:t>
            </w:r>
          </w:p>
        </w:tc>
        <w:tc>
          <w:tcPr>
            <w:tcW w:w="1361" w:type="dxa"/>
            <w:vAlign w:val="center"/>
          </w:tcPr>
          <w:p w14:paraId="5A4B4F3D">
            <w:pPr>
              <w:snapToGrid w:val="0"/>
              <w:spacing w:before="20" w:after="20" w:line="240" w:lineRule="auto"/>
              <w:jc w:val="center"/>
              <w:rPr>
                <w:sz w:val="15"/>
                <w:szCs w:val="20"/>
              </w:rPr>
            </w:pPr>
            <w:r>
              <w:rPr>
                <w:sz w:val="15"/>
                <w:szCs w:val="20"/>
              </w:rPr>
              <w:t>L/2</w:t>
            </w:r>
            <w:r>
              <w:rPr>
                <w:rFonts w:hint="eastAsia"/>
                <w:sz w:val="15"/>
                <w:szCs w:val="20"/>
              </w:rPr>
              <w:t>3</w:t>
            </w:r>
            <w:r>
              <w:rPr>
                <w:sz w:val="15"/>
                <w:szCs w:val="20"/>
              </w:rPr>
              <w:t>00</w:t>
            </w:r>
          </w:p>
        </w:tc>
        <w:tc>
          <w:tcPr>
            <w:tcW w:w="1361" w:type="dxa"/>
            <w:vAlign w:val="center"/>
          </w:tcPr>
          <w:p w14:paraId="162BAC0F">
            <w:pPr>
              <w:snapToGrid w:val="0"/>
              <w:spacing w:before="20" w:after="20" w:line="240" w:lineRule="auto"/>
              <w:jc w:val="center"/>
              <w:rPr>
                <w:sz w:val="15"/>
                <w:szCs w:val="20"/>
              </w:rPr>
            </w:pPr>
            <w:r>
              <w:rPr>
                <w:sz w:val="15"/>
                <w:szCs w:val="20"/>
              </w:rPr>
              <w:t>L/</w:t>
            </w:r>
            <w:r>
              <w:rPr>
                <w:rFonts w:hint="eastAsia"/>
                <w:sz w:val="15"/>
                <w:szCs w:val="20"/>
              </w:rPr>
              <w:t>20</w:t>
            </w:r>
            <w:r>
              <w:rPr>
                <w:sz w:val="15"/>
                <w:szCs w:val="20"/>
              </w:rPr>
              <w:t>00</w:t>
            </w:r>
          </w:p>
        </w:tc>
        <w:tc>
          <w:tcPr>
            <w:tcW w:w="1361" w:type="dxa"/>
            <w:vAlign w:val="center"/>
          </w:tcPr>
          <w:p w14:paraId="24746736">
            <w:pPr>
              <w:snapToGrid w:val="0"/>
              <w:spacing w:before="20" w:after="20" w:line="240" w:lineRule="auto"/>
              <w:jc w:val="center"/>
              <w:rPr>
                <w:sz w:val="15"/>
                <w:szCs w:val="20"/>
              </w:rPr>
            </w:pPr>
            <w:r>
              <w:rPr>
                <w:sz w:val="15"/>
                <w:szCs w:val="20"/>
              </w:rPr>
              <w:t>L/</w:t>
            </w:r>
            <w:r>
              <w:rPr>
                <w:rFonts w:hint="eastAsia"/>
                <w:sz w:val="15"/>
                <w:szCs w:val="20"/>
              </w:rPr>
              <w:t>16</w:t>
            </w:r>
            <w:r>
              <w:rPr>
                <w:sz w:val="15"/>
                <w:szCs w:val="20"/>
              </w:rPr>
              <w:t>00</w:t>
            </w:r>
          </w:p>
        </w:tc>
      </w:tr>
    </w:tbl>
    <w:p w14:paraId="70A30337">
      <w:pPr>
        <w:spacing w:line="240" w:lineRule="auto"/>
        <w:ind w:left="795" w:leftChars="200" w:hanging="375" w:hangingChars="250"/>
        <w:jc w:val="left"/>
        <w:rPr>
          <w:sz w:val="15"/>
          <w:szCs w:val="15"/>
        </w:rPr>
      </w:pPr>
      <w:r>
        <w:rPr>
          <w:sz w:val="15"/>
          <w:szCs w:val="15"/>
        </w:rPr>
        <w:t>注：1</w:t>
      </w:r>
      <w:r>
        <w:rPr>
          <w:rFonts w:hint="eastAsia"/>
          <w:sz w:val="15"/>
          <w:szCs w:val="15"/>
        </w:rPr>
        <w:t xml:space="preserve"> </w:t>
      </w:r>
      <w:r>
        <w:rPr>
          <w:sz w:val="15"/>
          <w:szCs w:val="15"/>
        </w:rPr>
        <w:t xml:space="preserve"> 表中限值适用于3跨及以上的双线简支梁；对于3跨及以上一联的连续梁，梁体竖向挠度限值应按表中数值的1.1倍取用；对于2跨一联的连续梁、2跨及以下的双线简支梁，梁体竖向挠度限值应按表中数值的1.4倍取用；对于单线简支或连续梁，梁体竖向挠度限值应按相应双线桥限值的0.6倍取用；</w:t>
      </w:r>
    </w:p>
    <w:p w14:paraId="38BF4958">
      <w:pPr>
        <w:spacing w:line="240" w:lineRule="auto"/>
        <w:ind w:firstLine="750" w:firstLineChars="500"/>
        <w:jc w:val="left"/>
        <w:rPr>
          <w:sz w:val="15"/>
          <w:szCs w:val="20"/>
        </w:rPr>
      </w:pPr>
      <w:r>
        <w:rPr>
          <w:rFonts w:hint="eastAsia"/>
          <w:sz w:val="15"/>
          <w:szCs w:val="20"/>
        </w:rPr>
        <w:t xml:space="preserve">2  </w:t>
      </w:r>
      <w:r>
        <w:rPr>
          <w:sz w:val="15"/>
          <w:szCs w:val="20"/>
        </w:rPr>
        <w:t>表中的L为简支梁或连续梁检算跨的跨度。</w:t>
      </w:r>
    </w:p>
    <w:p w14:paraId="1D6D9242">
      <w:pPr>
        <w:ind w:firstLine="422" w:firstLineChars="200"/>
      </w:pPr>
      <w:r>
        <w:rPr>
          <w:rFonts w:hint="eastAsia"/>
          <w:b/>
        </w:rPr>
        <w:t>2</w:t>
      </w:r>
      <w:r>
        <w:rPr>
          <w:rFonts w:hint="eastAsia"/>
        </w:rPr>
        <w:t xml:space="preserve">  拱桥、刚架及连续梁桥等超静定结构的竖向挠度应计入温度的影响。竖向挠度应按下列最不利情况取值，并应满足</w:t>
      </w:r>
      <w:r>
        <w:t>11.</w:t>
      </w:r>
      <w:r>
        <w:rPr>
          <w:rFonts w:hint="eastAsia"/>
        </w:rPr>
        <w:t>1</w:t>
      </w:r>
      <w:r>
        <w:t>.</w:t>
      </w:r>
      <w:r>
        <w:rPr>
          <w:rFonts w:hint="eastAsia"/>
        </w:rPr>
        <w:t>35表所列限值要求：</w:t>
      </w:r>
    </w:p>
    <w:p w14:paraId="0F90A6ED">
      <w:pPr>
        <w:ind w:firstLine="420" w:firstLineChars="200"/>
      </w:pPr>
      <w:r>
        <w:rPr>
          <w:rFonts w:hint="eastAsia"/>
        </w:rPr>
        <w:t>1）  列车竖向静活载作用下产生的挠度值与</w:t>
      </w:r>
      <w:r>
        <w:t>0.5</w:t>
      </w:r>
      <w:r>
        <w:rPr>
          <w:rFonts w:hint="eastAsia"/>
        </w:rPr>
        <w:t>倍温度引起的挠度值之和；</w:t>
      </w:r>
    </w:p>
    <w:p w14:paraId="3B60875F">
      <w:pPr>
        <w:ind w:firstLine="420" w:firstLineChars="200"/>
      </w:pPr>
      <w:r>
        <w:rPr>
          <w:rFonts w:hint="eastAsia"/>
        </w:rPr>
        <w:t xml:space="preserve">2）  </w:t>
      </w:r>
      <w:r>
        <w:t>0.63</w:t>
      </w:r>
      <w:r>
        <w:rPr>
          <w:rFonts w:hint="eastAsia"/>
        </w:rPr>
        <w:t>倍列车竖向静活载作用下产生的挠度值与全部温度引起的挠度值之和。</w:t>
      </w:r>
    </w:p>
    <w:p w14:paraId="013626F9">
      <w:pPr>
        <w:ind w:firstLine="422" w:firstLineChars="200"/>
      </w:pPr>
      <w:r>
        <w:rPr>
          <w:rFonts w:hint="eastAsia"/>
          <w:b/>
        </w:rPr>
        <w:t xml:space="preserve">3 </w:t>
      </w:r>
      <w:r>
        <w:rPr>
          <w:rFonts w:hint="eastAsia"/>
        </w:rPr>
        <w:t xml:space="preserve"> 跨度150m及以下</w:t>
      </w:r>
      <w:r>
        <w:t>铺设无砟轨道的预应力混凝土梁的</w:t>
      </w:r>
      <w:r>
        <w:rPr>
          <w:rFonts w:hint="eastAsia"/>
        </w:rPr>
        <w:t>后期</w:t>
      </w:r>
      <w:r>
        <w:t>徐变变形</w:t>
      </w:r>
      <w:r>
        <w:rPr>
          <w:rFonts w:hint="eastAsia"/>
        </w:rPr>
        <w:t>量控制</w:t>
      </w:r>
      <w:r>
        <w:t>，</w:t>
      </w:r>
      <w:r>
        <w:rPr>
          <w:rFonts w:hint="eastAsia"/>
        </w:rPr>
        <w:t>宜符合</w:t>
      </w:r>
      <w:r>
        <w:t>下列规定：</w:t>
      </w:r>
    </w:p>
    <w:p w14:paraId="1581E1AC">
      <w:pPr>
        <w:ind w:firstLine="420" w:firstLineChars="200"/>
      </w:pPr>
      <w:r>
        <w:rPr>
          <w:rFonts w:hint="eastAsia"/>
        </w:rPr>
        <w:t>1）  当</w:t>
      </w:r>
      <w:r>
        <w:t>桥梁跨度L</w:t>
      </w:r>
      <w:r>
        <w:rPr>
          <w:rFonts w:hint="eastAsia"/>
        </w:rPr>
        <w:t>小于</w:t>
      </w:r>
      <w:r>
        <w:t>50m</w:t>
      </w:r>
      <w:r>
        <w:rPr>
          <w:rFonts w:hint="eastAsia"/>
        </w:rPr>
        <w:t>时，</w:t>
      </w:r>
      <w:r>
        <w:t>徐变变形</w:t>
      </w:r>
      <w:r>
        <w:rPr>
          <w:rFonts w:hint="eastAsia"/>
        </w:rPr>
        <w:t>量</w:t>
      </w:r>
      <w:r>
        <w:t>不</w:t>
      </w:r>
      <w:r>
        <w:rPr>
          <w:rFonts w:hint="eastAsia"/>
        </w:rPr>
        <w:t>宜</w:t>
      </w:r>
      <w:r>
        <w:t>大于10mm；</w:t>
      </w:r>
    </w:p>
    <w:p w14:paraId="32BB3457">
      <w:pPr>
        <w:ind w:firstLine="420" w:firstLineChars="200"/>
      </w:pPr>
      <w:r>
        <w:rPr>
          <w:rFonts w:hint="eastAsia"/>
        </w:rPr>
        <w:t>2）  当</w:t>
      </w:r>
      <w:r>
        <w:t>桥梁跨度L</w:t>
      </w:r>
      <w:r>
        <w:rPr>
          <w:rFonts w:hint="eastAsia"/>
        </w:rPr>
        <w:t>大于或等于</w:t>
      </w:r>
      <w:r>
        <w:t>50m</w:t>
      </w:r>
      <w:r>
        <w:rPr>
          <w:rFonts w:hint="eastAsia"/>
        </w:rPr>
        <w:t>时</w:t>
      </w:r>
      <w:r>
        <w:t>，徐变变形</w:t>
      </w:r>
      <w:r>
        <w:rPr>
          <w:rFonts w:hint="eastAsia"/>
        </w:rPr>
        <w:t>量</w:t>
      </w:r>
      <w:r>
        <w:t>不</w:t>
      </w:r>
      <w:r>
        <w:rPr>
          <w:rFonts w:hint="eastAsia"/>
        </w:rPr>
        <w:t>宜</w:t>
      </w:r>
      <w:r>
        <w:t>大于L/5000</w:t>
      </w:r>
      <w:r>
        <w:rPr>
          <w:rFonts w:hint="eastAsia"/>
        </w:rPr>
        <w:t>。</w:t>
      </w:r>
    </w:p>
    <w:p w14:paraId="52D3BD11">
      <w:pPr>
        <w:numPr>
          <w:ilvl w:val="2"/>
          <w:numId w:val="1"/>
        </w:numPr>
        <w:tabs>
          <w:tab w:val="left" w:pos="709"/>
          <w:tab w:val="left" w:pos="794"/>
        </w:tabs>
        <w:jc w:val="left"/>
        <w:outlineLvl w:val="2"/>
      </w:pPr>
      <w:r>
        <w:rPr>
          <w:bCs/>
        </w:rPr>
        <w:t>在列车横向摇摆力、离心力、风力和温度力作用下，桥跨结构梁体水平横向挠度应小于或等于计算跨度的1/4000。风荷载(有车)与温度作用组合时，计0.75倍的风荷载与0.6 倍的温度作用进行组合；</w:t>
      </w:r>
    </w:p>
    <w:p w14:paraId="20091400">
      <w:pPr>
        <w:numPr>
          <w:ilvl w:val="2"/>
          <w:numId w:val="1"/>
        </w:numPr>
        <w:tabs>
          <w:tab w:val="left" w:pos="709"/>
          <w:tab w:val="left" w:pos="794"/>
        </w:tabs>
        <w:jc w:val="left"/>
        <w:outlineLvl w:val="2"/>
        <w:rPr>
          <w:bCs/>
        </w:rPr>
      </w:pPr>
      <w:r>
        <w:rPr>
          <w:bCs/>
        </w:rPr>
        <w:t>在列车静活载作用下，</w:t>
      </w:r>
      <w:r>
        <w:rPr>
          <w:rFonts w:hint="eastAsia"/>
          <w:bCs/>
        </w:rPr>
        <w:t>梁端竖向转角应符合下列规定</w:t>
      </w:r>
    </w:p>
    <w:p w14:paraId="1751057D">
      <w:pPr>
        <w:ind w:firstLine="422" w:firstLineChars="200"/>
      </w:pPr>
      <w:r>
        <w:rPr>
          <w:rFonts w:hint="eastAsia"/>
          <w:b/>
        </w:rPr>
        <w:t xml:space="preserve">1 </w:t>
      </w:r>
      <w:r>
        <w:rPr>
          <w:rFonts w:hint="eastAsia"/>
        </w:rPr>
        <w:t xml:space="preserve"> 当列车最高速度不大于120km/h时，</w:t>
      </w:r>
      <w:r>
        <w:t>有砟轨道桥梁梁体单端竖向转角不应大于5‰</w:t>
      </w:r>
      <w:r>
        <w:rPr>
          <w:rFonts w:hint="eastAsia"/>
        </w:rPr>
        <w:t>；</w:t>
      </w:r>
      <w:r>
        <w:t>无砟轨道桥梁梁体单端竖向转角不应大于3‰。无砟轨道梁梁体单端竖向转角大于2‰时，</w:t>
      </w:r>
      <w:r>
        <w:rPr>
          <w:rFonts w:hint="eastAsia"/>
        </w:rPr>
        <w:t>应对梁端轨道结构和扣件系统受力进行检算。</w:t>
      </w:r>
    </w:p>
    <w:p w14:paraId="1A4C5CD0">
      <w:pPr>
        <w:ind w:firstLine="422" w:firstLineChars="200"/>
      </w:pPr>
      <w:r>
        <w:rPr>
          <w:rFonts w:hint="eastAsia"/>
          <w:b/>
        </w:rPr>
        <w:t xml:space="preserve">2  </w:t>
      </w:r>
      <w:r>
        <w:rPr>
          <w:rFonts w:hint="eastAsia"/>
        </w:rPr>
        <w:t>当列车最高速度大于120km/h时，梁端竖向转角限值应符合表11.3.36的规定，梁端转角示意如图11.3.36所示。无砟轨道桥梁，当梁端转角限值不满足表中限值要求时，应对梁端轨道结构和扣件系统受力进行检算。</w:t>
      </w:r>
    </w:p>
    <w:p w14:paraId="7E914737">
      <w:pPr>
        <w:pStyle w:val="198"/>
      </w:pPr>
      <w:r>
        <w:t>表1</w:t>
      </w:r>
      <w:r>
        <w:rPr>
          <w:rFonts w:hint="eastAsia"/>
        </w:rPr>
        <w:t>1</w:t>
      </w:r>
      <w:r>
        <w:t>.1.</w:t>
      </w:r>
      <w:r>
        <w:rPr>
          <w:rFonts w:hint="eastAsia"/>
        </w:rPr>
        <w:t>36</w:t>
      </w:r>
      <w:r>
        <w:t xml:space="preserve">  </w:t>
      </w:r>
      <w:r>
        <w:rPr>
          <w:rFonts w:hint="eastAsia"/>
        </w:rPr>
        <w:t>梁端竖向转角限值</w:t>
      </w:r>
    </w:p>
    <w:tbl>
      <w:tblPr>
        <w:tblStyle w:val="88"/>
        <w:tblW w:w="58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334"/>
        <w:gridCol w:w="1208"/>
        <w:gridCol w:w="2268"/>
      </w:tblGrid>
      <w:tr w14:paraId="5EB2C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dxa"/>
            <w:tcBorders>
              <w:tl2br w:val="single" w:color="auto" w:sz="4" w:space="0"/>
            </w:tcBorders>
            <w:vAlign w:val="center"/>
          </w:tcPr>
          <w:p w14:paraId="2665F6E7">
            <w:pPr>
              <w:adjustRightInd w:val="0"/>
              <w:snapToGrid w:val="0"/>
              <w:spacing w:line="240" w:lineRule="auto"/>
              <w:jc w:val="center"/>
              <w:rPr>
                <w:sz w:val="15"/>
                <w:szCs w:val="15"/>
              </w:rPr>
            </w:pPr>
            <w:r>
              <w:rPr>
                <w:rFonts w:hint="eastAsia"/>
                <w:sz w:val="15"/>
                <w:szCs w:val="15"/>
              </w:rPr>
              <w:t xml:space="preserve">  轨道类型</w:t>
            </w:r>
          </w:p>
        </w:tc>
        <w:tc>
          <w:tcPr>
            <w:tcW w:w="1334" w:type="dxa"/>
            <w:vAlign w:val="center"/>
          </w:tcPr>
          <w:p w14:paraId="30BDC161">
            <w:pPr>
              <w:adjustRightInd w:val="0"/>
              <w:snapToGrid w:val="0"/>
              <w:spacing w:line="240" w:lineRule="auto"/>
              <w:jc w:val="center"/>
              <w:rPr>
                <w:sz w:val="15"/>
                <w:szCs w:val="15"/>
              </w:rPr>
            </w:pPr>
            <w:r>
              <w:rPr>
                <w:rFonts w:hint="eastAsia"/>
                <w:sz w:val="15"/>
                <w:szCs w:val="15"/>
              </w:rPr>
              <w:t>位   置</w:t>
            </w:r>
          </w:p>
        </w:tc>
        <w:tc>
          <w:tcPr>
            <w:tcW w:w="1208" w:type="dxa"/>
            <w:vAlign w:val="center"/>
          </w:tcPr>
          <w:p w14:paraId="7AB06852">
            <w:pPr>
              <w:adjustRightInd w:val="0"/>
              <w:snapToGrid w:val="0"/>
              <w:spacing w:line="240" w:lineRule="auto"/>
              <w:jc w:val="center"/>
              <w:rPr>
                <w:sz w:val="15"/>
                <w:szCs w:val="15"/>
              </w:rPr>
            </w:pPr>
            <w:r>
              <w:rPr>
                <w:rFonts w:hint="eastAsia"/>
                <w:sz w:val="15"/>
                <w:szCs w:val="15"/>
              </w:rPr>
              <w:t>限值（rad）</w:t>
            </w:r>
          </w:p>
        </w:tc>
        <w:tc>
          <w:tcPr>
            <w:tcW w:w="2268" w:type="dxa"/>
            <w:vAlign w:val="center"/>
          </w:tcPr>
          <w:p w14:paraId="5C9F19EF">
            <w:pPr>
              <w:adjustRightInd w:val="0"/>
              <w:snapToGrid w:val="0"/>
              <w:spacing w:line="240" w:lineRule="auto"/>
              <w:jc w:val="center"/>
              <w:rPr>
                <w:sz w:val="15"/>
                <w:szCs w:val="15"/>
              </w:rPr>
            </w:pPr>
            <w:r>
              <w:rPr>
                <w:rFonts w:hint="eastAsia"/>
                <w:sz w:val="15"/>
                <w:szCs w:val="15"/>
              </w:rPr>
              <w:t>适用条件</w:t>
            </w:r>
          </w:p>
        </w:tc>
      </w:tr>
      <w:tr w14:paraId="75F3B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restart"/>
            <w:vAlign w:val="center"/>
          </w:tcPr>
          <w:p w14:paraId="0AAEEB97">
            <w:pPr>
              <w:adjustRightInd w:val="0"/>
              <w:snapToGrid w:val="0"/>
              <w:spacing w:line="240" w:lineRule="auto"/>
              <w:jc w:val="center"/>
              <w:rPr>
                <w:sz w:val="15"/>
                <w:szCs w:val="15"/>
              </w:rPr>
            </w:pPr>
            <w:r>
              <w:rPr>
                <w:rFonts w:hint="eastAsia"/>
                <w:sz w:val="15"/>
                <w:szCs w:val="15"/>
              </w:rPr>
              <w:t>有砟轨道</w:t>
            </w:r>
          </w:p>
        </w:tc>
        <w:tc>
          <w:tcPr>
            <w:tcW w:w="1334" w:type="dxa"/>
            <w:vAlign w:val="center"/>
          </w:tcPr>
          <w:p w14:paraId="7390A4F1">
            <w:pPr>
              <w:adjustRightInd w:val="0"/>
              <w:snapToGrid w:val="0"/>
              <w:spacing w:line="240" w:lineRule="auto"/>
              <w:jc w:val="center"/>
              <w:rPr>
                <w:sz w:val="15"/>
                <w:szCs w:val="15"/>
              </w:rPr>
            </w:pPr>
            <w:r>
              <w:rPr>
                <w:rFonts w:hint="eastAsia"/>
                <w:sz w:val="15"/>
                <w:szCs w:val="15"/>
              </w:rPr>
              <w:t>桥台与桥梁之间</w:t>
            </w:r>
          </w:p>
        </w:tc>
        <w:tc>
          <w:tcPr>
            <w:tcW w:w="1208" w:type="dxa"/>
            <w:vAlign w:val="center"/>
          </w:tcPr>
          <w:p w14:paraId="0F14AE62">
            <w:pPr>
              <w:adjustRightInd w:val="0"/>
              <w:snapToGrid w:val="0"/>
              <w:spacing w:line="240" w:lineRule="auto"/>
              <w:jc w:val="center"/>
              <w:rPr>
                <w:sz w:val="15"/>
                <w:szCs w:val="15"/>
              </w:rPr>
            </w:pPr>
            <w:r>
              <w:rPr>
                <w:rFonts w:hint="eastAsia"/>
                <w:sz w:val="15"/>
                <w:szCs w:val="15"/>
              </w:rPr>
              <w:t>θ≤3.0‰</w:t>
            </w:r>
          </w:p>
        </w:tc>
        <w:tc>
          <w:tcPr>
            <w:tcW w:w="2268" w:type="dxa"/>
            <w:vAlign w:val="center"/>
          </w:tcPr>
          <w:p w14:paraId="2772B0C2">
            <w:pPr>
              <w:adjustRightInd w:val="0"/>
              <w:snapToGrid w:val="0"/>
              <w:spacing w:line="240" w:lineRule="auto"/>
              <w:jc w:val="center"/>
              <w:rPr>
                <w:sz w:val="15"/>
                <w:szCs w:val="15"/>
              </w:rPr>
            </w:pPr>
            <w:r>
              <w:rPr>
                <w:rFonts w:hint="eastAsia"/>
                <w:sz w:val="15"/>
                <w:szCs w:val="15"/>
              </w:rPr>
              <w:t>-</w:t>
            </w:r>
          </w:p>
        </w:tc>
      </w:tr>
      <w:tr w14:paraId="0AB1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continue"/>
            <w:vAlign w:val="center"/>
          </w:tcPr>
          <w:p w14:paraId="22A93707">
            <w:pPr>
              <w:adjustRightInd w:val="0"/>
              <w:snapToGrid w:val="0"/>
              <w:spacing w:line="240" w:lineRule="auto"/>
              <w:jc w:val="center"/>
              <w:rPr>
                <w:sz w:val="15"/>
                <w:szCs w:val="15"/>
              </w:rPr>
            </w:pPr>
          </w:p>
        </w:tc>
        <w:tc>
          <w:tcPr>
            <w:tcW w:w="1334" w:type="dxa"/>
            <w:vAlign w:val="center"/>
          </w:tcPr>
          <w:p w14:paraId="50B0D924">
            <w:pPr>
              <w:adjustRightInd w:val="0"/>
              <w:snapToGrid w:val="0"/>
              <w:spacing w:line="240" w:lineRule="auto"/>
              <w:jc w:val="center"/>
              <w:rPr>
                <w:sz w:val="15"/>
                <w:szCs w:val="15"/>
              </w:rPr>
            </w:pPr>
            <w:r>
              <w:rPr>
                <w:rFonts w:hint="eastAsia"/>
                <w:sz w:val="15"/>
                <w:szCs w:val="15"/>
              </w:rPr>
              <w:t>相邻两孔梁之间</w:t>
            </w:r>
          </w:p>
        </w:tc>
        <w:tc>
          <w:tcPr>
            <w:tcW w:w="1208" w:type="dxa"/>
            <w:vAlign w:val="center"/>
          </w:tcPr>
          <w:p w14:paraId="2B870C80">
            <w:pPr>
              <w:adjustRightInd w:val="0"/>
              <w:snapToGrid w:val="0"/>
              <w:spacing w:line="240" w:lineRule="auto"/>
              <w:jc w:val="center"/>
              <w:rPr>
                <w:sz w:val="15"/>
                <w:szCs w:val="15"/>
              </w:rPr>
            </w:pPr>
            <w:r>
              <w:rPr>
                <w:rFonts w:hint="eastAsia"/>
                <w:sz w:val="15"/>
                <w:szCs w:val="15"/>
              </w:rPr>
              <w:t>θ</w:t>
            </w:r>
            <w:r>
              <w:rPr>
                <w:rFonts w:hint="eastAsia"/>
                <w:sz w:val="15"/>
                <w:szCs w:val="15"/>
                <w:vertAlign w:val="subscript"/>
              </w:rPr>
              <w:t>1</w:t>
            </w:r>
            <w:r>
              <w:rPr>
                <w:rFonts w:hint="eastAsia"/>
                <w:sz w:val="15"/>
                <w:szCs w:val="15"/>
              </w:rPr>
              <w:t>+θ</w:t>
            </w:r>
            <w:r>
              <w:rPr>
                <w:rFonts w:hint="eastAsia"/>
                <w:sz w:val="15"/>
                <w:szCs w:val="15"/>
                <w:vertAlign w:val="subscript"/>
              </w:rPr>
              <w:t>2</w:t>
            </w:r>
            <w:r>
              <w:rPr>
                <w:rFonts w:hint="eastAsia"/>
                <w:sz w:val="15"/>
                <w:szCs w:val="15"/>
              </w:rPr>
              <w:t>≤6.0‰</w:t>
            </w:r>
          </w:p>
        </w:tc>
        <w:tc>
          <w:tcPr>
            <w:tcW w:w="2268" w:type="dxa"/>
            <w:vAlign w:val="center"/>
          </w:tcPr>
          <w:p w14:paraId="76F75CD8">
            <w:pPr>
              <w:adjustRightInd w:val="0"/>
              <w:snapToGrid w:val="0"/>
              <w:spacing w:line="240" w:lineRule="auto"/>
              <w:jc w:val="center"/>
              <w:rPr>
                <w:sz w:val="15"/>
                <w:szCs w:val="15"/>
              </w:rPr>
            </w:pPr>
            <w:r>
              <w:rPr>
                <w:rFonts w:hint="eastAsia"/>
                <w:sz w:val="15"/>
                <w:szCs w:val="15"/>
              </w:rPr>
              <w:t>-</w:t>
            </w:r>
          </w:p>
        </w:tc>
      </w:tr>
      <w:tr w14:paraId="39DF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restart"/>
            <w:vAlign w:val="center"/>
          </w:tcPr>
          <w:p w14:paraId="5F8E3344">
            <w:pPr>
              <w:adjustRightInd w:val="0"/>
              <w:snapToGrid w:val="0"/>
              <w:spacing w:line="240" w:lineRule="auto"/>
              <w:jc w:val="center"/>
              <w:rPr>
                <w:sz w:val="15"/>
                <w:szCs w:val="15"/>
              </w:rPr>
            </w:pPr>
            <w:r>
              <w:rPr>
                <w:rFonts w:hint="eastAsia"/>
                <w:sz w:val="15"/>
                <w:szCs w:val="15"/>
              </w:rPr>
              <w:t>无砟轨道</w:t>
            </w:r>
          </w:p>
        </w:tc>
        <w:tc>
          <w:tcPr>
            <w:tcW w:w="1334" w:type="dxa"/>
            <w:vMerge w:val="restart"/>
            <w:vAlign w:val="center"/>
          </w:tcPr>
          <w:p w14:paraId="6D5194C3">
            <w:pPr>
              <w:adjustRightInd w:val="0"/>
              <w:snapToGrid w:val="0"/>
              <w:spacing w:line="240" w:lineRule="auto"/>
              <w:jc w:val="center"/>
              <w:rPr>
                <w:sz w:val="15"/>
                <w:szCs w:val="15"/>
              </w:rPr>
            </w:pPr>
            <w:r>
              <w:rPr>
                <w:rFonts w:hint="eastAsia"/>
                <w:sz w:val="15"/>
                <w:szCs w:val="15"/>
              </w:rPr>
              <w:t>桥台与桥梁之间</w:t>
            </w:r>
          </w:p>
        </w:tc>
        <w:tc>
          <w:tcPr>
            <w:tcW w:w="1208" w:type="dxa"/>
            <w:vAlign w:val="center"/>
          </w:tcPr>
          <w:p w14:paraId="6DC4ED9B">
            <w:pPr>
              <w:adjustRightInd w:val="0"/>
              <w:snapToGrid w:val="0"/>
              <w:spacing w:line="240" w:lineRule="auto"/>
              <w:jc w:val="center"/>
              <w:rPr>
                <w:sz w:val="15"/>
                <w:szCs w:val="15"/>
              </w:rPr>
            </w:pPr>
            <w:r>
              <w:rPr>
                <w:rFonts w:hint="eastAsia"/>
                <w:sz w:val="15"/>
                <w:szCs w:val="15"/>
              </w:rPr>
              <w:t>θ≤2.1‰</w:t>
            </w:r>
          </w:p>
        </w:tc>
        <w:tc>
          <w:tcPr>
            <w:tcW w:w="2268" w:type="dxa"/>
            <w:vAlign w:val="center"/>
          </w:tcPr>
          <w:p w14:paraId="36DC3B63">
            <w:pPr>
              <w:adjustRightInd w:val="0"/>
              <w:snapToGrid w:val="0"/>
              <w:spacing w:line="240" w:lineRule="auto"/>
              <w:jc w:val="center"/>
              <w:rPr>
                <w:sz w:val="15"/>
                <w:szCs w:val="15"/>
              </w:rPr>
            </w:pPr>
            <w:r>
              <w:rPr>
                <w:rFonts w:hint="eastAsia"/>
                <w:sz w:val="15"/>
                <w:szCs w:val="15"/>
              </w:rPr>
              <w:t>梁端悬出长度≤0.30m</w:t>
            </w:r>
          </w:p>
        </w:tc>
      </w:tr>
      <w:tr w14:paraId="4A8D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continue"/>
            <w:vAlign w:val="center"/>
          </w:tcPr>
          <w:p w14:paraId="3BA884CF">
            <w:pPr>
              <w:adjustRightInd w:val="0"/>
              <w:snapToGrid w:val="0"/>
              <w:spacing w:line="240" w:lineRule="auto"/>
              <w:jc w:val="center"/>
              <w:rPr>
                <w:sz w:val="15"/>
                <w:szCs w:val="15"/>
              </w:rPr>
            </w:pPr>
          </w:p>
        </w:tc>
        <w:tc>
          <w:tcPr>
            <w:tcW w:w="1334" w:type="dxa"/>
            <w:vMerge w:val="continue"/>
            <w:vAlign w:val="center"/>
          </w:tcPr>
          <w:p w14:paraId="4AFBBDC2">
            <w:pPr>
              <w:adjustRightInd w:val="0"/>
              <w:snapToGrid w:val="0"/>
              <w:spacing w:line="240" w:lineRule="auto"/>
              <w:jc w:val="center"/>
              <w:rPr>
                <w:sz w:val="15"/>
                <w:szCs w:val="15"/>
              </w:rPr>
            </w:pPr>
          </w:p>
        </w:tc>
        <w:tc>
          <w:tcPr>
            <w:tcW w:w="1208" w:type="dxa"/>
            <w:vAlign w:val="center"/>
          </w:tcPr>
          <w:p w14:paraId="36AB9D09">
            <w:pPr>
              <w:adjustRightInd w:val="0"/>
              <w:snapToGrid w:val="0"/>
              <w:spacing w:line="240" w:lineRule="auto"/>
              <w:jc w:val="center"/>
              <w:rPr>
                <w:sz w:val="15"/>
                <w:szCs w:val="15"/>
              </w:rPr>
            </w:pPr>
            <w:r>
              <w:rPr>
                <w:rFonts w:hint="eastAsia"/>
                <w:sz w:val="15"/>
                <w:szCs w:val="15"/>
              </w:rPr>
              <w:t>θ≤1.5‰</w:t>
            </w:r>
          </w:p>
        </w:tc>
        <w:tc>
          <w:tcPr>
            <w:tcW w:w="2268" w:type="dxa"/>
            <w:vAlign w:val="center"/>
          </w:tcPr>
          <w:p w14:paraId="70B428C6">
            <w:pPr>
              <w:adjustRightInd w:val="0"/>
              <w:snapToGrid w:val="0"/>
              <w:spacing w:line="240" w:lineRule="auto"/>
              <w:jc w:val="center"/>
              <w:rPr>
                <w:sz w:val="15"/>
                <w:szCs w:val="15"/>
              </w:rPr>
            </w:pPr>
            <w:r>
              <w:rPr>
                <w:rFonts w:hint="eastAsia"/>
                <w:sz w:val="15"/>
                <w:szCs w:val="15"/>
              </w:rPr>
              <w:t>0.30m＜梁端悬出长度≤0.55m</w:t>
            </w:r>
          </w:p>
        </w:tc>
      </w:tr>
      <w:tr w14:paraId="1DE5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continue"/>
            <w:vAlign w:val="center"/>
          </w:tcPr>
          <w:p w14:paraId="25A5B312">
            <w:pPr>
              <w:adjustRightInd w:val="0"/>
              <w:snapToGrid w:val="0"/>
              <w:spacing w:line="240" w:lineRule="auto"/>
              <w:jc w:val="center"/>
              <w:rPr>
                <w:sz w:val="15"/>
                <w:szCs w:val="15"/>
              </w:rPr>
            </w:pPr>
          </w:p>
        </w:tc>
        <w:tc>
          <w:tcPr>
            <w:tcW w:w="1334" w:type="dxa"/>
            <w:vMerge w:val="continue"/>
            <w:vAlign w:val="center"/>
          </w:tcPr>
          <w:p w14:paraId="60D373D5">
            <w:pPr>
              <w:adjustRightInd w:val="0"/>
              <w:snapToGrid w:val="0"/>
              <w:spacing w:line="240" w:lineRule="auto"/>
              <w:jc w:val="center"/>
              <w:rPr>
                <w:sz w:val="15"/>
                <w:szCs w:val="15"/>
              </w:rPr>
            </w:pPr>
          </w:p>
        </w:tc>
        <w:tc>
          <w:tcPr>
            <w:tcW w:w="1208" w:type="dxa"/>
            <w:vAlign w:val="center"/>
          </w:tcPr>
          <w:p w14:paraId="2B0F985C">
            <w:pPr>
              <w:adjustRightInd w:val="0"/>
              <w:snapToGrid w:val="0"/>
              <w:spacing w:line="240" w:lineRule="auto"/>
              <w:jc w:val="center"/>
              <w:rPr>
                <w:sz w:val="15"/>
                <w:szCs w:val="15"/>
              </w:rPr>
            </w:pPr>
            <w:r>
              <w:rPr>
                <w:rFonts w:hint="eastAsia"/>
                <w:sz w:val="15"/>
                <w:szCs w:val="15"/>
              </w:rPr>
              <w:t>θ≤1.0‰</w:t>
            </w:r>
          </w:p>
        </w:tc>
        <w:tc>
          <w:tcPr>
            <w:tcW w:w="2268" w:type="dxa"/>
            <w:vAlign w:val="center"/>
          </w:tcPr>
          <w:p w14:paraId="1054BD11">
            <w:pPr>
              <w:adjustRightInd w:val="0"/>
              <w:snapToGrid w:val="0"/>
              <w:spacing w:line="240" w:lineRule="auto"/>
              <w:jc w:val="center"/>
              <w:rPr>
                <w:sz w:val="15"/>
                <w:szCs w:val="15"/>
              </w:rPr>
            </w:pPr>
            <w:r>
              <w:rPr>
                <w:rFonts w:hint="eastAsia"/>
                <w:sz w:val="15"/>
                <w:szCs w:val="15"/>
              </w:rPr>
              <w:t>0.55m＜梁端悬出长度≤0.75m</w:t>
            </w:r>
          </w:p>
        </w:tc>
      </w:tr>
      <w:tr w14:paraId="4267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restart"/>
            <w:vAlign w:val="center"/>
          </w:tcPr>
          <w:p w14:paraId="1B79798B">
            <w:pPr>
              <w:adjustRightInd w:val="0"/>
              <w:snapToGrid w:val="0"/>
              <w:spacing w:line="240" w:lineRule="auto"/>
              <w:jc w:val="center"/>
              <w:rPr>
                <w:sz w:val="15"/>
                <w:szCs w:val="15"/>
              </w:rPr>
            </w:pPr>
            <w:r>
              <w:rPr>
                <w:rFonts w:hint="eastAsia"/>
                <w:sz w:val="15"/>
                <w:szCs w:val="15"/>
              </w:rPr>
              <w:t>无砟轨道</w:t>
            </w:r>
          </w:p>
        </w:tc>
        <w:tc>
          <w:tcPr>
            <w:tcW w:w="1334" w:type="dxa"/>
            <w:vMerge w:val="restart"/>
            <w:vAlign w:val="center"/>
          </w:tcPr>
          <w:p w14:paraId="1E389A32">
            <w:pPr>
              <w:adjustRightInd w:val="0"/>
              <w:snapToGrid w:val="0"/>
              <w:spacing w:line="240" w:lineRule="auto"/>
              <w:jc w:val="center"/>
              <w:rPr>
                <w:sz w:val="15"/>
                <w:szCs w:val="15"/>
              </w:rPr>
            </w:pPr>
            <w:r>
              <w:rPr>
                <w:rFonts w:hint="eastAsia"/>
                <w:sz w:val="15"/>
                <w:szCs w:val="15"/>
              </w:rPr>
              <w:t>相邻两孔梁之间</w:t>
            </w:r>
          </w:p>
        </w:tc>
        <w:tc>
          <w:tcPr>
            <w:tcW w:w="1208" w:type="dxa"/>
            <w:vAlign w:val="center"/>
          </w:tcPr>
          <w:p w14:paraId="7C803BB0">
            <w:pPr>
              <w:adjustRightInd w:val="0"/>
              <w:snapToGrid w:val="0"/>
              <w:spacing w:line="240" w:lineRule="auto"/>
              <w:jc w:val="center"/>
              <w:rPr>
                <w:sz w:val="15"/>
                <w:szCs w:val="15"/>
              </w:rPr>
            </w:pPr>
            <w:r>
              <w:rPr>
                <w:rFonts w:hint="eastAsia"/>
                <w:sz w:val="15"/>
                <w:szCs w:val="15"/>
              </w:rPr>
              <w:t>θ</w:t>
            </w:r>
            <w:r>
              <w:rPr>
                <w:rFonts w:hint="eastAsia"/>
                <w:sz w:val="15"/>
                <w:szCs w:val="15"/>
                <w:vertAlign w:val="subscript"/>
              </w:rPr>
              <w:t>1</w:t>
            </w:r>
            <w:r>
              <w:rPr>
                <w:rFonts w:hint="eastAsia"/>
                <w:sz w:val="15"/>
                <w:szCs w:val="15"/>
              </w:rPr>
              <w:t>+θ</w:t>
            </w:r>
            <w:r>
              <w:rPr>
                <w:rFonts w:hint="eastAsia"/>
                <w:sz w:val="15"/>
                <w:szCs w:val="15"/>
                <w:vertAlign w:val="subscript"/>
              </w:rPr>
              <w:t>2</w:t>
            </w:r>
            <w:r>
              <w:rPr>
                <w:rFonts w:hint="eastAsia"/>
                <w:sz w:val="15"/>
                <w:szCs w:val="15"/>
              </w:rPr>
              <w:t>≤4.2‰</w:t>
            </w:r>
          </w:p>
        </w:tc>
        <w:tc>
          <w:tcPr>
            <w:tcW w:w="2268" w:type="dxa"/>
            <w:vAlign w:val="center"/>
          </w:tcPr>
          <w:p w14:paraId="5E7ED2BC">
            <w:pPr>
              <w:adjustRightInd w:val="0"/>
              <w:snapToGrid w:val="0"/>
              <w:spacing w:line="240" w:lineRule="auto"/>
              <w:jc w:val="center"/>
              <w:rPr>
                <w:sz w:val="15"/>
                <w:szCs w:val="15"/>
              </w:rPr>
            </w:pPr>
            <w:r>
              <w:rPr>
                <w:rFonts w:hint="eastAsia"/>
                <w:sz w:val="15"/>
                <w:szCs w:val="15"/>
              </w:rPr>
              <w:t>梁端悬出长度≤0.30m</w:t>
            </w:r>
          </w:p>
        </w:tc>
      </w:tr>
      <w:tr w14:paraId="1880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continue"/>
            <w:vAlign w:val="center"/>
          </w:tcPr>
          <w:p w14:paraId="13657EC4">
            <w:pPr>
              <w:adjustRightInd w:val="0"/>
              <w:snapToGrid w:val="0"/>
              <w:spacing w:line="240" w:lineRule="auto"/>
              <w:jc w:val="center"/>
              <w:rPr>
                <w:sz w:val="15"/>
                <w:szCs w:val="15"/>
              </w:rPr>
            </w:pPr>
          </w:p>
        </w:tc>
        <w:tc>
          <w:tcPr>
            <w:tcW w:w="1334" w:type="dxa"/>
            <w:vMerge w:val="continue"/>
            <w:vAlign w:val="center"/>
          </w:tcPr>
          <w:p w14:paraId="37BCDAED">
            <w:pPr>
              <w:adjustRightInd w:val="0"/>
              <w:snapToGrid w:val="0"/>
              <w:spacing w:line="240" w:lineRule="auto"/>
              <w:jc w:val="center"/>
              <w:rPr>
                <w:sz w:val="15"/>
                <w:szCs w:val="15"/>
              </w:rPr>
            </w:pPr>
          </w:p>
        </w:tc>
        <w:tc>
          <w:tcPr>
            <w:tcW w:w="1208" w:type="dxa"/>
            <w:vAlign w:val="center"/>
          </w:tcPr>
          <w:p w14:paraId="63279900">
            <w:pPr>
              <w:adjustRightInd w:val="0"/>
              <w:snapToGrid w:val="0"/>
              <w:spacing w:line="240" w:lineRule="auto"/>
              <w:jc w:val="center"/>
              <w:rPr>
                <w:sz w:val="15"/>
                <w:szCs w:val="15"/>
              </w:rPr>
            </w:pPr>
            <w:r>
              <w:rPr>
                <w:rFonts w:hint="eastAsia"/>
                <w:sz w:val="15"/>
                <w:szCs w:val="15"/>
              </w:rPr>
              <w:t>θ</w:t>
            </w:r>
            <w:r>
              <w:rPr>
                <w:rFonts w:hint="eastAsia"/>
                <w:sz w:val="15"/>
                <w:szCs w:val="15"/>
                <w:vertAlign w:val="subscript"/>
              </w:rPr>
              <w:t>1</w:t>
            </w:r>
            <w:r>
              <w:rPr>
                <w:rFonts w:hint="eastAsia"/>
                <w:sz w:val="15"/>
                <w:szCs w:val="15"/>
              </w:rPr>
              <w:t>+θ</w:t>
            </w:r>
            <w:r>
              <w:rPr>
                <w:rFonts w:hint="eastAsia"/>
                <w:sz w:val="15"/>
                <w:szCs w:val="15"/>
                <w:vertAlign w:val="subscript"/>
              </w:rPr>
              <w:t>2</w:t>
            </w:r>
            <w:r>
              <w:rPr>
                <w:rFonts w:hint="eastAsia"/>
                <w:sz w:val="15"/>
                <w:szCs w:val="15"/>
              </w:rPr>
              <w:t>≤3.0‰</w:t>
            </w:r>
          </w:p>
        </w:tc>
        <w:tc>
          <w:tcPr>
            <w:tcW w:w="2268" w:type="dxa"/>
            <w:vAlign w:val="center"/>
          </w:tcPr>
          <w:p w14:paraId="01258C37">
            <w:pPr>
              <w:adjustRightInd w:val="0"/>
              <w:snapToGrid w:val="0"/>
              <w:spacing w:line="240" w:lineRule="auto"/>
              <w:jc w:val="center"/>
              <w:rPr>
                <w:sz w:val="15"/>
                <w:szCs w:val="15"/>
              </w:rPr>
            </w:pPr>
            <w:r>
              <w:rPr>
                <w:rFonts w:hint="eastAsia"/>
                <w:sz w:val="15"/>
                <w:szCs w:val="15"/>
              </w:rPr>
              <w:t>0.30m＜梁端悬出长度≤0.55m</w:t>
            </w:r>
          </w:p>
        </w:tc>
      </w:tr>
      <w:tr w14:paraId="4E44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continue"/>
            <w:vAlign w:val="center"/>
          </w:tcPr>
          <w:p w14:paraId="204873D3">
            <w:pPr>
              <w:adjustRightInd w:val="0"/>
              <w:snapToGrid w:val="0"/>
              <w:spacing w:line="240" w:lineRule="auto"/>
              <w:jc w:val="center"/>
              <w:rPr>
                <w:sz w:val="15"/>
                <w:szCs w:val="15"/>
              </w:rPr>
            </w:pPr>
          </w:p>
        </w:tc>
        <w:tc>
          <w:tcPr>
            <w:tcW w:w="1334" w:type="dxa"/>
            <w:vMerge w:val="continue"/>
            <w:vAlign w:val="center"/>
          </w:tcPr>
          <w:p w14:paraId="169038CA">
            <w:pPr>
              <w:adjustRightInd w:val="0"/>
              <w:snapToGrid w:val="0"/>
              <w:spacing w:line="240" w:lineRule="auto"/>
              <w:jc w:val="center"/>
              <w:rPr>
                <w:sz w:val="15"/>
                <w:szCs w:val="15"/>
              </w:rPr>
            </w:pPr>
          </w:p>
        </w:tc>
        <w:tc>
          <w:tcPr>
            <w:tcW w:w="1208" w:type="dxa"/>
            <w:vAlign w:val="center"/>
          </w:tcPr>
          <w:p w14:paraId="35DF5205">
            <w:pPr>
              <w:adjustRightInd w:val="0"/>
              <w:snapToGrid w:val="0"/>
              <w:spacing w:line="240" w:lineRule="auto"/>
              <w:jc w:val="center"/>
              <w:rPr>
                <w:sz w:val="15"/>
                <w:szCs w:val="15"/>
              </w:rPr>
            </w:pPr>
            <w:r>
              <w:rPr>
                <w:rFonts w:hint="eastAsia"/>
                <w:sz w:val="15"/>
                <w:szCs w:val="15"/>
              </w:rPr>
              <w:t>θ</w:t>
            </w:r>
            <w:r>
              <w:rPr>
                <w:rFonts w:hint="eastAsia"/>
                <w:sz w:val="15"/>
                <w:szCs w:val="15"/>
                <w:vertAlign w:val="subscript"/>
              </w:rPr>
              <w:t>1</w:t>
            </w:r>
            <w:r>
              <w:rPr>
                <w:rFonts w:hint="eastAsia"/>
                <w:sz w:val="15"/>
                <w:szCs w:val="15"/>
              </w:rPr>
              <w:t>+θ</w:t>
            </w:r>
            <w:r>
              <w:rPr>
                <w:rFonts w:hint="eastAsia"/>
                <w:sz w:val="15"/>
                <w:szCs w:val="15"/>
                <w:vertAlign w:val="subscript"/>
              </w:rPr>
              <w:t>2</w:t>
            </w:r>
            <w:r>
              <w:rPr>
                <w:rFonts w:hint="eastAsia"/>
                <w:sz w:val="15"/>
                <w:szCs w:val="15"/>
              </w:rPr>
              <w:t>≤2.0‰</w:t>
            </w:r>
          </w:p>
        </w:tc>
        <w:tc>
          <w:tcPr>
            <w:tcW w:w="2268" w:type="dxa"/>
            <w:vAlign w:val="center"/>
          </w:tcPr>
          <w:p w14:paraId="535A6797">
            <w:pPr>
              <w:adjustRightInd w:val="0"/>
              <w:snapToGrid w:val="0"/>
              <w:spacing w:line="240" w:lineRule="auto"/>
              <w:jc w:val="center"/>
              <w:rPr>
                <w:sz w:val="15"/>
                <w:szCs w:val="15"/>
              </w:rPr>
            </w:pPr>
            <w:r>
              <w:rPr>
                <w:rFonts w:hint="eastAsia"/>
                <w:sz w:val="15"/>
                <w:szCs w:val="15"/>
              </w:rPr>
              <w:t>0.55m＜梁端悬出长度≤0.75m</w:t>
            </w:r>
          </w:p>
        </w:tc>
      </w:tr>
    </w:tbl>
    <w:p w14:paraId="43271B1B">
      <w:pPr>
        <w:spacing w:line="240" w:lineRule="auto"/>
        <w:ind w:left="945" w:leftChars="200" w:hanging="525" w:hangingChars="250"/>
        <w:jc w:val="left"/>
        <w:rPr>
          <w:sz w:val="15"/>
          <w:szCs w:val="15"/>
        </w:rPr>
      </w:pPr>
      <w:r>
        <w:rPr>
          <w:bCs/>
        </w:rPr>
        <w:drawing>
          <wp:anchor distT="0" distB="0" distL="114300" distR="114300" simplePos="0" relativeHeight="251668480" behindDoc="1" locked="0" layoutInCell="1" allowOverlap="0">
            <wp:simplePos x="0" y="0"/>
            <wp:positionH relativeFrom="column">
              <wp:posOffset>2540</wp:posOffset>
            </wp:positionH>
            <wp:positionV relativeFrom="paragraph">
              <wp:posOffset>611505</wp:posOffset>
            </wp:positionV>
            <wp:extent cx="3888105" cy="377825"/>
            <wp:effectExtent l="0" t="0" r="0" b="3175"/>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888105" cy="377825"/>
                    </a:xfrm>
                    <a:prstGeom prst="rect">
                      <a:avLst/>
                    </a:prstGeom>
                    <a:noFill/>
                  </pic:spPr>
                </pic:pic>
              </a:graphicData>
            </a:graphic>
          </wp:anchor>
        </w:drawing>
      </w:r>
      <w:r>
        <w:rPr>
          <w:rFonts w:hint="eastAsia"/>
          <w:sz w:val="15"/>
          <w:szCs w:val="15"/>
        </w:rPr>
        <w:t>注：  相邻两孔梁的转角之和（θ1+θ2）除应满足本条规定的限值外，每孔梁的转角尚应满足本条中“桥台与桥梁间转角限值”规定。</w:t>
      </w:r>
    </w:p>
    <w:p w14:paraId="4E47AB95">
      <w:pPr>
        <w:jc w:val="center"/>
      </w:pPr>
    </w:p>
    <w:p w14:paraId="2E8E45A0">
      <w:pPr>
        <w:jc w:val="center"/>
        <w:rPr>
          <w:rFonts w:eastAsia="黑体"/>
          <w:sz w:val="18"/>
          <w:szCs w:val="18"/>
        </w:rPr>
      </w:pPr>
      <w:r>
        <w:rPr>
          <w:rFonts w:hint="eastAsia" w:eastAsia="黑体"/>
          <w:sz w:val="18"/>
          <w:szCs w:val="18"/>
        </w:rPr>
        <w:t>11.3.36 梁端转角示意图</w:t>
      </w:r>
    </w:p>
    <w:p w14:paraId="2311E471">
      <w:pPr>
        <w:numPr>
          <w:ilvl w:val="2"/>
          <w:numId w:val="1"/>
        </w:numPr>
        <w:tabs>
          <w:tab w:val="left" w:pos="709"/>
          <w:tab w:val="left" w:pos="794"/>
        </w:tabs>
        <w:jc w:val="left"/>
        <w:outlineLvl w:val="2"/>
        <w:rPr>
          <w:bCs/>
        </w:rPr>
      </w:pPr>
      <w:r>
        <w:rPr>
          <w:bCs/>
        </w:rPr>
        <w:t>跨度大于100m的桥梁宜按实际运营列车进行车-桥系统或风-车-桥系统耦合振动分析</w:t>
      </w:r>
      <w:r>
        <w:rPr>
          <w:rFonts w:hint="eastAsia"/>
          <w:bCs/>
        </w:rPr>
        <w:t>检算</w:t>
      </w:r>
      <w:r>
        <w:rPr>
          <w:bCs/>
        </w:rPr>
        <w:t>，最大检算速度应采用</w:t>
      </w:r>
      <w:r>
        <w:rPr>
          <w:rFonts w:hint="eastAsia"/>
          <w:bCs/>
        </w:rPr>
        <w:t>1.2倍的</w:t>
      </w:r>
      <w:r>
        <w:rPr>
          <w:bCs/>
        </w:rPr>
        <w:t>本线最高运营速度，分析得出的列车安全性及乘客乘坐舒适性指标应符合下列规定：</w:t>
      </w:r>
    </w:p>
    <w:p w14:paraId="00758A50">
      <w:pPr>
        <w:ind w:firstLine="420" w:firstLineChars="200"/>
        <w:jc w:val="left"/>
      </w:pPr>
      <w:r>
        <w:t xml:space="preserve">脱轨系数：        </w:t>
      </w:r>
      <w:r>
        <w:rPr>
          <w:position w:val="-10"/>
        </w:rPr>
        <w:object>
          <v:shape id="_x0000_i1037" o:spt="75" type="#_x0000_t75" style="height:17pt;width:55pt;" o:ole="t" filled="f" o:preferrelative="t" stroked="f" coordsize="21600,21600">
            <v:path/>
            <v:fill on="f" focussize="0,0"/>
            <v:stroke on="f" joinstyle="miter"/>
            <v:imagedata r:id="rId85" o:title=""/>
            <o:lock v:ext="edit" aspectratio="t"/>
            <w10:wrap type="none"/>
            <w10:anchorlock/>
          </v:shape>
          <o:OLEObject Type="Embed" ProgID="Equation.3" ShapeID="_x0000_i1037" DrawAspect="Content" ObjectID="_1468075736" r:id="rId84">
            <o:LockedField>false</o:LockedField>
          </o:OLEObject>
        </w:object>
      </w:r>
      <w:r>
        <w:t xml:space="preserve">            </w:t>
      </w:r>
      <w:r>
        <w:rPr>
          <w:rFonts w:hint="eastAsia"/>
        </w:rPr>
        <w:t xml:space="preserve">  </w:t>
      </w:r>
      <w:r>
        <w:t xml:space="preserve">  （11.</w:t>
      </w:r>
      <w:r>
        <w:rPr>
          <w:rFonts w:hint="eastAsia"/>
        </w:rPr>
        <w:t>1</w:t>
      </w:r>
      <w:r>
        <w:t>.</w:t>
      </w:r>
      <w:r>
        <w:rPr>
          <w:rFonts w:hint="eastAsia"/>
        </w:rPr>
        <w:t>38</w:t>
      </w:r>
      <w:r>
        <w:t>）</w:t>
      </w:r>
    </w:p>
    <w:p w14:paraId="3847C893">
      <w:pPr>
        <w:ind w:firstLine="420" w:firstLineChars="200"/>
        <w:jc w:val="left"/>
      </w:pPr>
      <w:r>
        <w:t xml:space="preserve">轮重减载率：    </w:t>
      </w:r>
      <w:r>
        <w:rPr>
          <w:rFonts w:hint="eastAsia"/>
        </w:rPr>
        <w:t xml:space="preserve">   </w:t>
      </w:r>
      <w:r>
        <w:t xml:space="preserve"> </w:t>
      </w:r>
      <w:r>
        <w:rPr>
          <w:position w:val="-6"/>
        </w:rPr>
        <w:object>
          <v:shape id="_x0000_i1038" o:spt="75" type="#_x0000_t75" style="height:17pt;width:62pt;" o:ole="t" filled="f" o:preferrelative="t" stroked="f" coordsize="21600,21600">
            <v:path/>
            <v:fill on="f" focussize="0,0"/>
            <v:stroke on="f" joinstyle="miter"/>
            <v:imagedata r:id="rId87" o:title=""/>
            <o:lock v:ext="edit" aspectratio="t"/>
            <w10:wrap type="none"/>
            <w10:anchorlock/>
          </v:shape>
          <o:OLEObject Type="Embed" ProgID="Equation.3" ShapeID="_x0000_i1038" DrawAspect="Content" ObjectID="_1468075737" r:id="rId86">
            <o:LockedField>false</o:LockedField>
          </o:OLEObject>
        </w:object>
      </w:r>
      <w:r>
        <w:t xml:space="preserve"> </w:t>
      </w:r>
      <w:r>
        <w:rPr>
          <w:rFonts w:hint="eastAsia"/>
        </w:rPr>
        <w:t xml:space="preserve">       </w:t>
      </w:r>
      <w:r>
        <w:t xml:space="preserve"> </w:t>
      </w:r>
      <w:r>
        <w:rPr>
          <w:rFonts w:hint="eastAsia"/>
        </w:rPr>
        <w:t xml:space="preserve">   </w:t>
      </w:r>
      <w:r>
        <w:t xml:space="preserve"> （11.</w:t>
      </w:r>
      <w:r>
        <w:rPr>
          <w:rFonts w:hint="eastAsia"/>
        </w:rPr>
        <w:t>1</w:t>
      </w:r>
      <w:r>
        <w:t>.</w:t>
      </w:r>
      <w:r>
        <w:rPr>
          <w:rFonts w:hint="eastAsia"/>
        </w:rPr>
        <w:t>38</w:t>
      </w:r>
      <w:r>
        <w:t>）</w:t>
      </w:r>
    </w:p>
    <w:p w14:paraId="34E67B02">
      <w:pPr>
        <w:ind w:firstLine="420" w:firstLineChars="200"/>
        <w:jc w:val="left"/>
      </w:pPr>
      <w:r>
        <w:t xml:space="preserve">车体竖向加速度：    </w:t>
      </w:r>
      <w:r>
        <w:rPr>
          <w:position w:val="-10"/>
        </w:rPr>
        <w:object>
          <v:shape id="_x0000_i1039" o:spt="75" type="#_x0000_t75" style="height:17pt;width:107pt;" o:ole="t" filled="f" o:preferrelative="t" stroked="f" coordsize="21600,21600">
            <v:path/>
            <v:fill on="f" focussize="0,0"/>
            <v:stroke on="f" joinstyle="miter"/>
            <v:imagedata r:id="rId89" o:title=""/>
            <o:lock v:ext="edit" aspectratio="t"/>
            <w10:wrap type="none"/>
            <w10:anchorlock/>
          </v:shape>
          <o:OLEObject Type="Embed" ProgID="Equation.3" ShapeID="_x0000_i1039" DrawAspect="Content" ObjectID="_1468075738" r:id="rId88">
            <o:LockedField>false</o:LockedField>
          </o:OLEObject>
        </w:object>
      </w:r>
      <w:r>
        <w:t xml:space="preserve">  </w:t>
      </w:r>
      <w:r>
        <w:rPr>
          <w:rFonts w:hint="eastAsia"/>
        </w:rPr>
        <w:t xml:space="preserve">   </w:t>
      </w:r>
      <w:r>
        <w:t>（11.</w:t>
      </w:r>
      <w:r>
        <w:rPr>
          <w:rFonts w:hint="eastAsia"/>
        </w:rPr>
        <w:t>1</w:t>
      </w:r>
      <w:r>
        <w:t>.</w:t>
      </w:r>
      <w:r>
        <w:rPr>
          <w:rFonts w:hint="eastAsia"/>
        </w:rPr>
        <w:t>38</w:t>
      </w:r>
      <w:r>
        <w:t>）</w:t>
      </w:r>
    </w:p>
    <w:p w14:paraId="0909C53C">
      <w:pPr>
        <w:ind w:firstLine="420" w:firstLineChars="200"/>
        <w:jc w:val="left"/>
      </w:pPr>
      <w:r>
        <w:t xml:space="preserve">车体横向加速度： </w:t>
      </w:r>
      <w:r>
        <w:rPr>
          <w:rFonts w:hint="eastAsia"/>
        </w:rPr>
        <w:t xml:space="preserve"> </w:t>
      </w:r>
      <w:r>
        <w:t xml:space="preserve">  </w:t>
      </w:r>
      <w:r>
        <w:rPr>
          <w:position w:val="-14"/>
        </w:rPr>
        <w:object>
          <v:shape id="_x0000_i1040" o:spt="75" type="#_x0000_t75" style="height:20pt;width:109pt;" o:ole="t" filled="f" o:preferrelative="t" stroked="f" coordsize="21600,21600">
            <v:path/>
            <v:fill on="f" focussize="0,0"/>
            <v:stroke on="f" joinstyle="miter"/>
            <v:imagedata r:id="rId91" o:title=""/>
            <o:lock v:ext="edit" aspectratio="t"/>
            <w10:wrap type="none"/>
            <w10:anchorlock/>
          </v:shape>
          <o:OLEObject Type="Embed" ProgID="Equation.3" ShapeID="_x0000_i1040" DrawAspect="Content" ObjectID="_1468075739" r:id="rId90">
            <o:LockedField>false</o:LockedField>
          </o:OLEObject>
        </w:object>
      </w:r>
      <w:r>
        <w:t xml:space="preserve">  </w:t>
      </w:r>
      <w:r>
        <w:rPr>
          <w:rFonts w:hint="eastAsia"/>
        </w:rPr>
        <w:t xml:space="preserve">   </w:t>
      </w:r>
      <w:r>
        <w:t>（11.</w:t>
      </w:r>
      <w:r>
        <w:rPr>
          <w:rFonts w:hint="eastAsia"/>
        </w:rPr>
        <w:t>1</w:t>
      </w:r>
      <w:r>
        <w:t>.</w:t>
      </w:r>
      <w:r>
        <w:rPr>
          <w:rFonts w:hint="eastAsia"/>
        </w:rPr>
        <w:t>38</w:t>
      </w:r>
      <w:r>
        <w:t>）</w:t>
      </w:r>
    </w:p>
    <w:p w14:paraId="56E0498A">
      <w:pPr>
        <w:ind w:firstLine="420" w:firstLineChars="200"/>
        <w:jc w:val="left"/>
      </w:pPr>
      <w:r>
        <w:t>式中：</w:t>
      </w:r>
      <w:r>
        <w:rPr>
          <w:i/>
          <w:iCs/>
        </w:rPr>
        <w:t>Q</w:t>
      </w:r>
      <w:r>
        <w:t>— 轮对一侧车轮的横向力</w:t>
      </w:r>
      <w:r>
        <w:rPr>
          <w:rFonts w:hint="eastAsia"/>
        </w:rPr>
        <w:t>（kN）</w:t>
      </w:r>
      <w:r>
        <w:t>；</w:t>
      </w:r>
    </w:p>
    <w:p w14:paraId="75721C8E">
      <w:pPr>
        <w:ind w:firstLine="1050" w:firstLineChars="500"/>
        <w:jc w:val="left"/>
      </w:pPr>
      <w:r>
        <w:rPr>
          <w:i/>
          <w:iCs/>
        </w:rPr>
        <w:t>P</w:t>
      </w:r>
      <w:r>
        <w:t>— 轮对一侧车轮的垂直力</w:t>
      </w:r>
      <w:r>
        <w:rPr>
          <w:rFonts w:hint="eastAsia"/>
        </w:rPr>
        <w:t>（kN）</w:t>
      </w:r>
      <w:r>
        <w:t>；</w:t>
      </w:r>
    </w:p>
    <w:p w14:paraId="35BE633B">
      <w:pPr>
        <w:ind w:firstLine="1050" w:firstLineChars="500"/>
        <w:jc w:val="left"/>
      </w:pPr>
      <w:r>
        <w:rPr>
          <w:rFonts w:hint="eastAsia" w:ascii="宋体" w:hAnsi="宋体" w:cs="宋体"/>
        </w:rPr>
        <w:t>△</w:t>
      </w:r>
      <w:r>
        <w:rPr>
          <w:i/>
          <w:iCs/>
        </w:rPr>
        <w:t>P</w:t>
      </w:r>
      <w:r>
        <w:t>— 一侧车轮轮重减载量</w:t>
      </w:r>
      <w:r>
        <w:rPr>
          <w:rFonts w:hint="eastAsia"/>
        </w:rPr>
        <w:t>（kN）</w:t>
      </w:r>
      <w:r>
        <w:t>；</w:t>
      </w:r>
    </w:p>
    <w:p w14:paraId="63F19AC9">
      <w:pPr>
        <w:ind w:firstLine="1050" w:firstLineChars="500"/>
        <w:jc w:val="left"/>
      </w:pPr>
      <w:r>
        <w:rPr>
          <w:position w:val="-4"/>
        </w:rPr>
        <w:object>
          <v:shape id="_x0000_i1041" o:spt="75" type="#_x0000_t75" style="height:15pt;width:13.5pt;" o:ole="t" filled="f" o:preferrelative="t" stroked="f" coordsize="21600,21600">
            <v:path/>
            <v:fill on="f" focussize="0,0"/>
            <v:stroke on="f" joinstyle="miter"/>
            <v:imagedata r:id="rId93" o:title=""/>
            <o:lock v:ext="edit" aspectratio="t"/>
            <w10:wrap type="none"/>
            <w10:anchorlock/>
          </v:shape>
          <o:OLEObject Type="Embed" ProgID="Equation.3" ShapeID="_x0000_i1041" DrawAspect="Content" ObjectID="_1468075740" r:id="rId92">
            <o:LockedField>false</o:LockedField>
          </o:OLEObject>
        </w:object>
      </w:r>
      <w:r>
        <w:t>— 车轮的平均轮重</w:t>
      </w:r>
      <w:r>
        <w:rPr>
          <w:rFonts w:hint="eastAsia"/>
        </w:rPr>
        <w:t>（kN）</w:t>
      </w:r>
      <w:r>
        <w:t>；</w:t>
      </w:r>
    </w:p>
    <w:p w14:paraId="46CBEE61">
      <w:pPr>
        <w:ind w:firstLine="1050" w:firstLineChars="500"/>
        <w:jc w:val="left"/>
      </w:pPr>
      <w:r>
        <w:rPr>
          <w:i/>
          <w:iCs/>
        </w:rPr>
        <w:t>g</w:t>
      </w:r>
      <w:r>
        <w:t>—为重力加速度，</w:t>
      </w:r>
      <w:r>
        <w:rPr>
          <w:i/>
          <w:iCs/>
        </w:rPr>
        <w:t>g</w:t>
      </w:r>
      <w:r>
        <w:t>=9.8m/s</w:t>
      </w:r>
      <w:r>
        <w:rPr>
          <w:vertAlign w:val="superscript"/>
        </w:rPr>
        <w:t>2</w:t>
      </w:r>
      <w:r>
        <w:t>。</w:t>
      </w:r>
    </w:p>
    <w:p w14:paraId="1884E585">
      <w:pPr>
        <w:numPr>
          <w:ilvl w:val="2"/>
          <w:numId w:val="1"/>
        </w:numPr>
        <w:tabs>
          <w:tab w:val="left" w:pos="709"/>
          <w:tab w:val="left" w:pos="794"/>
        </w:tabs>
        <w:jc w:val="left"/>
        <w:outlineLvl w:val="2"/>
        <w:rPr>
          <w:bCs/>
        </w:rPr>
      </w:pPr>
      <w:r>
        <w:rPr>
          <w:bCs/>
        </w:rPr>
        <w:t>铺设无缝线路及无砟轨道桥梁的桥墩纵向水平线刚度限值应按下列规定采用：</w:t>
      </w:r>
    </w:p>
    <w:p w14:paraId="3D65D078">
      <w:pPr>
        <w:ind w:firstLine="422" w:firstLineChars="200"/>
      </w:pPr>
      <w:r>
        <w:rPr>
          <w:b/>
        </w:rPr>
        <w:t>1</w:t>
      </w:r>
      <w:r>
        <w:rPr>
          <w:rFonts w:hint="eastAsia"/>
          <w:b/>
        </w:rPr>
        <w:t xml:space="preserve"> </w:t>
      </w:r>
      <w:r>
        <w:rPr>
          <w:rFonts w:hint="eastAsia"/>
        </w:rPr>
        <w:t xml:space="preserve"> </w:t>
      </w:r>
      <w:r>
        <w:t>桥墩线刚度限值应根据工程条件及扣件阻力经钢轨动弯应力、温度应力、制动应力和制动附加应力的计算确定；</w:t>
      </w:r>
    </w:p>
    <w:p w14:paraId="05FB6B6E">
      <w:pPr>
        <w:ind w:firstLine="422" w:firstLineChars="200"/>
      </w:pPr>
      <w:r>
        <w:rPr>
          <w:b/>
        </w:rPr>
        <w:t>2</w:t>
      </w:r>
      <w:r>
        <w:rPr>
          <w:rFonts w:hint="eastAsia"/>
          <w:b/>
        </w:rPr>
        <w:t xml:space="preserve"> </w:t>
      </w:r>
      <w:r>
        <w:rPr>
          <w:rFonts w:hint="eastAsia"/>
        </w:rPr>
        <w:t xml:space="preserve"> </w:t>
      </w:r>
      <w:r>
        <w:t>不作计算时，双线及多线简支梁桥墩墩顶纵向水平线刚度限值可按表1</w:t>
      </w:r>
      <w:r>
        <w:rPr>
          <w:rFonts w:hint="eastAsia"/>
        </w:rPr>
        <w:t>1</w:t>
      </w:r>
      <w:r>
        <w:t>.1.</w:t>
      </w:r>
      <w:r>
        <w:rPr>
          <w:rFonts w:hint="eastAsia"/>
        </w:rPr>
        <w:t>39</w:t>
      </w:r>
      <w:r>
        <w:t>采用。单线桥梁桥墩纵向水平线刚度可取用表中值的0.6倍；</w:t>
      </w:r>
    </w:p>
    <w:p w14:paraId="19551AA7">
      <w:pPr>
        <w:pStyle w:val="198"/>
      </w:pPr>
      <w:r>
        <w:t>表1</w:t>
      </w:r>
      <w:r>
        <w:rPr>
          <w:rFonts w:hint="eastAsia"/>
        </w:rPr>
        <w:t>1</w:t>
      </w:r>
      <w:r>
        <w:t>.1.</w:t>
      </w:r>
      <w:r>
        <w:rPr>
          <w:rFonts w:hint="eastAsia"/>
        </w:rPr>
        <w:t>39</w:t>
      </w:r>
      <w:r>
        <w:t xml:space="preserve">  桥墩墩顶纵向水平线刚度限值</w:t>
      </w:r>
    </w:p>
    <w:tbl>
      <w:tblPr>
        <w:tblStyle w:val="88"/>
        <w:tblW w:w="3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627"/>
        <w:gridCol w:w="937"/>
        <w:gridCol w:w="1971"/>
      </w:tblGrid>
      <w:tr w14:paraId="45FD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40" w:hRule="atLeast"/>
          <w:jc w:val="center"/>
        </w:trPr>
        <w:tc>
          <w:tcPr>
            <w:tcW w:w="627" w:type="dxa"/>
            <w:vMerge w:val="restart"/>
            <w:vAlign w:val="center"/>
          </w:tcPr>
          <w:p w14:paraId="70EC3B47">
            <w:pPr>
              <w:snapToGrid w:val="0"/>
              <w:spacing w:before="20" w:after="20" w:line="240" w:lineRule="auto"/>
              <w:jc w:val="center"/>
              <w:rPr>
                <w:sz w:val="15"/>
                <w:szCs w:val="20"/>
              </w:rPr>
            </w:pPr>
            <w:r>
              <w:rPr>
                <w:sz w:val="15"/>
                <w:szCs w:val="20"/>
              </w:rPr>
              <w:t>桥墩</w:t>
            </w:r>
          </w:p>
        </w:tc>
        <w:tc>
          <w:tcPr>
            <w:tcW w:w="937" w:type="dxa"/>
            <w:vMerge w:val="restart"/>
            <w:vAlign w:val="center"/>
          </w:tcPr>
          <w:p w14:paraId="31AAFEFE">
            <w:pPr>
              <w:snapToGrid w:val="0"/>
              <w:spacing w:before="20" w:after="20" w:line="240" w:lineRule="auto"/>
              <w:jc w:val="center"/>
              <w:rPr>
                <w:sz w:val="15"/>
                <w:szCs w:val="20"/>
              </w:rPr>
            </w:pPr>
            <w:r>
              <w:rPr>
                <w:sz w:val="15"/>
                <w:szCs w:val="20"/>
              </w:rPr>
              <w:t>跨度（m）</w:t>
            </w:r>
          </w:p>
        </w:tc>
        <w:tc>
          <w:tcPr>
            <w:tcW w:w="1971" w:type="dxa"/>
            <w:vAlign w:val="center"/>
          </w:tcPr>
          <w:p w14:paraId="080514D8">
            <w:pPr>
              <w:snapToGrid w:val="0"/>
              <w:spacing w:before="20" w:after="20" w:line="240" w:lineRule="auto"/>
              <w:jc w:val="center"/>
              <w:rPr>
                <w:sz w:val="15"/>
                <w:szCs w:val="20"/>
              </w:rPr>
            </w:pPr>
            <w:r>
              <w:rPr>
                <w:sz w:val="15"/>
                <w:szCs w:val="20"/>
              </w:rPr>
              <w:t>最小水平线刚度（kN/cm）</w:t>
            </w:r>
          </w:p>
        </w:tc>
      </w:tr>
      <w:tr w14:paraId="38CD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40" w:hRule="atLeast"/>
          <w:jc w:val="center"/>
        </w:trPr>
        <w:tc>
          <w:tcPr>
            <w:tcW w:w="627" w:type="dxa"/>
            <w:vMerge w:val="continue"/>
            <w:vAlign w:val="center"/>
          </w:tcPr>
          <w:p w14:paraId="20F12C72">
            <w:pPr>
              <w:snapToGrid w:val="0"/>
              <w:spacing w:before="20" w:after="20" w:line="240" w:lineRule="auto"/>
              <w:jc w:val="center"/>
              <w:rPr>
                <w:sz w:val="15"/>
                <w:szCs w:val="20"/>
              </w:rPr>
            </w:pPr>
          </w:p>
        </w:tc>
        <w:tc>
          <w:tcPr>
            <w:tcW w:w="937" w:type="dxa"/>
            <w:vMerge w:val="continue"/>
            <w:vAlign w:val="center"/>
          </w:tcPr>
          <w:p w14:paraId="5F42CA5C">
            <w:pPr>
              <w:snapToGrid w:val="0"/>
              <w:spacing w:before="20" w:after="20" w:line="240" w:lineRule="auto"/>
              <w:jc w:val="center"/>
              <w:rPr>
                <w:sz w:val="15"/>
                <w:szCs w:val="20"/>
              </w:rPr>
            </w:pPr>
          </w:p>
        </w:tc>
        <w:tc>
          <w:tcPr>
            <w:tcW w:w="1971" w:type="dxa"/>
            <w:vAlign w:val="center"/>
          </w:tcPr>
          <w:p w14:paraId="205A0710">
            <w:pPr>
              <w:snapToGrid w:val="0"/>
              <w:spacing w:before="20" w:after="20" w:line="240" w:lineRule="auto"/>
              <w:jc w:val="center"/>
              <w:rPr>
                <w:sz w:val="15"/>
                <w:szCs w:val="20"/>
              </w:rPr>
            </w:pPr>
            <w:r>
              <w:rPr>
                <w:sz w:val="15"/>
                <w:szCs w:val="20"/>
              </w:rPr>
              <w:t>双线</w:t>
            </w:r>
          </w:p>
        </w:tc>
      </w:tr>
      <w:tr w14:paraId="4CB0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40" w:hRule="atLeast"/>
          <w:jc w:val="center"/>
        </w:trPr>
        <w:tc>
          <w:tcPr>
            <w:tcW w:w="627" w:type="dxa"/>
            <w:vMerge w:val="continue"/>
            <w:vAlign w:val="center"/>
          </w:tcPr>
          <w:p w14:paraId="44FC12DB">
            <w:pPr>
              <w:snapToGrid w:val="0"/>
              <w:spacing w:before="20" w:after="20" w:line="240" w:lineRule="auto"/>
              <w:jc w:val="center"/>
              <w:rPr>
                <w:sz w:val="15"/>
                <w:szCs w:val="20"/>
              </w:rPr>
            </w:pPr>
          </w:p>
        </w:tc>
        <w:tc>
          <w:tcPr>
            <w:tcW w:w="937" w:type="dxa"/>
            <w:vAlign w:val="center"/>
          </w:tcPr>
          <w:p w14:paraId="156C32C7">
            <w:pPr>
              <w:snapToGrid w:val="0"/>
              <w:spacing w:before="20" w:after="20" w:line="240" w:lineRule="auto"/>
              <w:jc w:val="center"/>
              <w:rPr>
                <w:sz w:val="15"/>
                <w:szCs w:val="20"/>
              </w:rPr>
            </w:pPr>
            <w:r>
              <w:rPr>
                <w:sz w:val="15"/>
                <w:szCs w:val="20"/>
              </w:rPr>
              <w:t>L≤20</w:t>
            </w:r>
          </w:p>
        </w:tc>
        <w:tc>
          <w:tcPr>
            <w:tcW w:w="1971" w:type="dxa"/>
            <w:vAlign w:val="center"/>
          </w:tcPr>
          <w:p w14:paraId="72E4C040">
            <w:pPr>
              <w:snapToGrid w:val="0"/>
              <w:spacing w:before="20" w:after="20" w:line="240" w:lineRule="auto"/>
              <w:jc w:val="center"/>
              <w:rPr>
                <w:sz w:val="15"/>
                <w:szCs w:val="20"/>
              </w:rPr>
            </w:pPr>
            <w:r>
              <w:rPr>
                <w:sz w:val="15"/>
                <w:szCs w:val="20"/>
              </w:rPr>
              <w:t>190</w:t>
            </w:r>
          </w:p>
        </w:tc>
      </w:tr>
      <w:tr w14:paraId="6787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40" w:hRule="atLeast"/>
          <w:jc w:val="center"/>
        </w:trPr>
        <w:tc>
          <w:tcPr>
            <w:tcW w:w="627" w:type="dxa"/>
            <w:vMerge w:val="continue"/>
            <w:vAlign w:val="center"/>
          </w:tcPr>
          <w:p w14:paraId="22A4FFA6">
            <w:pPr>
              <w:snapToGrid w:val="0"/>
              <w:spacing w:before="20" w:after="20" w:line="240" w:lineRule="auto"/>
              <w:jc w:val="center"/>
              <w:rPr>
                <w:sz w:val="15"/>
                <w:szCs w:val="20"/>
              </w:rPr>
            </w:pPr>
          </w:p>
        </w:tc>
        <w:tc>
          <w:tcPr>
            <w:tcW w:w="937" w:type="dxa"/>
            <w:vAlign w:val="center"/>
          </w:tcPr>
          <w:p w14:paraId="2EF03ECD">
            <w:pPr>
              <w:snapToGrid w:val="0"/>
              <w:spacing w:before="20" w:after="20" w:line="240" w:lineRule="auto"/>
              <w:jc w:val="center"/>
              <w:rPr>
                <w:sz w:val="15"/>
                <w:szCs w:val="20"/>
              </w:rPr>
            </w:pPr>
            <w:r>
              <w:rPr>
                <w:sz w:val="15"/>
                <w:szCs w:val="20"/>
              </w:rPr>
              <w:t>20＜L≤30</w:t>
            </w:r>
          </w:p>
        </w:tc>
        <w:tc>
          <w:tcPr>
            <w:tcW w:w="1971" w:type="dxa"/>
            <w:vAlign w:val="center"/>
          </w:tcPr>
          <w:p w14:paraId="51A5FA7D">
            <w:pPr>
              <w:snapToGrid w:val="0"/>
              <w:spacing w:before="20" w:after="20" w:line="240" w:lineRule="auto"/>
              <w:jc w:val="center"/>
              <w:rPr>
                <w:sz w:val="15"/>
                <w:szCs w:val="20"/>
              </w:rPr>
            </w:pPr>
            <w:r>
              <w:rPr>
                <w:sz w:val="15"/>
                <w:szCs w:val="20"/>
              </w:rPr>
              <w:t>240</w:t>
            </w:r>
          </w:p>
        </w:tc>
      </w:tr>
      <w:tr w14:paraId="355F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40" w:hRule="atLeast"/>
          <w:jc w:val="center"/>
        </w:trPr>
        <w:tc>
          <w:tcPr>
            <w:tcW w:w="627" w:type="dxa"/>
            <w:vMerge w:val="continue"/>
            <w:vAlign w:val="center"/>
          </w:tcPr>
          <w:p w14:paraId="53681334">
            <w:pPr>
              <w:snapToGrid w:val="0"/>
              <w:spacing w:before="20" w:after="20" w:line="240" w:lineRule="auto"/>
              <w:jc w:val="center"/>
              <w:rPr>
                <w:sz w:val="15"/>
                <w:szCs w:val="20"/>
              </w:rPr>
            </w:pPr>
          </w:p>
        </w:tc>
        <w:tc>
          <w:tcPr>
            <w:tcW w:w="937" w:type="dxa"/>
            <w:vAlign w:val="center"/>
          </w:tcPr>
          <w:p w14:paraId="5AB58476">
            <w:pPr>
              <w:snapToGrid w:val="0"/>
              <w:spacing w:before="20" w:after="20" w:line="240" w:lineRule="auto"/>
              <w:jc w:val="center"/>
              <w:rPr>
                <w:sz w:val="15"/>
                <w:szCs w:val="20"/>
              </w:rPr>
            </w:pPr>
            <w:r>
              <w:rPr>
                <w:sz w:val="15"/>
                <w:szCs w:val="20"/>
              </w:rPr>
              <w:t>30＜L≤40</w:t>
            </w:r>
          </w:p>
        </w:tc>
        <w:tc>
          <w:tcPr>
            <w:tcW w:w="1971" w:type="dxa"/>
            <w:vAlign w:val="center"/>
          </w:tcPr>
          <w:p w14:paraId="00A78327">
            <w:pPr>
              <w:snapToGrid w:val="0"/>
              <w:spacing w:before="20" w:after="20" w:line="240" w:lineRule="auto"/>
              <w:jc w:val="center"/>
              <w:rPr>
                <w:sz w:val="15"/>
                <w:szCs w:val="20"/>
              </w:rPr>
            </w:pPr>
            <w:r>
              <w:rPr>
                <w:sz w:val="15"/>
                <w:szCs w:val="20"/>
              </w:rPr>
              <w:t>320</w:t>
            </w:r>
          </w:p>
        </w:tc>
      </w:tr>
      <w:tr w14:paraId="311F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40" w:hRule="atLeast"/>
          <w:jc w:val="center"/>
        </w:trPr>
        <w:tc>
          <w:tcPr>
            <w:tcW w:w="1564" w:type="dxa"/>
            <w:gridSpan w:val="2"/>
            <w:tcBorders>
              <w:bottom w:val="single" w:color="auto" w:sz="4" w:space="0"/>
            </w:tcBorders>
            <w:vAlign w:val="center"/>
          </w:tcPr>
          <w:p w14:paraId="2019AA96">
            <w:pPr>
              <w:snapToGrid w:val="0"/>
              <w:spacing w:before="20" w:after="20" w:line="240" w:lineRule="auto"/>
              <w:jc w:val="center"/>
              <w:rPr>
                <w:sz w:val="15"/>
                <w:szCs w:val="20"/>
              </w:rPr>
            </w:pPr>
            <w:r>
              <w:rPr>
                <w:sz w:val="15"/>
                <w:szCs w:val="20"/>
              </w:rPr>
              <w:t>桥台</w:t>
            </w:r>
          </w:p>
        </w:tc>
        <w:tc>
          <w:tcPr>
            <w:tcW w:w="1971" w:type="dxa"/>
            <w:tcBorders>
              <w:bottom w:val="single" w:color="auto" w:sz="4" w:space="0"/>
            </w:tcBorders>
            <w:vAlign w:val="center"/>
          </w:tcPr>
          <w:p w14:paraId="13B21014">
            <w:pPr>
              <w:snapToGrid w:val="0"/>
              <w:spacing w:before="20" w:after="20" w:line="240" w:lineRule="auto"/>
              <w:jc w:val="center"/>
              <w:rPr>
                <w:sz w:val="15"/>
                <w:szCs w:val="20"/>
              </w:rPr>
            </w:pPr>
            <w:r>
              <w:rPr>
                <w:sz w:val="15"/>
                <w:szCs w:val="20"/>
              </w:rPr>
              <w:t>3000</w:t>
            </w:r>
          </w:p>
        </w:tc>
      </w:tr>
    </w:tbl>
    <w:p w14:paraId="21984CBE">
      <w:pPr>
        <w:ind w:firstLine="422" w:firstLineChars="200"/>
      </w:pPr>
      <w:r>
        <w:rPr>
          <w:b/>
        </w:rPr>
        <w:t>3</w:t>
      </w:r>
      <w:r>
        <w:rPr>
          <w:rFonts w:hint="eastAsia"/>
          <w:b/>
        </w:rPr>
        <w:t xml:space="preserve"> </w:t>
      </w:r>
      <w:r>
        <w:rPr>
          <w:rFonts w:hint="eastAsia"/>
        </w:rPr>
        <w:t xml:space="preserve"> </w:t>
      </w:r>
      <w:r>
        <w:t>梁跨大于40m的简支结构，其桥墩纵向水平线刚度可按跨度与30m相比增大的比例增大</w:t>
      </w:r>
      <w:r>
        <w:rPr>
          <w:rFonts w:hint="eastAsia"/>
        </w:rPr>
        <w:t>刚度。</w:t>
      </w:r>
    </w:p>
    <w:p w14:paraId="6AC4EA54">
      <w:pPr>
        <w:ind w:firstLine="422" w:firstLineChars="200"/>
      </w:pPr>
      <w:r>
        <w:rPr>
          <w:rFonts w:hint="eastAsia"/>
          <w:b/>
        </w:rPr>
        <w:t xml:space="preserve">4 </w:t>
      </w:r>
      <w:r>
        <w:rPr>
          <w:rFonts w:hint="eastAsia"/>
        </w:rPr>
        <w:t xml:space="preserve"> 对于连续刚构桥或设置多个固定支座的连续梁桥，可取刚构桥的纵向合成刚度；</w:t>
      </w:r>
    </w:p>
    <w:p w14:paraId="1F5E7DC9">
      <w:pPr>
        <w:ind w:firstLine="422" w:firstLineChars="200"/>
      </w:pPr>
      <w:r>
        <w:rPr>
          <w:rFonts w:hint="eastAsia"/>
          <w:b/>
        </w:rPr>
        <w:t xml:space="preserve">5 </w:t>
      </w:r>
      <w:r>
        <w:rPr>
          <w:rFonts w:hint="eastAsia"/>
        </w:rPr>
        <w:t xml:space="preserve"> </w:t>
      </w:r>
      <w:r>
        <w:t>不设钢轨伸缩调节器的连续梁，当联长小于列车编组长度时，可以联长为跨度，按跨度与30m相比增大的比例增大刚度；当联长大于列车长度时，可以列车长为跨度，按跨度长与30m相比增大的比例增大刚度。</w:t>
      </w:r>
    </w:p>
    <w:p w14:paraId="070C3B0D">
      <w:pPr>
        <w:numPr>
          <w:ilvl w:val="2"/>
          <w:numId w:val="1"/>
        </w:numPr>
        <w:tabs>
          <w:tab w:val="left" w:pos="709"/>
          <w:tab w:val="left" w:pos="794"/>
        </w:tabs>
        <w:jc w:val="left"/>
        <w:outlineLvl w:val="2"/>
        <w:rPr>
          <w:bCs/>
        </w:rPr>
      </w:pPr>
      <w:r>
        <w:rPr>
          <w:rFonts w:hint="eastAsia"/>
          <w:bCs/>
        </w:rPr>
        <w:t>墩台顶水平位移应符合下列规定：</w:t>
      </w:r>
    </w:p>
    <w:p w14:paraId="7B420995">
      <w:pPr>
        <w:ind w:firstLine="422" w:firstLineChars="200"/>
      </w:pPr>
      <w:r>
        <w:rPr>
          <w:rFonts w:hint="eastAsia"/>
          <w:b/>
        </w:rPr>
        <w:t xml:space="preserve">1 </w:t>
      </w:r>
      <w:r>
        <w:rPr>
          <w:rFonts w:hint="eastAsia"/>
        </w:rPr>
        <w:t xml:space="preserve"> 横桥向水平位移：</w:t>
      </w:r>
    </w:p>
    <w:p w14:paraId="2F768B3F">
      <w:pPr>
        <w:ind w:firstLine="420" w:firstLineChars="200"/>
      </w:pPr>
      <w:r>
        <w:rPr>
          <w:rFonts w:hint="eastAsia"/>
        </w:rPr>
        <w:t>1）  当列车最高速度不大于120km/h时不应大于</w:t>
      </w:r>
      <m:oMath>
        <m:r>
          <m:rPr/>
          <w:rPr>
            <w:rFonts w:ascii="Cambria Math"/>
          </w:rPr>
          <m:t>5</m:t>
        </m:r>
        <m:rad>
          <m:radPr>
            <m:degHide m:val="1"/>
            <m:ctrlPr>
              <w:rPr>
                <w:rFonts w:ascii="Cambria Math" w:hAnsi="Cambria Math"/>
                <w:i/>
              </w:rPr>
            </m:ctrlPr>
          </m:radPr>
          <m:deg>
            <m:ctrlPr>
              <w:rPr>
                <w:rFonts w:ascii="Cambria Math" w:hAnsi="Cambria Math"/>
                <w:i/>
              </w:rPr>
            </m:ctrlPr>
          </m:deg>
          <m:e>
            <m:r>
              <m:rPr/>
              <w:rPr>
                <w:rFonts w:ascii="Cambria Math"/>
              </w:rPr>
              <m:t>L</m:t>
            </m:r>
            <m:ctrlPr>
              <w:rPr>
                <w:rFonts w:ascii="Cambria Math" w:hAnsi="Cambria Math"/>
                <w:i/>
              </w:rPr>
            </m:ctrlPr>
          </m:e>
        </m:rad>
      </m:oMath>
      <w:r>
        <w:rPr>
          <w:rFonts w:hint="eastAsia"/>
        </w:rPr>
        <w:t>。</w:t>
      </w:r>
    </w:p>
    <w:p w14:paraId="71C8BBF0">
      <w:pPr>
        <w:ind w:firstLine="420" w:firstLineChars="200"/>
      </w:pPr>
      <w:r>
        <w:rPr>
          <w:rFonts w:hint="eastAsia"/>
        </w:rPr>
        <w:t>2）  当列车最高速度大于120km/h时不应大于</w:t>
      </w:r>
      <m:oMath>
        <m:r>
          <m:rPr/>
          <w:rPr>
            <w:rFonts w:ascii="Cambria Math"/>
          </w:rPr>
          <m:t>4</m:t>
        </m:r>
        <m:rad>
          <m:radPr>
            <m:degHide m:val="1"/>
            <m:ctrlPr>
              <w:rPr>
                <w:rFonts w:ascii="Cambria Math" w:hAnsi="Cambria Math"/>
                <w:i/>
              </w:rPr>
            </m:ctrlPr>
          </m:radPr>
          <m:deg>
            <m:ctrlPr>
              <w:rPr>
                <w:rFonts w:ascii="Cambria Math" w:hAnsi="Cambria Math"/>
                <w:i/>
              </w:rPr>
            </m:ctrlPr>
          </m:deg>
          <m:e>
            <m:r>
              <m:rPr/>
              <w:rPr>
                <w:rFonts w:ascii="Cambria Math"/>
              </w:rPr>
              <m:t>L</m:t>
            </m:r>
            <m:ctrlPr>
              <w:rPr>
                <w:rFonts w:ascii="Cambria Math" w:hAnsi="Cambria Math"/>
                <w:i/>
              </w:rPr>
            </m:ctrlPr>
          </m:e>
        </m:rad>
      </m:oMath>
      <w:r>
        <w:rPr>
          <w:rFonts w:hint="eastAsia"/>
        </w:rPr>
        <w:t>。</w:t>
      </w:r>
    </w:p>
    <w:p w14:paraId="3CDECE0A">
      <w:pPr>
        <w:ind w:firstLine="422" w:firstLineChars="200"/>
      </w:pPr>
      <w:r>
        <w:rPr>
          <w:rFonts w:hint="eastAsia"/>
          <w:b/>
        </w:rPr>
        <w:t>2</w:t>
      </w:r>
      <w:r>
        <w:rPr>
          <w:b/>
        </w:rPr>
        <w:t xml:space="preserve"> </w:t>
      </w:r>
      <w:r>
        <w:rPr>
          <w:rFonts w:hint="eastAsia"/>
          <w:b/>
        </w:rPr>
        <w:t xml:space="preserve"> </w:t>
      </w:r>
      <w:r>
        <w:t>简支梁桥墩台顶</w:t>
      </w:r>
      <w:r>
        <w:rPr>
          <w:rFonts w:hint="eastAsia"/>
        </w:rPr>
        <w:t>顺桥向</w:t>
      </w:r>
      <w:r>
        <w:t>弹性水平位移</w:t>
      </w:r>
      <w:r>
        <w:rPr>
          <w:rFonts w:hint="eastAsia"/>
        </w:rPr>
        <w:t>不应大于</w:t>
      </w:r>
      <m:oMath>
        <m:r>
          <m:rPr/>
          <w:rPr>
            <w:rFonts w:ascii="Cambria Math"/>
          </w:rPr>
          <m:t>5</m:t>
        </m:r>
        <m:rad>
          <m:radPr>
            <m:degHide m:val="1"/>
            <m:ctrlPr>
              <w:rPr>
                <w:rFonts w:ascii="Cambria Math" w:hAnsi="Cambria Math"/>
                <w:i/>
              </w:rPr>
            </m:ctrlPr>
          </m:radPr>
          <m:deg>
            <m:ctrlPr>
              <w:rPr>
                <w:rFonts w:ascii="Cambria Math" w:hAnsi="Cambria Math"/>
                <w:i/>
              </w:rPr>
            </m:ctrlPr>
          </m:deg>
          <m:e>
            <m:r>
              <m:rPr/>
              <w:rPr>
                <w:rFonts w:ascii="Cambria Math"/>
              </w:rPr>
              <m:t>L</m:t>
            </m:r>
            <m:ctrlPr>
              <w:rPr>
                <w:rFonts w:ascii="Cambria Math" w:hAnsi="Cambria Math"/>
                <w:i/>
              </w:rPr>
            </m:ctrlPr>
          </m:e>
        </m:rad>
      </m:oMath>
      <w:r>
        <w:rPr>
          <w:rFonts w:hint="eastAsia"/>
        </w:rPr>
        <w:t>。</w:t>
      </w:r>
    </w:p>
    <w:p w14:paraId="4A93262E">
      <w:pPr>
        <w:ind w:firstLine="420" w:firstLineChars="200"/>
      </w:pPr>
      <w:r>
        <w:t>水平位移</w:t>
      </w:r>
      <w:r>
        <w:rPr>
          <w:rFonts w:hint="eastAsia"/>
        </w:rPr>
        <w:t>计算应计入以下荷载作用：竖向静活载；曲线上列车离心力；列车横向摇摆力；列车、梁及墩身风荷载或</w:t>
      </w:r>
      <w:r>
        <w:t>0.4</w:t>
      </w:r>
      <w:r>
        <w:rPr>
          <w:rFonts w:hint="eastAsia"/>
        </w:rPr>
        <w:t>倍的风荷载与</w:t>
      </w:r>
      <w:r>
        <w:t>0.5</w:t>
      </w:r>
      <w:r>
        <w:rPr>
          <w:rFonts w:hint="eastAsia"/>
        </w:rPr>
        <w:t>倍的桥墩温差组合作用，取较大值；水中墩的水流压力的作用；地基基础弹性变形引起的墩顶水平位移。</w:t>
      </w:r>
      <w:r>
        <w:rPr>
          <w:i/>
          <w:iCs/>
        </w:rPr>
        <w:t>L</w:t>
      </w:r>
      <w:r>
        <w:rPr>
          <w:rFonts w:hint="eastAsia"/>
        </w:rPr>
        <w:t>为</w:t>
      </w:r>
      <w:r>
        <w:t>桥梁跨度（m），当为不等跨时，采用相邻跨中的较小跨度，当</w:t>
      </w:r>
      <w:r>
        <w:rPr>
          <w:i/>
          <w:iCs/>
        </w:rPr>
        <w:t>L</w:t>
      </w:r>
      <w:r>
        <w:t>＜2</w:t>
      </w:r>
      <w:r>
        <w:rPr>
          <w:rFonts w:hint="eastAsia"/>
        </w:rPr>
        <w:t>4</w:t>
      </w:r>
      <w:r>
        <w:t>m时，</w:t>
      </w:r>
      <w:r>
        <w:rPr>
          <w:i/>
          <w:iCs/>
        </w:rPr>
        <w:t>L</w:t>
      </w:r>
      <w:r>
        <w:t>按2</w:t>
      </w:r>
      <w:r>
        <w:rPr>
          <w:rFonts w:hint="eastAsia"/>
        </w:rPr>
        <w:t>4</w:t>
      </w:r>
      <w:r>
        <w:t>m计。</w:t>
      </w:r>
    </w:p>
    <w:p w14:paraId="0A2C96AB">
      <w:pPr>
        <w:jc w:val="center"/>
        <w:rPr>
          <w:b/>
        </w:rPr>
      </w:pPr>
      <w:r>
        <w:rPr>
          <w:rFonts w:hint="eastAsia"/>
          <w:b/>
        </w:rPr>
        <w:t>Ⅳ</w:t>
      </w:r>
      <w:r>
        <w:rPr>
          <w:b/>
        </w:rPr>
        <w:t xml:space="preserve">  </w:t>
      </w:r>
      <w:r>
        <w:rPr>
          <w:rFonts w:hint="eastAsia"/>
          <w:b/>
        </w:rPr>
        <w:t>结构设计</w:t>
      </w:r>
    </w:p>
    <w:p w14:paraId="6B9CDD6F">
      <w:pPr>
        <w:numPr>
          <w:ilvl w:val="2"/>
          <w:numId w:val="1"/>
        </w:numPr>
        <w:tabs>
          <w:tab w:val="left" w:pos="709"/>
          <w:tab w:val="left" w:pos="794"/>
        </w:tabs>
        <w:jc w:val="left"/>
        <w:outlineLvl w:val="2"/>
        <w:rPr>
          <w:bCs/>
        </w:rPr>
      </w:pPr>
      <w:r>
        <w:rPr>
          <w:bCs/>
        </w:rPr>
        <w:t>预应力钢筋混凝土结构，应按破坏阶段检算构件强度、按弹性阶段检算应力和抗裂性；普通钢筋混凝土结构和钢结构应按容许应力法设计。其材料容许应力、主力与附加力组合下的应力提高系数、结构计算方法应符合现行行业标准《铁路桥涵混凝土结构设计规范》TB10092</w:t>
      </w:r>
      <w:r>
        <w:rPr>
          <w:rFonts w:hint="eastAsia"/>
          <w:bCs/>
        </w:rPr>
        <w:t>、</w:t>
      </w:r>
      <w:r>
        <w:rPr>
          <w:bCs/>
        </w:rPr>
        <w:t>《</w:t>
      </w:r>
      <w:bookmarkStart w:id="721" w:name="OLE_LINK11"/>
      <w:r>
        <w:rPr>
          <w:bCs/>
        </w:rPr>
        <w:t>铁路桥梁钢结构设计规范</w:t>
      </w:r>
      <w:bookmarkEnd w:id="721"/>
      <w:r>
        <w:rPr>
          <w:bCs/>
        </w:rPr>
        <w:t>》TB10091的规定。</w:t>
      </w:r>
    </w:p>
    <w:p w14:paraId="7BE7D7D1">
      <w:pPr>
        <w:numPr>
          <w:ilvl w:val="2"/>
          <w:numId w:val="1"/>
        </w:numPr>
        <w:tabs>
          <w:tab w:val="left" w:pos="709"/>
          <w:tab w:val="left" w:pos="794"/>
        </w:tabs>
        <w:jc w:val="left"/>
        <w:outlineLvl w:val="2"/>
        <w:rPr>
          <w:bCs/>
        </w:rPr>
      </w:pPr>
      <w:r>
        <w:rPr>
          <w:bCs/>
        </w:rPr>
        <w:t>区间桥梁基础设计和地基的物理力学指标，应符合现行行业标准《铁路桥涵地基和基础设计规范》TB10093的规定。当特殊荷载(地震力除外)参与荷载组合时，地基容许承载力[σ]和单桩轴向容许承载力的提高可按上述规范的相关规定执行。</w:t>
      </w:r>
    </w:p>
    <w:p w14:paraId="084F6DBB">
      <w:pPr>
        <w:numPr>
          <w:ilvl w:val="2"/>
          <w:numId w:val="1"/>
        </w:numPr>
        <w:tabs>
          <w:tab w:val="left" w:pos="709"/>
          <w:tab w:val="left" w:pos="794"/>
        </w:tabs>
        <w:jc w:val="left"/>
        <w:outlineLvl w:val="2"/>
        <w:rPr>
          <w:bCs/>
        </w:rPr>
      </w:pPr>
      <w:r>
        <w:rPr>
          <w:bCs/>
        </w:rPr>
        <w:t>区间桥梁墩台基础的沉降应按恒载计算</w:t>
      </w:r>
      <w:r>
        <w:rPr>
          <w:rFonts w:hint="eastAsia"/>
          <w:bCs/>
        </w:rPr>
        <w:t>，应符合表11.1.43的要求。</w:t>
      </w:r>
      <w:r>
        <w:rPr>
          <w:bCs/>
        </w:rPr>
        <w:t>对外部超静定结构，其相邻墩台不均匀沉降量之差的容许值还应根据沉降对结构产生的附加影响确定。</w:t>
      </w:r>
    </w:p>
    <w:p w14:paraId="6A315BB3">
      <w:pPr>
        <w:pStyle w:val="198"/>
        <w:rPr>
          <w:szCs w:val="21"/>
        </w:rPr>
      </w:pPr>
      <w:r>
        <w:rPr>
          <w:bCs/>
        </w:rPr>
        <w:br w:type="page"/>
      </w:r>
      <w:r>
        <w:t>表1</w:t>
      </w:r>
      <w:r>
        <w:rPr>
          <w:rFonts w:hint="eastAsia"/>
        </w:rPr>
        <w:t>1</w:t>
      </w:r>
      <w:r>
        <w:t>.1.</w:t>
      </w:r>
      <w:r>
        <w:rPr>
          <w:rFonts w:hint="eastAsia"/>
        </w:rPr>
        <w:t>43</w:t>
      </w:r>
      <w:r>
        <w:t xml:space="preserve">  桥墩墩顶纵向水平线刚度限值</w:t>
      </w:r>
    </w:p>
    <w:tbl>
      <w:tblPr>
        <w:tblStyle w:val="88"/>
        <w:tblW w:w="42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370"/>
        <w:gridCol w:w="1351"/>
      </w:tblGrid>
      <w:tr w14:paraId="3A493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shd w:val="clear" w:color="auto" w:fill="auto"/>
            <w:vAlign w:val="center"/>
          </w:tcPr>
          <w:p w14:paraId="0297C7C9">
            <w:pPr>
              <w:spacing w:line="240" w:lineRule="auto"/>
              <w:jc w:val="center"/>
              <w:rPr>
                <w:sz w:val="15"/>
                <w:szCs w:val="15"/>
              </w:rPr>
            </w:pPr>
            <w:r>
              <w:rPr>
                <w:rFonts w:hint="eastAsia"/>
                <w:sz w:val="15"/>
                <w:szCs w:val="15"/>
              </w:rPr>
              <w:t>桥上轨道类型</w:t>
            </w:r>
          </w:p>
        </w:tc>
        <w:tc>
          <w:tcPr>
            <w:tcW w:w="1370" w:type="dxa"/>
            <w:shd w:val="clear" w:color="auto" w:fill="auto"/>
            <w:vAlign w:val="center"/>
          </w:tcPr>
          <w:p w14:paraId="13D810C3">
            <w:pPr>
              <w:spacing w:line="240" w:lineRule="auto"/>
              <w:jc w:val="center"/>
              <w:rPr>
                <w:sz w:val="15"/>
                <w:szCs w:val="15"/>
              </w:rPr>
            </w:pPr>
            <w:r>
              <w:rPr>
                <w:rFonts w:hint="eastAsia"/>
                <w:sz w:val="15"/>
                <w:szCs w:val="15"/>
              </w:rPr>
              <w:t>沉降类型</w:t>
            </w:r>
          </w:p>
        </w:tc>
        <w:tc>
          <w:tcPr>
            <w:tcW w:w="1351" w:type="dxa"/>
            <w:shd w:val="clear" w:color="auto" w:fill="auto"/>
            <w:vAlign w:val="center"/>
          </w:tcPr>
          <w:p w14:paraId="6307B8CB">
            <w:pPr>
              <w:spacing w:line="240" w:lineRule="auto"/>
              <w:jc w:val="center"/>
              <w:rPr>
                <w:sz w:val="15"/>
                <w:szCs w:val="15"/>
              </w:rPr>
            </w:pPr>
            <w:r>
              <w:rPr>
                <w:rFonts w:hint="eastAsia"/>
                <w:sz w:val="15"/>
                <w:szCs w:val="15"/>
              </w:rPr>
              <w:t>限值（mm）</w:t>
            </w:r>
          </w:p>
        </w:tc>
      </w:tr>
      <w:tr w14:paraId="71FAC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shd w:val="clear" w:color="auto" w:fill="auto"/>
            <w:vAlign w:val="center"/>
          </w:tcPr>
          <w:p w14:paraId="26E33CE9">
            <w:pPr>
              <w:spacing w:line="240" w:lineRule="auto"/>
              <w:jc w:val="center"/>
              <w:rPr>
                <w:sz w:val="15"/>
                <w:szCs w:val="15"/>
              </w:rPr>
            </w:pPr>
            <w:r>
              <w:rPr>
                <w:rFonts w:hint="eastAsia"/>
                <w:sz w:val="15"/>
                <w:szCs w:val="15"/>
              </w:rPr>
              <w:t>有砟轨道</w:t>
            </w:r>
          </w:p>
        </w:tc>
        <w:tc>
          <w:tcPr>
            <w:tcW w:w="1370" w:type="dxa"/>
            <w:shd w:val="clear" w:color="auto" w:fill="auto"/>
            <w:vAlign w:val="center"/>
          </w:tcPr>
          <w:p w14:paraId="76A47415">
            <w:pPr>
              <w:spacing w:line="240" w:lineRule="auto"/>
              <w:jc w:val="center"/>
              <w:rPr>
                <w:sz w:val="15"/>
                <w:szCs w:val="15"/>
              </w:rPr>
            </w:pPr>
            <w:r>
              <w:rPr>
                <w:rFonts w:hint="eastAsia"/>
                <w:sz w:val="15"/>
                <w:szCs w:val="15"/>
              </w:rPr>
              <w:t>相邻沉降差</w:t>
            </w:r>
          </w:p>
        </w:tc>
        <w:tc>
          <w:tcPr>
            <w:tcW w:w="1351" w:type="dxa"/>
            <w:shd w:val="clear" w:color="auto" w:fill="auto"/>
            <w:vAlign w:val="center"/>
          </w:tcPr>
          <w:p w14:paraId="1E0647BC">
            <w:pPr>
              <w:spacing w:line="240" w:lineRule="auto"/>
              <w:jc w:val="center"/>
              <w:rPr>
                <w:sz w:val="15"/>
                <w:szCs w:val="15"/>
              </w:rPr>
            </w:pPr>
            <w:r>
              <w:rPr>
                <w:rFonts w:hint="eastAsia"/>
                <w:sz w:val="15"/>
                <w:szCs w:val="15"/>
              </w:rPr>
              <w:t>20</w:t>
            </w:r>
          </w:p>
        </w:tc>
      </w:tr>
      <w:tr w14:paraId="032B1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shd w:val="clear" w:color="auto" w:fill="auto"/>
            <w:vAlign w:val="center"/>
          </w:tcPr>
          <w:p w14:paraId="3C81110B">
            <w:pPr>
              <w:spacing w:line="240" w:lineRule="auto"/>
              <w:jc w:val="center"/>
              <w:rPr>
                <w:sz w:val="15"/>
                <w:szCs w:val="15"/>
              </w:rPr>
            </w:pPr>
            <w:r>
              <w:rPr>
                <w:rFonts w:hint="eastAsia"/>
                <w:sz w:val="15"/>
                <w:szCs w:val="15"/>
              </w:rPr>
              <w:t>无砟轨道</w:t>
            </w:r>
          </w:p>
        </w:tc>
        <w:tc>
          <w:tcPr>
            <w:tcW w:w="1370" w:type="dxa"/>
            <w:shd w:val="clear" w:color="auto" w:fill="auto"/>
            <w:vAlign w:val="center"/>
          </w:tcPr>
          <w:p w14:paraId="3E77B920">
            <w:pPr>
              <w:spacing w:line="240" w:lineRule="auto"/>
              <w:jc w:val="center"/>
              <w:rPr>
                <w:sz w:val="15"/>
                <w:szCs w:val="15"/>
              </w:rPr>
            </w:pPr>
            <w:r>
              <w:rPr>
                <w:rFonts w:hint="eastAsia"/>
                <w:sz w:val="15"/>
                <w:szCs w:val="15"/>
              </w:rPr>
              <w:t>相邻沉降差</w:t>
            </w:r>
          </w:p>
        </w:tc>
        <w:tc>
          <w:tcPr>
            <w:tcW w:w="1351" w:type="dxa"/>
            <w:shd w:val="clear" w:color="auto" w:fill="auto"/>
            <w:vAlign w:val="center"/>
          </w:tcPr>
          <w:p w14:paraId="1205CA35">
            <w:pPr>
              <w:spacing w:line="240" w:lineRule="auto"/>
              <w:jc w:val="center"/>
              <w:rPr>
                <w:sz w:val="15"/>
                <w:szCs w:val="15"/>
              </w:rPr>
            </w:pPr>
            <w:r>
              <w:rPr>
                <w:rFonts w:hint="eastAsia"/>
                <w:sz w:val="15"/>
                <w:szCs w:val="15"/>
              </w:rPr>
              <w:t>10</w:t>
            </w:r>
          </w:p>
        </w:tc>
      </w:tr>
    </w:tbl>
    <w:p w14:paraId="26D02D09">
      <w:pPr>
        <w:numPr>
          <w:ilvl w:val="2"/>
          <w:numId w:val="1"/>
        </w:numPr>
        <w:tabs>
          <w:tab w:val="left" w:pos="709"/>
          <w:tab w:val="left" w:pos="794"/>
        </w:tabs>
        <w:jc w:val="left"/>
        <w:outlineLvl w:val="2"/>
        <w:rPr>
          <w:bCs/>
        </w:rPr>
      </w:pPr>
      <w:r>
        <w:rPr>
          <w:rFonts w:hint="eastAsia"/>
          <w:bCs/>
        </w:rPr>
        <w:t>当结构自重（包括附加建筑自重）、预加力、前期收缩徐变</w:t>
      </w:r>
      <w:r>
        <w:rPr>
          <w:bCs/>
        </w:rPr>
        <w:t>及静活载引起的竖向挠度</w:t>
      </w:r>
      <w:r>
        <w:rPr>
          <w:rFonts w:hint="eastAsia"/>
          <w:bCs/>
        </w:rPr>
        <w:t>大于</w:t>
      </w:r>
      <w:r>
        <w:rPr>
          <w:bCs/>
        </w:rPr>
        <w:t>15mm或跨度的1/1600时，应设置预拱度</w:t>
      </w:r>
      <w:r>
        <w:rPr>
          <w:rFonts w:hint="eastAsia"/>
          <w:bCs/>
        </w:rPr>
        <w:t>；</w:t>
      </w:r>
      <w:r>
        <w:rPr>
          <w:bCs/>
        </w:rPr>
        <w:t>预拱度曲线应与</w:t>
      </w:r>
      <w:r>
        <w:rPr>
          <w:rFonts w:hint="eastAsia"/>
          <w:bCs/>
        </w:rPr>
        <w:t>结构自重（包括附加建筑自重）、预加力、前期收缩徐变</w:t>
      </w:r>
      <w:r>
        <w:rPr>
          <w:bCs/>
        </w:rPr>
        <w:t>及1/2静活载所产生的挠度曲线基本相同，但方向</w:t>
      </w:r>
      <w:r>
        <w:rPr>
          <w:rFonts w:hint="eastAsia"/>
          <w:bCs/>
        </w:rPr>
        <w:t>应</w:t>
      </w:r>
      <w:r>
        <w:rPr>
          <w:bCs/>
        </w:rPr>
        <w:t>相反。</w:t>
      </w:r>
    </w:p>
    <w:p w14:paraId="1B5C7BEE">
      <w:pPr>
        <w:numPr>
          <w:ilvl w:val="2"/>
          <w:numId w:val="1"/>
        </w:numPr>
        <w:tabs>
          <w:tab w:val="left" w:pos="709"/>
          <w:tab w:val="left" w:pos="794"/>
        </w:tabs>
        <w:jc w:val="left"/>
        <w:outlineLvl w:val="2"/>
      </w:pPr>
      <w:r>
        <w:rPr>
          <w:bCs/>
        </w:rPr>
        <w:t>简</w:t>
      </w:r>
      <w:r>
        <w:t>支箱梁结构设计应符合下列要求：</w:t>
      </w:r>
    </w:p>
    <w:p w14:paraId="460B12C8">
      <w:pPr>
        <w:ind w:firstLine="422" w:firstLineChars="200"/>
      </w:pPr>
      <w:r>
        <w:rPr>
          <w:b/>
        </w:rPr>
        <w:t xml:space="preserve">1 </w:t>
      </w:r>
      <w:r>
        <w:t xml:space="preserve"> 顶、底板厚度不应小于200mm；</w:t>
      </w:r>
    </w:p>
    <w:p w14:paraId="31DC5AC6">
      <w:pPr>
        <w:ind w:firstLine="422" w:firstLineChars="200"/>
      </w:pPr>
      <w:r>
        <w:rPr>
          <w:b/>
        </w:rPr>
        <w:t xml:space="preserve">2 </w:t>
      </w:r>
      <w:r>
        <w:t xml:space="preserve"> 箱梁端部宜设置横隔板；</w:t>
      </w:r>
    </w:p>
    <w:p w14:paraId="6D9328C8">
      <w:pPr>
        <w:ind w:firstLine="422" w:firstLineChars="200"/>
      </w:pPr>
      <w:r>
        <w:rPr>
          <w:b/>
        </w:rPr>
        <w:t xml:space="preserve">3 </w:t>
      </w:r>
      <w:r>
        <w:t xml:space="preserve"> 宜根据检修需要在梁端或支点附近底板上设置人孔；</w:t>
      </w:r>
    </w:p>
    <w:p w14:paraId="41906C1B">
      <w:pPr>
        <w:ind w:firstLine="422" w:firstLineChars="200"/>
      </w:pPr>
      <w:r>
        <w:rPr>
          <w:rFonts w:hint="eastAsia"/>
          <w:b/>
        </w:rPr>
        <w:t>4</w:t>
      </w:r>
      <w:r>
        <w:t xml:space="preserve">  箱梁底板低处宜设排水孔，腹板上应设置适当数量的直径约为 </w:t>
      </w:r>
      <w:r>
        <w:rPr>
          <w:rFonts w:hint="eastAsia"/>
        </w:rPr>
        <w:t>8</w:t>
      </w:r>
      <w:r>
        <w:t>0 mm 的通风孔。</w:t>
      </w:r>
    </w:p>
    <w:p w14:paraId="5C900D91">
      <w:pPr>
        <w:numPr>
          <w:ilvl w:val="2"/>
          <w:numId w:val="1"/>
        </w:numPr>
        <w:tabs>
          <w:tab w:val="left" w:pos="709"/>
          <w:tab w:val="left" w:pos="794"/>
        </w:tabs>
        <w:jc w:val="left"/>
        <w:outlineLvl w:val="2"/>
      </w:pPr>
      <w:r>
        <w:rPr>
          <w:bCs/>
        </w:rPr>
        <w:t>墩</w:t>
      </w:r>
      <w:r>
        <w:t>台基础设计应符合下列要求：</w:t>
      </w:r>
    </w:p>
    <w:p w14:paraId="1D6551A3">
      <w:pPr>
        <w:ind w:firstLine="422" w:firstLineChars="200"/>
      </w:pPr>
      <w:r>
        <w:rPr>
          <w:b/>
        </w:rPr>
        <w:t xml:space="preserve">1 </w:t>
      </w:r>
      <w:r>
        <w:t xml:space="preserve"> 应进行裂缝宽度检算、强度检算和地基承载力检算；</w:t>
      </w:r>
    </w:p>
    <w:p w14:paraId="52F9AB83">
      <w:pPr>
        <w:ind w:firstLine="422" w:firstLineChars="200"/>
      </w:pPr>
      <w:r>
        <w:rPr>
          <w:rFonts w:hint="eastAsia"/>
          <w:b/>
        </w:rPr>
        <w:t>2</w:t>
      </w:r>
      <w:r>
        <w:rPr>
          <w:b/>
        </w:rPr>
        <w:t xml:space="preserve"> </w:t>
      </w:r>
      <w:r>
        <w:t xml:space="preserve"> 基础应进行沉降验算；</w:t>
      </w:r>
    </w:p>
    <w:p w14:paraId="4F359D80">
      <w:pPr>
        <w:ind w:firstLine="422" w:firstLineChars="200"/>
      </w:pPr>
      <w:r>
        <w:rPr>
          <w:rFonts w:hint="eastAsia"/>
          <w:b/>
        </w:rPr>
        <w:t>3</w:t>
      </w:r>
      <w:r>
        <w:rPr>
          <w:b/>
        </w:rPr>
        <w:t xml:space="preserve"> </w:t>
      </w:r>
      <w:r>
        <w:t xml:space="preserve"> 墩台基础考虑土的抗力应按现行行业标准《铁路桥涵地基和基础设计规范》TB10093附录D的规定计算；</w:t>
      </w:r>
    </w:p>
    <w:p w14:paraId="56E81A54">
      <w:pPr>
        <w:ind w:firstLine="422" w:firstLineChars="200"/>
      </w:pPr>
      <w:r>
        <w:rPr>
          <w:rFonts w:hint="eastAsia"/>
          <w:b/>
        </w:rPr>
        <w:t>4</w:t>
      </w:r>
      <w:r>
        <w:t xml:space="preserve">  位于河道中的桥梁基础应进行基础冲刷计算，结构计算应按冲刷前后不同工况进行包络设计。</w:t>
      </w:r>
    </w:p>
    <w:p w14:paraId="2146F8C3">
      <w:pPr>
        <w:numPr>
          <w:ilvl w:val="2"/>
          <w:numId w:val="1"/>
        </w:numPr>
        <w:tabs>
          <w:tab w:val="left" w:pos="709"/>
          <w:tab w:val="left" w:pos="794"/>
        </w:tabs>
        <w:jc w:val="left"/>
        <w:outlineLvl w:val="2"/>
      </w:pPr>
      <w:r>
        <w:t>U形梁</w:t>
      </w:r>
      <w:r>
        <w:rPr>
          <w:rFonts w:hint="eastAsia"/>
        </w:rPr>
        <w:t>宜</w:t>
      </w:r>
      <w:r>
        <w:t>符合下列</w:t>
      </w:r>
      <w:r>
        <w:rPr>
          <w:rFonts w:hint="eastAsia"/>
        </w:rPr>
        <w:t>设计</w:t>
      </w:r>
      <w:r>
        <w:t>规定：</w:t>
      </w:r>
    </w:p>
    <w:p w14:paraId="3AC20810">
      <w:pPr>
        <w:ind w:firstLine="422" w:firstLineChars="200"/>
      </w:pPr>
      <w:r>
        <w:rPr>
          <w:b/>
        </w:rPr>
        <w:t xml:space="preserve">1 </w:t>
      </w:r>
      <w:r>
        <w:t xml:space="preserve"> 单线梁桥面板</w:t>
      </w:r>
      <w:r>
        <w:rPr>
          <w:rFonts w:hint="eastAsia"/>
        </w:rPr>
        <w:t>、腹板</w:t>
      </w:r>
      <w:r>
        <w:t>厚度不</w:t>
      </w:r>
      <w:r>
        <w:rPr>
          <w:rFonts w:hint="eastAsia"/>
        </w:rPr>
        <w:t>宜</w:t>
      </w:r>
      <w:r>
        <w:t>小于</w:t>
      </w:r>
      <w:r>
        <w:rPr>
          <w:rFonts w:hint="eastAsia"/>
        </w:rPr>
        <w:t>0.26</w:t>
      </w:r>
      <w:r>
        <w:t>m；</w:t>
      </w:r>
      <w:r>
        <w:rPr>
          <w:rFonts w:hint="eastAsia"/>
        </w:rPr>
        <w:t>双线梁桥面板厚度不宜小于0.32m</w:t>
      </w:r>
      <w:r>
        <w:t>；</w:t>
      </w:r>
    </w:p>
    <w:p w14:paraId="40BC22A2">
      <w:pPr>
        <w:ind w:firstLine="422" w:firstLineChars="200"/>
      </w:pPr>
      <w:r>
        <w:rPr>
          <w:b/>
        </w:rPr>
        <w:t xml:space="preserve">2 </w:t>
      </w:r>
      <w:r>
        <w:t xml:space="preserve"> 梁端部</w:t>
      </w:r>
      <w:r>
        <w:rPr>
          <w:rFonts w:hint="eastAsia"/>
        </w:rPr>
        <w:t>应</w:t>
      </w:r>
      <w:r>
        <w:t>设置</w:t>
      </w:r>
      <w:r>
        <w:rPr>
          <w:rFonts w:hint="eastAsia"/>
        </w:rPr>
        <w:t>与</w:t>
      </w:r>
      <w:r>
        <w:t>桥面板构成整体的端横梁</w:t>
      </w:r>
      <w:r>
        <w:rPr>
          <w:rFonts w:hint="eastAsia"/>
        </w:rPr>
        <w:t>，其设置长度应考虑支座安装、临时吊装、限位挡块、斜交梁施工的需求；</w:t>
      </w:r>
    </w:p>
    <w:p w14:paraId="0C896C02">
      <w:pPr>
        <w:ind w:firstLine="422" w:firstLineChars="200"/>
      </w:pPr>
      <w:r>
        <w:rPr>
          <w:rFonts w:hint="eastAsia"/>
          <w:b/>
        </w:rPr>
        <w:t>3</w:t>
      </w:r>
      <w:r>
        <w:rPr>
          <w:rFonts w:hint="eastAsia"/>
        </w:rPr>
        <w:t xml:space="preserve">  U形梁桥道板横桥向宜按照偏心受拉钢筋混凝土构件进行计算，其计算裂缝宽度不宜大于0.14mm；</w:t>
      </w:r>
    </w:p>
    <w:p w14:paraId="0F014353">
      <w:pPr>
        <w:ind w:firstLine="422" w:firstLineChars="200"/>
      </w:pPr>
      <w:r>
        <w:rPr>
          <w:rFonts w:hint="eastAsia"/>
          <w:b/>
        </w:rPr>
        <w:t>4</w:t>
      </w:r>
      <w:r>
        <w:rPr>
          <w:rFonts w:hint="eastAsia"/>
        </w:rPr>
        <w:t xml:space="preserve">  在不考虑混凝土抗拉强度时，U形梁正截面抗裂安全系数不宜小于1.2；</w:t>
      </w:r>
    </w:p>
    <w:p w14:paraId="3E807C47">
      <w:pPr>
        <w:ind w:firstLine="422" w:firstLineChars="200"/>
      </w:pPr>
      <w:r>
        <w:rPr>
          <w:rFonts w:hint="eastAsia"/>
          <w:b/>
        </w:rPr>
        <w:t>5</w:t>
      </w:r>
      <w:r>
        <w:rPr>
          <w:rFonts w:hint="eastAsia"/>
        </w:rPr>
        <w:t xml:space="preserve">  U型梁混凝土宜添加高强、高模量纤维；</w:t>
      </w:r>
    </w:p>
    <w:p w14:paraId="622C8150">
      <w:pPr>
        <w:jc w:val="center"/>
        <w:rPr>
          <w:b/>
        </w:rPr>
      </w:pPr>
      <w:r>
        <w:rPr>
          <w:b/>
        </w:rPr>
        <w:t>Ⅴ  抗震设计</w:t>
      </w:r>
    </w:p>
    <w:p w14:paraId="6069CBE0">
      <w:pPr>
        <w:numPr>
          <w:ilvl w:val="2"/>
          <w:numId w:val="1"/>
        </w:numPr>
        <w:tabs>
          <w:tab w:val="left" w:pos="709"/>
          <w:tab w:val="left" w:pos="794"/>
        </w:tabs>
        <w:jc w:val="left"/>
        <w:outlineLvl w:val="2"/>
      </w:pPr>
      <w:r>
        <w:rPr>
          <w:rFonts w:hint="eastAsia"/>
          <w:bCs/>
        </w:rPr>
        <w:t>区</w:t>
      </w:r>
      <w:r>
        <w:rPr>
          <w:rFonts w:hint="eastAsia"/>
        </w:rPr>
        <w:t>间桥梁</w:t>
      </w:r>
      <w:r>
        <w:t>抗震设计应</w:t>
      </w:r>
      <w:r>
        <w:rPr>
          <w:rFonts w:hint="eastAsia"/>
        </w:rPr>
        <w:t>符合</w:t>
      </w:r>
      <w:r>
        <w:t>现行国家标准《铁路工程抗震设计规范》GB50111的规定。</w:t>
      </w:r>
    </w:p>
    <w:p w14:paraId="55BF4D34">
      <w:pPr>
        <w:numPr>
          <w:ilvl w:val="2"/>
          <w:numId w:val="1"/>
        </w:numPr>
        <w:tabs>
          <w:tab w:val="left" w:pos="709"/>
          <w:tab w:val="left" w:pos="794"/>
        </w:tabs>
        <w:jc w:val="left"/>
        <w:outlineLvl w:val="2"/>
      </w:pPr>
      <w:r>
        <w:t>桥梁的抗震设防分类应</w:t>
      </w:r>
      <w:r>
        <w:rPr>
          <w:rFonts w:hint="eastAsia"/>
        </w:rPr>
        <w:t>符合</w:t>
      </w:r>
      <w:r>
        <w:t>表</w:t>
      </w:r>
      <w:r>
        <w:rPr>
          <w:rFonts w:hint="eastAsia"/>
        </w:rPr>
        <w:t>11.1</w:t>
      </w:r>
      <w:r>
        <w:t>.</w:t>
      </w:r>
      <w:r>
        <w:rPr>
          <w:rFonts w:hint="eastAsia"/>
        </w:rPr>
        <w:t>52</w:t>
      </w:r>
      <w:r>
        <w:t>的规定。</w:t>
      </w:r>
    </w:p>
    <w:p w14:paraId="2701B542">
      <w:pPr>
        <w:pStyle w:val="198"/>
        <w:rPr>
          <w:rFonts w:ascii="黑体" w:hAnsi="黑体"/>
        </w:rPr>
      </w:pPr>
      <w:r>
        <w:rPr>
          <w:rFonts w:ascii="黑体" w:hAnsi="黑体"/>
        </w:rPr>
        <w:t>表</w:t>
      </w:r>
      <w:r>
        <w:rPr>
          <w:rFonts w:hint="eastAsia" w:ascii="黑体" w:hAnsi="黑体"/>
        </w:rPr>
        <w:t>11.1</w:t>
      </w:r>
      <w:r>
        <w:rPr>
          <w:rFonts w:ascii="黑体" w:hAnsi="黑体"/>
        </w:rPr>
        <w:t>.</w:t>
      </w:r>
      <w:r>
        <w:rPr>
          <w:rFonts w:hint="eastAsia" w:ascii="黑体" w:hAnsi="黑体"/>
        </w:rPr>
        <w:t xml:space="preserve">49  </w:t>
      </w:r>
      <w:r>
        <w:rPr>
          <w:rFonts w:ascii="黑体" w:hAnsi="黑体"/>
        </w:rPr>
        <w:t>桥梁</w:t>
      </w:r>
      <w:r>
        <w:t>抗震</w:t>
      </w:r>
      <w:r>
        <w:rPr>
          <w:rFonts w:ascii="黑体" w:hAnsi="黑体"/>
        </w:rPr>
        <w:t>设防分类</w:t>
      </w:r>
    </w:p>
    <w:tbl>
      <w:tblPr>
        <w:tblStyle w:val="88"/>
        <w:tblW w:w="521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4"/>
        <w:gridCol w:w="3686"/>
      </w:tblGrid>
      <w:tr w14:paraId="2D2AC7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4" w:type="dxa"/>
            <w:vAlign w:val="center"/>
          </w:tcPr>
          <w:p w14:paraId="07937800">
            <w:pPr>
              <w:adjustRightInd w:val="0"/>
              <w:snapToGrid w:val="0"/>
              <w:spacing w:line="240" w:lineRule="auto"/>
              <w:jc w:val="center"/>
              <w:rPr>
                <w:sz w:val="18"/>
                <w:szCs w:val="18"/>
              </w:rPr>
            </w:pPr>
            <w:r>
              <w:rPr>
                <w:sz w:val="18"/>
                <w:szCs w:val="18"/>
              </w:rPr>
              <w:t>抗震设防分类</w:t>
            </w:r>
          </w:p>
        </w:tc>
        <w:tc>
          <w:tcPr>
            <w:tcW w:w="3686" w:type="dxa"/>
            <w:vAlign w:val="center"/>
          </w:tcPr>
          <w:p w14:paraId="3F6F555E">
            <w:pPr>
              <w:adjustRightInd w:val="0"/>
              <w:snapToGrid w:val="0"/>
              <w:spacing w:line="240" w:lineRule="auto"/>
              <w:jc w:val="center"/>
              <w:rPr>
                <w:sz w:val="18"/>
                <w:szCs w:val="18"/>
              </w:rPr>
            </w:pPr>
            <w:r>
              <w:rPr>
                <w:sz w:val="18"/>
                <w:szCs w:val="18"/>
              </w:rPr>
              <w:t>结构类型</w:t>
            </w:r>
          </w:p>
        </w:tc>
      </w:tr>
      <w:tr w14:paraId="38BE1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24" w:type="dxa"/>
            <w:vAlign w:val="center"/>
          </w:tcPr>
          <w:p w14:paraId="5D447B3B">
            <w:pPr>
              <w:adjustRightInd w:val="0"/>
              <w:snapToGrid w:val="0"/>
              <w:spacing w:line="240" w:lineRule="auto"/>
              <w:jc w:val="center"/>
              <w:rPr>
                <w:sz w:val="18"/>
                <w:szCs w:val="18"/>
              </w:rPr>
            </w:pPr>
            <w:r>
              <w:rPr>
                <w:rFonts w:hint="eastAsia"/>
                <w:sz w:val="18"/>
                <w:szCs w:val="18"/>
              </w:rPr>
              <w:t>甲类</w:t>
            </w:r>
          </w:p>
        </w:tc>
        <w:tc>
          <w:tcPr>
            <w:tcW w:w="3686" w:type="dxa"/>
            <w:vAlign w:val="center"/>
          </w:tcPr>
          <w:p w14:paraId="27385FC0">
            <w:pPr>
              <w:adjustRightInd w:val="0"/>
              <w:snapToGrid w:val="0"/>
              <w:spacing w:line="240" w:lineRule="auto"/>
              <w:jc w:val="center"/>
              <w:rPr>
                <w:sz w:val="18"/>
                <w:szCs w:val="18"/>
              </w:rPr>
            </w:pPr>
            <w:r>
              <w:rPr>
                <w:sz w:val="18"/>
                <w:szCs w:val="18"/>
              </w:rPr>
              <w:t>单跨跨度大于</w:t>
            </w:r>
            <w:r>
              <w:rPr>
                <w:rFonts w:hint="eastAsia"/>
                <w:sz w:val="18"/>
                <w:szCs w:val="18"/>
              </w:rPr>
              <w:t>或</w:t>
            </w:r>
            <w:r>
              <w:rPr>
                <w:sz w:val="18"/>
                <w:szCs w:val="18"/>
              </w:rPr>
              <w:t>等于</w:t>
            </w:r>
            <w:r>
              <w:rPr>
                <w:rFonts w:hint="eastAsia"/>
                <w:sz w:val="18"/>
                <w:szCs w:val="18"/>
              </w:rPr>
              <w:t>150</w:t>
            </w:r>
            <w:r>
              <w:rPr>
                <w:sz w:val="18"/>
                <w:szCs w:val="18"/>
              </w:rPr>
              <w:t>m的桥梁</w:t>
            </w:r>
          </w:p>
        </w:tc>
      </w:tr>
      <w:tr w14:paraId="61712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4" w:type="dxa"/>
            <w:vAlign w:val="center"/>
          </w:tcPr>
          <w:p w14:paraId="6E78EC99">
            <w:pPr>
              <w:adjustRightInd w:val="0"/>
              <w:snapToGrid w:val="0"/>
              <w:spacing w:line="240" w:lineRule="auto"/>
              <w:jc w:val="center"/>
              <w:rPr>
                <w:sz w:val="18"/>
                <w:szCs w:val="18"/>
              </w:rPr>
            </w:pPr>
            <w:r>
              <w:rPr>
                <w:rFonts w:hint="eastAsia"/>
                <w:sz w:val="18"/>
                <w:szCs w:val="18"/>
              </w:rPr>
              <w:t>乙类</w:t>
            </w:r>
          </w:p>
        </w:tc>
        <w:tc>
          <w:tcPr>
            <w:tcW w:w="3686" w:type="dxa"/>
            <w:vAlign w:val="center"/>
          </w:tcPr>
          <w:p w14:paraId="30199B8D">
            <w:pPr>
              <w:adjustRightInd w:val="0"/>
              <w:snapToGrid w:val="0"/>
              <w:spacing w:line="240" w:lineRule="auto"/>
              <w:jc w:val="center"/>
              <w:rPr>
                <w:sz w:val="18"/>
                <w:szCs w:val="18"/>
              </w:rPr>
            </w:pPr>
            <w:r>
              <w:rPr>
                <w:sz w:val="18"/>
                <w:szCs w:val="18"/>
              </w:rPr>
              <w:t>除</w:t>
            </w:r>
            <w:r>
              <w:rPr>
                <w:rFonts w:hint="eastAsia"/>
                <w:sz w:val="18"/>
                <w:szCs w:val="18"/>
              </w:rPr>
              <w:t>甲</w:t>
            </w:r>
            <w:r>
              <w:rPr>
                <w:sz w:val="18"/>
                <w:szCs w:val="18"/>
              </w:rPr>
              <w:t>类以外的其</w:t>
            </w:r>
            <w:r>
              <w:rPr>
                <w:rFonts w:hint="eastAsia"/>
                <w:sz w:val="18"/>
                <w:szCs w:val="18"/>
              </w:rPr>
              <w:t>他</w:t>
            </w:r>
            <w:r>
              <w:rPr>
                <w:sz w:val="18"/>
                <w:szCs w:val="18"/>
              </w:rPr>
              <w:t>桥梁</w:t>
            </w:r>
          </w:p>
        </w:tc>
      </w:tr>
    </w:tbl>
    <w:p w14:paraId="4E0B8956">
      <w:pPr>
        <w:numPr>
          <w:ilvl w:val="2"/>
          <w:numId w:val="1"/>
        </w:numPr>
        <w:tabs>
          <w:tab w:val="left" w:pos="709"/>
          <w:tab w:val="left" w:pos="794"/>
        </w:tabs>
        <w:jc w:val="left"/>
        <w:outlineLvl w:val="2"/>
        <w:rPr>
          <w:bCs/>
        </w:rPr>
      </w:pPr>
      <w:r>
        <w:rPr>
          <w:bCs/>
        </w:rPr>
        <w:t xml:space="preserve"> 高架桥不宜跨越断裂带</w:t>
      </w:r>
      <w:r>
        <w:rPr>
          <w:rFonts w:hint="eastAsia"/>
          <w:bCs/>
        </w:rPr>
        <w:t>。</w:t>
      </w:r>
      <w:r>
        <w:rPr>
          <w:bCs/>
        </w:rPr>
        <w:t>必须跨越时，</w:t>
      </w:r>
      <w:r>
        <w:t>基础不应设置在严重破碎带上</w:t>
      </w:r>
      <w:r>
        <w:rPr>
          <w:rFonts w:hint="eastAsia"/>
        </w:rPr>
        <w:t>，并采取</w:t>
      </w:r>
      <w:r>
        <w:rPr>
          <w:bCs/>
        </w:rPr>
        <w:t>相应措施。</w:t>
      </w:r>
    </w:p>
    <w:p w14:paraId="2BA077E4">
      <w:pPr>
        <w:numPr>
          <w:ilvl w:val="2"/>
          <w:numId w:val="1"/>
        </w:numPr>
        <w:tabs>
          <w:tab w:val="left" w:pos="709"/>
          <w:tab w:val="left" w:pos="794"/>
        </w:tabs>
        <w:jc w:val="left"/>
        <w:outlineLvl w:val="2"/>
      </w:pPr>
      <w:r>
        <w:rPr>
          <w:bCs/>
        </w:rPr>
        <w:t>对于</w:t>
      </w:r>
      <w:r>
        <w:t>抗震设计困难</w:t>
      </w:r>
      <w:r>
        <w:rPr>
          <w:rFonts w:hint="eastAsia"/>
        </w:rPr>
        <w:t>或抗震经济性较差</w:t>
      </w:r>
      <w:r>
        <w:t>的桥梁结构，可采用减隔震设计</w:t>
      </w:r>
      <w:r>
        <w:rPr>
          <w:rFonts w:hint="eastAsia"/>
        </w:rPr>
        <w:t>。当减隔震装置无规模应用案例时，应进行专题研究、论证。</w:t>
      </w:r>
      <w:r>
        <w:t>下列条件下，不宜采用减隔震设计：</w:t>
      </w:r>
    </w:p>
    <w:p w14:paraId="462442E4">
      <w:pPr>
        <w:ind w:firstLine="422" w:firstLineChars="200"/>
      </w:pPr>
      <w:r>
        <w:rPr>
          <w:b/>
        </w:rPr>
        <w:t>1</w:t>
      </w:r>
      <w:r>
        <w:t xml:space="preserve"> </w:t>
      </w:r>
      <w:r>
        <w:rPr>
          <w:rFonts w:hint="eastAsia"/>
        </w:rPr>
        <w:t xml:space="preserve"> </w:t>
      </w:r>
      <w:r>
        <w:t>地震作用下，场地可能产生失效；</w:t>
      </w:r>
    </w:p>
    <w:p w14:paraId="7826EF3B">
      <w:pPr>
        <w:ind w:firstLine="422" w:firstLineChars="200"/>
      </w:pPr>
      <w:r>
        <w:rPr>
          <w:b/>
        </w:rPr>
        <w:t>2</w:t>
      </w:r>
      <w:r>
        <w:rPr>
          <w:rFonts w:hint="eastAsia"/>
        </w:rPr>
        <w:t xml:space="preserve">  下部结构刚度较小，</w:t>
      </w:r>
      <w:r>
        <w:t>桥梁的固有周期比较长；</w:t>
      </w:r>
    </w:p>
    <w:p w14:paraId="08B49270">
      <w:pPr>
        <w:ind w:firstLine="422" w:firstLineChars="200"/>
      </w:pPr>
      <w:r>
        <w:rPr>
          <w:b/>
        </w:rPr>
        <w:t xml:space="preserve">3 </w:t>
      </w:r>
      <w:r>
        <w:rPr>
          <w:rFonts w:hint="eastAsia"/>
        </w:rPr>
        <w:t xml:space="preserve"> </w:t>
      </w:r>
      <w:r>
        <w:t>位于软弱场地，延长周期</w:t>
      </w:r>
      <w:r>
        <w:rPr>
          <w:rFonts w:hint="eastAsia"/>
        </w:rPr>
        <w:t>也不能避开地震动能量集中频段</w:t>
      </w:r>
      <w:r>
        <w:t>；</w:t>
      </w:r>
    </w:p>
    <w:p w14:paraId="12628AA9">
      <w:pPr>
        <w:ind w:firstLine="422" w:firstLineChars="200"/>
      </w:pPr>
      <w:r>
        <w:rPr>
          <w:b/>
        </w:rPr>
        <w:t xml:space="preserve">4 </w:t>
      </w:r>
      <w:r>
        <w:rPr>
          <w:rFonts w:hint="eastAsia"/>
          <w:b/>
        </w:rPr>
        <w:t xml:space="preserve"> </w:t>
      </w:r>
      <w:r>
        <w:t>支座中可能出现负反力。</w:t>
      </w:r>
    </w:p>
    <w:p w14:paraId="696E432B">
      <w:pPr>
        <w:numPr>
          <w:ilvl w:val="2"/>
          <w:numId w:val="1"/>
        </w:numPr>
        <w:tabs>
          <w:tab w:val="left" w:pos="709"/>
          <w:tab w:val="left" w:pos="794"/>
        </w:tabs>
        <w:jc w:val="left"/>
        <w:outlineLvl w:val="2"/>
      </w:pPr>
      <w:r>
        <w:rPr>
          <w:rFonts w:hint="eastAsia"/>
        </w:rPr>
        <w:t>减隔震抗震分析时应考虑抗震措施与主要构件的相互影响。</w:t>
      </w:r>
    </w:p>
    <w:p w14:paraId="4613B74A">
      <w:pPr>
        <w:numPr>
          <w:ilvl w:val="2"/>
          <w:numId w:val="1"/>
        </w:numPr>
        <w:tabs>
          <w:tab w:val="left" w:pos="709"/>
          <w:tab w:val="left" w:pos="794"/>
        </w:tabs>
        <w:outlineLvl w:val="2"/>
      </w:pPr>
      <w:r>
        <w:t>不采用减隔震设计的桥梁结构，</w:t>
      </w:r>
      <w:r>
        <w:rPr>
          <w:rFonts w:hint="eastAsia"/>
        </w:rPr>
        <w:t>抗震计算应符合下列规定：</w:t>
      </w:r>
    </w:p>
    <w:p w14:paraId="7D6B7695">
      <w:pPr>
        <w:ind w:firstLine="422" w:firstLineChars="200"/>
      </w:pPr>
      <w:r>
        <w:rPr>
          <w:rFonts w:hint="eastAsia"/>
          <w:b/>
        </w:rPr>
        <w:t xml:space="preserve">1 </w:t>
      </w:r>
      <w:r>
        <w:rPr>
          <w:rFonts w:hint="eastAsia"/>
        </w:rPr>
        <w:t xml:space="preserve"> </w:t>
      </w:r>
      <w:r>
        <w:t>当计算长度与截面计算方向的尺寸之比小于2.5的矮墩，罕遇地震作用效应和永久作用效应组合后，应按现行的铁路桥涵设计规范相关规定验算桥梁结构的抗弯和抗剪强度，在验算矮墩抗弯强度时，</w:t>
      </w:r>
      <w:r>
        <w:rPr>
          <w:rFonts w:hint="eastAsia"/>
        </w:rPr>
        <w:t>材料容许应力</w:t>
      </w:r>
      <w:r>
        <w:t>可采用材料强度标准值；</w:t>
      </w:r>
    </w:p>
    <w:p w14:paraId="1EB13721">
      <w:pPr>
        <w:ind w:firstLine="422" w:firstLineChars="200"/>
      </w:pPr>
      <w:r>
        <w:rPr>
          <w:rFonts w:hint="eastAsia"/>
          <w:b/>
        </w:rPr>
        <w:t>2</w:t>
      </w:r>
      <w:r>
        <w:rPr>
          <w:rFonts w:hint="eastAsia"/>
        </w:rPr>
        <w:t xml:space="preserve">  </w:t>
      </w:r>
      <w:r>
        <w:t>当计算长度与截面计算方向的尺寸之比大于2.5的墩柱，</w:t>
      </w:r>
      <w:r>
        <w:rPr>
          <w:rFonts w:hint="eastAsia"/>
        </w:rPr>
        <w:t>墩柱</w:t>
      </w:r>
      <w:r>
        <w:t>应进行罕遇地震作用下的延性设计。</w:t>
      </w:r>
    </w:p>
    <w:p w14:paraId="0F9CB05A">
      <w:pPr>
        <w:numPr>
          <w:ilvl w:val="2"/>
          <w:numId w:val="1"/>
        </w:numPr>
        <w:tabs>
          <w:tab w:val="left" w:pos="709"/>
          <w:tab w:val="left" w:pos="794"/>
        </w:tabs>
        <w:jc w:val="left"/>
        <w:outlineLvl w:val="2"/>
      </w:pPr>
      <w:r>
        <w:rPr>
          <w:rFonts w:hint="eastAsia"/>
        </w:rPr>
        <w:t>桥梁钢筋混凝土</w:t>
      </w:r>
      <w:r>
        <w:t>墩柱作为延性构件设计</w:t>
      </w:r>
      <w:r>
        <w:rPr>
          <w:rFonts w:hint="eastAsia"/>
        </w:rPr>
        <w:t>时，</w:t>
      </w:r>
      <w:r>
        <w:t>其基础、盖梁、结点、支座及墩柱的抗剪强度</w:t>
      </w:r>
      <w:r>
        <w:rPr>
          <w:rFonts w:hint="eastAsia"/>
        </w:rPr>
        <w:t>宜</w:t>
      </w:r>
      <w:r>
        <w:t>作为能力保护构件。</w:t>
      </w:r>
    </w:p>
    <w:p w14:paraId="09262B7D">
      <w:pPr>
        <w:widowControl/>
        <w:numPr>
          <w:ilvl w:val="2"/>
          <w:numId w:val="1"/>
        </w:numPr>
        <w:tabs>
          <w:tab w:val="left" w:pos="709"/>
          <w:tab w:val="left" w:pos="794"/>
        </w:tabs>
        <w:jc w:val="left"/>
        <w:outlineLvl w:val="2"/>
      </w:pPr>
      <w:r>
        <w:rPr>
          <w:rFonts w:hint="eastAsia"/>
        </w:rPr>
        <w:t>进行过工程场地地震安全性评价的工程，地震动参数应根据地震安全性评价结果确定。</w:t>
      </w:r>
    </w:p>
    <w:p w14:paraId="185F1621">
      <w:pPr>
        <w:jc w:val="center"/>
        <w:rPr>
          <w:b/>
        </w:rPr>
      </w:pPr>
      <w:r>
        <w:rPr>
          <w:b/>
        </w:rPr>
        <w:t>Ⅵ</w:t>
      </w:r>
      <w:r>
        <w:t xml:space="preserve">  </w:t>
      </w:r>
      <w:r>
        <w:rPr>
          <w:b/>
        </w:rPr>
        <w:t>构造要求</w:t>
      </w:r>
    </w:p>
    <w:p w14:paraId="12E0C0EA">
      <w:pPr>
        <w:widowControl/>
        <w:numPr>
          <w:ilvl w:val="2"/>
          <w:numId w:val="1"/>
        </w:numPr>
        <w:tabs>
          <w:tab w:val="left" w:pos="709"/>
          <w:tab w:val="left" w:pos="794"/>
        </w:tabs>
        <w:jc w:val="left"/>
        <w:outlineLvl w:val="2"/>
      </w:pPr>
      <w:r>
        <w:rPr>
          <w:bCs/>
        </w:rPr>
        <w:t>区</w:t>
      </w:r>
      <w:r>
        <w:t>间桥梁的构造要求应</w:t>
      </w:r>
      <w:r>
        <w:rPr>
          <w:rFonts w:hint="eastAsia"/>
        </w:rPr>
        <w:t>符合</w:t>
      </w:r>
      <w:r>
        <w:t>现行国家标准</w:t>
      </w:r>
      <w:r>
        <w:rPr>
          <w:rFonts w:hint="eastAsia"/>
        </w:rPr>
        <w:t>《地铁设计标准》GB/T50157和</w:t>
      </w:r>
      <w:r>
        <w:t>现行行业标准《铁路桥涵混凝土结构设计规范》TB10092、《铁路桥涵地基和基础设计规范》TB10093的相关规定。</w:t>
      </w:r>
    </w:p>
    <w:p w14:paraId="53558B14">
      <w:pPr>
        <w:jc w:val="center"/>
        <w:rPr>
          <w:b/>
        </w:rPr>
      </w:pPr>
      <w:r>
        <w:rPr>
          <w:rFonts w:hint="eastAsia"/>
          <w:b/>
        </w:rPr>
        <w:t>Ⅶ</w:t>
      </w:r>
      <w:r>
        <w:rPr>
          <w:b/>
        </w:rPr>
        <w:t xml:space="preserve">  抗震构造</w:t>
      </w:r>
    </w:p>
    <w:p w14:paraId="13C54F57">
      <w:pPr>
        <w:numPr>
          <w:ilvl w:val="2"/>
          <w:numId w:val="1"/>
        </w:numPr>
        <w:tabs>
          <w:tab w:val="left" w:pos="709"/>
          <w:tab w:val="left" w:pos="794"/>
        </w:tabs>
        <w:jc w:val="left"/>
        <w:outlineLvl w:val="2"/>
        <w:rPr>
          <w:bCs/>
        </w:rPr>
      </w:pPr>
      <w:r>
        <w:rPr>
          <w:bCs/>
        </w:rPr>
        <w:t>结构抗震构造应符合现行国家标准《铁路工程抗震设计规范》GB50111的相关规定。</w:t>
      </w:r>
    </w:p>
    <w:p w14:paraId="1381849D">
      <w:pPr>
        <w:numPr>
          <w:ilvl w:val="2"/>
          <w:numId w:val="1"/>
        </w:numPr>
        <w:tabs>
          <w:tab w:val="left" w:pos="709"/>
          <w:tab w:val="left" w:pos="794"/>
        </w:tabs>
        <w:jc w:val="left"/>
        <w:outlineLvl w:val="2"/>
        <w:rPr>
          <w:bCs/>
        </w:rPr>
      </w:pPr>
      <w:r>
        <w:rPr>
          <w:bCs/>
        </w:rPr>
        <w:t>承台与桩的连接桩头2.5倍~3倍桩径长度范围内应加密箍筋，其间距不应大于100mm，直径不应小于10mm。</w:t>
      </w:r>
    </w:p>
    <w:p w14:paraId="6AC943DD">
      <w:pPr>
        <w:numPr>
          <w:ilvl w:val="2"/>
          <w:numId w:val="1"/>
        </w:numPr>
        <w:tabs>
          <w:tab w:val="left" w:pos="709"/>
          <w:tab w:val="left" w:pos="794"/>
        </w:tabs>
        <w:jc w:val="left"/>
        <w:outlineLvl w:val="2"/>
      </w:pPr>
      <w:r>
        <w:rPr>
          <w:rFonts w:hint="eastAsia"/>
        </w:rPr>
        <w:t>对于液化场地上的桥梁，桩基础竖向承载力验算时应按相关规定予以折减；纵向钢筋、箍筋至少加强至液化土层底面以下1m；并宜适当增加桩基础直径。</w:t>
      </w:r>
    </w:p>
    <w:p w14:paraId="463D6467">
      <w:pPr>
        <w:jc w:val="center"/>
        <w:rPr>
          <w:b/>
        </w:rPr>
      </w:pPr>
      <w:r>
        <w:rPr>
          <w:b/>
        </w:rPr>
        <w:t>Ⅷ  附属结构设计</w:t>
      </w:r>
    </w:p>
    <w:p w14:paraId="3C41ABA5">
      <w:pPr>
        <w:numPr>
          <w:ilvl w:val="2"/>
          <w:numId w:val="1"/>
        </w:numPr>
        <w:tabs>
          <w:tab w:val="left" w:pos="709"/>
          <w:tab w:val="left" w:pos="794"/>
        </w:tabs>
        <w:jc w:val="left"/>
        <w:outlineLvl w:val="2"/>
      </w:pPr>
      <w:r>
        <w:rPr>
          <w:bCs/>
        </w:rPr>
        <w:t>区</w:t>
      </w:r>
      <w:r>
        <w:t>间高架桥栏杆、声屏障、泄水管及区间变电所上桥电缆支架等结构，</w:t>
      </w:r>
      <w:r>
        <w:rPr>
          <w:rFonts w:hint="eastAsia"/>
        </w:rPr>
        <w:t>宜</w:t>
      </w:r>
      <w:r>
        <w:rPr>
          <w:bCs/>
        </w:rPr>
        <w:t>考虑与</w:t>
      </w:r>
      <w:r>
        <w:rPr>
          <w:rFonts w:hint="eastAsia"/>
          <w:bCs/>
        </w:rPr>
        <w:t>轨道、</w:t>
      </w:r>
      <w:r>
        <w:rPr>
          <w:bCs/>
        </w:rPr>
        <w:t>接触网立柱、声屏障和设备管线布置的空间关系</w:t>
      </w:r>
      <w:r>
        <w:rPr>
          <w:rFonts w:hint="eastAsia"/>
          <w:bCs/>
        </w:rPr>
        <w:t>，并</w:t>
      </w:r>
      <w:r>
        <w:rPr>
          <w:rFonts w:hint="eastAsia"/>
        </w:rPr>
        <w:t>宜</w:t>
      </w:r>
      <w:r>
        <w:t>进行景观设计。栏杆在满足安全基础上，</w:t>
      </w:r>
      <w:r>
        <w:rPr>
          <w:rFonts w:hint="eastAsia"/>
        </w:rPr>
        <w:t>人行道踏板上栏杆高度</w:t>
      </w:r>
      <w:r>
        <w:t>不宜小于1.</w:t>
      </w:r>
      <w:r>
        <w:rPr>
          <w:rFonts w:hint="eastAsia"/>
        </w:rPr>
        <w:t>1</w:t>
      </w:r>
      <w:r>
        <w:t>m；泄水管外观颜色宜与主体结构协调</w:t>
      </w:r>
      <w:r>
        <w:rPr>
          <w:rFonts w:hint="eastAsia"/>
        </w:rPr>
        <w:t>。</w:t>
      </w:r>
    </w:p>
    <w:p w14:paraId="3E62A5D1">
      <w:pPr>
        <w:numPr>
          <w:ilvl w:val="2"/>
          <w:numId w:val="1"/>
        </w:numPr>
        <w:tabs>
          <w:tab w:val="left" w:pos="709"/>
          <w:tab w:val="left" w:pos="794"/>
        </w:tabs>
        <w:jc w:val="left"/>
        <w:outlineLvl w:val="2"/>
        <w:rPr>
          <w:bCs/>
        </w:rPr>
      </w:pPr>
      <w:r>
        <w:rPr>
          <w:bCs/>
        </w:rPr>
        <w:t>高架桥排水管不宜直排到道路路面上，排水管下应设散水或与市政管沟连接。</w:t>
      </w:r>
    </w:p>
    <w:p w14:paraId="69802AB3">
      <w:pPr>
        <w:numPr>
          <w:ilvl w:val="2"/>
          <w:numId w:val="1"/>
        </w:numPr>
        <w:tabs>
          <w:tab w:val="left" w:pos="709"/>
          <w:tab w:val="left" w:pos="794"/>
        </w:tabs>
        <w:jc w:val="left"/>
        <w:outlineLvl w:val="2"/>
      </w:pPr>
      <w:r>
        <w:rPr>
          <w:rFonts w:hint="eastAsia"/>
        </w:rPr>
        <w:t>声屏障设计应符合下列规定：</w:t>
      </w:r>
    </w:p>
    <w:p w14:paraId="74F304D1">
      <w:pPr>
        <w:ind w:firstLine="422" w:firstLineChars="200"/>
      </w:pPr>
      <w:r>
        <w:rPr>
          <w:rFonts w:hint="eastAsia"/>
          <w:b/>
        </w:rPr>
        <w:t xml:space="preserve">1  </w:t>
      </w:r>
      <w:r>
        <w:t>声屏障支撑立柱或框架结构设计计算，应</w:t>
      </w:r>
      <w:r>
        <w:rPr>
          <w:rFonts w:hint="eastAsia"/>
        </w:rPr>
        <w:t>符合</w:t>
      </w:r>
      <w:r>
        <w:t>现行国家标准《混凝土结构设计</w:t>
      </w:r>
      <w:r>
        <w:rPr>
          <w:rFonts w:hint="eastAsia"/>
        </w:rPr>
        <w:t>标准</w:t>
      </w:r>
      <w:r>
        <w:t>》GB</w:t>
      </w:r>
      <w:r>
        <w:rPr>
          <w:rFonts w:hint="eastAsia"/>
        </w:rPr>
        <w:t>/T</w:t>
      </w:r>
      <w:r>
        <w:t>50010</w:t>
      </w:r>
      <w:r>
        <w:rPr>
          <w:rFonts w:hint="eastAsia"/>
        </w:rPr>
        <w:t>、</w:t>
      </w:r>
      <w:r>
        <w:t>《建筑结构荷载规范》GB50009规定。</w:t>
      </w:r>
    </w:p>
    <w:p w14:paraId="2A0CC66E">
      <w:pPr>
        <w:ind w:firstLine="422" w:firstLineChars="200"/>
      </w:pPr>
      <w:r>
        <w:rPr>
          <w:rFonts w:hint="eastAsia"/>
          <w:b/>
        </w:rPr>
        <w:t xml:space="preserve">2  </w:t>
      </w:r>
      <w:r>
        <w:rPr>
          <w:rFonts w:hint="eastAsia"/>
        </w:rPr>
        <w:t>半封闭、全封闭声屏障钢结构耐火等级为二级。</w:t>
      </w:r>
    </w:p>
    <w:p w14:paraId="47253138">
      <w:pPr>
        <w:ind w:firstLine="422" w:firstLineChars="200"/>
      </w:pPr>
      <w:r>
        <w:rPr>
          <w:rFonts w:hint="eastAsia"/>
          <w:b/>
        </w:rPr>
        <w:t>3</w:t>
      </w:r>
      <w:r>
        <w:rPr>
          <w:rFonts w:hint="eastAsia"/>
        </w:rPr>
        <w:t xml:space="preserve">  </w:t>
      </w:r>
      <w:r>
        <w:t>在伸缩缝处的声屏障结构应采取纵向封闭措施。</w:t>
      </w:r>
    </w:p>
    <w:p w14:paraId="78DE0137">
      <w:pPr>
        <w:numPr>
          <w:ilvl w:val="2"/>
          <w:numId w:val="1"/>
        </w:numPr>
        <w:tabs>
          <w:tab w:val="left" w:pos="709"/>
          <w:tab w:val="left" w:pos="794"/>
        </w:tabs>
        <w:jc w:val="left"/>
        <w:outlineLvl w:val="2"/>
        <w:rPr>
          <w:rFonts w:ascii="Calibri" w:hAnsi="Calibri"/>
        </w:rPr>
      </w:pPr>
      <w:bookmarkStart w:id="722" w:name="_Hlk183614912"/>
      <w:r>
        <w:rPr>
          <w:rFonts w:ascii="Calibri" w:hAnsi="Calibri"/>
        </w:rPr>
        <w:t>当</w:t>
      </w:r>
      <w:r>
        <w:rPr>
          <w:rFonts w:hint="eastAsia" w:ascii="Calibri" w:hAnsi="Calibri"/>
        </w:rPr>
        <w:t>区间桥梁</w:t>
      </w:r>
      <w:r>
        <w:rPr>
          <w:rFonts w:ascii="Calibri" w:hAnsi="Calibri"/>
        </w:rPr>
        <w:t>墩柱有可能受机动车等撞击时，应设置</w:t>
      </w:r>
      <w:r>
        <w:rPr>
          <w:rFonts w:hint="eastAsia" w:ascii="Calibri" w:hAnsi="Calibri"/>
        </w:rPr>
        <w:t>防止墩柱受撞击的</w:t>
      </w:r>
      <w:r>
        <w:rPr>
          <w:rFonts w:ascii="Calibri" w:hAnsi="Calibri"/>
        </w:rPr>
        <w:t>保护措施。</w:t>
      </w:r>
    </w:p>
    <w:p w14:paraId="77E18CF1">
      <w:pPr>
        <w:numPr>
          <w:ilvl w:val="2"/>
          <w:numId w:val="1"/>
        </w:numPr>
        <w:tabs>
          <w:tab w:val="left" w:pos="709"/>
          <w:tab w:val="left" w:pos="794"/>
        </w:tabs>
        <w:jc w:val="left"/>
        <w:outlineLvl w:val="2"/>
      </w:pPr>
      <w:r>
        <w:rPr>
          <w:rFonts w:hint="eastAsia" w:ascii="Calibri" w:hAnsi="Calibri"/>
        </w:rPr>
        <w:t>当区间桥梁上部结构可能受机动车撞击且桥下净空小于等于5.0m时，应设置防撞门架和警示设施。</w:t>
      </w:r>
      <w:bookmarkEnd w:id="722"/>
    </w:p>
    <w:p w14:paraId="22E90465">
      <w:pPr>
        <w:numPr>
          <w:ilvl w:val="1"/>
          <w:numId w:val="1"/>
        </w:numPr>
        <w:tabs>
          <w:tab w:val="left" w:pos="794"/>
        </w:tabs>
        <w:snapToGrid w:val="0"/>
        <w:spacing w:before="156" w:after="156" w:line="240" w:lineRule="auto"/>
        <w:jc w:val="center"/>
        <w:outlineLvl w:val="1"/>
        <w:rPr>
          <w:rFonts w:eastAsia="黑体"/>
          <w:bCs/>
          <w:szCs w:val="28"/>
        </w:rPr>
      </w:pPr>
      <w:bookmarkStart w:id="723" w:name="_Toc168059422"/>
      <w:bookmarkStart w:id="724" w:name="_Toc183882464"/>
      <w:bookmarkStart w:id="725" w:name="_Toc183888516"/>
      <w:bookmarkStart w:id="726" w:name="_Toc183888154"/>
      <w:bookmarkStart w:id="727" w:name="_Toc183790541"/>
      <w:bookmarkStart w:id="728" w:name="_Toc183882102"/>
      <w:bookmarkStart w:id="729" w:name="_Toc183765111"/>
      <w:bookmarkStart w:id="730" w:name="_Toc168061677"/>
      <w:bookmarkStart w:id="731" w:name="_Toc168061230"/>
      <w:r>
        <w:rPr>
          <w:rFonts w:eastAsia="黑体"/>
          <w:bCs/>
          <w:szCs w:val="28"/>
        </w:rPr>
        <w:t>车站高架结构</w:t>
      </w:r>
      <w:bookmarkEnd w:id="723"/>
      <w:bookmarkEnd w:id="724"/>
      <w:bookmarkEnd w:id="725"/>
      <w:bookmarkEnd w:id="726"/>
      <w:bookmarkEnd w:id="727"/>
      <w:bookmarkEnd w:id="728"/>
      <w:bookmarkEnd w:id="729"/>
      <w:bookmarkEnd w:id="730"/>
      <w:bookmarkEnd w:id="731"/>
    </w:p>
    <w:p w14:paraId="605A607E">
      <w:pPr>
        <w:jc w:val="center"/>
        <w:rPr>
          <w:rFonts w:ascii="Calibri" w:hAnsi="Calibri"/>
          <w:b/>
        </w:rPr>
      </w:pPr>
      <w:r>
        <w:rPr>
          <w:rFonts w:hint="eastAsia" w:ascii="宋体" w:hAnsi="宋体" w:cs="宋体"/>
          <w:b/>
        </w:rPr>
        <w:t>Ⅰ</w:t>
      </w:r>
      <w:r>
        <w:rPr>
          <w:rFonts w:hint="eastAsia" w:ascii="Calibri" w:hAnsi="Calibri"/>
          <w:b/>
        </w:rPr>
        <w:t xml:space="preserve">  </w:t>
      </w:r>
      <w:r>
        <w:rPr>
          <w:rFonts w:ascii="Calibri" w:hAnsi="Calibri"/>
          <w:b/>
        </w:rPr>
        <w:t>一般规定</w:t>
      </w:r>
    </w:p>
    <w:p w14:paraId="0634BEC2">
      <w:pPr>
        <w:numPr>
          <w:ilvl w:val="2"/>
          <w:numId w:val="1"/>
        </w:numPr>
        <w:tabs>
          <w:tab w:val="left" w:pos="709"/>
          <w:tab w:val="left" w:pos="794"/>
        </w:tabs>
        <w:outlineLvl w:val="2"/>
        <w:rPr>
          <w:bCs/>
        </w:rPr>
      </w:pPr>
      <w:r>
        <w:rPr>
          <w:bCs/>
        </w:rPr>
        <w:t>当车站采用“桥−建”分离式结构时，轨道梁桥应按照本章“1</w:t>
      </w:r>
      <w:r>
        <w:rPr>
          <w:rFonts w:hint="eastAsia"/>
          <w:bCs/>
        </w:rPr>
        <w:t>1</w:t>
      </w:r>
      <w:r>
        <w:rPr>
          <w:bCs/>
        </w:rPr>
        <w:t>.1高架桥梁结构”有关章节的要求进行设计，与轨道梁桥分离的车站结构应按照现行建筑结构设计规范进行设计。</w:t>
      </w:r>
    </w:p>
    <w:p w14:paraId="3086CB0E">
      <w:pPr>
        <w:numPr>
          <w:ilvl w:val="2"/>
          <w:numId w:val="1"/>
        </w:numPr>
        <w:tabs>
          <w:tab w:val="left" w:pos="709"/>
          <w:tab w:val="left" w:pos="794"/>
        </w:tabs>
        <w:outlineLvl w:val="2"/>
        <w:rPr>
          <w:rFonts w:ascii="Calibri" w:hAnsi="Calibri"/>
          <w:bCs/>
        </w:rPr>
      </w:pPr>
      <w:r>
        <w:rPr>
          <w:rFonts w:hint="eastAsia" w:ascii="Calibri" w:hAnsi="Calibri"/>
          <w:bCs/>
        </w:rPr>
        <w:t>当采用轨道梁支撑或刚接于车站结构，形成“桥-建”合一结构时，车站结构应按现行的建筑结构规范进行设计；直接承受列车荷载的框架梁、兼做轨道梁的楼面梁等结构设计尚应满足“11.1高架桥梁结构”的相关规定。</w:t>
      </w:r>
    </w:p>
    <w:p w14:paraId="3E28A2DD">
      <w:pPr>
        <w:numPr>
          <w:ilvl w:val="2"/>
          <w:numId w:val="1"/>
        </w:numPr>
        <w:tabs>
          <w:tab w:val="left" w:pos="709"/>
          <w:tab w:val="left" w:pos="794"/>
        </w:tabs>
        <w:outlineLvl w:val="2"/>
        <w:rPr>
          <w:rFonts w:ascii="Calibri" w:hAnsi="Calibri"/>
          <w:bCs/>
        </w:rPr>
      </w:pPr>
      <w:r>
        <w:rPr>
          <w:bCs/>
        </w:rPr>
        <w:t>车</w:t>
      </w:r>
      <w:r>
        <w:rPr>
          <w:rFonts w:ascii="Calibri" w:hAnsi="Calibri"/>
          <w:bCs/>
        </w:rPr>
        <w:t>站结构形式应满足使用功能要求，并与城市景观协调，同时满足减振、降噪的要求。高架车站不</w:t>
      </w:r>
      <w:r>
        <w:rPr>
          <w:rFonts w:hint="eastAsia" w:ascii="Calibri" w:hAnsi="Calibri"/>
          <w:bCs/>
        </w:rPr>
        <w:t>应</w:t>
      </w:r>
      <w:r>
        <w:rPr>
          <w:rFonts w:ascii="Calibri" w:hAnsi="Calibri"/>
          <w:bCs/>
        </w:rPr>
        <w:t>采用独柱带长悬臂“桥−建”结构体系。</w:t>
      </w:r>
    </w:p>
    <w:p w14:paraId="37FCDCC4">
      <w:pPr>
        <w:numPr>
          <w:ilvl w:val="2"/>
          <w:numId w:val="1"/>
        </w:numPr>
        <w:tabs>
          <w:tab w:val="left" w:pos="709"/>
          <w:tab w:val="left" w:pos="794"/>
        </w:tabs>
        <w:outlineLvl w:val="2"/>
        <w:rPr>
          <w:bCs/>
        </w:rPr>
      </w:pPr>
      <w:r>
        <w:rPr>
          <w:bCs/>
        </w:rPr>
        <w:t>车站框架柱平面布置应使结构受力合理，应与周边环境协调。跨越道路时车站下净空应满足道路限界要求并预留结构可能产生的沉降量、公路路面翻修高度。“桥−建”分离式车站的独立轨道梁(高架)桥孔跨布置宜与车站景观相协调。</w:t>
      </w:r>
    </w:p>
    <w:p w14:paraId="7AAE14EE">
      <w:pPr>
        <w:numPr>
          <w:ilvl w:val="2"/>
          <w:numId w:val="1"/>
        </w:numPr>
        <w:tabs>
          <w:tab w:val="left" w:pos="709"/>
          <w:tab w:val="left" w:pos="794"/>
        </w:tabs>
        <w:outlineLvl w:val="2"/>
        <w:rPr>
          <w:rFonts w:ascii="Calibri" w:hAnsi="Calibri"/>
          <w:bCs/>
        </w:rPr>
      </w:pPr>
      <w:bookmarkStart w:id="732" w:name="_Hlk183615045"/>
      <w:r>
        <w:rPr>
          <w:bCs/>
        </w:rPr>
        <w:t>车</w:t>
      </w:r>
      <w:r>
        <w:rPr>
          <w:rFonts w:hint="eastAsia" w:ascii="Calibri" w:hAnsi="Calibri"/>
          <w:bCs/>
        </w:rPr>
        <w:t>站主体结构以及因结构损坏或大修对地铁运营安全有严重影响的其他结构工程，设计工作年限不应低于</w:t>
      </w:r>
      <w:r>
        <w:rPr>
          <w:rFonts w:ascii="Calibri" w:hAnsi="Calibri"/>
          <w:bCs/>
        </w:rPr>
        <w:t>100</w:t>
      </w:r>
      <w:r>
        <w:rPr>
          <w:rFonts w:hint="eastAsia" w:ascii="Calibri" w:hAnsi="Calibri"/>
          <w:bCs/>
        </w:rPr>
        <w:t>年。车站顶棚、天桥、附属用房等设计工作年限不应低于50年。</w:t>
      </w:r>
    </w:p>
    <w:bookmarkEnd w:id="732"/>
    <w:p w14:paraId="0365E47A">
      <w:pPr>
        <w:numPr>
          <w:ilvl w:val="2"/>
          <w:numId w:val="1"/>
        </w:numPr>
        <w:tabs>
          <w:tab w:val="left" w:pos="709"/>
          <w:tab w:val="left" w:pos="794"/>
        </w:tabs>
        <w:outlineLvl w:val="2"/>
        <w:rPr>
          <w:bCs/>
        </w:rPr>
      </w:pPr>
      <w:r>
        <w:rPr>
          <w:rFonts w:hint="eastAsia" w:ascii="Calibri" w:hAnsi="Calibri"/>
          <w:bCs/>
        </w:rPr>
        <w:t>当采用轨道梁支撑或刚接于车站结构，形成“桥-建”合一结构时，混凝土车站结构耐久性设计应符合现行国家标准《混凝土结构耐久性设计标准》GB/T50476的相关规定。</w:t>
      </w:r>
    </w:p>
    <w:p w14:paraId="76FAD317">
      <w:pPr>
        <w:jc w:val="center"/>
        <w:rPr>
          <w:rFonts w:ascii="Calibri" w:hAnsi="Calibri"/>
          <w:b/>
        </w:rPr>
      </w:pPr>
      <w:r>
        <w:rPr>
          <w:rFonts w:hint="eastAsia" w:ascii="宋体" w:hAnsi="宋体" w:cs="宋体"/>
          <w:b/>
        </w:rPr>
        <w:t>Ⅱ</w:t>
      </w:r>
      <w:r>
        <w:rPr>
          <w:rFonts w:hint="eastAsia" w:ascii="Calibri" w:hAnsi="Calibri"/>
          <w:b/>
        </w:rPr>
        <w:t xml:space="preserve">  </w:t>
      </w:r>
      <w:r>
        <w:rPr>
          <w:rFonts w:ascii="Calibri" w:hAnsi="Calibri"/>
          <w:b/>
        </w:rPr>
        <w:t>设计荷载</w:t>
      </w:r>
    </w:p>
    <w:p w14:paraId="0F811118">
      <w:pPr>
        <w:numPr>
          <w:ilvl w:val="2"/>
          <w:numId w:val="1"/>
        </w:numPr>
        <w:tabs>
          <w:tab w:val="left" w:pos="709"/>
          <w:tab w:val="left" w:pos="794"/>
        </w:tabs>
        <w:outlineLvl w:val="2"/>
        <w:rPr>
          <w:rFonts w:ascii="Calibri" w:hAnsi="Calibri"/>
          <w:bCs/>
        </w:rPr>
      </w:pPr>
      <w:r>
        <w:rPr>
          <w:bCs/>
        </w:rPr>
        <w:t>高</w:t>
      </w:r>
      <w:r>
        <w:rPr>
          <w:rFonts w:ascii="Calibri" w:hAnsi="Calibri"/>
          <w:bCs/>
        </w:rPr>
        <w:t>架车站的荷载取值及荷载组合应</w:t>
      </w:r>
      <w:r>
        <w:rPr>
          <w:rFonts w:hint="eastAsia" w:ascii="Calibri" w:hAnsi="Calibri"/>
          <w:bCs/>
        </w:rPr>
        <w:t>符合</w:t>
      </w:r>
      <w:r>
        <w:rPr>
          <w:rFonts w:ascii="Calibri" w:hAnsi="Calibri"/>
          <w:bCs/>
        </w:rPr>
        <w:t>现行</w:t>
      </w:r>
      <w:r>
        <w:rPr>
          <w:rFonts w:hint="eastAsia" w:ascii="Calibri" w:hAnsi="Calibri"/>
          <w:bCs/>
        </w:rPr>
        <w:t>国家标准《工程结构通用规范》GB55001、《建筑结构可靠性设计统一标准》GB50068、</w:t>
      </w:r>
      <w:r>
        <w:rPr>
          <w:rFonts w:ascii="Calibri" w:hAnsi="Calibri"/>
          <w:bCs/>
        </w:rPr>
        <w:t>《建筑结构荷载规范》GB50009的有关要求，</w:t>
      </w:r>
      <w:r>
        <w:rPr>
          <w:rFonts w:hint="eastAsia" w:ascii="Calibri" w:hAnsi="Calibri"/>
          <w:bCs/>
        </w:rPr>
        <w:t>与列车有关的荷载按</w:t>
      </w:r>
      <w:r>
        <w:rPr>
          <w:rFonts w:ascii="Calibri" w:hAnsi="Calibri"/>
          <w:bCs/>
        </w:rPr>
        <w:t>本规范</w:t>
      </w:r>
      <w:r>
        <w:rPr>
          <w:rFonts w:hint="eastAsia" w:ascii="Calibri" w:hAnsi="Calibri"/>
          <w:bCs/>
        </w:rPr>
        <w:t>“11.1高架桥梁结构”</w:t>
      </w:r>
      <w:r>
        <w:rPr>
          <w:rFonts w:ascii="Calibri" w:hAnsi="Calibri"/>
          <w:bCs/>
        </w:rPr>
        <w:t>的</w:t>
      </w:r>
      <w:r>
        <w:rPr>
          <w:rFonts w:hint="eastAsia" w:ascii="Calibri" w:hAnsi="Calibri"/>
          <w:bCs/>
        </w:rPr>
        <w:t>要求取值</w:t>
      </w:r>
      <w:r>
        <w:rPr>
          <w:rFonts w:ascii="Calibri" w:hAnsi="Calibri"/>
          <w:bCs/>
        </w:rPr>
        <w:t>。</w:t>
      </w:r>
    </w:p>
    <w:p w14:paraId="65798362">
      <w:pPr>
        <w:numPr>
          <w:ilvl w:val="2"/>
          <w:numId w:val="1"/>
        </w:numPr>
        <w:tabs>
          <w:tab w:val="left" w:pos="709"/>
          <w:tab w:val="left" w:pos="794"/>
        </w:tabs>
        <w:outlineLvl w:val="2"/>
        <w:rPr>
          <w:bCs/>
        </w:rPr>
      </w:pPr>
      <w:r>
        <w:rPr>
          <w:bCs/>
        </w:rPr>
        <w:t>高架车站站台板</w:t>
      </w:r>
      <w:r>
        <w:rPr>
          <w:rFonts w:hint="eastAsia"/>
          <w:bCs/>
        </w:rPr>
        <w:t>、站厅层</w:t>
      </w:r>
      <w:r>
        <w:rPr>
          <w:bCs/>
        </w:rPr>
        <w:t>活荷载标准值应取4.0kN/m</w:t>
      </w:r>
      <w:r>
        <w:rPr>
          <w:bCs/>
          <w:vertAlign w:val="superscript"/>
        </w:rPr>
        <w:t>2</w:t>
      </w:r>
      <w:r>
        <w:rPr>
          <w:bCs/>
        </w:rPr>
        <w:t>；楼梯活荷载标准值应取</w:t>
      </w:r>
      <w:r>
        <w:rPr>
          <w:rFonts w:hint="eastAsia"/>
          <w:bCs/>
        </w:rPr>
        <w:t>4</w:t>
      </w:r>
      <w:r>
        <w:rPr>
          <w:bCs/>
        </w:rPr>
        <w:t>.0kN/m</w:t>
      </w:r>
      <w:r>
        <w:rPr>
          <w:bCs/>
          <w:vertAlign w:val="superscript"/>
        </w:rPr>
        <w:t>2</w:t>
      </w:r>
      <w:r>
        <w:rPr>
          <w:bCs/>
        </w:rPr>
        <w:t>；设备用房及设备运输通道应按实际使用荷载取值</w:t>
      </w:r>
      <w:r>
        <w:rPr>
          <w:rFonts w:hint="eastAsia"/>
          <w:bCs/>
        </w:rPr>
        <w:t>并不小于8</w:t>
      </w:r>
      <w:r>
        <w:rPr>
          <w:bCs/>
        </w:rPr>
        <w:t xml:space="preserve"> kN/m</w:t>
      </w:r>
      <w:r>
        <w:rPr>
          <w:bCs/>
          <w:vertAlign w:val="superscript"/>
        </w:rPr>
        <w:t>2</w:t>
      </w:r>
      <w:r>
        <w:rPr>
          <w:bCs/>
        </w:rPr>
        <w:t>。</w:t>
      </w:r>
    </w:p>
    <w:p w14:paraId="01B23340">
      <w:pPr>
        <w:numPr>
          <w:ilvl w:val="2"/>
          <w:numId w:val="1"/>
        </w:numPr>
        <w:tabs>
          <w:tab w:val="left" w:pos="709"/>
          <w:tab w:val="left" w:pos="794"/>
        </w:tabs>
        <w:outlineLvl w:val="2"/>
        <w:rPr>
          <w:bCs/>
        </w:rPr>
      </w:pPr>
      <w:r>
        <w:rPr>
          <w:rFonts w:hint="eastAsia"/>
          <w:bCs/>
        </w:rPr>
        <w:t>天桥人群荷载应按照现行国家标准《城市道路交通工程项目规范》GB55011的规定取值，且不小于5</w:t>
      </w:r>
      <w:r>
        <w:rPr>
          <w:bCs/>
        </w:rPr>
        <w:t xml:space="preserve"> kN/m</w:t>
      </w:r>
      <w:r>
        <w:rPr>
          <w:rFonts w:hint="eastAsia"/>
          <w:bCs/>
        </w:rPr>
        <w:t>2。</w:t>
      </w:r>
    </w:p>
    <w:p w14:paraId="2C64E043">
      <w:pPr>
        <w:numPr>
          <w:ilvl w:val="2"/>
          <w:numId w:val="1"/>
        </w:numPr>
        <w:tabs>
          <w:tab w:val="left" w:pos="709"/>
          <w:tab w:val="left" w:pos="794"/>
        </w:tabs>
        <w:outlineLvl w:val="2"/>
        <w:rPr>
          <w:rFonts w:ascii="Calibri" w:hAnsi="Calibri"/>
          <w:bCs/>
        </w:rPr>
      </w:pPr>
      <w:r>
        <w:rPr>
          <w:rFonts w:hint="eastAsia"/>
          <w:bCs/>
        </w:rPr>
        <w:t>列车及梁轨相互作用荷载组合值系数、频遇值系数、准永久值系数取值应符合11.2.10表的要求。</w:t>
      </w:r>
    </w:p>
    <w:p w14:paraId="34FC4528">
      <w:pPr>
        <w:pStyle w:val="198"/>
      </w:pPr>
      <w:r>
        <w:t>表1</w:t>
      </w:r>
      <w:r>
        <w:rPr>
          <w:rFonts w:hint="eastAsia"/>
        </w:rPr>
        <w:t>1</w:t>
      </w:r>
      <w:r>
        <w:t>.</w:t>
      </w:r>
      <w:r>
        <w:rPr>
          <w:rFonts w:hint="eastAsia"/>
        </w:rPr>
        <w:t>2</w:t>
      </w:r>
      <w:r>
        <w:t>.</w:t>
      </w:r>
      <w:r>
        <w:rPr>
          <w:rFonts w:hint="eastAsia"/>
        </w:rPr>
        <w:t>10 列车及梁轨相互作用荷载组合值系数、</w:t>
      </w:r>
    </w:p>
    <w:p w14:paraId="4CF5DFB4">
      <w:pPr>
        <w:adjustRightInd w:val="0"/>
        <w:snapToGrid w:val="0"/>
        <w:ind w:firstLine="400"/>
        <w:jc w:val="center"/>
        <w:rPr>
          <w:rFonts w:ascii="Calibri" w:hAnsi="Calibri" w:eastAsia="黑体" w:cs="黑体"/>
          <w:sz w:val="18"/>
          <w:szCs w:val="18"/>
        </w:rPr>
      </w:pPr>
      <w:r>
        <w:rPr>
          <w:rFonts w:hint="eastAsia" w:ascii="Calibri" w:hAnsi="Calibri" w:eastAsia="黑体" w:cs="黑体"/>
          <w:sz w:val="18"/>
          <w:szCs w:val="18"/>
        </w:rPr>
        <w:t>频遇值系数、准永久值系数</w:t>
      </w:r>
    </w:p>
    <w:tbl>
      <w:tblPr>
        <w:tblStyle w:val="88"/>
        <w:tblW w:w="515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66"/>
        <w:gridCol w:w="1020"/>
        <w:gridCol w:w="1134"/>
        <w:gridCol w:w="1134"/>
      </w:tblGrid>
      <w:tr w14:paraId="76710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8" w:hRule="atLeast"/>
          <w:jc w:val="center"/>
        </w:trPr>
        <w:tc>
          <w:tcPr>
            <w:tcW w:w="1866" w:type="dxa"/>
            <w:tcBorders>
              <w:left w:val="single" w:color="000000" w:sz="6" w:space="0"/>
            </w:tcBorders>
            <w:vAlign w:val="center"/>
          </w:tcPr>
          <w:p w14:paraId="0F93E3DF">
            <w:pPr>
              <w:autoSpaceDE w:val="0"/>
              <w:autoSpaceDN w:val="0"/>
              <w:spacing w:line="240" w:lineRule="auto"/>
              <w:jc w:val="center"/>
              <w:rPr>
                <w:kern w:val="0"/>
                <w:sz w:val="15"/>
                <w:szCs w:val="15"/>
              </w:rPr>
            </w:pPr>
            <w:r>
              <w:rPr>
                <w:rFonts w:hint="eastAsia"/>
                <w:kern w:val="0"/>
                <w:sz w:val="15"/>
                <w:szCs w:val="15"/>
              </w:rPr>
              <w:t>类别</w:t>
            </w:r>
          </w:p>
        </w:tc>
        <w:tc>
          <w:tcPr>
            <w:tcW w:w="1020" w:type="dxa"/>
            <w:vAlign w:val="center"/>
          </w:tcPr>
          <w:p w14:paraId="37998F92">
            <w:pPr>
              <w:autoSpaceDE w:val="0"/>
              <w:autoSpaceDN w:val="0"/>
              <w:spacing w:line="240" w:lineRule="auto"/>
              <w:jc w:val="center"/>
              <w:rPr>
                <w:kern w:val="0"/>
                <w:sz w:val="15"/>
                <w:szCs w:val="15"/>
              </w:rPr>
            </w:pPr>
            <w:r>
              <w:rPr>
                <w:rFonts w:hint="eastAsia"/>
                <w:kern w:val="0"/>
                <w:sz w:val="15"/>
                <w:szCs w:val="15"/>
              </w:rPr>
              <w:t>组合值系数</w:t>
            </w:r>
          </w:p>
        </w:tc>
        <w:tc>
          <w:tcPr>
            <w:tcW w:w="1134" w:type="dxa"/>
            <w:tcBorders>
              <w:right w:val="single" w:color="auto" w:sz="4" w:space="0"/>
            </w:tcBorders>
            <w:vAlign w:val="center"/>
          </w:tcPr>
          <w:p w14:paraId="1925984D">
            <w:pPr>
              <w:autoSpaceDE w:val="0"/>
              <w:autoSpaceDN w:val="0"/>
              <w:spacing w:line="240" w:lineRule="auto"/>
              <w:jc w:val="center"/>
              <w:rPr>
                <w:kern w:val="0"/>
                <w:sz w:val="15"/>
                <w:szCs w:val="15"/>
              </w:rPr>
            </w:pPr>
            <w:r>
              <w:rPr>
                <w:rFonts w:hint="eastAsia"/>
                <w:kern w:val="0"/>
                <w:sz w:val="15"/>
                <w:szCs w:val="15"/>
              </w:rPr>
              <w:t>频遇值系数</w:t>
            </w:r>
          </w:p>
        </w:tc>
        <w:tc>
          <w:tcPr>
            <w:tcW w:w="1134" w:type="dxa"/>
            <w:tcBorders>
              <w:left w:val="single" w:color="auto" w:sz="4" w:space="0"/>
              <w:right w:val="single" w:color="000000" w:sz="6" w:space="0"/>
            </w:tcBorders>
            <w:vAlign w:val="center"/>
          </w:tcPr>
          <w:p w14:paraId="525087A8">
            <w:pPr>
              <w:autoSpaceDE w:val="0"/>
              <w:autoSpaceDN w:val="0"/>
              <w:spacing w:line="240" w:lineRule="auto"/>
              <w:jc w:val="center"/>
              <w:rPr>
                <w:kern w:val="0"/>
                <w:sz w:val="15"/>
                <w:szCs w:val="15"/>
              </w:rPr>
            </w:pPr>
            <w:r>
              <w:rPr>
                <w:rFonts w:hint="eastAsia"/>
                <w:kern w:val="0"/>
                <w:sz w:val="15"/>
                <w:szCs w:val="15"/>
              </w:rPr>
              <w:t>准永久值系数</w:t>
            </w:r>
          </w:p>
        </w:tc>
      </w:tr>
      <w:tr w14:paraId="128D5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2" w:hRule="atLeast"/>
          <w:jc w:val="center"/>
        </w:trPr>
        <w:tc>
          <w:tcPr>
            <w:tcW w:w="1866" w:type="dxa"/>
            <w:tcBorders>
              <w:left w:val="single" w:color="000000" w:sz="6" w:space="0"/>
            </w:tcBorders>
            <w:vAlign w:val="center"/>
          </w:tcPr>
          <w:p w14:paraId="6A5A2E98">
            <w:pPr>
              <w:autoSpaceDE w:val="0"/>
              <w:autoSpaceDN w:val="0"/>
              <w:spacing w:line="240" w:lineRule="auto"/>
              <w:jc w:val="center"/>
              <w:rPr>
                <w:kern w:val="0"/>
                <w:sz w:val="15"/>
                <w:szCs w:val="15"/>
              </w:rPr>
            </w:pPr>
            <w:r>
              <w:rPr>
                <w:rFonts w:hint="eastAsia"/>
                <w:kern w:val="0"/>
                <w:sz w:val="15"/>
                <w:szCs w:val="15"/>
              </w:rPr>
              <w:t>列车及梁轨相互作用荷载</w:t>
            </w:r>
          </w:p>
        </w:tc>
        <w:tc>
          <w:tcPr>
            <w:tcW w:w="1020" w:type="dxa"/>
            <w:vAlign w:val="center"/>
          </w:tcPr>
          <w:p w14:paraId="20BA801F">
            <w:pPr>
              <w:autoSpaceDE w:val="0"/>
              <w:autoSpaceDN w:val="0"/>
              <w:spacing w:line="240" w:lineRule="auto"/>
              <w:jc w:val="center"/>
              <w:rPr>
                <w:kern w:val="0"/>
                <w:sz w:val="15"/>
                <w:szCs w:val="15"/>
              </w:rPr>
            </w:pPr>
            <w:r>
              <w:rPr>
                <w:rFonts w:hint="eastAsia"/>
                <w:kern w:val="0"/>
                <w:sz w:val="15"/>
                <w:szCs w:val="15"/>
              </w:rPr>
              <w:t>0.7</w:t>
            </w:r>
          </w:p>
        </w:tc>
        <w:tc>
          <w:tcPr>
            <w:tcW w:w="1134" w:type="dxa"/>
            <w:tcBorders>
              <w:right w:val="single" w:color="auto" w:sz="4" w:space="0"/>
            </w:tcBorders>
            <w:vAlign w:val="center"/>
          </w:tcPr>
          <w:p w14:paraId="2DD1E540">
            <w:pPr>
              <w:autoSpaceDE w:val="0"/>
              <w:autoSpaceDN w:val="0"/>
              <w:spacing w:line="240" w:lineRule="auto"/>
              <w:jc w:val="center"/>
              <w:rPr>
                <w:kern w:val="0"/>
                <w:sz w:val="15"/>
                <w:szCs w:val="15"/>
              </w:rPr>
            </w:pPr>
            <w:r>
              <w:rPr>
                <w:rFonts w:hint="eastAsia"/>
                <w:kern w:val="0"/>
                <w:sz w:val="15"/>
                <w:szCs w:val="15"/>
              </w:rPr>
              <w:t>0.7</w:t>
            </w:r>
          </w:p>
        </w:tc>
        <w:tc>
          <w:tcPr>
            <w:tcW w:w="1134" w:type="dxa"/>
            <w:tcBorders>
              <w:left w:val="single" w:color="auto" w:sz="4" w:space="0"/>
              <w:right w:val="single" w:color="000000" w:sz="6" w:space="0"/>
            </w:tcBorders>
            <w:vAlign w:val="center"/>
          </w:tcPr>
          <w:p w14:paraId="6854A6BC">
            <w:pPr>
              <w:autoSpaceDE w:val="0"/>
              <w:autoSpaceDN w:val="0"/>
              <w:spacing w:line="240" w:lineRule="auto"/>
              <w:jc w:val="center"/>
              <w:rPr>
                <w:kern w:val="0"/>
                <w:sz w:val="15"/>
                <w:szCs w:val="15"/>
              </w:rPr>
            </w:pPr>
            <w:r>
              <w:rPr>
                <w:rFonts w:hint="eastAsia"/>
                <w:kern w:val="0"/>
                <w:sz w:val="15"/>
                <w:szCs w:val="15"/>
              </w:rPr>
              <w:t>0.6</w:t>
            </w:r>
          </w:p>
        </w:tc>
      </w:tr>
    </w:tbl>
    <w:p w14:paraId="53297127">
      <w:pPr>
        <w:spacing w:line="240" w:lineRule="auto"/>
        <w:ind w:firstLine="300" w:firstLineChars="200"/>
        <w:jc w:val="left"/>
        <w:rPr>
          <w:sz w:val="15"/>
          <w:szCs w:val="15"/>
        </w:rPr>
      </w:pPr>
      <w:r>
        <w:rPr>
          <w:rFonts w:hint="eastAsia"/>
          <w:sz w:val="15"/>
          <w:szCs w:val="15"/>
        </w:rPr>
        <w:t>注：1  列车荷载应在最不利位置处进行验算；</w:t>
      </w:r>
    </w:p>
    <w:p w14:paraId="77E6CA9E">
      <w:pPr>
        <w:spacing w:line="240" w:lineRule="auto"/>
        <w:ind w:firstLine="600" w:firstLineChars="400"/>
        <w:jc w:val="left"/>
        <w:rPr>
          <w:sz w:val="15"/>
          <w:szCs w:val="15"/>
        </w:rPr>
      </w:pPr>
      <w:r>
        <w:rPr>
          <w:rFonts w:hint="eastAsia"/>
          <w:sz w:val="15"/>
          <w:szCs w:val="15"/>
        </w:rPr>
        <w:t>2  列车动力系数不小于1.3。</w:t>
      </w:r>
    </w:p>
    <w:p w14:paraId="6BF80D5A">
      <w:pPr>
        <w:numPr>
          <w:ilvl w:val="2"/>
          <w:numId w:val="1"/>
        </w:numPr>
        <w:tabs>
          <w:tab w:val="left" w:pos="709"/>
          <w:tab w:val="left" w:pos="794"/>
        </w:tabs>
        <w:outlineLvl w:val="2"/>
        <w:rPr>
          <w:rFonts w:ascii="Calibri" w:hAnsi="Calibri"/>
          <w:bCs/>
        </w:rPr>
      </w:pPr>
      <w:r>
        <w:rPr>
          <w:rFonts w:hint="eastAsia" w:ascii="Calibri" w:hAnsi="Calibri"/>
          <w:bCs/>
        </w:rPr>
        <w:t>顶棚、天桥等采用轻质屋面基本风压、基本雪压重现期取100年。</w:t>
      </w:r>
    </w:p>
    <w:p w14:paraId="26251C93">
      <w:pPr>
        <w:numPr>
          <w:ilvl w:val="2"/>
          <w:numId w:val="1"/>
        </w:numPr>
        <w:tabs>
          <w:tab w:val="left" w:pos="709"/>
          <w:tab w:val="left" w:pos="794"/>
        </w:tabs>
        <w:outlineLvl w:val="2"/>
        <w:rPr>
          <w:rFonts w:ascii="Calibri" w:hAnsi="Calibri"/>
          <w:bCs/>
        </w:rPr>
      </w:pPr>
      <w:r>
        <w:rPr>
          <w:rFonts w:hint="eastAsia" w:ascii="Calibri" w:hAnsi="Calibri"/>
          <w:bCs/>
        </w:rPr>
        <w:t>当车站不设置变形缝时，车站使用阶段整体升降温作用应按照式11.2.12计算。整体浇筑构件的混凝土收缩作用，不做计算时，可等效降低温度15℃计算。</w:t>
      </w:r>
    </w:p>
    <w:p w14:paraId="78C5F603">
      <w:pPr>
        <w:ind w:firstLine="422" w:firstLineChars="200"/>
        <w:rPr>
          <w:rFonts w:ascii="Calibri" w:hAnsi="Calibri"/>
        </w:rPr>
      </w:pPr>
      <w:r>
        <w:rPr>
          <w:b/>
        </w:rPr>
        <w:t>1</w:t>
      </w:r>
      <w:r>
        <w:rPr>
          <w:rFonts w:hint="eastAsia" w:ascii="Calibri" w:hAnsi="Calibri"/>
          <w:b/>
        </w:rPr>
        <w:t xml:space="preserve">  </w:t>
      </w:r>
      <w:r>
        <w:rPr>
          <w:rFonts w:hint="eastAsia" w:ascii="Calibri" w:hAnsi="Calibri"/>
        </w:rPr>
        <w:t>整体最大升温工况：</w:t>
      </w:r>
    </w:p>
    <w:p w14:paraId="5D7BBD49">
      <w:pPr>
        <w:ind w:firstLine="420" w:firstLineChars="200"/>
        <w:rPr>
          <w:rFonts w:ascii="Calibri" w:hAnsi="Calibri"/>
        </w:rPr>
      </w:pPr>
      <w:r>
        <w:rPr>
          <w:rFonts w:ascii="Calibri" w:hAnsi="Calibri"/>
        </w:rPr>
        <w:fldChar w:fldCharType="begin"/>
      </w:r>
      <w:r>
        <w:rPr>
          <w:rFonts w:ascii="Calibri" w:hAnsi="Calibri"/>
        </w:rPr>
        <w:instrText xml:space="preserve"> QUOTE </w:instrText>
      </w:r>
      <w:r>
        <w:rPr>
          <w:position w:val="-6"/>
        </w:rPr>
        <w:pict>
          <v:shape id="_x0000_i1042" o:spt="75" type="#_x0000_t75" style="height:17pt;width:9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533&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0F5&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39F2&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71C&quot;/&gt;&lt;wsp:rsid wsp:val=&quot;00207DC1&quot;/&gt;&lt;wsp:rsid wsp:val=&quot;00207EB6&quot;/&gt;&lt;wsp:rsid wsp:val=&quot;00207F52&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1AF5&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4D72&quot;/&gt;&lt;wsp:rsid wsp:val=&quot;002C5785&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A15&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733&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855&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1FAF&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4975&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3C93&quot;/&gt;&lt;wsp:rsid wsp:val=&quot;005541D8&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4A67&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279&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2EEA&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664&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5F17&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6C4F&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2A&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45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524&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6B5&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656D&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0E12&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65424&quot;/&gt;&lt;wsp:rsid wsp:val=&quot;00C65FC2&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71B&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1E20&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E7D2D&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3EF4&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579A8&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A221A8C&quot;/&gt;&lt;wsp:rsid wsp:val=&quot;3BE11D78&quot;/&gt;&lt;wsp:rsid wsp:val=&quot;427F3C93&quot;/&gt;&lt;wsp:rsid wsp:val=&quot;433C4601&quot;/&gt;&lt;wsp:rsid wsp:val=&quot;4791058B&quot;/&gt;&lt;wsp:rsid wsp:val=&quot;4DCD443A&quot;/&gt;&lt;wsp:rsid wsp:val=&quot;50064DCF&quot;/&gt;&lt;wsp:rsid wsp:val=&quot;52614F2B&quot;/&gt;&lt;wsp:rsid wsp:val=&quot;563D261E&quot;/&gt;&lt;wsp:rsid wsp:val=&quot;58D52887&quot;/&gt;&lt;wsp:rsid wsp:val=&quot;5E581D44&quot;/&gt;&lt;wsp:rsid wsp:val=&quot;60577FFF&quot;/&gt;&lt;wsp:rsid wsp:val=&quot;62F24C15&quot;/&gt;&lt;wsp:rsid wsp:val=&quot;72534367&quot;/&gt;&lt;wsp:rsid wsp:val=&quot;7580537C&quot;/&gt;&lt;/wsp:rsids&gt;&lt;/w:docPr&gt;&lt;w:body&gt;&lt;wx:sect&gt;&lt;w:p wsp:rsidR=&quot;00207F52&quot; wsp:rsidRDefault=&quot;00207F52&quot; wsp:rsidP=&quot;00207F52&quot;&gt;&lt;m:oMathPara&gt;&lt;m:oMath&gt;&lt;m:r&gt;&lt;w:rPr&gt;&lt;w:rFonts w:ascii=&quot;Cambria Math&quot; w:h-ansi=&quot;Cambria Math&quot;/&gt;&lt;wx:font wx:val=&quot;Cambria Math&quot;/&gt;&lt;w:i/&gt;&lt;/w:rPr&gt;&lt;m:t&gt;鈭?/m:t&gt;&lt;/m:r&gt;&lt;m:sSub&gt;&lt;m:sSubPr&gt;&lt;m:ctrlPr&gt;&lt;w:rPr&gt;&lt;w:rFonts w:ascii=&quot;Cambria Math&quot; 000000000000000000000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max&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min&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94" chromakey="#FFFFFF" o:title=""/>
            <o:lock v:ext="edit" aspectratio="t"/>
            <w10:wrap type="none"/>
            <w10:anchorlock/>
          </v:shape>
        </w:pict>
      </w:r>
      <w:r>
        <w:rPr>
          <w:rFonts w:ascii="Calibri" w:hAnsi="Calibri"/>
        </w:rPr>
        <w:instrText xml:space="preserve"> </w:instrText>
      </w:r>
      <w:r>
        <w:rPr>
          <w:rFonts w:ascii="Calibri" w:hAnsi="Calibri"/>
        </w:rPr>
        <w:fldChar w:fldCharType="separate"/>
      </w:r>
      <w:r>
        <w:rPr>
          <w:position w:val="-6"/>
        </w:rPr>
        <w:pict>
          <v:shape id="_x0000_i1043" o:spt="75" type="#_x0000_t75" style="height:17pt;width:9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533&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0F5&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39F2&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71C&quot;/&gt;&lt;wsp:rsid wsp:val=&quot;00207DC1&quot;/&gt;&lt;wsp:rsid wsp:val=&quot;00207EB6&quot;/&gt;&lt;wsp:rsid wsp:val=&quot;00207F52&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1AF5&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4D72&quot;/&gt;&lt;wsp:rsid wsp:val=&quot;002C5785&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A15&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733&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855&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1FAF&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4975&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3C93&quot;/&gt;&lt;wsp:rsid wsp:val=&quot;005541D8&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4A67&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279&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2EEA&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664&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5F17&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6C4F&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2A&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45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524&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6B5&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656D&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0E12&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65424&quot;/&gt;&lt;wsp:rsid wsp:val=&quot;00C65FC2&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71B&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1E20&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E7D2D&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3EF4&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579A8&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A221A8C&quot;/&gt;&lt;wsp:rsid wsp:val=&quot;3BE11D78&quot;/&gt;&lt;wsp:rsid wsp:val=&quot;427F3C93&quot;/&gt;&lt;wsp:rsid wsp:val=&quot;433C4601&quot;/&gt;&lt;wsp:rsid wsp:val=&quot;4791058B&quot;/&gt;&lt;wsp:rsid wsp:val=&quot;4DCD443A&quot;/&gt;&lt;wsp:rsid wsp:val=&quot;50064DCF&quot;/&gt;&lt;wsp:rsid wsp:val=&quot;52614F2B&quot;/&gt;&lt;wsp:rsid wsp:val=&quot;563D261E&quot;/&gt;&lt;wsp:rsid wsp:val=&quot;58D52887&quot;/&gt;&lt;wsp:rsid wsp:val=&quot;5E581D44&quot;/&gt;&lt;wsp:rsid wsp:val=&quot;60577FFF&quot;/&gt;&lt;wsp:rsid wsp:val=&quot;62F24C15&quot;/&gt;&lt;wsp:rsid wsp:val=&quot;72534367&quot;/&gt;&lt;wsp:rsid wsp:val=&quot;7580537C&quot;/&gt;&lt;/wsp:rsids&gt;&lt;/w:docPr&gt;&lt;w:body&gt;&lt;wx:sect&gt;&lt;w:p wsp:rsidR=&quot;00207F52&quot; wsp:rsidRDefault=&quot;00207F52&quot; wsp:rsidP=&quot;00207F52&quot;&gt;&lt;m:oMathPara&gt;&lt;m:oMath&gt;&lt;m:r&gt;&lt;w:rPr&gt;&lt;w:rFonts w:ascii=&quot;Cambria Math&quot; w:h-ansi=&quot;Cambria Math&quot;/&gt;&lt;wx:font wx:val=&quot;Cambria Math&quot;/&gt;&lt;w:i/&gt;&lt;/w:rPr&gt;&lt;m:t&gt;鈭?/m:t&gt;&lt;/m:r&gt;&lt;m:sSub&gt;&lt;m:sSubPr&gt;&lt;m:ctrlPr&gt;&lt;w:rPr&gt;&lt;w:rFonts w:ascii=&quot;Cambria Math&quot; 000000000000000000000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max&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min&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94" chromakey="#FFFFFF" o:title=""/>
            <o:lock v:ext="edit" aspectratio="t"/>
            <w10:wrap type="none"/>
            <w10:anchorlock/>
          </v:shape>
        </w:pict>
      </w:r>
      <w:r>
        <w:rPr>
          <w:rFonts w:ascii="Calibri" w:hAnsi="Calibri"/>
        </w:rPr>
        <w:fldChar w:fldCharType="end"/>
      </w:r>
      <w:r>
        <w:rPr>
          <w:rFonts w:ascii="Calibri" w:hAnsi="Calibri"/>
        </w:rPr>
        <w:t xml:space="preserve"> </w:t>
      </w:r>
    </w:p>
    <w:p w14:paraId="6F197E72">
      <w:pPr>
        <w:ind w:firstLine="422" w:firstLineChars="200"/>
        <w:jc w:val="center"/>
        <w:rPr>
          <w:rFonts w:ascii="Calibri" w:hAnsi="Calibri"/>
        </w:rPr>
      </w:pPr>
      <w:r>
        <w:rPr>
          <w:b/>
        </w:rPr>
        <w:t>2</w:t>
      </w:r>
      <w:r>
        <w:rPr>
          <w:rFonts w:hint="eastAsia" w:ascii="Calibri" w:hAnsi="Calibri"/>
          <w:b/>
        </w:rPr>
        <w:t xml:space="preserve">  </w:t>
      </w:r>
      <w:r>
        <w:rPr>
          <w:rFonts w:hint="eastAsia" w:ascii="Calibri" w:hAnsi="Calibri"/>
        </w:rPr>
        <w:t>整体最大降温工况：                 （11.2.12）</w:t>
      </w:r>
    </w:p>
    <w:p w14:paraId="4014CEF4">
      <w:pPr>
        <w:ind w:firstLine="420" w:firstLineChars="200"/>
        <w:rPr>
          <w:rFonts w:ascii="Calibri" w:hAnsi="Calibri"/>
        </w:rPr>
      </w:pPr>
      <w:r>
        <w:rPr>
          <w:rFonts w:ascii="Calibri" w:hAnsi="Calibri"/>
        </w:rPr>
        <w:fldChar w:fldCharType="begin"/>
      </w:r>
      <w:r>
        <w:rPr>
          <w:rFonts w:ascii="Calibri" w:hAnsi="Calibri"/>
        </w:rPr>
        <w:instrText xml:space="preserve"> QUOTE </w:instrText>
      </w:r>
      <w:r>
        <w:rPr>
          <w:position w:val="-6"/>
        </w:rPr>
        <w:pict>
          <v:shape id="_x0000_i1044" o:spt="75" type="#_x0000_t75" style="height:17pt;width:9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533&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0F5&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6F0&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39F2&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71C&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1AF5&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4D72&quot;/&gt;&lt;wsp:rsid wsp:val=&quot;002C5785&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A15&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733&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855&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1FAF&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4975&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3C93&quot;/&gt;&lt;wsp:rsid wsp:val=&quot;005541D8&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4A67&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279&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2EEA&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664&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5F17&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6C4F&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2A&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45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524&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6B5&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656D&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0E12&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65424&quot;/&gt;&lt;wsp:rsid wsp:val=&quot;00C65FC2&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71B&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1E20&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E7D2D&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3EF4&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579A8&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A221A8C&quot;/&gt;&lt;wsp:rsid wsp:val=&quot;3BE11D78&quot;/&gt;&lt;wsp:rsid wsp:val=&quot;427F3C93&quot;/&gt;&lt;wsp:rsid wsp:val=&quot;433C4601&quot;/&gt;&lt;wsp:rsid wsp:val=&quot;4791058B&quot;/&gt;&lt;wsp:rsid wsp:val=&quot;4DCD443A&quot;/&gt;&lt;wsp:rsid wsp:val=&quot;50064DCF&quot;/&gt;&lt;wsp:rsid wsp:val=&quot;52614F2B&quot;/&gt;&lt;wsp:rsid wsp:val=&quot;563D261E&quot;/&gt;&lt;wsp:rsid wsp:val=&quot;58D52887&quot;/&gt;&lt;wsp:rsid wsp:val=&quot;5E581D44&quot;/&gt;&lt;wsp:rsid wsp:val=&quot;60577FFF&quot;/&gt;&lt;wsp:rsid wsp:val=&quot;62F24C15&quot;/&gt;&lt;wsp:rsid wsp:val=&quot;72534367&quot;/&gt;&lt;wsp:rsid wsp:val=&quot;7580537C&quot;/&gt;&lt;/wsp:rsids&gt;&lt;/w:docPr&gt;&lt;w:body&gt;&lt;wx:sect&gt;&lt;w:p wsp:rsidR=&quot;001D26F0&quot; wsp:rsidRDefault=&quot;001D26F0&quot; wsp:rsidP=&quot;001D26F0&quot;&gt;&lt;m:oMathPara&gt;&lt;m:oMath&gt;&lt;m:r&gt;&lt;w:rPr&gt;&lt;w:rFonts w:ascii=&quot;Cambria Math&quot; w:h-ansi=&quot;Cambria Math&quot;/&gt;&lt;wx:font wx:val=&quot;Cambria Math&quot;/&gt;&lt;w:i/&gt;&lt;/w:rPr&gt;&lt;m:t&gt;鈭?/m:t&gt;&lt;/m:r&gt;&lt;m:sSub&gt;&lt;m:sSubPr&gt;&lt;m:ctrlPr&gt;&lt;w:rPr&gt;&lt;w:rFonts w:ascii=&quot;Cambria Math&quot; 000000000000000000000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min&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95" chromakey="#FFFFFF" o:title=""/>
            <o:lock v:ext="edit" aspectratio="t"/>
            <w10:wrap type="none"/>
            <w10:anchorlock/>
          </v:shape>
        </w:pict>
      </w:r>
      <w:r>
        <w:rPr>
          <w:rFonts w:ascii="Calibri" w:hAnsi="Calibri"/>
        </w:rPr>
        <w:instrText xml:space="preserve"> </w:instrText>
      </w:r>
      <w:r>
        <w:rPr>
          <w:rFonts w:ascii="Calibri" w:hAnsi="Calibri"/>
        </w:rPr>
        <w:fldChar w:fldCharType="separate"/>
      </w:r>
      <w:r>
        <w:rPr>
          <w:position w:val="-6"/>
        </w:rPr>
        <w:pict>
          <v:shape id="_x0000_i1045" o:spt="75" type="#_x0000_t75" style="height:17pt;width:9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533&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0F5&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6F0&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39F2&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71C&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1AF5&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4D72&quot;/&gt;&lt;wsp:rsid wsp:val=&quot;002C5785&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A15&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733&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855&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1FAF&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4975&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3C93&quot;/&gt;&lt;wsp:rsid wsp:val=&quot;005541D8&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4A67&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279&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2EEA&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664&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5F17&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6C4F&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2A&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45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524&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6B5&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656D&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0E12&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65424&quot;/&gt;&lt;wsp:rsid wsp:val=&quot;00C65FC2&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71B&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1E20&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E7D2D&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3EF4&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579A8&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A221A8C&quot;/&gt;&lt;wsp:rsid wsp:val=&quot;3BE11D78&quot;/&gt;&lt;wsp:rsid wsp:val=&quot;427F3C93&quot;/&gt;&lt;wsp:rsid wsp:val=&quot;433C4601&quot;/&gt;&lt;wsp:rsid wsp:val=&quot;4791058B&quot;/&gt;&lt;wsp:rsid wsp:val=&quot;4DCD443A&quot;/&gt;&lt;wsp:rsid wsp:val=&quot;50064DCF&quot;/&gt;&lt;wsp:rsid wsp:val=&quot;52614F2B&quot;/&gt;&lt;wsp:rsid wsp:val=&quot;563D261E&quot;/&gt;&lt;wsp:rsid wsp:val=&quot;58D52887&quot;/&gt;&lt;wsp:rsid wsp:val=&quot;5E581D44&quot;/&gt;&lt;wsp:rsid wsp:val=&quot;60577FFF&quot;/&gt;&lt;wsp:rsid wsp:val=&quot;62F24C15&quot;/&gt;&lt;wsp:rsid wsp:val=&quot;72534367&quot;/&gt;&lt;wsp:rsid wsp:val=&quot;7580537C&quot;/&gt;&lt;/wsp:rsids&gt;&lt;/w:docPr&gt;&lt;w:body&gt;&lt;wx:sect&gt;&lt;w:p wsp:rsidR=&quot;001D26F0&quot; wsp:rsidRDefault=&quot;001D26F0&quot; wsp:rsidP=&quot;001D26F0&quot;&gt;&lt;m:oMathPara&gt;&lt;m:oMath&gt;&lt;m:r&gt;&lt;w:rPr&gt;&lt;w:rFonts w:ascii=&quot;Cambria Math&quot; w:h-ansi=&quot;Cambria Math&quot;/&gt;&lt;wx:font wx:val=&quot;Cambria Math&quot;/&gt;&lt;w:i/&gt;&lt;/w:rPr&gt;&lt;m:t&gt;鈭?/m:t&gt;&lt;/m:r&gt;&lt;m:sSub&gt;&lt;m:sSubPr&gt;&lt;m:ctrlPr&gt;&lt;w:rPr&gt;&lt;w:rFonts w:ascii=&quot;Cambria Math&quot; 000000000000000000000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min&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95" chromakey="#FFFFFF" o:title=""/>
            <o:lock v:ext="edit" aspectratio="t"/>
            <w10:wrap type="none"/>
            <w10:anchorlock/>
          </v:shape>
        </w:pict>
      </w:r>
      <w:r>
        <w:rPr>
          <w:rFonts w:ascii="Calibri" w:hAnsi="Calibri"/>
        </w:rPr>
        <w:fldChar w:fldCharType="end"/>
      </w:r>
      <w:r>
        <w:rPr>
          <w:rFonts w:ascii="Calibri" w:hAnsi="Calibri"/>
        </w:rPr>
        <w:t xml:space="preserve"> </w:t>
      </w:r>
    </w:p>
    <w:p w14:paraId="79544413">
      <w:pPr>
        <w:ind w:firstLine="420" w:firstLineChars="200"/>
        <w:rPr>
          <w:rFonts w:ascii="Calibri" w:hAnsi="Calibri"/>
        </w:rPr>
      </w:pPr>
      <w:r>
        <w:rPr>
          <w:rFonts w:hint="eastAsia" w:ascii="Calibri" w:hAnsi="Calibri"/>
        </w:rPr>
        <w:t>式中：</w:t>
      </w:r>
      <w:r>
        <w:rPr>
          <w:rFonts w:ascii="Calibri" w:hAnsi="Calibri"/>
        </w:rPr>
        <w:fldChar w:fldCharType="begin"/>
      </w:r>
      <w:r>
        <w:rPr>
          <w:rFonts w:ascii="Calibri" w:hAnsi="Calibri"/>
        </w:rPr>
        <w:instrText xml:space="preserve"> QUOTE </w:instrText>
      </w:r>
      <w:r>
        <w:rPr>
          <w:position w:val="-6"/>
        </w:rPr>
        <w:pict>
          <v:shape id="_x0000_i1046" o:spt="75" type="#_x0000_t75" style="height:17pt;width: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533&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0F5&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39F2&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71C&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1AF5&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4D72&quot;/&gt;&lt;wsp:rsid wsp:val=&quot;002C5785&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A15&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733&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855&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1FAF&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4975&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3C93&quot;/&gt;&lt;wsp:rsid wsp:val=&quot;005541D8&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4A67&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279&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2EEA&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664&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5F17&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6C4F&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2A&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45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524&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6B5&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656D&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0E12&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6F77&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65424&quot;/&gt;&lt;wsp:rsid wsp:val=&quot;00C65FC2&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71B&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1E20&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E7D2D&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3EF4&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579A8&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A221A8C&quot;/&gt;&lt;wsp:rsid wsp:val=&quot;3BE11D78&quot;/&gt;&lt;wsp:rsid wsp:val=&quot;427F3C93&quot;/&gt;&lt;wsp:rsid wsp:val=&quot;433C4601&quot;/&gt;&lt;wsp:rsid wsp:val=&quot;4791058B&quot;/&gt;&lt;wsp:rsid wsp:val=&quot;4DCD443A&quot;/&gt;&lt;wsp:rsid wsp:val=&quot;50064DCF&quot;/&gt;&lt;wsp:rsid wsp:val=&quot;52614F2B&quot;/&gt;&lt;wsp:rsid wsp:val=&quot;563D261E&quot;/&gt;&lt;wsp:rsid wsp:val=&quot;58D52887&quot;/&gt;&lt;wsp:rsid wsp:val=&quot;5E581D44&quot;/&gt;&lt;wsp:rsid wsp:val=&quot;60577FFF&quot;/&gt;&lt;wsp:rsid wsp:val=&quot;62F24C15&quot;/&gt;&lt;wsp:rsid wsp:val=&quot;72534367&quot;/&gt;&lt;wsp:rsid wsp:val=&quot;7580537C&quot;/&gt;&lt;/wsp:rsids&gt;&lt;/w:docPr&gt;&lt;w:body&gt;&lt;wx:sect&gt;&lt;w:p wsp:rsidR=&quot;00C16F77&quot; wsp:rsidRDefault=&quot;00C16F77&quot; wsp:rsidP=&quot;00C16F7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lt;/m:t&gt;&lt;/m:r&gt;&lt;m:r&gt;&lt;w:rPr&gt;&lt;w:rFonts w:ascii=&quot;Cambria Math&quot; w:h-ansi=&quot;Cambria Math&quot;/&gt;&lt;wx:font wx:val=&quot;Cambria Math&quot;/&gt;&lt;w:i/&gt;&lt;/w:rPr&gt;&lt;m:t&gt;min&lt;/m:t&gt;&lt;/m:r&gt;&lt;/m:sub&gt;&lt;/m:sSub&gt;&lt;m:r&gt;&lt;m:rPr&gt;&lt;m:sty m:val=&quot;p&quot;/&gt;&lt;/m:rPr&gt;&lt;w:rPr&gt;&lt;w:rFonts w:ascii=&quot;Cambria Math&quot; w:h-ansi=&quot;Cambria Math&quot; w:hint=&quot;fareast&quot;/&gt;&lt;wx:font wx:val=&quot;瀹嬩綋&quot;/&gt;&lt;/w:rPr&gt;&lt;m:t&gt;銆?/m:t&gt;&lt;/m:r&gt;&lt;m:sSub&gt;&lt;m:sSubPr&gt;&lt;m:ctrlPr&gt;&lt;w:rPr&gt;&lt;w:rFonts w:ascii=&quot;Cambria Math&quot; w:h-ansi=&quot;Cambria Math&quot;/&gt;&lt;wx:font wx:val=&quot;Cambria Math&quot;/&gt;&lt;/w:rPr&gt;&lt;/m:ctrlPr&gt;&lt;/m:sSubPr&gt;&lt;m:e&gt;&lt;m:r&gt;&lt;w:rPr&gt;&lt;&quot;CambCambCambCambCambCambCambCambCambCambCambCambCambCambCambCambCambCambCambCamb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lt;/m:t&gt;&lt;/m:r&gt;&lt;m:r&gt;&lt;w:rPr&gt;&lt;w:rFonts w:ascii=&quot;Cambria Math&quot; w:h-ansi=&quot;Cambria Math&quot;/&gt;&lt;wx:font wx:val=&quot;Cambria Math&quot;/&gt;&lt;w:i/&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96" chromakey="#FFFFFF" o:title=""/>
            <o:lock v:ext="edit" aspectratio="t"/>
            <w10:wrap type="none"/>
            <w10:anchorlock/>
          </v:shape>
        </w:pict>
      </w:r>
      <w:r>
        <w:rPr>
          <w:rFonts w:ascii="Calibri" w:hAnsi="Calibri"/>
        </w:rPr>
        <w:instrText xml:space="preserve"> </w:instrText>
      </w:r>
      <w:r>
        <w:rPr>
          <w:rFonts w:ascii="Calibri" w:hAnsi="Calibri"/>
        </w:rPr>
        <w:fldChar w:fldCharType="separate"/>
      </w:r>
      <w:r>
        <w:rPr>
          <w:position w:val="-6"/>
        </w:rPr>
        <w:pict>
          <v:shape id="_x0000_i1047" o:spt="75" type="#_x0000_t75" style="height:17pt;width: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533&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0F5&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39F2&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71C&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1AF5&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4D72&quot;/&gt;&lt;wsp:rsid wsp:val=&quot;002C5785&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A15&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733&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855&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1FAF&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4975&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3C93&quot;/&gt;&lt;wsp:rsid wsp:val=&quot;005541D8&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4A67&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279&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2EEA&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664&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5F17&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6C4F&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2A&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45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524&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6B5&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656D&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0E12&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6F77&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65424&quot;/&gt;&lt;wsp:rsid wsp:val=&quot;00C65FC2&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71B&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1E20&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E7D2D&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3EF4&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579A8&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A221A8C&quot;/&gt;&lt;wsp:rsid wsp:val=&quot;3BE11D78&quot;/&gt;&lt;wsp:rsid wsp:val=&quot;427F3C93&quot;/&gt;&lt;wsp:rsid wsp:val=&quot;433C4601&quot;/&gt;&lt;wsp:rsid wsp:val=&quot;4791058B&quot;/&gt;&lt;wsp:rsid wsp:val=&quot;4DCD443A&quot;/&gt;&lt;wsp:rsid wsp:val=&quot;50064DCF&quot;/&gt;&lt;wsp:rsid wsp:val=&quot;52614F2B&quot;/&gt;&lt;wsp:rsid wsp:val=&quot;563D261E&quot;/&gt;&lt;wsp:rsid wsp:val=&quot;58D52887&quot;/&gt;&lt;wsp:rsid wsp:val=&quot;5E581D44&quot;/&gt;&lt;wsp:rsid wsp:val=&quot;60577FFF&quot;/&gt;&lt;wsp:rsid wsp:val=&quot;62F24C15&quot;/&gt;&lt;wsp:rsid wsp:val=&quot;72534367&quot;/&gt;&lt;wsp:rsid wsp:val=&quot;7580537C&quot;/&gt;&lt;/wsp:rsids&gt;&lt;/w:docPr&gt;&lt;w:body&gt;&lt;wx:sect&gt;&lt;w:p wsp:rsidR=&quot;00C16F77&quot; wsp:rsidRDefault=&quot;00C16F77&quot; wsp:rsidP=&quot;00C16F7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lt;/m:t&gt;&lt;/m:r&gt;&lt;m:r&gt;&lt;w:rPr&gt;&lt;w:rFonts w:ascii=&quot;Cambria Math&quot; w:h-ansi=&quot;Cambria Math&quot;/&gt;&lt;wx:font wx:val=&quot;Cambria Math&quot;/&gt;&lt;w:i/&gt;&lt;/w:rPr&gt;&lt;m:t&gt;min&lt;/m:t&gt;&lt;/m:r&gt;&lt;/m:sub&gt;&lt;/m:sSub&gt;&lt;m:r&gt;&lt;m:rPr&gt;&lt;m:sty m:val=&quot;p&quot;/&gt;&lt;/m:rPr&gt;&lt;w:rPr&gt;&lt;w:rFonts w:ascii=&quot;Cambria Math&quot; w:h-ansi=&quot;Cambria Math&quot; w:hint=&quot;fareast&quot;/&gt;&lt;wx:font wx:val=&quot;瀹嬩綋&quot;/&gt;&lt;/w:rPr&gt;&lt;m:t&gt;銆?/m:t&gt;&lt;/m:r&gt;&lt;m:sSub&gt;&lt;m:sSubPr&gt;&lt;m:ctrlPr&gt;&lt;w:rPr&gt;&lt;w:rFonts w:ascii=&quot;Cambria Math&quot; w:h-ansi=&quot;Cambria Math&quot;/&gt;&lt;wx:font wx:val=&quot;Cambria Math&quot;/&gt;&lt;/w:rPr&gt;&lt;/m:ctrlPr&gt;&lt;/m:sSubPr&gt;&lt;m:e&gt;&lt;m:r&gt;&lt;w:rPr&gt;&lt;&quot;CambCambCambCambCambCambCambCambCambCambCambCambCambCambCambCambCambCambCambCamb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lt;/m:t&gt;&lt;/m:r&gt;&lt;m:r&gt;&lt;w:rPr&gt;&lt;w:rFonts w:ascii=&quot;Cambria Math&quot; w:h-ansi=&quot;Cambria Math&quot;/&gt;&lt;wx:font wx:val=&quot;Cambria Math&quot;/&gt;&lt;w:i/&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96" chromakey="#FFFFFF" o:title=""/>
            <o:lock v:ext="edit" aspectratio="t"/>
            <w10:wrap type="none"/>
            <w10:anchorlock/>
          </v:shape>
        </w:pict>
      </w:r>
      <w:r>
        <w:rPr>
          <w:rFonts w:ascii="Calibri" w:hAnsi="Calibri"/>
        </w:rPr>
        <w:fldChar w:fldCharType="end"/>
      </w:r>
      <w:r>
        <w:rPr>
          <w:rFonts w:hint="eastAsia" w:ascii="Calibri" w:hAnsi="Calibri"/>
        </w:rPr>
        <w:t>：结构合拢时平均最低温度、平均最高温度；</w:t>
      </w:r>
    </w:p>
    <w:p w14:paraId="30C47A26">
      <w:pPr>
        <w:ind w:firstLine="420" w:firstLineChars="200"/>
        <w:rPr>
          <w:rFonts w:ascii="Calibri" w:hAnsi="Calibri"/>
        </w:rPr>
      </w:pPr>
      <m:oMath>
        <m:sSub>
          <m:sSubPr>
            <m:ctrlPr>
              <w:rPr>
                <w:rFonts w:ascii="Cambria Math" w:hAnsi="Cambria Math"/>
              </w:rPr>
            </m:ctrlPr>
          </m:sSubPr>
          <m:e>
            <m:r>
              <m:rPr/>
              <w:rPr>
                <w:rFonts w:ascii="Cambria Math" w:hAnsi="Cambria Math"/>
              </w:rPr>
              <m:t>T</m:t>
            </m:r>
            <m:ctrlPr>
              <w:rPr>
                <w:rFonts w:ascii="Cambria Math" w:hAnsi="Cambria Math"/>
              </w:rPr>
            </m:ctrlPr>
          </m:e>
          <m:sub>
            <m:r>
              <m:rPr/>
              <w:rPr>
                <w:rFonts w:ascii="Cambria Math" w:hAnsi="Cambria Math"/>
              </w:rPr>
              <m:t>s</m:t>
            </m:r>
            <m:r>
              <m:rPr>
                <m:sty m:val="p"/>
              </m:rPr>
              <w:rPr>
                <w:rFonts w:ascii="Cambria Math" w:hAnsi="Cambria Math"/>
              </w:rPr>
              <m:t>,</m:t>
            </m:r>
            <m:r>
              <m:rPr/>
              <w:rPr>
                <w:rFonts w:ascii="Cambria Math" w:hAnsi="Cambria Math"/>
              </w:rPr>
              <m:t>max</m:t>
            </m:r>
            <m:ctrlPr>
              <w:rPr>
                <w:rFonts w:ascii="Cambria Math" w:hAnsi="Cambria Math"/>
              </w:rPr>
            </m:ctrlPr>
          </m:sub>
        </m:sSub>
      </m:oMath>
      <w:r>
        <w:rPr>
          <w:rFonts w:hint="eastAsia" w:ascii="Calibri" w:hAnsi="Calibri"/>
        </w:rPr>
        <w:t>、</w:t>
      </w:r>
      <m:oMath>
        <m:sSub>
          <m:sSubPr>
            <m:ctrlPr>
              <w:rPr>
                <w:rFonts w:ascii="Cambria Math" w:hAnsi="Cambria Math"/>
              </w:rPr>
            </m:ctrlPr>
          </m:sSubPr>
          <m:e>
            <m:r>
              <m:rPr/>
              <w:rPr>
                <w:rFonts w:ascii="Cambria Math" w:hAnsi="Cambria Math"/>
              </w:rPr>
              <m:t>T</m:t>
            </m:r>
            <m:ctrlPr>
              <w:rPr>
                <w:rFonts w:ascii="Cambria Math" w:hAnsi="Cambria Math"/>
              </w:rPr>
            </m:ctrlPr>
          </m:e>
          <m:sub>
            <m:r>
              <m:rPr/>
              <w:rPr>
                <w:rFonts w:ascii="Cambria Math" w:hAnsi="Cambria Math"/>
              </w:rPr>
              <m:t>s</m:t>
            </m:r>
            <m:r>
              <m:rPr>
                <m:sty m:val="p"/>
              </m:rPr>
              <w:rPr>
                <w:rFonts w:ascii="Cambria Math" w:hAnsi="Cambria Math"/>
              </w:rPr>
              <m:t>,</m:t>
            </m:r>
            <m:r>
              <m:rPr/>
              <w:rPr>
                <w:rFonts w:ascii="Cambria Math" w:hAnsi="Cambria Math"/>
              </w:rPr>
              <m:t>min</m:t>
            </m:r>
            <m:ctrlPr>
              <w:rPr>
                <w:rFonts w:ascii="Cambria Math" w:hAnsi="Cambria Math"/>
              </w:rPr>
            </m:ctrlPr>
          </m:sub>
        </m:sSub>
      </m:oMath>
      <w:r>
        <w:rPr>
          <w:rFonts w:hint="eastAsia" w:ascii="Calibri" w:hAnsi="Calibri"/>
        </w:rPr>
        <w:t>：结构使用阶段最高平均温度、最低平均温度；</w:t>
      </w:r>
    </w:p>
    <w:p w14:paraId="7C8ED759">
      <w:pPr>
        <w:numPr>
          <w:ilvl w:val="2"/>
          <w:numId w:val="1"/>
        </w:numPr>
        <w:tabs>
          <w:tab w:val="left" w:pos="709"/>
          <w:tab w:val="left" w:pos="794"/>
        </w:tabs>
        <w:outlineLvl w:val="2"/>
        <w:rPr>
          <w:rFonts w:ascii="Calibri" w:hAnsi="Calibri"/>
          <w:bCs/>
        </w:rPr>
      </w:pPr>
      <w:r>
        <w:rPr>
          <w:rFonts w:hint="eastAsia" w:ascii="Calibri" w:hAnsi="Calibri"/>
          <w:bCs/>
        </w:rPr>
        <w:t>车站顶棚、围护结构风荷载宜根据现行行业标准《屋盖结构风荷载标准》JGJ/T481确定。</w:t>
      </w:r>
    </w:p>
    <w:p w14:paraId="0EE85F7B">
      <w:pPr>
        <w:numPr>
          <w:ilvl w:val="2"/>
          <w:numId w:val="1"/>
        </w:numPr>
        <w:tabs>
          <w:tab w:val="left" w:pos="709"/>
          <w:tab w:val="left" w:pos="794"/>
        </w:tabs>
        <w:outlineLvl w:val="2"/>
        <w:rPr>
          <w:rFonts w:ascii="Calibri" w:hAnsi="Calibri"/>
          <w:bCs/>
        </w:rPr>
      </w:pPr>
      <w:r>
        <w:rPr>
          <w:rFonts w:hint="eastAsia" w:ascii="Calibri" w:hAnsi="Calibri"/>
          <w:bCs/>
        </w:rPr>
        <w:t>体型复杂的车站宜考虑对风荷载的不利影响。</w:t>
      </w:r>
    </w:p>
    <w:p w14:paraId="03A3A5C3">
      <w:pPr>
        <w:numPr>
          <w:ilvl w:val="2"/>
          <w:numId w:val="1"/>
        </w:numPr>
        <w:tabs>
          <w:tab w:val="left" w:pos="709"/>
          <w:tab w:val="left" w:pos="794"/>
        </w:tabs>
        <w:outlineLvl w:val="2"/>
        <w:rPr>
          <w:bCs/>
        </w:rPr>
      </w:pPr>
      <w:r>
        <w:rPr>
          <w:bCs/>
        </w:rPr>
        <w:t>施工及设备安装中应根据具体情况，验算施工安装荷载对结构的影响。</w:t>
      </w:r>
    </w:p>
    <w:p w14:paraId="381AE688">
      <w:pPr>
        <w:jc w:val="center"/>
        <w:rPr>
          <w:rFonts w:ascii="Calibri" w:hAnsi="Calibri"/>
          <w:b/>
        </w:rPr>
      </w:pPr>
      <w:r>
        <w:rPr>
          <w:rFonts w:hint="eastAsia" w:ascii="宋体" w:hAnsi="宋体" w:cs="宋体"/>
          <w:b/>
        </w:rPr>
        <w:t>Ⅲ</w:t>
      </w:r>
      <w:r>
        <w:rPr>
          <w:rFonts w:hint="eastAsia" w:ascii="Calibri" w:hAnsi="Calibri"/>
          <w:b/>
        </w:rPr>
        <w:t xml:space="preserve">  </w:t>
      </w:r>
      <w:r>
        <w:rPr>
          <w:rFonts w:ascii="Calibri" w:hAnsi="Calibri"/>
          <w:b/>
        </w:rPr>
        <w:t>结构设计</w:t>
      </w:r>
    </w:p>
    <w:p w14:paraId="7B0ACE30">
      <w:pPr>
        <w:numPr>
          <w:ilvl w:val="2"/>
          <w:numId w:val="1"/>
        </w:numPr>
        <w:tabs>
          <w:tab w:val="left" w:pos="709"/>
          <w:tab w:val="left" w:pos="794"/>
        </w:tabs>
        <w:outlineLvl w:val="2"/>
        <w:rPr>
          <w:bCs/>
        </w:rPr>
      </w:pPr>
      <w:r>
        <w:rPr>
          <w:rFonts w:hint="eastAsia"/>
          <w:bCs/>
        </w:rPr>
        <w:t>高</w:t>
      </w:r>
      <w:r>
        <w:rPr>
          <w:bCs/>
        </w:rPr>
        <w:t>架车站宜采用“桥−建”合一的框架结构体系，条件允许时可选用“桥−建”分离式结构。</w:t>
      </w:r>
    </w:p>
    <w:p w14:paraId="6894FF05">
      <w:pPr>
        <w:numPr>
          <w:ilvl w:val="2"/>
          <w:numId w:val="1"/>
        </w:numPr>
        <w:tabs>
          <w:tab w:val="left" w:pos="709"/>
          <w:tab w:val="left" w:pos="794"/>
        </w:tabs>
        <w:outlineLvl w:val="2"/>
        <w:rPr>
          <w:rFonts w:ascii="Calibri" w:hAnsi="Calibri"/>
          <w:bCs/>
        </w:rPr>
      </w:pPr>
      <w:r>
        <w:rPr>
          <w:bCs/>
        </w:rPr>
        <w:t>车</w:t>
      </w:r>
      <w:r>
        <w:rPr>
          <w:rFonts w:ascii="Calibri" w:hAnsi="Calibri"/>
          <w:bCs/>
        </w:rPr>
        <w:t>站结构</w:t>
      </w:r>
      <w:r>
        <w:rPr>
          <w:rFonts w:hint="eastAsia" w:ascii="Calibri" w:hAnsi="Calibri"/>
          <w:bCs/>
        </w:rPr>
        <w:t>可</w:t>
      </w:r>
      <w:r>
        <w:rPr>
          <w:rFonts w:ascii="Calibri" w:hAnsi="Calibri"/>
          <w:bCs/>
        </w:rPr>
        <w:t>采用钢筋混凝土</w:t>
      </w:r>
      <w:r>
        <w:rPr>
          <w:rFonts w:hint="eastAsia" w:ascii="Calibri" w:hAnsi="Calibri"/>
          <w:bCs/>
        </w:rPr>
        <w:t>（预应力混凝土）或钢混组合结构。并满足如下要求：</w:t>
      </w:r>
    </w:p>
    <w:p w14:paraId="37085F20">
      <w:pPr>
        <w:ind w:firstLine="422" w:firstLineChars="200"/>
      </w:pPr>
      <w:r>
        <w:rPr>
          <w:rFonts w:hint="eastAsia"/>
          <w:b/>
        </w:rPr>
        <w:t xml:space="preserve">1  </w:t>
      </w:r>
      <w:r>
        <w:rPr>
          <w:rFonts w:hint="eastAsia"/>
        </w:rPr>
        <w:t>轨道梁竖向活载静挠度、梁端转角应符合11.1.35条的要求；</w:t>
      </w:r>
    </w:p>
    <w:p w14:paraId="57360F36">
      <w:pPr>
        <w:ind w:firstLine="422" w:firstLineChars="200"/>
      </w:pPr>
      <w:r>
        <w:rPr>
          <w:rFonts w:hint="eastAsia"/>
          <w:b/>
        </w:rPr>
        <w:t xml:space="preserve">2 </w:t>
      </w:r>
      <w:r>
        <w:rPr>
          <w:rFonts w:hint="eastAsia"/>
        </w:rPr>
        <w:t xml:space="preserve"> 铺轨后轨行区墩柱顶纵横向弹性位移应符合11.1.40条的要求；</w:t>
      </w:r>
    </w:p>
    <w:p w14:paraId="4FF27A7C">
      <w:pPr>
        <w:ind w:firstLine="422" w:firstLineChars="200"/>
      </w:pPr>
      <w:r>
        <w:rPr>
          <w:rFonts w:hint="eastAsia"/>
          <w:b/>
        </w:rPr>
        <w:t xml:space="preserve">3 </w:t>
      </w:r>
      <w:r>
        <w:rPr>
          <w:rFonts w:hint="eastAsia"/>
        </w:rPr>
        <w:t xml:space="preserve"> </w:t>
      </w:r>
      <w:r>
        <w:t>悬臂端计算挠度</w:t>
      </w:r>
      <w:r>
        <w:rPr>
          <w:rFonts w:hint="eastAsia"/>
        </w:rPr>
        <w:t>不应大于</w:t>
      </w:r>
      <w:r>
        <w:t>悬臂构件计算跨度的1/600</w:t>
      </w:r>
      <w:r>
        <w:rPr>
          <w:rFonts w:hint="eastAsia"/>
        </w:rPr>
        <w:t>；</w:t>
      </w:r>
    </w:p>
    <w:p w14:paraId="2451C828">
      <w:pPr>
        <w:ind w:firstLine="422" w:firstLineChars="200"/>
      </w:pPr>
      <w:r>
        <w:rPr>
          <w:rFonts w:hint="eastAsia"/>
          <w:b/>
        </w:rPr>
        <w:t xml:space="preserve">4 </w:t>
      </w:r>
      <w:r>
        <w:rPr>
          <w:rFonts w:hint="eastAsia"/>
        </w:rPr>
        <w:t xml:space="preserve"> 车站基础沉降应符合11.1.43条的要求。</w:t>
      </w:r>
    </w:p>
    <w:p w14:paraId="70786997">
      <w:pPr>
        <w:numPr>
          <w:ilvl w:val="2"/>
          <w:numId w:val="1"/>
        </w:numPr>
        <w:tabs>
          <w:tab w:val="left" w:pos="709"/>
          <w:tab w:val="left" w:pos="794"/>
        </w:tabs>
        <w:outlineLvl w:val="2"/>
        <w:rPr>
          <w:bCs/>
        </w:rPr>
      </w:pPr>
      <w:r>
        <w:rPr>
          <w:rFonts w:hint="eastAsia"/>
          <w:bCs/>
        </w:rPr>
        <w:t>“桥-建”合一车站结构及不直接承受列车荷载的独立结构的基础等级不宜低于乙级。</w:t>
      </w:r>
    </w:p>
    <w:p w14:paraId="5677B57F">
      <w:pPr>
        <w:numPr>
          <w:ilvl w:val="2"/>
          <w:numId w:val="1"/>
        </w:numPr>
        <w:tabs>
          <w:tab w:val="left" w:pos="709"/>
          <w:tab w:val="left" w:pos="794"/>
        </w:tabs>
        <w:outlineLvl w:val="2"/>
        <w:rPr>
          <w:rFonts w:ascii="Calibri" w:hAnsi="Calibri"/>
          <w:bCs/>
        </w:rPr>
      </w:pPr>
      <w:r>
        <w:rPr>
          <w:rFonts w:hint="eastAsia" w:ascii="Calibri" w:hAnsi="Calibri"/>
          <w:bCs/>
        </w:rPr>
        <w:t>车站主体结构、顶棚、天桥、金属屋面安全等级为一级，不直接承受列车荷载的独立结构安全等级宜为二级。</w:t>
      </w:r>
    </w:p>
    <w:p w14:paraId="497ABBDA">
      <w:pPr>
        <w:numPr>
          <w:ilvl w:val="2"/>
          <w:numId w:val="1"/>
        </w:numPr>
        <w:tabs>
          <w:tab w:val="left" w:pos="709"/>
          <w:tab w:val="left" w:pos="794"/>
        </w:tabs>
        <w:outlineLvl w:val="2"/>
        <w:rPr>
          <w:bCs/>
        </w:rPr>
      </w:pPr>
      <w:r>
        <w:rPr>
          <w:bCs/>
        </w:rPr>
        <w:t>当</w:t>
      </w:r>
      <w:r>
        <w:rPr>
          <w:rFonts w:hint="eastAsia"/>
          <w:bCs/>
        </w:rPr>
        <w:t>车站不设置变形缝时，应考虑整体温度升降效应、混凝土收缩效应等不利情况。并宜对混凝土原材料、混凝土、后浇带、构造配筋、施工等进行明确要求。</w:t>
      </w:r>
    </w:p>
    <w:p w14:paraId="0485778F">
      <w:pPr>
        <w:numPr>
          <w:ilvl w:val="2"/>
          <w:numId w:val="1"/>
        </w:numPr>
        <w:tabs>
          <w:tab w:val="left" w:pos="709"/>
          <w:tab w:val="left" w:pos="794"/>
        </w:tabs>
        <w:outlineLvl w:val="2"/>
        <w:rPr>
          <w:bCs/>
        </w:rPr>
      </w:pPr>
      <w:r>
        <w:rPr>
          <w:rFonts w:hint="eastAsia"/>
          <w:bCs/>
        </w:rPr>
        <w:t>当车站设置变形缝时，</w:t>
      </w:r>
      <w:r>
        <w:rPr>
          <w:bCs/>
        </w:rPr>
        <w:t>变形缝宽度尚应满足抗震缝宽度的要求，当高度不超过15m时不应小于100mm；高度超过15m时，高度每增加3m，应加宽缝宽20mm。</w:t>
      </w:r>
    </w:p>
    <w:p w14:paraId="0F4868DE">
      <w:pPr>
        <w:numPr>
          <w:ilvl w:val="2"/>
          <w:numId w:val="1"/>
        </w:numPr>
        <w:tabs>
          <w:tab w:val="left" w:pos="840"/>
          <w:tab w:val="left" w:pos="5880"/>
          <w:tab w:val="clear" w:pos="1701"/>
        </w:tabs>
        <w:outlineLvl w:val="2"/>
        <w:rPr>
          <w:bCs/>
        </w:rPr>
      </w:pPr>
      <w:r>
        <w:rPr>
          <w:rFonts w:hint="eastAsia"/>
          <w:bCs/>
        </w:rPr>
        <w:t>车站在保证节点连接构造安全可靠的前提下，可采用装配式结构。</w:t>
      </w:r>
    </w:p>
    <w:p w14:paraId="67EBBDCD">
      <w:pPr>
        <w:jc w:val="center"/>
        <w:rPr>
          <w:rFonts w:ascii="Calibri" w:hAnsi="Calibri"/>
          <w:b/>
        </w:rPr>
      </w:pPr>
      <w:r>
        <w:rPr>
          <w:rFonts w:hint="eastAsia" w:ascii="宋体" w:hAnsi="宋体" w:cs="宋体"/>
          <w:b/>
        </w:rPr>
        <w:t>Ⅳ</w:t>
      </w:r>
      <w:r>
        <w:rPr>
          <w:rFonts w:hint="eastAsia" w:ascii="Calibri" w:hAnsi="Calibri"/>
          <w:b/>
        </w:rPr>
        <w:t xml:space="preserve">  </w:t>
      </w:r>
      <w:r>
        <w:rPr>
          <w:rFonts w:ascii="Calibri" w:hAnsi="Calibri"/>
          <w:b/>
        </w:rPr>
        <w:t>抗震设计</w:t>
      </w:r>
    </w:p>
    <w:p w14:paraId="59DD414E">
      <w:pPr>
        <w:numPr>
          <w:ilvl w:val="2"/>
          <w:numId w:val="1"/>
        </w:numPr>
        <w:tabs>
          <w:tab w:val="left" w:pos="840"/>
          <w:tab w:val="left" w:pos="5880"/>
          <w:tab w:val="clear" w:pos="1701"/>
        </w:tabs>
        <w:outlineLvl w:val="2"/>
        <w:rPr>
          <w:bCs/>
        </w:rPr>
      </w:pPr>
      <w:r>
        <w:rPr>
          <w:bCs/>
        </w:rPr>
        <w:t>“桥−建”分离式高架车站，轨道梁桥和车站结构应分别按现行国家标准《铁路工程抗震设计规范》GB50111</w:t>
      </w:r>
      <w:r>
        <w:rPr>
          <w:rFonts w:hint="eastAsia"/>
          <w:bCs/>
        </w:rPr>
        <w:t>、</w:t>
      </w:r>
      <w:r>
        <w:rPr>
          <w:bCs/>
        </w:rPr>
        <w:t>《建筑抗震设计</w:t>
      </w:r>
      <w:r>
        <w:rPr>
          <w:rFonts w:hint="eastAsia"/>
          <w:bCs/>
        </w:rPr>
        <w:t>标准</w:t>
      </w:r>
      <w:r>
        <w:rPr>
          <w:bCs/>
        </w:rPr>
        <w:t>》GB</w:t>
      </w:r>
      <w:r>
        <w:rPr>
          <w:rFonts w:hint="eastAsia"/>
          <w:bCs/>
        </w:rPr>
        <w:t>/T</w:t>
      </w:r>
      <w:r>
        <w:rPr>
          <w:bCs/>
        </w:rPr>
        <w:t>50011</w:t>
      </w:r>
      <w:r>
        <w:rPr>
          <w:rFonts w:hint="eastAsia"/>
          <w:bCs/>
        </w:rPr>
        <w:t>和《城市轨道交通结构抗震设计规范》</w:t>
      </w:r>
      <w:r>
        <w:rPr>
          <w:bCs/>
        </w:rPr>
        <w:t>GB 50</w:t>
      </w:r>
      <w:r>
        <w:rPr>
          <w:rFonts w:hint="eastAsia"/>
          <w:bCs/>
        </w:rPr>
        <w:t>909</w:t>
      </w:r>
      <w:r>
        <w:rPr>
          <w:bCs/>
        </w:rPr>
        <w:t>进行抗震设计。</w:t>
      </w:r>
    </w:p>
    <w:p w14:paraId="181F3364">
      <w:pPr>
        <w:numPr>
          <w:ilvl w:val="2"/>
          <w:numId w:val="1"/>
        </w:numPr>
        <w:tabs>
          <w:tab w:val="left" w:pos="840"/>
          <w:tab w:val="left" w:pos="5880"/>
          <w:tab w:val="clear" w:pos="1701"/>
        </w:tabs>
        <w:outlineLvl w:val="2"/>
        <w:rPr>
          <w:rFonts w:ascii="Calibri" w:hAnsi="Calibri"/>
          <w:bCs/>
        </w:rPr>
      </w:pPr>
      <w:r>
        <w:rPr>
          <w:rFonts w:hint="eastAsia" w:ascii="Calibri" w:hAnsi="Calibri"/>
          <w:bCs/>
        </w:rPr>
        <w:t>“桥-建”合一高架车站</w:t>
      </w:r>
      <w:r>
        <w:rPr>
          <w:rFonts w:ascii="Calibri" w:hAnsi="Calibri"/>
          <w:bCs/>
        </w:rPr>
        <w:t>抗震</w:t>
      </w:r>
      <w:r>
        <w:rPr>
          <w:rFonts w:hint="eastAsia" w:ascii="Calibri" w:hAnsi="Calibri"/>
          <w:bCs/>
        </w:rPr>
        <w:t>性能目标</w:t>
      </w:r>
      <w:r>
        <w:rPr>
          <w:rFonts w:ascii="Calibri" w:hAnsi="Calibri"/>
          <w:bCs/>
        </w:rPr>
        <w:t>应符合表11.</w:t>
      </w:r>
      <w:r>
        <w:rPr>
          <w:rFonts w:hint="eastAsia" w:ascii="Calibri" w:hAnsi="Calibri"/>
          <w:bCs/>
        </w:rPr>
        <w:t>2</w:t>
      </w:r>
      <w:r>
        <w:rPr>
          <w:rFonts w:ascii="Calibri" w:hAnsi="Calibri"/>
          <w:bCs/>
        </w:rPr>
        <w:t>.</w:t>
      </w:r>
      <w:r>
        <w:rPr>
          <w:rFonts w:hint="eastAsia" w:ascii="Calibri" w:hAnsi="Calibri"/>
          <w:bCs/>
        </w:rPr>
        <w:t>24-1的规定，抗震设防</w:t>
      </w:r>
      <w:r>
        <w:rPr>
          <w:rFonts w:hint="eastAsia"/>
          <w:bCs/>
        </w:rPr>
        <w:t>目标</w:t>
      </w:r>
      <w:r>
        <w:rPr>
          <w:rFonts w:hint="eastAsia" w:ascii="Calibri" w:hAnsi="Calibri"/>
          <w:bCs/>
        </w:rPr>
        <w:t>不应低于表11.2.24-2</w:t>
      </w:r>
      <w:r>
        <w:rPr>
          <w:rFonts w:ascii="Calibri" w:hAnsi="Calibri"/>
          <w:bCs/>
        </w:rPr>
        <w:t>的规定。</w:t>
      </w:r>
    </w:p>
    <w:p w14:paraId="000345F2">
      <w:pPr>
        <w:pStyle w:val="198"/>
      </w:pPr>
      <w:r>
        <w:t>表11.</w:t>
      </w:r>
      <w:r>
        <w:rPr>
          <w:rFonts w:hint="eastAsia"/>
        </w:rPr>
        <w:t>2</w:t>
      </w:r>
      <w:r>
        <w:t>.</w:t>
      </w:r>
      <w:r>
        <w:rPr>
          <w:rFonts w:hint="eastAsia"/>
        </w:rPr>
        <w:t>24-1</w:t>
      </w:r>
      <w:r>
        <w:t xml:space="preserve"> </w:t>
      </w:r>
      <w:r>
        <w:rPr>
          <w:rFonts w:hint="eastAsia"/>
        </w:rPr>
        <w:t xml:space="preserve"> 高架车站</w:t>
      </w:r>
      <w:r>
        <w:t>抗震</w:t>
      </w:r>
      <w:r>
        <w:rPr>
          <w:rFonts w:hint="eastAsia"/>
        </w:rPr>
        <w:t>性能目标</w:t>
      </w:r>
    </w:p>
    <w:tbl>
      <w:tblPr>
        <w:tblStyle w:val="88"/>
        <w:tblW w:w="4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3770"/>
      </w:tblGrid>
      <w:tr w14:paraId="470F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vAlign w:val="center"/>
          </w:tcPr>
          <w:p w14:paraId="189EF463">
            <w:pPr>
              <w:snapToGrid w:val="0"/>
              <w:spacing w:before="20" w:after="20" w:line="240" w:lineRule="auto"/>
              <w:jc w:val="center"/>
              <w:rPr>
                <w:rFonts w:cs="宋体"/>
                <w:sz w:val="15"/>
                <w:szCs w:val="20"/>
              </w:rPr>
            </w:pPr>
            <w:r>
              <w:rPr>
                <w:rFonts w:hint="eastAsia" w:cs="宋体"/>
                <w:sz w:val="15"/>
                <w:szCs w:val="20"/>
              </w:rPr>
              <w:t>性能等级</w:t>
            </w:r>
          </w:p>
        </w:tc>
        <w:tc>
          <w:tcPr>
            <w:tcW w:w="3770" w:type="dxa"/>
            <w:vAlign w:val="center"/>
          </w:tcPr>
          <w:p w14:paraId="25123889">
            <w:pPr>
              <w:snapToGrid w:val="0"/>
              <w:spacing w:before="20" w:after="20" w:line="240" w:lineRule="auto"/>
              <w:jc w:val="center"/>
              <w:rPr>
                <w:rFonts w:cs="宋体"/>
                <w:sz w:val="15"/>
                <w:szCs w:val="20"/>
              </w:rPr>
            </w:pPr>
            <w:r>
              <w:rPr>
                <w:rFonts w:cs="宋体"/>
                <w:sz w:val="15"/>
                <w:szCs w:val="20"/>
              </w:rPr>
              <w:t>多遇地震</w:t>
            </w:r>
          </w:p>
        </w:tc>
      </w:tr>
      <w:tr w14:paraId="288E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vAlign w:val="center"/>
          </w:tcPr>
          <w:p w14:paraId="3BBD378E">
            <w:pPr>
              <w:snapToGrid w:val="0"/>
              <w:spacing w:before="20" w:after="20" w:line="240" w:lineRule="auto"/>
              <w:jc w:val="center"/>
              <w:rPr>
                <w:rFonts w:cs="宋体"/>
                <w:sz w:val="15"/>
                <w:szCs w:val="20"/>
              </w:rPr>
            </w:pPr>
            <w:r>
              <w:rPr>
                <w:rFonts w:hint="eastAsia" w:cs="宋体"/>
                <w:sz w:val="15"/>
                <w:szCs w:val="20"/>
              </w:rPr>
              <w:t>性能要求Ⅰ</w:t>
            </w:r>
          </w:p>
        </w:tc>
        <w:tc>
          <w:tcPr>
            <w:tcW w:w="3770" w:type="dxa"/>
            <w:vAlign w:val="center"/>
          </w:tcPr>
          <w:p w14:paraId="6509159B">
            <w:pPr>
              <w:snapToGrid w:val="0"/>
              <w:spacing w:before="20" w:after="20" w:line="240" w:lineRule="auto"/>
              <w:jc w:val="center"/>
              <w:rPr>
                <w:rFonts w:cs="宋体"/>
                <w:sz w:val="15"/>
                <w:szCs w:val="20"/>
              </w:rPr>
            </w:pPr>
            <w:r>
              <w:rPr>
                <w:rFonts w:hint="eastAsia" w:cs="宋体"/>
                <w:sz w:val="15"/>
                <w:szCs w:val="20"/>
              </w:rPr>
              <w:t>地震后不破坏或轻微破坏，应能保持其正常使用功能。结构处于弹性工作阶段；不应结构的变形导致轨道的过大变形而影响行车安全。</w:t>
            </w:r>
          </w:p>
        </w:tc>
      </w:tr>
      <w:tr w14:paraId="6827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vAlign w:val="center"/>
          </w:tcPr>
          <w:p w14:paraId="0743B369">
            <w:pPr>
              <w:snapToGrid w:val="0"/>
              <w:spacing w:before="20" w:after="20" w:line="240" w:lineRule="auto"/>
              <w:jc w:val="center"/>
              <w:rPr>
                <w:rFonts w:cs="宋体"/>
                <w:sz w:val="15"/>
                <w:szCs w:val="20"/>
              </w:rPr>
            </w:pPr>
            <w:r>
              <w:rPr>
                <w:rFonts w:hint="eastAsia" w:cs="宋体"/>
                <w:sz w:val="15"/>
                <w:szCs w:val="20"/>
              </w:rPr>
              <w:t>性能要求Ⅱ</w:t>
            </w:r>
          </w:p>
        </w:tc>
        <w:tc>
          <w:tcPr>
            <w:tcW w:w="3770" w:type="dxa"/>
            <w:vAlign w:val="center"/>
          </w:tcPr>
          <w:p w14:paraId="4B466F47">
            <w:pPr>
              <w:snapToGrid w:val="0"/>
              <w:spacing w:before="20" w:after="20" w:line="240" w:lineRule="auto"/>
              <w:jc w:val="center"/>
              <w:rPr>
                <w:rFonts w:cs="宋体"/>
                <w:sz w:val="15"/>
                <w:szCs w:val="20"/>
              </w:rPr>
            </w:pPr>
            <w:r>
              <w:rPr>
                <w:rFonts w:hint="eastAsia" w:cs="宋体"/>
                <w:sz w:val="15"/>
                <w:szCs w:val="20"/>
              </w:rPr>
              <w:t>地震后可破坏，经维修，短期内应能恢复其正常使用功能；结构局部进入弹塑性工作阶段。</w:t>
            </w:r>
          </w:p>
        </w:tc>
      </w:tr>
      <w:tr w14:paraId="7062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5" w:type="dxa"/>
            <w:vAlign w:val="center"/>
          </w:tcPr>
          <w:p w14:paraId="5A67896D">
            <w:pPr>
              <w:snapToGrid w:val="0"/>
              <w:spacing w:before="20" w:after="20" w:line="240" w:lineRule="auto"/>
              <w:jc w:val="center"/>
              <w:rPr>
                <w:rFonts w:cs="宋体"/>
                <w:sz w:val="15"/>
                <w:szCs w:val="20"/>
              </w:rPr>
            </w:pPr>
            <w:r>
              <w:rPr>
                <w:rFonts w:hint="eastAsia" w:cs="宋体"/>
                <w:sz w:val="15"/>
                <w:szCs w:val="20"/>
              </w:rPr>
              <w:t>性能要求Ⅲ</w:t>
            </w:r>
          </w:p>
        </w:tc>
        <w:tc>
          <w:tcPr>
            <w:tcW w:w="3770" w:type="dxa"/>
            <w:vAlign w:val="center"/>
          </w:tcPr>
          <w:p w14:paraId="511010D5">
            <w:pPr>
              <w:snapToGrid w:val="0"/>
              <w:spacing w:before="20" w:after="20" w:line="240" w:lineRule="auto"/>
              <w:jc w:val="center"/>
              <w:rPr>
                <w:rFonts w:cs="宋体"/>
                <w:sz w:val="15"/>
                <w:szCs w:val="20"/>
              </w:rPr>
            </w:pPr>
            <w:r>
              <w:rPr>
                <w:rFonts w:hint="eastAsia" w:cs="宋体"/>
                <w:sz w:val="15"/>
                <w:szCs w:val="20"/>
              </w:rPr>
              <w:t>地震后可产生较大破坏，但不应出现局部或整体倒毁，结构处于弹塑性工作阶段。</w:t>
            </w:r>
          </w:p>
        </w:tc>
      </w:tr>
    </w:tbl>
    <w:p w14:paraId="14A0ED60">
      <w:pPr>
        <w:snapToGrid w:val="0"/>
        <w:spacing w:before="20" w:after="20" w:line="240" w:lineRule="auto"/>
        <w:jc w:val="center"/>
        <w:rPr>
          <w:rFonts w:ascii="Calibri" w:hAnsi="Calibri"/>
          <w:sz w:val="15"/>
          <w:szCs w:val="20"/>
        </w:rPr>
      </w:pPr>
    </w:p>
    <w:p w14:paraId="7CBF3EA2">
      <w:pPr>
        <w:pStyle w:val="198"/>
      </w:pPr>
      <w:r>
        <w:t>表11.</w:t>
      </w:r>
      <w:r>
        <w:rPr>
          <w:rFonts w:hint="eastAsia"/>
        </w:rPr>
        <w:t>2</w:t>
      </w:r>
      <w:r>
        <w:t>.</w:t>
      </w:r>
      <w:r>
        <w:rPr>
          <w:rFonts w:hint="eastAsia"/>
        </w:rPr>
        <w:t>24-2</w:t>
      </w:r>
      <w:r>
        <w:t xml:space="preserve"> </w:t>
      </w:r>
      <w:r>
        <w:rPr>
          <w:rFonts w:hint="eastAsia"/>
        </w:rPr>
        <w:t xml:space="preserve"> 高架车站</w:t>
      </w:r>
      <w:r>
        <w:t>抗震</w:t>
      </w:r>
      <w:r>
        <w:rPr>
          <w:rFonts w:hint="eastAsia"/>
        </w:rPr>
        <w:t>设防目标</w:t>
      </w:r>
    </w:p>
    <w:tbl>
      <w:tblPr>
        <w:tblStyle w:val="88"/>
        <w:tblW w:w="3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266"/>
        <w:gridCol w:w="1674"/>
      </w:tblGrid>
      <w:tr w14:paraId="02EB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2122" w:type="dxa"/>
            <w:gridSpan w:val="2"/>
            <w:vAlign w:val="center"/>
          </w:tcPr>
          <w:p w14:paraId="4FD2C6FC">
            <w:pPr>
              <w:snapToGrid w:val="0"/>
              <w:spacing w:before="20" w:after="20" w:line="240" w:lineRule="auto"/>
              <w:jc w:val="center"/>
              <w:rPr>
                <w:rFonts w:cs="宋体"/>
                <w:sz w:val="15"/>
                <w:szCs w:val="20"/>
              </w:rPr>
            </w:pPr>
            <w:r>
              <w:rPr>
                <w:rFonts w:hint="eastAsia" w:cs="宋体"/>
                <w:sz w:val="15"/>
                <w:szCs w:val="20"/>
              </w:rPr>
              <w:t>地震动水准</w:t>
            </w:r>
          </w:p>
        </w:tc>
        <w:tc>
          <w:tcPr>
            <w:tcW w:w="1674" w:type="dxa"/>
            <w:vMerge w:val="restart"/>
            <w:vAlign w:val="center"/>
          </w:tcPr>
          <w:p w14:paraId="64288E62">
            <w:pPr>
              <w:snapToGrid w:val="0"/>
              <w:spacing w:before="20" w:after="20" w:line="240" w:lineRule="auto"/>
              <w:jc w:val="center"/>
              <w:rPr>
                <w:rFonts w:cs="宋体"/>
                <w:sz w:val="15"/>
                <w:szCs w:val="20"/>
              </w:rPr>
            </w:pPr>
            <w:r>
              <w:rPr>
                <w:rFonts w:hint="eastAsia" w:cs="宋体"/>
                <w:sz w:val="15"/>
                <w:szCs w:val="20"/>
              </w:rPr>
              <w:t>抗震设防目标</w:t>
            </w:r>
          </w:p>
        </w:tc>
      </w:tr>
      <w:tr w14:paraId="10F8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856" w:type="dxa"/>
            <w:vAlign w:val="center"/>
          </w:tcPr>
          <w:p w14:paraId="116FA03C">
            <w:pPr>
              <w:snapToGrid w:val="0"/>
              <w:spacing w:before="20" w:after="20" w:line="240" w:lineRule="auto"/>
              <w:jc w:val="center"/>
              <w:rPr>
                <w:rFonts w:cs="宋体"/>
                <w:sz w:val="15"/>
                <w:szCs w:val="20"/>
              </w:rPr>
            </w:pPr>
            <w:r>
              <w:rPr>
                <w:rFonts w:hint="eastAsia" w:cs="宋体"/>
                <w:sz w:val="15"/>
                <w:szCs w:val="20"/>
              </w:rPr>
              <w:t>等级</w:t>
            </w:r>
          </w:p>
        </w:tc>
        <w:tc>
          <w:tcPr>
            <w:tcW w:w="1266" w:type="dxa"/>
            <w:vAlign w:val="center"/>
          </w:tcPr>
          <w:p w14:paraId="0262D4A7">
            <w:pPr>
              <w:snapToGrid w:val="0"/>
              <w:spacing w:before="20" w:after="20" w:line="240" w:lineRule="auto"/>
              <w:jc w:val="center"/>
              <w:rPr>
                <w:rFonts w:cs="宋体"/>
                <w:sz w:val="15"/>
                <w:szCs w:val="20"/>
              </w:rPr>
            </w:pPr>
            <w:r>
              <w:rPr>
                <w:rFonts w:hint="eastAsia" w:cs="宋体"/>
                <w:sz w:val="15"/>
                <w:szCs w:val="20"/>
              </w:rPr>
              <w:t>重现期（年）</w:t>
            </w:r>
          </w:p>
        </w:tc>
        <w:tc>
          <w:tcPr>
            <w:tcW w:w="1674" w:type="dxa"/>
            <w:vMerge w:val="continue"/>
            <w:vAlign w:val="center"/>
          </w:tcPr>
          <w:p w14:paraId="2484AD49">
            <w:pPr>
              <w:snapToGrid w:val="0"/>
              <w:spacing w:before="20" w:after="20" w:line="240" w:lineRule="auto"/>
              <w:jc w:val="center"/>
              <w:rPr>
                <w:rFonts w:cs="宋体"/>
                <w:sz w:val="15"/>
                <w:szCs w:val="20"/>
              </w:rPr>
            </w:pPr>
          </w:p>
        </w:tc>
      </w:tr>
      <w:tr w14:paraId="1CAC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2D272E88">
            <w:pPr>
              <w:snapToGrid w:val="0"/>
              <w:spacing w:before="20" w:after="20" w:line="240" w:lineRule="auto"/>
              <w:jc w:val="center"/>
              <w:rPr>
                <w:rFonts w:cs="宋体"/>
                <w:sz w:val="15"/>
                <w:szCs w:val="20"/>
              </w:rPr>
            </w:pPr>
            <w:r>
              <w:rPr>
                <w:rFonts w:hint="eastAsia" w:cs="宋体"/>
                <w:sz w:val="15"/>
                <w:szCs w:val="20"/>
              </w:rPr>
              <w:t>多遇地震</w:t>
            </w:r>
          </w:p>
        </w:tc>
        <w:tc>
          <w:tcPr>
            <w:tcW w:w="1266" w:type="dxa"/>
            <w:vAlign w:val="center"/>
          </w:tcPr>
          <w:p w14:paraId="5330D4FF">
            <w:pPr>
              <w:snapToGrid w:val="0"/>
              <w:spacing w:before="20" w:after="20" w:line="240" w:lineRule="auto"/>
              <w:jc w:val="center"/>
              <w:rPr>
                <w:rFonts w:cs="宋体"/>
                <w:sz w:val="15"/>
                <w:szCs w:val="20"/>
              </w:rPr>
            </w:pPr>
            <w:r>
              <w:rPr>
                <w:rFonts w:hint="eastAsia" w:cs="宋体"/>
                <w:sz w:val="15"/>
                <w:szCs w:val="20"/>
              </w:rPr>
              <w:t>100</w:t>
            </w:r>
          </w:p>
        </w:tc>
        <w:tc>
          <w:tcPr>
            <w:tcW w:w="1674" w:type="dxa"/>
            <w:vAlign w:val="center"/>
          </w:tcPr>
          <w:p w14:paraId="13682051">
            <w:pPr>
              <w:snapToGrid w:val="0"/>
              <w:spacing w:before="20" w:after="20" w:line="240" w:lineRule="auto"/>
              <w:jc w:val="center"/>
              <w:rPr>
                <w:rFonts w:cs="宋体"/>
                <w:sz w:val="15"/>
                <w:szCs w:val="20"/>
              </w:rPr>
            </w:pPr>
            <w:r>
              <w:rPr>
                <w:rFonts w:hint="eastAsia" w:cs="宋体"/>
                <w:sz w:val="15"/>
                <w:szCs w:val="20"/>
              </w:rPr>
              <w:t>性能要求Ⅰ</w:t>
            </w:r>
          </w:p>
        </w:tc>
      </w:tr>
      <w:tr w14:paraId="57C9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22260D64">
            <w:pPr>
              <w:snapToGrid w:val="0"/>
              <w:spacing w:before="20" w:after="20" w:line="240" w:lineRule="auto"/>
              <w:jc w:val="center"/>
              <w:rPr>
                <w:rFonts w:cs="宋体"/>
                <w:sz w:val="15"/>
                <w:szCs w:val="20"/>
              </w:rPr>
            </w:pPr>
            <w:r>
              <w:rPr>
                <w:rFonts w:hint="eastAsia" w:cs="宋体"/>
                <w:sz w:val="15"/>
                <w:szCs w:val="20"/>
              </w:rPr>
              <w:t>设计地震</w:t>
            </w:r>
          </w:p>
        </w:tc>
        <w:tc>
          <w:tcPr>
            <w:tcW w:w="1266" w:type="dxa"/>
            <w:vAlign w:val="center"/>
          </w:tcPr>
          <w:p w14:paraId="28DC7206">
            <w:pPr>
              <w:snapToGrid w:val="0"/>
              <w:spacing w:before="20" w:after="20" w:line="240" w:lineRule="auto"/>
              <w:jc w:val="center"/>
              <w:rPr>
                <w:rFonts w:cs="宋体"/>
                <w:sz w:val="15"/>
                <w:szCs w:val="20"/>
              </w:rPr>
            </w:pPr>
            <w:r>
              <w:rPr>
                <w:rFonts w:hint="eastAsia" w:cs="宋体"/>
                <w:sz w:val="15"/>
                <w:szCs w:val="20"/>
              </w:rPr>
              <w:t>475</w:t>
            </w:r>
          </w:p>
        </w:tc>
        <w:tc>
          <w:tcPr>
            <w:tcW w:w="1674" w:type="dxa"/>
            <w:vAlign w:val="center"/>
          </w:tcPr>
          <w:p w14:paraId="2C0F089A">
            <w:pPr>
              <w:snapToGrid w:val="0"/>
              <w:spacing w:before="20" w:after="20" w:line="240" w:lineRule="auto"/>
              <w:jc w:val="center"/>
              <w:rPr>
                <w:rFonts w:cs="宋体"/>
                <w:sz w:val="15"/>
                <w:szCs w:val="20"/>
              </w:rPr>
            </w:pPr>
            <w:r>
              <w:rPr>
                <w:rFonts w:hint="eastAsia" w:cs="宋体"/>
                <w:sz w:val="15"/>
                <w:szCs w:val="20"/>
              </w:rPr>
              <w:t>性能要求Ⅱ</w:t>
            </w:r>
          </w:p>
        </w:tc>
      </w:tr>
      <w:tr w14:paraId="7C84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 w:type="dxa"/>
            <w:vAlign w:val="center"/>
          </w:tcPr>
          <w:p w14:paraId="73D0C090">
            <w:pPr>
              <w:snapToGrid w:val="0"/>
              <w:spacing w:before="20" w:after="20" w:line="240" w:lineRule="auto"/>
              <w:jc w:val="center"/>
              <w:rPr>
                <w:rFonts w:cs="宋体"/>
                <w:sz w:val="15"/>
                <w:szCs w:val="20"/>
              </w:rPr>
            </w:pPr>
            <w:r>
              <w:rPr>
                <w:rFonts w:hint="eastAsia" w:cs="宋体"/>
                <w:sz w:val="15"/>
                <w:szCs w:val="20"/>
              </w:rPr>
              <w:t>罕遇地震</w:t>
            </w:r>
          </w:p>
        </w:tc>
        <w:tc>
          <w:tcPr>
            <w:tcW w:w="1266" w:type="dxa"/>
            <w:vAlign w:val="center"/>
          </w:tcPr>
          <w:p w14:paraId="2A783B44">
            <w:pPr>
              <w:snapToGrid w:val="0"/>
              <w:spacing w:before="20" w:after="20" w:line="240" w:lineRule="auto"/>
              <w:jc w:val="center"/>
              <w:rPr>
                <w:rFonts w:cs="宋体"/>
                <w:sz w:val="15"/>
                <w:szCs w:val="20"/>
              </w:rPr>
            </w:pPr>
            <w:r>
              <w:rPr>
                <w:rFonts w:hint="eastAsia" w:cs="宋体"/>
                <w:sz w:val="15"/>
                <w:szCs w:val="20"/>
              </w:rPr>
              <w:t>2450</w:t>
            </w:r>
          </w:p>
        </w:tc>
        <w:tc>
          <w:tcPr>
            <w:tcW w:w="1674" w:type="dxa"/>
            <w:vAlign w:val="center"/>
          </w:tcPr>
          <w:p w14:paraId="6186695B">
            <w:pPr>
              <w:snapToGrid w:val="0"/>
              <w:spacing w:before="20" w:after="20" w:line="240" w:lineRule="auto"/>
              <w:jc w:val="center"/>
              <w:rPr>
                <w:rFonts w:cs="宋体"/>
                <w:sz w:val="15"/>
                <w:szCs w:val="20"/>
              </w:rPr>
            </w:pPr>
            <w:r>
              <w:rPr>
                <w:rFonts w:hint="eastAsia" w:cs="宋体"/>
                <w:sz w:val="15"/>
                <w:szCs w:val="20"/>
              </w:rPr>
              <w:t>性能要求Ⅲ</w:t>
            </w:r>
          </w:p>
        </w:tc>
      </w:tr>
    </w:tbl>
    <w:p w14:paraId="0A7141A2">
      <w:pPr>
        <w:numPr>
          <w:ilvl w:val="2"/>
          <w:numId w:val="1"/>
        </w:numPr>
        <w:tabs>
          <w:tab w:val="left" w:pos="840"/>
          <w:tab w:val="left" w:pos="5880"/>
          <w:tab w:val="clear" w:pos="1701"/>
        </w:tabs>
        <w:outlineLvl w:val="2"/>
        <w:rPr>
          <w:bCs/>
        </w:rPr>
      </w:pPr>
      <w:r>
        <w:rPr>
          <w:rFonts w:hint="eastAsia"/>
          <w:bCs/>
        </w:rPr>
        <w:t>车站主体结构抗震设防类别为重点设防类，不直接承受列车荷载的独立</w:t>
      </w:r>
      <w:r>
        <w:rPr>
          <w:rFonts w:hint="eastAsia" w:ascii="Calibri" w:hAnsi="Calibri"/>
          <w:bCs/>
        </w:rPr>
        <w:t>结构</w:t>
      </w:r>
      <w:r>
        <w:rPr>
          <w:rFonts w:hint="eastAsia"/>
          <w:bCs/>
        </w:rPr>
        <w:t>抗震设防类别宜为标准设防类。</w:t>
      </w:r>
    </w:p>
    <w:p w14:paraId="35EF8798">
      <w:pPr>
        <w:numPr>
          <w:ilvl w:val="2"/>
          <w:numId w:val="1"/>
        </w:numPr>
        <w:tabs>
          <w:tab w:val="left" w:pos="840"/>
          <w:tab w:val="left" w:pos="5880"/>
          <w:tab w:val="clear" w:pos="1701"/>
        </w:tabs>
        <w:outlineLvl w:val="2"/>
        <w:rPr>
          <w:rFonts w:ascii="Calibri" w:hAnsi="Calibri"/>
          <w:bCs/>
        </w:rPr>
      </w:pPr>
      <w:r>
        <w:rPr>
          <w:rFonts w:ascii="Calibri" w:hAnsi="Calibri"/>
          <w:bCs/>
        </w:rPr>
        <w:t>“桥−建”</w:t>
      </w:r>
      <w:r>
        <w:rPr>
          <w:rFonts w:hint="eastAsia" w:ascii="Calibri" w:hAnsi="Calibri"/>
          <w:bCs/>
        </w:rPr>
        <w:t>合一横向三柱及以上</w:t>
      </w:r>
      <w:r>
        <w:rPr>
          <w:rFonts w:ascii="Calibri" w:hAnsi="Calibri"/>
          <w:bCs/>
        </w:rPr>
        <w:t>的高架车站结构应按现行国家标准</w:t>
      </w:r>
      <w:r>
        <w:rPr>
          <w:rFonts w:hint="eastAsia"/>
          <w:bCs/>
        </w:rPr>
        <w:t>《建筑与市政工程抗震通用规范》</w:t>
      </w:r>
      <w:r>
        <w:rPr>
          <w:rFonts w:ascii="Calibri" w:hAnsi="Calibri"/>
          <w:bCs/>
        </w:rPr>
        <w:t>GB55002</w:t>
      </w:r>
      <w:r>
        <w:rPr>
          <w:rFonts w:hint="eastAsia" w:ascii="Calibri" w:hAnsi="Calibri"/>
          <w:bCs/>
        </w:rPr>
        <w:t>、</w:t>
      </w:r>
      <w:r>
        <w:rPr>
          <w:rFonts w:ascii="Calibri" w:hAnsi="Calibri"/>
          <w:bCs/>
        </w:rPr>
        <w:t>《建筑抗震设计</w:t>
      </w:r>
      <w:r>
        <w:rPr>
          <w:rFonts w:hint="eastAsia" w:ascii="Calibri" w:hAnsi="Calibri"/>
          <w:bCs/>
        </w:rPr>
        <w:t>标准</w:t>
      </w:r>
      <w:r>
        <w:rPr>
          <w:rFonts w:ascii="Calibri" w:hAnsi="Calibri"/>
          <w:bCs/>
        </w:rPr>
        <w:t>》GB</w:t>
      </w:r>
      <w:r>
        <w:rPr>
          <w:rFonts w:hint="eastAsia" w:ascii="Calibri" w:hAnsi="Calibri"/>
          <w:bCs/>
        </w:rPr>
        <w:t>/T</w:t>
      </w:r>
      <w:r>
        <w:rPr>
          <w:rFonts w:ascii="Calibri" w:hAnsi="Calibri"/>
          <w:bCs/>
        </w:rPr>
        <w:t>50011</w:t>
      </w:r>
      <w:r>
        <w:rPr>
          <w:rFonts w:hint="eastAsia" w:ascii="Calibri" w:hAnsi="Calibri"/>
          <w:bCs/>
        </w:rPr>
        <w:t>、《城市轨道交通结构抗震设计规范》</w:t>
      </w:r>
      <w:r>
        <w:rPr>
          <w:rFonts w:ascii="Calibri" w:hAnsi="Calibri"/>
          <w:bCs/>
        </w:rPr>
        <w:t>GB 50</w:t>
      </w:r>
      <w:r>
        <w:rPr>
          <w:rFonts w:hint="eastAsia" w:ascii="Calibri" w:hAnsi="Calibri"/>
          <w:bCs/>
        </w:rPr>
        <w:t>909的规定</w:t>
      </w:r>
      <w:r>
        <w:rPr>
          <w:rFonts w:ascii="Calibri" w:hAnsi="Calibri"/>
          <w:bCs/>
        </w:rPr>
        <w:t>进行抗震设计</w:t>
      </w:r>
      <w:r>
        <w:rPr>
          <w:rFonts w:hint="eastAsia" w:ascii="Calibri" w:hAnsi="Calibri"/>
          <w:bCs/>
        </w:rPr>
        <w:t>。</w:t>
      </w:r>
    </w:p>
    <w:p w14:paraId="41319E59">
      <w:pPr>
        <w:numPr>
          <w:ilvl w:val="2"/>
          <w:numId w:val="1"/>
        </w:numPr>
        <w:tabs>
          <w:tab w:val="left" w:pos="840"/>
          <w:tab w:val="left" w:pos="5880"/>
          <w:tab w:val="clear" w:pos="1701"/>
        </w:tabs>
        <w:outlineLvl w:val="2"/>
        <w:rPr>
          <w:rFonts w:ascii="Calibri" w:hAnsi="Calibri"/>
          <w:bCs/>
        </w:rPr>
      </w:pPr>
      <w:r>
        <w:rPr>
          <w:rFonts w:ascii="Calibri" w:hAnsi="Calibri"/>
          <w:bCs/>
        </w:rPr>
        <w:t>“桥−建”</w:t>
      </w:r>
      <w:r>
        <w:rPr>
          <w:rFonts w:hint="eastAsia" w:ascii="Calibri" w:hAnsi="Calibri"/>
          <w:bCs/>
        </w:rPr>
        <w:t>合一横向双柱高架车站</w:t>
      </w:r>
      <w:r>
        <w:rPr>
          <w:rFonts w:ascii="Calibri" w:hAnsi="Calibri"/>
          <w:bCs/>
        </w:rPr>
        <w:t>应</w:t>
      </w:r>
      <w:r>
        <w:rPr>
          <w:rFonts w:hint="eastAsia" w:ascii="Calibri" w:hAnsi="Calibri"/>
          <w:bCs/>
        </w:rPr>
        <w:t>按</w:t>
      </w:r>
      <w:r>
        <w:rPr>
          <w:rFonts w:ascii="Calibri" w:hAnsi="Calibri"/>
          <w:bCs/>
        </w:rPr>
        <w:t>现行国家标准</w:t>
      </w:r>
      <w:r>
        <w:rPr>
          <w:rFonts w:hint="eastAsia" w:ascii="Calibri" w:hAnsi="Calibri"/>
          <w:bCs/>
        </w:rPr>
        <w:t>《城市轨道交通结构抗震设计规范》</w:t>
      </w:r>
      <w:r>
        <w:rPr>
          <w:rFonts w:ascii="Calibri" w:hAnsi="Calibri"/>
          <w:bCs/>
        </w:rPr>
        <w:t>GB 50</w:t>
      </w:r>
      <w:r>
        <w:rPr>
          <w:rFonts w:hint="eastAsia" w:ascii="Calibri" w:hAnsi="Calibri"/>
          <w:bCs/>
        </w:rPr>
        <w:t>909或《铁路工程抗震设计规范》GB50111的规定进行抗震设计。</w:t>
      </w:r>
    </w:p>
    <w:p w14:paraId="279484CA">
      <w:pPr>
        <w:numPr>
          <w:ilvl w:val="2"/>
          <w:numId w:val="1"/>
        </w:numPr>
        <w:tabs>
          <w:tab w:val="left" w:pos="840"/>
          <w:tab w:val="left" w:pos="5880"/>
          <w:tab w:val="clear" w:pos="1701"/>
        </w:tabs>
        <w:outlineLvl w:val="2"/>
        <w:rPr>
          <w:bCs/>
        </w:rPr>
      </w:pPr>
      <w:r>
        <w:rPr>
          <w:rFonts w:hint="eastAsia"/>
          <w:bCs/>
        </w:rPr>
        <w:t>车站抗震设计时，宜计入两线各85%列车静活载和50%站台层人群荷载。</w:t>
      </w:r>
    </w:p>
    <w:p w14:paraId="07B705AA">
      <w:pPr>
        <w:numPr>
          <w:ilvl w:val="2"/>
          <w:numId w:val="1"/>
        </w:numPr>
        <w:tabs>
          <w:tab w:val="left" w:pos="709"/>
          <w:tab w:val="left" w:pos="794"/>
        </w:tabs>
        <w:outlineLvl w:val="2"/>
        <w:rPr>
          <w:bCs/>
        </w:rPr>
      </w:pPr>
      <w:r>
        <w:rPr>
          <w:bCs/>
        </w:rPr>
        <w:t>钢筋混凝土车站结构应根据设防类别、烈度、结构高度等采用不同的抗震等级，并应符合现行国家标准</w:t>
      </w:r>
      <w:r>
        <w:rPr>
          <w:rFonts w:hint="eastAsia"/>
          <w:bCs/>
        </w:rPr>
        <w:t>《建筑与市政工程抗震通用规范》</w:t>
      </w:r>
      <w:r>
        <w:rPr>
          <w:bCs/>
        </w:rPr>
        <w:t>GB55002</w:t>
      </w:r>
      <w:r>
        <w:rPr>
          <w:rFonts w:hint="eastAsia"/>
          <w:bCs/>
        </w:rPr>
        <w:t>、</w:t>
      </w:r>
      <w:r>
        <w:rPr>
          <w:bCs/>
        </w:rPr>
        <w:t>《建筑抗震设计</w:t>
      </w:r>
      <w:r>
        <w:rPr>
          <w:rFonts w:hint="eastAsia"/>
          <w:bCs/>
        </w:rPr>
        <w:t>标准</w:t>
      </w:r>
      <w:r>
        <w:rPr>
          <w:bCs/>
        </w:rPr>
        <w:t>》GB</w:t>
      </w:r>
      <w:r>
        <w:rPr>
          <w:rFonts w:hint="eastAsia"/>
          <w:bCs/>
        </w:rPr>
        <w:t>/T</w:t>
      </w:r>
      <w:r>
        <w:rPr>
          <w:bCs/>
        </w:rPr>
        <w:t>50011中相应的计算和构造要求。抗震等级应按表1</w:t>
      </w:r>
      <w:r>
        <w:rPr>
          <w:rFonts w:hint="eastAsia"/>
          <w:bCs/>
        </w:rPr>
        <w:t>1</w:t>
      </w:r>
      <w:r>
        <w:rPr>
          <w:bCs/>
        </w:rPr>
        <w:t>.2.</w:t>
      </w:r>
      <w:r>
        <w:rPr>
          <w:rFonts w:hint="eastAsia"/>
          <w:bCs/>
        </w:rPr>
        <w:t>29</w:t>
      </w:r>
      <w:r>
        <w:rPr>
          <w:bCs/>
        </w:rPr>
        <w:t>确定。</w:t>
      </w:r>
    </w:p>
    <w:p w14:paraId="1360FACA">
      <w:pPr>
        <w:pStyle w:val="198"/>
        <w:rPr>
          <w:rFonts w:ascii="Calibri" w:hAnsi="Calibri"/>
        </w:rPr>
      </w:pPr>
      <w:r>
        <w:rPr>
          <w:rFonts w:ascii="Calibri" w:hAnsi="Calibri"/>
        </w:rPr>
        <w:t>表1</w:t>
      </w:r>
      <w:r>
        <w:rPr>
          <w:rFonts w:hint="eastAsia" w:ascii="Calibri" w:hAnsi="Calibri"/>
        </w:rPr>
        <w:t>1</w:t>
      </w:r>
      <w:r>
        <w:rPr>
          <w:rFonts w:ascii="Calibri" w:hAnsi="Calibri"/>
        </w:rPr>
        <w:t>.2.</w:t>
      </w:r>
      <w:r>
        <w:rPr>
          <w:rFonts w:hint="eastAsia" w:ascii="Calibri" w:hAnsi="Calibri"/>
        </w:rPr>
        <w:t>29  重点设防类</w:t>
      </w:r>
      <w:r>
        <w:t>钢筋混凝土</w:t>
      </w:r>
      <w:r>
        <w:rPr>
          <w:rFonts w:ascii="Calibri" w:hAnsi="Calibri"/>
        </w:rPr>
        <w:t>车站结构抗震等级</w:t>
      </w:r>
    </w:p>
    <w:tbl>
      <w:tblPr>
        <w:tblStyle w:val="88"/>
        <w:tblW w:w="46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28"/>
        <w:gridCol w:w="931"/>
        <w:gridCol w:w="758"/>
        <w:gridCol w:w="830"/>
        <w:gridCol w:w="1377"/>
      </w:tblGrid>
      <w:tr w14:paraId="416EA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5" w:hRule="atLeast"/>
          <w:jc w:val="center"/>
        </w:trPr>
        <w:tc>
          <w:tcPr>
            <w:tcW w:w="1659" w:type="dxa"/>
            <w:gridSpan w:val="2"/>
            <w:vMerge w:val="restart"/>
            <w:tcBorders>
              <w:left w:val="single" w:color="000000" w:sz="6" w:space="0"/>
              <w:bottom w:val="nil"/>
            </w:tcBorders>
            <w:vAlign w:val="center"/>
          </w:tcPr>
          <w:p w14:paraId="0A81DB6C">
            <w:pPr>
              <w:snapToGrid w:val="0"/>
              <w:spacing w:before="20" w:after="20" w:line="240" w:lineRule="auto"/>
              <w:jc w:val="center"/>
              <w:rPr>
                <w:rFonts w:ascii="Calibri" w:hAnsi="Calibri" w:cs="宋体"/>
                <w:sz w:val="15"/>
                <w:szCs w:val="20"/>
              </w:rPr>
            </w:pPr>
            <w:r>
              <w:rPr>
                <w:rFonts w:ascii="Calibri" w:hAnsi="Calibri" w:cs="宋体"/>
                <w:sz w:val="15"/>
                <w:szCs w:val="20"/>
              </w:rPr>
              <w:t>结构类型</w:t>
            </w:r>
          </w:p>
        </w:tc>
        <w:tc>
          <w:tcPr>
            <w:tcW w:w="2965" w:type="dxa"/>
            <w:gridSpan w:val="3"/>
            <w:tcBorders>
              <w:right w:val="single" w:color="000000" w:sz="6" w:space="0"/>
            </w:tcBorders>
            <w:vAlign w:val="center"/>
          </w:tcPr>
          <w:p w14:paraId="32CB6F04">
            <w:pPr>
              <w:snapToGrid w:val="0"/>
              <w:spacing w:before="20" w:after="20" w:line="240" w:lineRule="auto"/>
              <w:jc w:val="center"/>
              <w:rPr>
                <w:rFonts w:ascii="Calibri" w:hAnsi="Calibri" w:cs="宋体"/>
                <w:sz w:val="15"/>
                <w:szCs w:val="20"/>
              </w:rPr>
            </w:pPr>
            <w:r>
              <w:rPr>
                <w:rFonts w:ascii="Calibri" w:hAnsi="Calibri" w:cs="宋体"/>
                <w:sz w:val="15"/>
                <w:szCs w:val="20"/>
              </w:rPr>
              <w:t>设防烈度</w:t>
            </w:r>
          </w:p>
        </w:tc>
      </w:tr>
      <w:tr w14:paraId="1C887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1" w:hRule="atLeast"/>
          <w:jc w:val="center"/>
        </w:trPr>
        <w:tc>
          <w:tcPr>
            <w:tcW w:w="1659" w:type="dxa"/>
            <w:gridSpan w:val="2"/>
            <w:vMerge w:val="continue"/>
            <w:tcBorders>
              <w:top w:val="nil"/>
              <w:left w:val="single" w:color="000000" w:sz="6" w:space="0"/>
            </w:tcBorders>
            <w:vAlign w:val="center"/>
          </w:tcPr>
          <w:p w14:paraId="4D674EB5">
            <w:pPr>
              <w:snapToGrid w:val="0"/>
              <w:spacing w:before="20" w:after="20" w:line="240" w:lineRule="auto"/>
              <w:jc w:val="center"/>
              <w:rPr>
                <w:rFonts w:ascii="Calibri" w:hAnsi="Calibri" w:cs="宋体"/>
                <w:sz w:val="15"/>
                <w:szCs w:val="20"/>
              </w:rPr>
            </w:pPr>
          </w:p>
        </w:tc>
        <w:tc>
          <w:tcPr>
            <w:tcW w:w="1588" w:type="dxa"/>
            <w:gridSpan w:val="2"/>
            <w:vAlign w:val="center"/>
          </w:tcPr>
          <w:p w14:paraId="0F435CDC">
            <w:pPr>
              <w:snapToGrid w:val="0"/>
              <w:spacing w:before="20" w:after="20" w:line="240" w:lineRule="auto"/>
              <w:jc w:val="center"/>
              <w:rPr>
                <w:rFonts w:ascii="Calibri" w:hAnsi="Calibri" w:cs="宋体"/>
                <w:sz w:val="15"/>
                <w:szCs w:val="20"/>
              </w:rPr>
            </w:pPr>
            <w:r>
              <w:rPr>
                <w:rFonts w:ascii="Calibri" w:hAnsi="Calibri" w:cs="宋体"/>
                <w:sz w:val="15"/>
                <w:szCs w:val="20"/>
              </w:rPr>
              <w:t>7</w:t>
            </w:r>
          </w:p>
        </w:tc>
        <w:tc>
          <w:tcPr>
            <w:tcW w:w="1377" w:type="dxa"/>
            <w:tcBorders>
              <w:right w:val="single" w:color="000000" w:sz="6" w:space="0"/>
            </w:tcBorders>
            <w:vAlign w:val="center"/>
          </w:tcPr>
          <w:p w14:paraId="264E1500">
            <w:pPr>
              <w:snapToGrid w:val="0"/>
              <w:spacing w:before="20" w:after="20" w:line="240" w:lineRule="auto"/>
              <w:jc w:val="center"/>
              <w:rPr>
                <w:rFonts w:ascii="Calibri" w:hAnsi="Calibri" w:cs="宋体"/>
                <w:sz w:val="15"/>
                <w:szCs w:val="20"/>
              </w:rPr>
            </w:pPr>
            <w:r>
              <w:rPr>
                <w:rFonts w:ascii="Calibri" w:hAnsi="Calibri" w:cs="宋体"/>
                <w:sz w:val="15"/>
                <w:szCs w:val="20"/>
              </w:rPr>
              <w:t>8</w:t>
            </w:r>
          </w:p>
        </w:tc>
      </w:tr>
      <w:tr w14:paraId="3E9AF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jc w:val="center"/>
        </w:trPr>
        <w:tc>
          <w:tcPr>
            <w:tcW w:w="728" w:type="dxa"/>
            <w:vMerge w:val="restart"/>
            <w:tcBorders>
              <w:left w:val="single" w:color="000000" w:sz="6" w:space="0"/>
              <w:bottom w:val="nil"/>
            </w:tcBorders>
            <w:vAlign w:val="center"/>
          </w:tcPr>
          <w:p w14:paraId="3AB7FD76">
            <w:pPr>
              <w:snapToGrid w:val="0"/>
              <w:spacing w:before="20" w:after="20" w:line="240" w:lineRule="auto"/>
              <w:jc w:val="center"/>
              <w:rPr>
                <w:rFonts w:ascii="Calibri" w:hAnsi="Calibri" w:cs="宋体"/>
                <w:sz w:val="15"/>
                <w:szCs w:val="20"/>
              </w:rPr>
            </w:pPr>
            <w:r>
              <w:rPr>
                <w:rFonts w:ascii="Calibri" w:hAnsi="Calibri" w:cs="宋体"/>
                <w:sz w:val="15"/>
                <w:szCs w:val="20"/>
              </w:rPr>
              <w:t>框架结构</w:t>
            </w:r>
          </w:p>
        </w:tc>
        <w:tc>
          <w:tcPr>
            <w:tcW w:w="931" w:type="dxa"/>
            <w:vAlign w:val="center"/>
          </w:tcPr>
          <w:p w14:paraId="3F835A1B">
            <w:pPr>
              <w:snapToGrid w:val="0"/>
              <w:spacing w:before="20" w:after="20" w:line="240" w:lineRule="auto"/>
              <w:jc w:val="center"/>
              <w:rPr>
                <w:rFonts w:ascii="Calibri" w:hAnsi="Calibri" w:cs="宋体"/>
                <w:sz w:val="15"/>
                <w:szCs w:val="20"/>
              </w:rPr>
            </w:pPr>
            <w:r>
              <w:rPr>
                <w:rFonts w:ascii="Calibri" w:hAnsi="Calibri" w:cs="宋体"/>
                <w:sz w:val="15"/>
                <w:szCs w:val="20"/>
              </w:rPr>
              <w:t>高度(m)</w:t>
            </w:r>
          </w:p>
        </w:tc>
        <w:tc>
          <w:tcPr>
            <w:tcW w:w="758" w:type="dxa"/>
            <w:vAlign w:val="center"/>
          </w:tcPr>
          <w:p w14:paraId="2D24872A">
            <w:pPr>
              <w:snapToGrid w:val="0"/>
              <w:spacing w:before="20" w:after="20" w:line="240" w:lineRule="auto"/>
              <w:jc w:val="center"/>
              <w:rPr>
                <w:rFonts w:ascii="Calibri" w:hAnsi="Calibri" w:cs="宋体"/>
                <w:sz w:val="15"/>
                <w:szCs w:val="20"/>
              </w:rPr>
            </w:pPr>
            <w:r>
              <w:rPr>
                <w:rFonts w:ascii="Calibri" w:hAnsi="Calibri" w:cs="宋体"/>
                <w:sz w:val="15"/>
                <w:szCs w:val="20"/>
              </w:rPr>
              <w:t>≤24</w:t>
            </w:r>
          </w:p>
        </w:tc>
        <w:tc>
          <w:tcPr>
            <w:tcW w:w="830" w:type="dxa"/>
            <w:vAlign w:val="center"/>
          </w:tcPr>
          <w:p w14:paraId="6D62296D">
            <w:pPr>
              <w:snapToGrid w:val="0"/>
              <w:spacing w:before="20" w:after="20" w:line="240" w:lineRule="auto"/>
              <w:jc w:val="center"/>
              <w:rPr>
                <w:rFonts w:ascii="Calibri" w:hAnsi="Calibri" w:cs="宋体"/>
                <w:sz w:val="15"/>
                <w:szCs w:val="20"/>
              </w:rPr>
            </w:pPr>
            <w:r>
              <w:rPr>
                <w:rFonts w:ascii="Calibri" w:hAnsi="Calibri" w:cs="宋体"/>
                <w:sz w:val="15"/>
                <w:szCs w:val="20"/>
              </w:rPr>
              <w:t>＞24</w:t>
            </w:r>
          </w:p>
        </w:tc>
        <w:tc>
          <w:tcPr>
            <w:tcW w:w="1377" w:type="dxa"/>
            <w:tcBorders>
              <w:right w:val="single" w:color="000000" w:sz="6" w:space="0"/>
            </w:tcBorders>
            <w:vAlign w:val="center"/>
          </w:tcPr>
          <w:p w14:paraId="69DC2C43">
            <w:pPr>
              <w:snapToGrid w:val="0"/>
              <w:spacing w:before="20" w:after="20" w:line="240" w:lineRule="auto"/>
              <w:jc w:val="center"/>
              <w:rPr>
                <w:rFonts w:ascii="Calibri" w:hAnsi="Calibri" w:cs="宋体"/>
                <w:sz w:val="15"/>
                <w:szCs w:val="20"/>
              </w:rPr>
            </w:pPr>
            <w:r>
              <w:rPr>
                <w:rFonts w:ascii="Calibri" w:hAnsi="Calibri" w:cs="宋体"/>
                <w:sz w:val="15"/>
                <w:szCs w:val="20"/>
              </w:rPr>
              <w:t>≤24</w:t>
            </w:r>
          </w:p>
        </w:tc>
      </w:tr>
      <w:tr w14:paraId="3066C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728" w:type="dxa"/>
            <w:vMerge w:val="continue"/>
            <w:tcBorders>
              <w:top w:val="nil"/>
              <w:left w:val="single" w:color="000000" w:sz="6" w:space="0"/>
              <w:bottom w:val="nil"/>
            </w:tcBorders>
            <w:vAlign w:val="center"/>
          </w:tcPr>
          <w:p w14:paraId="59C1B1E9">
            <w:pPr>
              <w:snapToGrid w:val="0"/>
              <w:spacing w:before="20" w:after="20" w:line="240" w:lineRule="auto"/>
              <w:jc w:val="center"/>
              <w:rPr>
                <w:rFonts w:ascii="Calibri" w:hAnsi="Calibri" w:cs="宋体"/>
                <w:sz w:val="15"/>
                <w:szCs w:val="20"/>
              </w:rPr>
            </w:pPr>
          </w:p>
        </w:tc>
        <w:tc>
          <w:tcPr>
            <w:tcW w:w="931" w:type="dxa"/>
            <w:vAlign w:val="center"/>
          </w:tcPr>
          <w:p w14:paraId="76D32C28">
            <w:pPr>
              <w:snapToGrid w:val="0"/>
              <w:spacing w:before="20" w:after="20" w:line="240" w:lineRule="auto"/>
              <w:jc w:val="center"/>
              <w:rPr>
                <w:rFonts w:ascii="Calibri" w:hAnsi="Calibri" w:cs="宋体"/>
                <w:sz w:val="15"/>
                <w:szCs w:val="20"/>
              </w:rPr>
            </w:pPr>
            <w:r>
              <w:rPr>
                <w:rFonts w:ascii="Calibri" w:hAnsi="Calibri" w:cs="宋体"/>
                <w:sz w:val="15"/>
                <w:szCs w:val="20"/>
              </w:rPr>
              <w:t>框架</w:t>
            </w:r>
          </w:p>
        </w:tc>
        <w:tc>
          <w:tcPr>
            <w:tcW w:w="758" w:type="dxa"/>
            <w:vAlign w:val="center"/>
          </w:tcPr>
          <w:p w14:paraId="1E51E5AE">
            <w:pPr>
              <w:snapToGrid w:val="0"/>
              <w:spacing w:before="20" w:after="20" w:line="240" w:lineRule="auto"/>
              <w:jc w:val="center"/>
              <w:rPr>
                <w:rFonts w:ascii="Calibri" w:hAnsi="Calibri" w:cs="宋体"/>
                <w:sz w:val="15"/>
                <w:szCs w:val="20"/>
              </w:rPr>
            </w:pPr>
            <w:r>
              <w:rPr>
                <w:rFonts w:ascii="Calibri" w:hAnsi="Calibri" w:cs="宋体"/>
                <w:sz w:val="15"/>
                <w:szCs w:val="20"/>
              </w:rPr>
              <w:t>二</w:t>
            </w:r>
          </w:p>
        </w:tc>
        <w:tc>
          <w:tcPr>
            <w:tcW w:w="830" w:type="dxa"/>
            <w:vAlign w:val="center"/>
          </w:tcPr>
          <w:p w14:paraId="46E51476">
            <w:pPr>
              <w:snapToGrid w:val="0"/>
              <w:spacing w:before="20" w:after="20" w:line="240" w:lineRule="auto"/>
              <w:jc w:val="center"/>
              <w:rPr>
                <w:rFonts w:ascii="Calibri" w:hAnsi="Calibri" w:cs="宋体"/>
                <w:sz w:val="15"/>
                <w:szCs w:val="20"/>
              </w:rPr>
            </w:pPr>
            <w:r>
              <w:rPr>
                <w:rFonts w:ascii="Calibri" w:hAnsi="Calibri" w:cs="宋体"/>
                <w:sz w:val="15"/>
                <w:szCs w:val="20"/>
              </w:rPr>
              <w:t>一</w:t>
            </w:r>
          </w:p>
        </w:tc>
        <w:tc>
          <w:tcPr>
            <w:tcW w:w="1377" w:type="dxa"/>
            <w:tcBorders>
              <w:right w:val="single" w:color="000000" w:sz="6" w:space="0"/>
            </w:tcBorders>
            <w:vAlign w:val="center"/>
          </w:tcPr>
          <w:p w14:paraId="5D4EBAF2">
            <w:pPr>
              <w:snapToGrid w:val="0"/>
              <w:spacing w:before="20" w:after="20" w:line="240" w:lineRule="auto"/>
              <w:jc w:val="center"/>
              <w:rPr>
                <w:rFonts w:ascii="Calibri" w:hAnsi="Calibri" w:cs="宋体"/>
                <w:sz w:val="15"/>
                <w:szCs w:val="20"/>
              </w:rPr>
            </w:pPr>
            <w:r>
              <w:rPr>
                <w:rFonts w:ascii="Calibri" w:hAnsi="Calibri" w:cs="宋体"/>
                <w:sz w:val="15"/>
                <w:szCs w:val="20"/>
              </w:rPr>
              <w:t>一</w:t>
            </w:r>
          </w:p>
        </w:tc>
      </w:tr>
      <w:tr w14:paraId="2FDC0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9" w:hRule="atLeast"/>
          <w:jc w:val="center"/>
        </w:trPr>
        <w:tc>
          <w:tcPr>
            <w:tcW w:w="728" w:type="dxa"/>
            <w:vMerge w:val="continue"/>
            <w:tcBorders>
              <w:top w:val="nil"/>
              <w:left w:val="single" w:color="000000" w:sz="6" w:space="0"/>
            </w:tcBorders>
            <w:vAlign w:val="center"/>
          </w:tcPr>
          <w:p w14:paraId="72AFDFE6">
            <w:pPr>
              <w:snapToGrid w:val="0"/>
              <w:spacing w:before="20" w:after="20" w:line="240" w:lineRule="auto"/>
              <w:jc w:val="center"/>
              <w:rPr>
                <w:rFonts w:ascii="Calibri" w:hAnsi="Calibri" w:cs="宋体"/>
                <w:sz w:val="15"/>
                <w:szCs w:val="20"/>
              </w:rPr>
            </w:pPr>
          </w:p>
        </w:tc>
        <w:tc>
          <w:tcPr>
            <w:tcW w:w="931" w:type="dxa"/>
            <w:vAlign w:val="center"/>
          </w:tcPr>
          <w:p w14:paraId="602D6314">
            <w:pPr>
              <w:snapToGrid w:val="0"/>
              <w:spacing w:before="20" w:after="20" w:line="240" w:lineRule="auto"/>
              <w:jc w:val="center"/>
              <w:rPr>
                <w:rFonts w:ascii="Calibri" w:hAnsi="Calibri" w:cs="宋体"/>
                <w:sz w:val="15"/>
                <w:szCs w:val="20"/>
              </w:rPr>
            </w:pPr>
            <w:r>
              <w:rPr>
                <w:rFonts w:ascii="Calibri" w:hAnsi="Calibri" w:cs="宋体"/>
                <w:sz w:val="15"/>
                <w:szCs w:val="20"/>
              </w:rPr>
              <w:t>大跨框架</w:t>
            </w:r>
          </w:p>
        </w:tc>
        <w:tc>
          <w:tcPr>
            <w:tcW w:w="758" w:type="dxa"/>
            <w:vAlign w:val="center"/>
          </w:tcPr>
          <w:p w14:paraId="483EDF17">
            <w:pPr>
              <w:snapToGrid w:val="0"/>
              <w:spacing w:before="20" w:after="20" w:line="240" w:lineRule="auto"/>
              <w:jc w:val="center"/>
              <w:rPr>
                <w:rFonts w:ascii="Calibri" w:hAnsi="Calibri" w:cs="宋体"/>
                <w:sz w:val="15"/>
                <w:szCs w:val="20"/>
              </w:rPr>
            </w:pPr>
            <w:r>
              <w:rPr>
                <w:rFonts w:ascii="Calibri" w:hAnsi="Calibri" w:cs="宋体"/>
                <w:sz w:val="15"/>
                <w:szCs w:val="20"/>
              </w:rPr>
              <w:t>一</w:t>
            </w:r>
          </w:p>
        </w:tc>
        <w:tc>
          <w:tcPr>
            <w:tcW w:w="830" w:type="dxa"/>
            <w:vAlign w:val="center"/>
          </w:tcPr>
          <w:p w14:paraId="2F01539E">
            <w:pPr>
              <w:snapToGrid w:val="0"/>
              <w:spacing w:before="20" w:after="20" w:line="240" w:lineRule="auto"/>
              <w:jc w:val="center"/>
              <w:rPr>
                <w:rFonts w:ascii="Calibri" w:hAnsi="Calibri" w:cs="宋体"/>
                <w:sz w:val="15"/>
                <w:szCs w:val="20"/>
              </w:rPr>
            </w:pPr>
            <w:r>
              <w:rPr>
                <w:rFonts w:ascii="Calibri" w:hAnsi="Calibri" w:cs="宋体"/>
                <w:sz w:val="15"/>
                <w:szCs w:val="20"/>
              </w:rPr>
              <w:t>一</w:t>
            </w:r>
          </w:p>
        </w:tc>
        <w:tc>
          <w:tcPr>
            <w:tcW w:w="1377" w:type="dxa"/>
            <w:tcBorders>
              <w:right w:val="single" w:color="000000" w:sz="6" w:space="0"/>
            </w:tcBorders>
            <w:vAlign w:val="center"/>
          </w:tcPr>
          <w:p w14:paraId="60F19B34">
            <w:pPr>
              <w:snapToGrid w:val="0"/>
              <w:spacing w:before="20" w:after="20" w:line="240" w:lineRule="auto"/>
              <w:jc w:val="center"/>
              <w:rPr>
                <w:rFonts w:ascii="Calibri" w:hAnsi="Calibri" w:cs="宋体"/>
                <w:sz w:val="15"/>
                <w:szCs w:val="20"/>
              </w:rPr>
            </w:pPr>
            <w:r>
              <w:rPr>
                <w:rFonts w:ascii="Calibri" w:hAnsi="Calibri" w:cs="宋体"/>
                <w:sz w:val="15"/>
                <w:szCs w:val="20"/>
              </w:rPr>
              <w:t>一</w:t>
            </w:r>
          </w:p>
        </w:tc>
      </w:tr>
    </w:tbl>
    <w:p w14:paraId="27DF538B">
      <w:pPr>
        <w:spacing w:line="240" w:lineRule="auto"/>
        <w:ind w:left="850" w:leftChars="135" w:hanging="567" w:hangingChars="378"/>
        <w:jc w:val="left"/>
        <w:rPr>
          <w:sz w:val="15"/>
          <w:szCs w:val="15"/>
        </w:rPr>
      </w:pPr>
      <w:r>
        <w:rPr>
          <w:sz w:val="15"/>
          <w:szCs w:val="15"/>
        </w:rPr>
        <w:t>注：1</w:t>
      </w:r>
      <w:r>
        <w:rPr>
          <w:rFonts w:hint="eastAsia"/>
          <w:sz w:val="15"/>
          <w:szCs w:val="15"/>
        </w:rPr>
        <w:t xml:space="preserve">  </w:t>
      </w:r>
      <w:r>
        <w:rPr>
          <w:sz w:val="15"/>
          <w:szCs w:val="15"/>
        </w:rPr>
        <w:t>表中抗震等级已按</w:t>
      </w:r>
      <w:r>
        <w:rPr>
          <w:rFonts w:hint="eastAsia"/>
          <w:sz w:val="15"/>
          <w:szCs w:val="15"/>
        </w:rPr>
        <w:t>重点设防类</w:t>
      </w:r>
      <w:r>
        <w:rPr>
          <w:sz w:val="15"/>
          <w:szCs w:val="15"/>
        </w:rPr>
        <w:t>建筑提高一度采取抗震措施采用，确定抗震等级时无需再提高设防烈度；</w:t>
      </w:r>
    </w:p>
    <w:p w14:paraId="3D94B74A">
      <w:pPr>
        <w:spacing w:line="240" w:lineRule="auto"/>
        <w:ind w:left="851" w:leftChars="278" w:hanging="267" w:hangingChars="178"/>
        <w:jc w:val="left"/>
        <w:rPr>
          <w:sz w:val="15"/>
          <w:szCs w:val="15"/>
        </w:rPr>
      </w:pPr>
      <w:r>
        <w:rPr>
          <w:sz w:val="15"/>
          <w:szCs w:val="15"/>
        </w:rPr>
        <w:t>2</w:t>
      </w:r>
      <w:r>
        <w:rPr>
          <w:rFonts w:hint="eastAsia"/>
          <w:sz w:val="15"/>
          <w:szCs w:val="15"/>
        </w:rPr>
        <w:t xml:space="preserve">  </w:t>
      </w:r>
      <w:r>
        <w:rPr>
          <w:sz w:val="15"/>
          <w:szCs w:val="15"/>
        </w:rPr>
        <w:t>接近或等于高度分界时，应允许结合结构不规则程度及场地、地基条件确定抗震等级；</w:t>
      </w:r>
    </w:p>
    <w:p w14:paraId="0D4869C7">
      <w:pPr>
        <w:spacing w:line="240" w:lineRule="auto"/>
        <w:ind w:left="851" w:leftChars="278" w:hanging="267" w:hangingChars="178"/>
        <w:jc w:val="left"/>
        <w:rPr>
          <w:rFonts w:ascii="宋体" w:hAnsi="宋体" w:cs="宋体"/>
          <w:sz w:val="15"/>
          <w:szCs w:val="15"/>
        </w:rPr>
      </w:pPr>
      <w:r>
        <w:rPr>
          <w:rFonts w:hint="eastAsia" w:ascii="宋体" w:hAnsi="宋体" w:cs="宋体"/>
          <w:sz w:val="15"/>
          <w:szCs w:val="15"/>
        </w:rPr>
        <w:t xml:space="preserve">3  </w:t>
      </w:r>
      <w:r>
        <w:rPr>
          <w:rFonts w:ascii="宋体" w:hAnsi="宋体" w:cs="宋体"/>
          <w:sz w:val="15"/>
          <w:szCs w:val="15"/>
        </w:rPr>
        <w:t>大</w:t>
      </w:r>
      <w:r>
        <w:rPr>
          <w:sz w:val="15"/>
          <w:szCs w:val="15"/>
        </w:rPr>
        <w:t>跨度</w:t>
      </w:r>
      <w:r>
        <w:rPr>
          <w:rFonts w:ascii="宋体" w:hAnsi="宋体" w:cs="宋体"/>
          <w:sz w:val="15"/>
          <w:szCs w:val="15"/>
        </w:rPr>
        <w:t>框架指跨度不小于</w:t>
      </w:r>
      <w:r>
        <w:rPr>
          <w:rFonts w:hint="eastAsia" w:ascii="宋体" w:hAnsi="宋体" w:cs="宋体"/>
          <w:sz w:val="15"/>
          <w:szCs w:val="15"/>
        </w:rPr>
        <w:t>18</w:t>
      </w:r>
      <w:r>
        <w:rPr>
          <w:rFonts w:ascii="宋体" w:hAnsi="宋体" w:cs="宋体"/>
          <w:sz w:val="15"/>
          <w:szCs w:val="15"/>
        </w:rPr>
        <w:t>m的框架。</w:t>
      </w:r>
    </w:p>
    <w:p w14:paraId="2E0EAD3E">
      <w:pPr>
        <w:numPr>
          <w:ilvl w:val="2"/>
          <w:numId w:val="1"/>
        </w:numPr>
        <w:tabs>
          <w:tab w:val="left" w:pos="840"/>
          <w:tab w:val="left" w:pos="5880"/>
          <w:tab w:val="clear" w:pos="1701"/>
        </w:tabs>
        <w:outlineLvl w:val="2"/>
        <w:rPr>
          <w:rFonts w:ascii="Calibri" w:hAnsi="Calibri"/>
          <w:bCs/>
        </w:rPr>
      </w:pPr>
      <w:r>
        <w:rPr>
          <w:rFonts w:hint="eastAsia" w:ascii="Calibri" w:hAnsi="Calibri"/>
          <w:bCs/>
        </w:rPr>
        <w:t>悬臂长度大于等于2.0m的车站结构、跨度大于8m的转换结构、跨度大于等于24m的天桥，应计算竖向地震作用。</w:t>
      </w:r>
    </w:p>
    <w:p w14:paraId="0418F4F9">
      <w:pPr>
        <w:jc w:val="center"/>
        <w:rPr>
          <w:rFonts w:ascii="Calibri" w:hAnsi="Calibri"/>
          <w:b/>
        </w:rPr>
      </w:pPr>
      <w:r>
        <w:rPr>
          <w:rFonts w:hint="eastAsia" w:ascii="宋体" w:hAnsi="宋体" w:cs="宋体"/>
          <w:b/>
        </w:rPr>
        <w:t>Ⅴ</w:t>
      </w:r>
      <w:r>
        <w:rPr>
          <w:rFonts w:hint="eastAsia" w:ascii="Calibri" w:hAnsi="Calibri"/>
          <w:b/>
        </w:rPr>
        <w:t xml:space="preserve">  </w:t>
      </w:r>
      <w:r>
        <w:rPr>
          <w:rFonts w:ascii="Calibri" w:hAnsi="Calibri"/>
          <w:b/>
        </w:rPr>
        <w:t>构造要求</w:t>
      </w:r>
    </w:p>
    <w:p w14:paraId="4C7AB8F1">
      <w:pPr>
        <w:numPr>
          <w:ilvl w:val="2"/>
          <w:numId w:val="1"/>
        </w:numPr>
        <w:tabs>
          <w:tab w:val="left" w:pos="840"/>
          <w:tab w:val="left" w:pos="5880"/>
          <w:tab w:val="clear" w:pos="1701"/>
        </w:tabs>
        <w:outlineLvl w:val="2"/>
        <w:rPr>
          <w:rFonts w:ascii="Calibri" w:hAnsi="Calibri"/>
          <w:bCs/>
        </w:rPr>
      </w:pPr>
      <w:r>
        <w:rPr>
          <w:bCs/>
        </w:rPr>
        <w:t>高</w:t>
      </w:r>
      <w:r>
        <w:rPr>
          <w:rFonts w:ascii="Calibri" w:hAnsi="Calibri"/>
          <w:bCs/>
        </w:rPr>
        <w:t>架车站结构</w:t>
      </w:r>
      <w:r>
        <w:rPr>
          <w:rFonts w:hint="eastAsia" w:ascii="Calibri" w:hAnsi="Calibri"/>
          <w:bCs/>
        </w:rPr>
        <w:t>构件的基本规定及</w:t>
      </w:r>
      <w:r>
        <w:rPr>
          <w:rFonts w:ascii="Calibri" w:hAnsi="Calibri"/>
          <w:bCs/>
        </w:rPr>
        <w:t>构造规定</w:t>
      </w:r>
      <w:r>
        <w:rPr>
          <w:rFonts w:hint="eastAsia" w:ascii="Calibri" w:hAnsi="Calibri"/>
          <w:bCs/>
        </w:rPr>
        <w:t>除</w:t>
      </w:r>
      <w:r>
        <w:rPr>
          <w:rFonts w:ascii="Calibri" w:hAnsi="Calibri"/>
          <w:bCs/>
        </w:rPr>
        <w:t>应满足</w:t>
      </w:r>
      <w:r>
        <w:rPr>
          <w:rFonts w:hint="eastAsia" w:ascii="Calibri" w:hAnsi="Calibri"/>
          <w:bCs/>
        </w:rPr>
        <w:t>本规范的</w:t>
      </w:r>
      <w:r>
        <w:rPr>
          <w:rFonts w:ascii="Calibri" w:hAnsi="Calibri"/>
          <w:bCs/>
        </w:rPr>
        <w:t>要求</w:t>
      </w:r>
      <w:r>
        <w:rPr>
          <w:rFonts w:hint="eastAsia" w:ascii="Calibri" w:hAnsi="Calibri"/>
          <w:bCs/>
        </w:rPr>
        <w:t>外，</w:t>
      </w:r>
      <w:r>
        <w:rPr>
          <w:rFonts w:ascii="Calibri" w:hAnsi="Calibri"/>
          <w:bCs/>
        </w:rPr>
        <w:t>还应</w:t>
      </w:r>
      <w:r>
        <w:rPr>
          <w:rFonts w:hint="eastAsia" w:ascii="Calibri" w:hAnsi="Calibri"/>
          <w:bCs/>
        </w:rPr>
        <w:t>符合</w:t>
      </w:r>
      <w:r>
        <w:rPr>
          <w:rFonts w:ascii="Calibri" w:hAnsi="Calibri"/>
          <w:bCs/>
        </w:rPr>
        <w:t>现行国家标准</w:t>
      </w:r>
      <w:r>
        <w:rPr>
          <w:rFonts w:hint="eastAsia" w:ascii="Calibri" w:hAnsi="Calibri"/>
          <w:bCs/>
        </w:rPr>
        <w:t>《混凝土结构通用规范》GB55008、</w:t>
      </w:r>
      <w:r>
        <w:rPr>
          <w:rFonts w:ascii="Calibri" w:hAnsi="Calibri"/>
          <w:bCs/>
        </w:rPr>
        <w:t>《混凝土结构设计</w:t>
      </w:r>
      <w:r>
        <w:rPr>
          <w:rFonts w:hint="eastAsia" w:ascii="Calibri" w:hAnsi="Calibri"/>
          <w:bCs/>
        </w:rPr>
        <w:t>标准</w:t>
      </w:r>
      <w:r>
        <w:rPr>
          <w:rFonts w:ascii="Calibri" w:hAnsi="Calibri"/>
          <w:bCs/>
        </w:rPr>
        <w:t>》GB</w:t>
      </w:r>
      <w:r>
        <w:rPr>
          <w:rFonts w:hint="eastAsia" w:ascii="Calibri" w:hAnsi="Calibri"/>
          <w:bCs/>
        </w:rPr>
        <w:t>/T</w:t>
      </w:r>
      <w:r>
        <w:rPr>
          <w:rFonts w:ascii="Calibri" w:hAnsi="Calibri"/>
          <w:bCs/>
        </w:rPr>
        <w:t>50010</w:t>
      </w:r>
      <w:r>
        <w:rPr>
          <w:rFonts w:hint="eastAsia" w:ascii="Calibri" w:hAnsi="Calibri"/>
          <w:bCs/>
        </w:rPr>
        <w:t>、《建筑与市政工程抗震通用规范》</w:t>
      </w:r>
      <w:r>
        <w:rPr>
          <w:rFonts w:ascii="Calibri" w:hAnsi="Calibri"/>
          <w:bCs/>
        </w:rPr>
        <w:t>GB55002</w:t>
      </w:r>
      <w:r>
        <w:rPr>
          <w:rFonts w:hint="eastAsia" w:ascii="Calibri" w:hAnsi="Calibri"/>
          <w:bCs/>
        </w:rPr>
        <w:t>、</w:t>
      </w:r>
      <w:r>
        <w:rPr>
          <w:rFonts w:ascii="Calibri" w:hAnsi="Calibri"/>
          <w:bCs/>
        </w:rPr>
        <w:t>《建筑抗震设计</w:t>
      </w:r>
      <w:r>
        <w:rPr>
          <w:rFonts w:hint="eastAsia" w:ascii="Calibri" w:hAnsi="Calibri"/>
          <w:bCs/>
        </w:rPr>
        <w:t>标准</w:t>
      </w:r>
      <w:r>
        <w:rPr>
          <w:rFonts w:ascii="Calibri" w:hAnsi="Calibri"/>
          <w:bCs/>
        </w:rPr>
        <w:t>》GB</w:t>
      </w:r>
      <w:r>
        <w:rPr>
          <w:rFonts w:hint="eastAsia" w:ascii="Calibri" w:hAnsi="Calibri"/>
          <w:bCs/>
        </w:rPr>
        <w:t>/T</w:t>
      </w:r>
      <w:r>
        <w:rPr>
          <w:rFonts w:ascii="Calibri" w:hAnsi="Calibri"/>
          <w:bCs/>
        </w:rPr>
        <w:t>50011的相关</w:t>
      </w:r>
      <w:r>
        <w:rPr>
          <w:rFonts w:hint="eastAsia" w:ascii="Calibri" w:hAnsi="Calibri"/>
          <w:bCs/>
        </w:rPr>
        <w:t>规定</w:t>
      </w:r>
      <w:r>
        <w:rPr>
          <w:rFonts w:ascii="Calibri" w:hAnsi="Calibri"/>
          <w:bCs/>
        </w:rPr>
        <w:t>。</w:t>
      </w:r>
    </w:p>
    <w:p w14:paraId="1B15D024">
      <w:pPr>
        <w:numPr>
          <w:ilvl w:val="2"/>
          <w:numId w:val="1"/>
        </w:numPr>
        <w:tabs>
          <w:tab w:val="left" w:pos="840"/>
          <w:tab w:val="left" w:pos="5880"/>
          <w:tab w:val="clear" w:pos="1701"/>
        </w:tabs>
        <w:outlineLvl w:val="2"/>
        <w:rPr>
          <w:rFonts w:ascii="Calibri" w:hAnsi="Calibri"/>
          <w:bCs/>
        </w:rPr>
      </w:pPr>
      <w:r>
        <w:rPr>
          <w:bCs/>
        </w:rPr>
        <w:t>当</w:t>
      </w:r>
      <w:r>
        <w:rPr>
          <w:rFonts w:ascii="Calibri" w:hAnsi="Calibri"/>
          <w:bCs/>
        </w:rPr>
        <w:t>高架</w:t>
      </w:r>
      <w:r>
        <w:rPr>
          <w:rFonts w:hint="eastAsia"/>
          <w:bCs/>
        </w:rPr>
        <w:t>车站</w:t>
      </w:r>
      <w:r>
        <w:rPr>
          <w:rFonts w:ascii="Calibri" w:hAnsi="Calibri"/>
          <w:bCs/>
        </w:rPr>
        <w:t>墩柱有可能受机动车等撞击时，应设置</w:t>
      </w:r>
      <w:r>
        <w:rPr>
          <w:rFonts w:hint="eastAsia" w:ascii="Calibri" w:hAnsi="Calibri"/>
          <w:bCs/>
        </w:rPr>
        <w:t>防止墩柱受撞击的</w:t>
      </w:r>
      <w:r>
        <w:rPr>
          <w:rFonts w:ascii="Calibri" w:hAnsi="Calibri"/>
          <w:bCs/>
        </w:rPr>
        <w:t>保护措施。</w:t>
      </w:r>
    </w:p>
    <w:p w14:paraId="2EDEBFB5">
      <w:pPr>
        <w:numPr>
          <w:ilvl w:val="2"/>
          <w:numId w:val="1"/>
        </w:numPr>
        <w:tabs>
          <w:tab w:val="left" w:pos="840"/>
          <w:tab w:val="left" w:pos="5880"/>
          <w:tab w:val="clear" w:pos="1701"/>
        </w:tabs>
        <w:outlineLvl w:val="2"/>
        <w:rPr>
          <w:rFonts w:ascii="Calibri" w:hAnsi="Calibri"/>
          <w:bCs/>
        </w:rPr>
      </w:pPr>
      <w:r>
        <w:rPr>
          <w:rFonts w:hint="eastAsia" w:ascii="Calibri" w:hAnsi="Calibri"/>
          <w:bCs/>
        </w:rPr>
        <w:t>当高架</w:t>
      </w:r>
      <w:r>
        <w:rPr>
          <w:rFonts w:hint="eastAsia"/>
          <w:bCs/>
        </w:rPr>
        <w:t>车站</w:t>
      </w:r>
      <w:r>
        <w:rPr>
          <w:rFonts w:hint="eastAsia" w:ascii="Calibri" w:hAnsi="Calibri"/>
          <w:bCs/>
        </w:rPr>
        <w:t>悬臂盖梁有可能受机动车撞击且盖梁下桥下净空小于等于5.0m时，应设置防撞门架和警示设施。</w:t>
      </w:r>
    </w:p>
    <w:p w14:paraId="326D594C">
      <w:pPr>
        <w:numPr>
          <w:ilvl w:val="2"/>
          <w:numId w:val="1"/>
        </w:numPr>
        <w:tabs>
          <w:tab w:val="left" w:pos="840"/>
          <w:tab w:val="left" w:pos="5880"/>
          <w:tab w:val="clear" w:pos="1701"/>
        </w:tabs>
        <w:outlineLvl w:val="2"/>
        <w:rPr>
          <w:rFonts w:ascii="Calibri" w:hAnsi="Calibri"/>
          <w:bCs/>
        </w:rPr>
      </w:pPr>
      <w:r>
        <w:rPr>
          <w:bCs/>
        </w:rPr>
        <w:t>车站结构及其顶棚结构，应预留使用期间维修、保养及更换的条件。</w:t>
      </w:r>
    </w:p>
    <w:p w14:paraId="28078A95">
      <w:pPr>
        <w:numPr>
          <w:ilvl w:val="2"/>
          <w:numId w:val="1"/>
        </w:numPr>
        <w:tabs>
          <w:tab w:val="left" w:pos="840"/>
          <w:tab w:val="left" w:pos="5880"/>
          <w:tab w:val="clear" w:pos="1701"/>
        </w:tabs>
        <w:outlineLvl w:val="2"/>
        <w:rPr>
          <w:bCs/>
        </w:rPr>
      </w:pPr>
      <w:r>
        <w:rPr>
          <w:bCs/>
        </w:rPr>
        <w:t>车站端部与高架区间相连处宜采取在端部横向边框架托梁上设置牛腿的方式，高架区间最后一跨梁宜支承在设于牛腿的支座上。也可采用高架车站边框架与区间柱墩并排的方式，两者间应设变形缝，变形缝宽度应满足1</w:t>
      </w:r>
      <w:r>
        <w:rPr>
          <w:rFonts w:hint="eastAsia"/>
          <w:bCs/>
        </w:rPr>
        <w:t>1</w:t>
      </w:r>
      <w:r>
        <w:rPr>
          <w:bCs/>
        </w:rPr>
        <w:t>.2.</w:t>
      </w:r>
      <w:r>
        <w:rPr>
          <w:rFonts w:hint="eastAsia"/>
          <w:bCs/>
        </w:rPr>
        <w:t>21</w:t>
      </w:r>
      <w:r>
        <w:rPr>
          <w:bCs/>
        </w:rPr>
        <w:t>条及区间桥梁纵向变形的要求。</w:t>
      </w:r>
    </w:p>
    <w:p w14:paraId="445C4507">
      <w:pPr>
        <w:numPr>
          <w:ilvl w:val="2"/>
          <w:numId w:val="1"/>
        </w:numPr>
        <w:tabs>
          <w:tab w:val="left" w:pos="840"/>
          <w:tab w:val="left" w:pos="5880"/>
          <w:tab w:val="clear" w:pos="1701"/>
        </w:tabs>
        <w:outlineLvl w:val="2"/>
        <w:rPr>
          <w:rFonts w:ascii="Calibri" w:hAnsi="Calibri"/>
          <w:bCs/>
        </w:rPr>
      </w:pPr>
      <w:r>
        <w:rPr>
          <w:rFonts w:hint="eastAsia" w:ascii="Calibri" w:hAnsi="Calibri"/>
          <w:bCs/>
        </w:rPr>
        <w:t>天桥与车站、附属用房牛腿搭接长度不应小于（700+0.005L）mm，其中L为天桥梁的计算跨径（单位mm）。</w:t>
      </w:r>
    </w:p>
    <w:p w14:paraId="22D101A6">
      <w:pPr>
        <w:jc w:val="center"/>
        <w:rPr>
          <w:rFonts w:ascii="Calibri" w:hAnsi="Calibri"/>
          <w:b/>
        </w:rPr>
      </w:pPr>
      <w:r>
        <w:rPr>
          <w:rFonts w:hint="eastAsia" w:ascii="宋体" w:hAnsi="宋体" w:cs="宋体"/>
          <w:b/>
        </w:rPr>
        <w:t>Ⅵ</w:t>
      </w:r>
      <w:r>
        <w:rPr>
          <w:rFonts w:hint="eastAsia" w:ascii="Calibri" w:hAnsi="Calibri"/>
          <w:b/>
        </w:rPr>
        <w:t xml:space="preserve">  </w:t>
      </w:r>
      <w:r>
        <w:rPr>
          <w:rFonts w:ascii="Calibri" w:hAnsi="Calibri"/>
          <w:b/>
        </w:rPr>
        <w:t>非承重构件</w:t>
      </w:r>
    </w:p>
    <w:p w14:paraId="47390A8E">
      <w:pPr>
        <w:numPr>
          <w:ilvl w:val="2"/>
          <w:numId w:val="1"/>
        </w:numPr>
        <w:tabs>
          <w:tab w:val="left" w:pos="840"/>
          <w:tab w:val="left" w:pos="5880"/>
          <w:tab w:val="clear" w:pos="1701"/>
        </w:tabs>
        <w:outlineLvl w:val="2"/>
        <w:rPr>
          <w:rFonts w:ascii="Calibri" w:hAnsi="Calibri"/>
          <w:bCs/>
        </w:rPr>
      </w:pPr>
      <w:r>
        <w:rPr>
          <w:bCs/>
        </w:rPr>
        <w:t>高</w:t>
      </w:r>
      <w:r>
        <w:rPr>
          <w:rFonts w:ascii="Calibri" w:hAnsi="Calibri"/>
          <w:bCs/>
        </w:rPr>
        <w:t>架车站结构上的非承重构件(包括车站建筑非承重构件和车站机电设备)应按照现行国家标准《建筑抗震设计</w:t>
      </w:r>
      <w:r>
        <w:rPr>
          <w:rFonts w:hint="eastAsia" w:ascii="Calibri" w:hAnsi="Calibri"/>
          <w:bCs/>
        </w:rPr>
        <w:t>标准</w:t>
      </w:r>
      <w:r>
        <w:rPr>
          <w:rFonts w:ascii="Calibri" w:hAnsi="Calibri"/>
          <w:bCs/>
        </w:rPr>
        <w:t>》GB</w:t>
      </w:r>
      <w:r>
        <w:rPr>
          <w:rFonts w:hint="eastAsia" w:ascii="Calibri" w:hAnsi="Calibri"/>
          <w:bCs/>
        </w:rPr>
        <w:t>/T</w:t>
      </w:r>
      <w:r>
        <w:rPr>
          <w:rFonts w:ascii="Calibri" w:hAnsi="Calibri"/>
          <w:bCs/>
        </w:rPr>
        <w:t>5001</w:t>
      </w:r>
      <w:r>
        <w:rPr>
          <w:rFonts w:hint="eastAsia" w:ascii="Calibri" w:hAnsi="Calibri"/>
          <w:bCs/>
        </w:rPr>
        <w:t>1</w:t>
      </w:r>
      <w:r>
        <w:rPr>
          <w:rFonts w:ascii="Calibri" w:hAnsi="Calibri"/>
          <w:bCs/>
        </w:rPr>
        <w:t>进行抗震设计。非承重构件与车站主体结构应有可靠连接或锚固。</w:t>
      </w:r>
    </w:p>
    <w:p w14:paraId="7256CDD6">
      <w:pPr>
        <w:numPr>
          <w:ilvl w:val="2"/>
          <w:numId w:val="1"/>
        </w:numPr>
        <w:tabs>
          <w:tab w:val="left" w:pos="840"/>
          <w:tab w:val="left" w:pos="5880"/>
          <w:tab w:val="clear" w:pos="1701"/>
        </w:tabs>
        <w:outlineLvl w:val="2"/>
        <w:rPr>
          <w:bCs/>
        </w:rPr>
      </w:pPr>
      <w:r>
        <w:rPr>
          <w:bCs/>
        </w:rPr>
        <w:t>高架车站内的围护墙和隔墙与主体结构之间的间隙应满足车站结构抗震要求。</w:t>
      </w:r>
    </w:p>
    <w:p w14:paraId="07238C4C">
      <w:pPr>
        <w:numPr>
          <w:ilvl w:val="2"/>
          <w:numId w:val="1"/>
        </w:numPr>
        <w:tabs>
          <w:tab w:val="left" w:pos="840"/>
          <w:tab w:val="left" w:pos="5880"/>
          <w:tab w:val="clear" w:pos="1701"/>
        </w:tabs>
        <w:outlineLvl w:val="2"/>
        <w:rPr>
          <w:bCs/>
        </w:rPr>
      </w:pPr>
      <w:r>
        <w:rPr>
          <w:bCs/>
        </w:rPr>
        <w:t>车站结构中外露的现浇钢筋混凝土女儿墙、挂板、栏板、檐口等构件，当其水平直线长度超过12m时，应设置裂缝引导槽，裂缝引导槽间距不宜大于12m。</w:t>
      </w:r>
    </w:p>
    <w:p w14:paraId="79C9F554">
      <w:pPr>
        <w:jc w:val="center"/>
        <w:rPr>
          <w:rFonts w:ascii="Calibri" w:hAnsi="Calibri"/>
          <w:b/>
        </w:rPr>
      </w:pPr>
      <w:r>
        <w:rPr>
          <w:rFonts w:hint="eastAsia" w:ascii="宋体" w:hAnsi="宋体" w:cs="宋体"/>
          <w:b/>
        </w:rPr>
        <w:t>Ⅶ</w:t>
      </w:r>
      <w:r>
        <w:rPr>
          <w:rFonts w:hint="eastAsia" w:ascii="Calibri" w:hAnsi="Calibri"/>
          <w:b/>
        </w:rPr>
        <w:t xml:space="preserve">  </w:t>
      </w:r>
      <w:r>
        <w:rPr>
          <w:rFonts w:ascii="Calibri" w:hAnsi="Calibri"/>
          <w:b/>
        </w:rPr>
        <w:t>车站顶棚及出入口结构</w:t>
      </w:r>
    </w:p>
    <w:p w14:paraId="53D5A0C9">
      <w:pPr>
        <w:numPr>
          <w:ilvl w:val="2"/>
          <w:numId w:val="1"/>
        </w:numPr>
        <w:tabs>
          <w:tab w:val="left" w:pos="840"/>
          <w:tab w:val="left" w:pos="5880"/>
          <w:tab w:val="clear" w:pos="1701"/>
        </w:tabs>
        <w:outlineLvl w:val="2"/>
        <w:rPr>
          <w:bCs/>
        </w:rPr>
      </w:pPr>
      <w:r>
        <w:rPr>
          <w:bCs/>
        </w:rPr>
        <w:t>车站顶棚结构</w:t>
      </w:r>
      <w:r>
        <w:rPr>
          <w:rFonts w:hint="eastAsia"/>
          <w:bCs/>
        </w:rPr>
        <w:t>设计应符合下列规定：</w:t>
      </w:r>
    </w:p>
    <w:p w14:paraId="45860FDE">
      <w:pPr>
        <w:ind w:firstLine="422" w:firstLineChars="200"/>
      </w:pPr>
      <w:r>
        <w:rPr>
          <w:rFonts w:hint="eastAsia"/>
          <w:b/>
        </w:rPr>
        <w:t>1</w:t>
      </w:r>
      <w:r>
        <w:rPr>
          <w:rFonts w:hint="eastAsia"/>
        </w:rPr>
        <w:t xml:space="preserve">  </w:t>
      </w:r>
      <w:r>
        <w:t>结构形式</w:t>
      </w:r>
      <w:r>
        <w:rPr>
          <w:rFonts w:hint="eastAsia"/>
        </w:rPr>
        <w:t>可</w:t>
      </w:r>
      <w:r>
        <w:t>采用门式刚架、排架、框架等，结合建筑造型，屋面及侧墙可采用网架、网壳、管桁架、张弦结构、膜结构等。设计中应结合受力合理等因素进行综合比较选取方案。</w:t>
      </w:r>
    </w:p>
    <w:p w14:paraId="431B911D">
      <w:pPr>
        <w:ind w:firstLine="422" w:firstLineChars="200"/>
        <w:rPr>
          <w:bCs/>
        </w:rPr>
      </w:pPr>
      <w:r>
        <w:rPr>
          <w:rFonts w:hint="eastAsia"/>
          <w:b/>
          <w:bCs/>
        </w:rPr>
        <w:t>2</w:t>
      </w:r>
      <w:r>
        <w:rPr>
          <w:rFonts w:hint="eastAsia"/>
          <w:bCs/>
        </w:rPr>
        <w:t xml:space="preserve">  </w:t>
      </w:r>
      <w:r>
        <w:rPr>
          <w:bCs/>
        </w:rPr>
        <w:t>车站顶棚结构宜采用钢结构，也可采用钢−混凝土组合结构。</w:t>
      </w:r>
    </w:p>
    <w:p w14:paraId="139ADABB">
      <w:pPr>
        <w:ind w:firstLine="422" w:firstLineChars="200"/>
        <w:rPr>
          <w:bCs/>
        </w:rPr>
      </w:pPr>
      <w:r>
        <w:rPr>
          <w:rFonts w:hint="eastAsia"/>
          <w:b/>
          <w:bCs/>
        </w:rPr>
        <w:t>3</w:t>
      </w:r>
      <w:r>
        <w:rPr>
          <w:rFonts w:hint="eastAsia"/>
          <w:bCs/>
        </w:rPr>
        <w:t xml:space="preserve">  </w:t>
      </w:r>
      <w:r>
        <w:rPr>
          <w:bCs/>
        </w:rPr>
        <w:t>顶棚结构应考虑接触网、屏蔽门、信号设施、标志标识设施以及各类设备吊挂等传来的荷载，并应满足相关设施对结构变形的要求。</w:t>
      </w:r>
    </w:p>
    <w:p w14:paraId="36C5FF91">
      <w:pPr>
        <w:ind w:firstLine="422" w:firstLineChars="200"/>
        <w:rPr>
          <w:bCs/>
        </w:rPr>
      </w:pPr>
      <w:r>
        <w:rPr>
          <w:rFonts w:hint="eastAsia"/>
          <w:b/>
          <w:bCs/>
        </w:rPr>
        <w:t>4</w:t>
      </w:r>
      <w:r>
        <w:rPr>
          <w:rFonts w:hint="eastAsia"/>
          <w:bCs/>
        </w:rPr>
        <w:t xml:space="preserve">  </w:t>
      </w:r>
      <w:r>
        <w:rPr>
          <w:bCs/>
        </w:rPr>
        <w:t>顶棚结构应与车站结构一起进行整体结构受力分析。结构受力分析中还应考虑温度对顶棚结构的影响。</w:t>
      </w:r>
    </w:p>
    <w:p w14:paraId="64EA2A07">
      <w:pPr>
        <w:ind w:firstLine="422" w:firstLineChars="200"/>
        <w:rPr>
          <w:bCs/>
        </w:rPr>
      </w:pPr>
      <w:r>
        <w:rPr>
          <w:rFonts w:hint="eastAsia"/>
          <w:b/>
          <w:bCs/>
        </w:rPr>
        <w:t xml:space="preserve">5 </w:t>
      </w:r>
      <w:r>
        <w:rPr>
          <w:rFonts w:hint="eastAsia"/>
          <w:bCs/>
        </w:rPr>
        <w:t xml:space="preserve"> </w:t>
      </w:r>
      <w:r>
        <w:rPr>
          <w:bCs/>
        </w:rPr>
        <w:t>顶棚结构分段宜与下部结构一致，不宜跨缝设置顶棚结构，必须跨缝设置时，应有可靠措施。</w:t>
      </w:r>
    </w:p>
    <w:p w14:paraId="065B2BE8">
      <w:pPr>
        <w:ind w:firstLine="420" w:firstLineChars="200"/>
        <w:rPr>
          <w:rFonts w:ascii="Calibri" w:hAnsi="Calibri"/>
          <w:bCs/>
        </w:rPr>
      </w:pPr>
      <w:r>
        <w:rPr>
          <w:rFonts w:hint="eastAsia"/>
          <w:bCs/>
        </w:rPr>
        <w:t xml:space="preserve">6  </w:t>
      </w:r>
      <w:r>
        <w:rPr>
          <w:rFonts w:hint="eastAsia" w:ascii="Calibri" w:hAnsi="Calibri"/>
          <w:bCs/>
        </w:rPr>
        <w:t>顶棚钢结构防腐涂装设计工作年限不应少于15年。</w:t>
      </w:r>
    </w:p>
    <w:p w14:paraId="72B02331">
      <w:pPr>
        <w:ind w:firstLine="422" w:firstLineChars="200"/>
        <w:rPr>
          <w:bCs/>
        </w:rPr>
      </w:pPr>
      <w:r>
        <w:rPr>
          <w:rFonts w:hint="eastAsia"/>
          <w:b/>
          <w:bCs/>
        </w:rPr>
        <w:t xml:space="preserve">7  </w:t>
      </w:r>
      <w:r>
        <w:rPr>
          <w:rFonts w:hint="eastAsia" w:ascii="Calibri" w:hAnsi="Calibri"/>
          <w:bCs/>
        </w:rPr>
        <w:t>顶棚钢结构耐火等级为二级，防火涂料宜根据耐火性能、景观需求等方面选取。</w:t>
      </w:r>
    </w:p>
    <w:p w14:paraId="6A430CAE">
      <w:pPr>
        <w:numPr>
          <w:ilvl w:val="2"/>
          <w:numId w:val="1"/>
        </w:numPr>
        <w:tabs>
          <w:tab w:val="left" w:pos="709"/>
          <w:tab w:val="left" w:pos="794"/>
        </w:tabs>
        <w:outlineLvl w:val="2"/>
        <w:rPr>
          <w:rFonts w:ascii="Calibri" w:hAnsi="Calibri"/>
          <w:bCs/>
        </w:rPr>
      </w:pPr>
      <w:r>
        <w:rPr>
          <w:bCs/>
        </w:rPr>
        <w:t>车</w:t>
      </w:r>
      <w:r>
        <w:rPr>
          <w:rFonts w:ascii="Calibri" w:hAnsi="Calibri"/>
          <w:bCs/>
        </w:rPr>
        <w:t>站出入口</w:t>
      </w:r>
      <w:r>
        <w:rPr>
          <w:rFonts w:hint="eastAsia" w:ascii="Calibri" w:hAnsi="Calibri"/>
          <w:bCs/>
        </w:rPr>
        <w:t>结构设计应符合下列规定：</w:t>
      </w:r>
    </w:p>
    <w:p w14:paraId="294A4F0C">
      <w:pPr>
        <w:ind w:firstLine="422" w:firstLineChars="200"/>
        <w:rPr>
          <w:bCs/>
        </w:rPr>
      </w:pPr>
      <w:r>
        <w:rPr>
          <w:rFonts w:hint="eastAsia"/>
          <w:b/>
          <w:bCs/>
        </w:rPr>
        <w:t xml:space="preserve">1  </w:t>
      </w:r>
      <w:r>
        <w:rPr>
          <w:bCs/>
        </w:rPr>
        <w:t>可采用钢筋混凝土结构或钢结构。</w:t>
      </w:r>
    </w:p>
    <w:p w14:paraId="22C73F0D">
      <w:pPr>
        <w:ind w:firstLine="422" w:firstLineChars="200"/>
        <w:rPr>
          <w:rFonts w:ascii="Calibri" w:hAnsi="Calibri"/>
          <w:bCs/>
        </w:rPr>
      </w:pPr>
      <w:r>
        <w:rPr>
          <w:rFonts w:hint="eastAsia"/>
          <w:b/>
          <w:bCs/>
        </w:rPr>
        <w:t xml:space="preserve">2  </w:t>
      </w:r>
      <w:r>
        <w:rPr>
          <w:bCs/>
        </w:rPr>
        <w:t>出</w:t>
      </w:r>
      <w:r>
        <w:rPr>
          <w:rFonts w:ascii="Calibri" w:hAnsi="Calibri"/>
          <w:bCs/>
        </w:rPr>
        <w:t>入口结构应满足竖向振动舒适度的要求。</w:t>
      </w:r>
    </w:p>
    <w:p w14:paraId="50CA9855">
      <w:pPr>
        <w:numPr>
          <w:ilvl w:val="1"/>
          <w:numId w:val="1"/>
        </w:numPr>
        <w:tabs>
          <w:tab w:val="left" w:pos="794"/>
        </w:tabs>
        <w:snapToGrid w:val="0"/>
        <w:spacing w:before="156" w:after="156" w:line="240" w:lineRule="auto"/>
        <w:jc w:val="center"/>
        <w:outlineLvl w:val="1"/>
        <w:rPr>
          <w:rFonts w:eastAsia="黑体"/>
          <w:bCs/>
          <w:szCs w:val="28"/>
        </w:rPr>
      </w:pPr>
      <w:bookmarkStart w:id="733" w:name="_Toc183765112"/>
      <w:bookmarkStart w:id="734" w:name="_Toc183790542"/>
      <w:bookmarkStart w:id="735" w:name="_Toc183888155"/>
      <w:bookmarkStart w:id="736" w:name="_Toc183882103"/>
      <w:bookmarkStart w:id="737" w:name="_Toc183882465"/>
      <w:bookmarkStart w:id="738" w:name="_Toc183888517"/>
      <w:r>
        <w:rPr>
          <w:rFonts w:hint="eastAsia" w:eastAsia="黑体"/>
          <w:bCs/>
          <w:szCs w:val="28"/>
        </w:rPr>
        <w:t>工程材料</w:t>
      </w:r>
      <w:bookmarkEnd w:id="733"/>
      <w:bookmarkEnd w:id="734"/>
      <w:bookmarkEnd w:id="735"/>
      <w:bookmarkEnd w:id="736"/>
      <w:bookmarkEnd w:id="737"/>
      <w:bookmarkEnd w:id="738"/>
    </w:p>
    <w:p w14:paraId="0742E114">
      <w:pPr>
        <w:numPr>
          <w:ilvl w:val="2"/>
          <w:numId w:val="1"/>
        </w:numPr>
        <w:tabs>
          <w:tab w:val="left" w:pos="709"/>
          <w:tab w:val="left" w:pos="794"/>
        </w:tabs>
        <w:outlineLvl w:val="2"/>
        <w:rPr>
          <w:bCs/>
        </w:rPr>
      </w:pPr>
      <w:r>
        <w:rPr>
          <w:rFonts w:hint="eastAsia"/>
          <w:bCs/>
        </w:rPr>
        <w:t>高架结构混凝土性能应根据结构类型、受力条件、使用要求、所处环境条件等确定。预应力混凝土强度等级不应低于50Mpa。</w:t>
      </w:r>
    </w:p>
    <w:p w14:paraId="2BC17AD5">
      <w:pPr>
        <w:numPr>
          <w:ilvl w:val="2"/>
          <w:numId w:val="1"/>
        </w:numPr>
        <w:tabs>
          <w:tab w:val="left" w:pos="709"/>
          <w:tab w:val="left" w:pos="794"/>
        </w:tabs>
        <w:outlineLvl w:val="2"/>
        <w:rPr>
          <w:bCs/>
        </w:rPr>
      </w:pPr>
      <w:r>
        <w:rPr>
          <w:rFonts w:hint="eastAsia"/>
          <w:bCs/>
        </w:rPr>
        <w:t>钢筋及钢材应符合下列规定；</w:t>
      </w:r>
    </w:p>
    <w:p w14:paraId="38920A8E">
      <w:pPr>
        <w:ind w:firstLine="422" w:firstLineChars="200"/>
      </w:pPr>
      <w:r>
        <w:rPr>
          <w:rFonts w:hint="eastAsia"/>
          <w:b/>
        </w:rPr>
        <w:t xml:space="preserve">1 </w:t>
      </w:r>
      <w:r>
        <w:rPr>
          <w:rFonts w:hint="eastAsia"/>
        </w:rPr>
        <w:t xml:space="preserve"> </w:t>
      </w:r>
      <w:r>
        <w:t>普通钢筋宜采用HPB300、HRB400</w:t>
      </w:r>
      <w:r>
        <w:rPr>
          <w:rFonts w:hint="eastAsia"/>
        </w:rPr>
        <w:t>E</w:t>
      </w:r>
      <w:r>
        <w:t>、</w:t>
      </w:r>
      <w:r>
        <w:rPr>
          <w:rFonts w:hint="eastAsia"/>
        </w:rPr>
        <w:t>HRB500E</w:t>
      </w:r>
      <w:r>
        <w:t>。</w:t>
      </w:r>
      <w:r>
        <w:rPr>
          <w:rFonts w:hint="eastAsia"/>
        </w:rPr>
        <w:t>直接承受列车荷载的构件</w:t>
      </w:r>
      <w:r>
        <w:t>钢筋化学成分C+Mn/6含量HRBE400</w:t>
      </w:r>
      <w:r>
        <w:rPr>
          <w:rFonts w:hint="eastAsia"/>
        </w:rPr>
        <w:t>E</w:t>
      </w:r>
      <w:r>
        <w:t>不应大于0.5%、HRBE500</w:t>
      </w:r>
      <w:r>
        <w:rPr>
          <w:rFonts w:hint="eastAsia"/>
        </w:rPr>
        <w:t>E</w:t>
      </w:r>
      <w:r>
        <w:t>不应大于0.52%。</w:t>
      </w:r>
    </w:p>
    <w:p w14:paraId="55ABC6DF">
      <w:pPr>
        <w:ind w:firstLine="422" w:firstLineChars="200"/>
      </w:pPr>
      <w:r>
        <w:rPr>
          <w:rFonts w:hint="eastAsia"/>
          <w:b/>
        </w:rPr>
        <w:t xml:space="preserve">2 </w:t>
      </w:r>
      <w:r>
        <w:rPr>
          <w:rFonts w:hint="eastAsia"/>
        </w:rPr>
        <w:t xml:space="preserve"> </w:t>
      </w:r>
      <w:r>
        <w:t>高架车站所采用钢材的屈服强度实测值与抗拉强度实测值的比值不应大于0.85；钢材应有明显的屈服台阶，且伸长率不应小于20%；钢材应有良好的焊接性和合格的冲击韧性。</w:t>
      </w:r>
    </w:p>
    <w:p w14:paraId="39F93852">
      <w:pPr>
        <w:ind w:firstLine="422" w:firstLineChars="200"/>
      </w:pPr>
      <w:r>
        <w:rPr>
          <w:rFonts w:hint="eastAsia"/>
          <w:b/>
        </w:rPr>
        <w:t xml:space="preserve">3 </w:t>
      </w:r>
      <w:r>
        <w:rPr>
          <w:rFonts w:hint="eastAsia"/>
        </w:rPr>
        <w:t xml:space="preserve"> 区间钢结构桥梁主体结构用钢应根据最低设计温度选取满足桥梁设计要求的力学性能、工艺性能及焊接性能。</w:t>
      </w:r>
    </w:p>
    <w:p w14:paraId="28F27D6E">
      <w:pPr>
        <w:numPr>
          <w:ilvl w:val="2"/>
          <w:numId w:val="1"/>
        </w:numPr>
        <w:tabs>
          <w:tab w:val="left" w:pos="709"/>
          <w:tab w:val="left" w:pos="794"/>
        </w:tabs>
        <w:outlineLvl w:val="2"/>
        <w:rPr>
          <w:bCs/>
        </w:rPr>
      </w:pPr>
      <w:r>
        <w:rPr>
          <w:rFonts w:hint="eastAsia"/>
          <w:bCs/>
        </w:rPr>
        <w:t>预应力钢筋及锚具应符合下列规定：</w:t>
      </w:r>
    </w:p>
    <w:p w14:paraId="79C29E0E">
      <w:pPr>
        <w:ind w:firstLine="422" w:firstLineChars="200"/>
      </w:pPr>
      <w:r>
        <w:rPr>
          <w:rFonts w:hint="eastAsia"/>
          <w:b/>
        </w:rPr>
        <w:t xml:space="preserve">1  </w:t>
      </w:r>
      <w:r>
        <w:rPr>
          <w:rFonts w:hint="eastAsia"/>
        </w:rPr>
        <w:t>纵向预应力钢筋宜选用钢绞线。</w:t>
      </w:r>
      <w:r>
        <w:t>竖向预应力钢筋宜根据受力情况、张拉质量、材料性能等</w:t>
      </w:r>
      <w:r>
        <w:rPr>
          <w:rFonts w:hint="eastAsia"/>
        </w:rPr>
        <w:t>综合</w:t>
      </w:r>
      <w:r>
        <w:t>选取</w:t>
      </w:r>
      <w:r>
        <w:rPr>
          <w:rFonts w:hint="eastAsia"/>
        </w:rPr>
        <w:t>。</w:t>
      </w:r>
    </w:p>
    <w:p w14:paraId="3A3668A9">
      <w:pPr>
        <w:ind w:firstLine="422" w:firstLineChars="200"/>
      </w:pPr>
      <w:r>
        <w:rPr>
          <w:rFonts w:hint="eastAsia"/>
          <w:b/>
        </w:rPr>
        <w:t xml:space="preserve">2 </w:t>
      </w:r>
      <w:r>
        <w:rPr>
          <w:rFonts w:hint="eastAsia"/>
        </w:rPr>
        <w:t xml:space="preserve"> </w:t>
      </w:r>
      <w:r>
        <w:t>预应力锚具材料</w:t>
      </w:r>
      <w:r>
        <w:rPr>
          <w:rFonts w:hint="eastAsia"/>
        </w:rPr>
        <w:t>及性能应符合现行国家、行业标准的规定。</w:t>
      </w:r>
    </w:p>
    <w:p w14:paraId="5459F2AF">
      <w:pPr>
        <w:ind w:firstLine="422" w:firstLineChars="200"/>
      </w:pPr>
      <w:r>
        <w:rPr>
          <w:rFonts w:hint="eastAsia"/>
          <w:b/>
        </w:rPr>
        <w:t xml:space="preserve">3 </w:t>
      </w:r>
      <w:r>
        <w:rPr>
          <w:rFonts w:hint="eastAsia"/>
        </w:rPr>
        <w:t xml:space="preserve"> </w:t>
      </w:r>
      <w:r>
        <w:t>预应力管道</w:t>
      </w:r>
      <w:r>
        <w:rPr>
          <w:rFonts w:hint="eastAsia"/>
        </w:rPr>
        <w:t>应采用真空灌浆工艺，灌浆料28天强度不小于50MPa，水胶比不应大于0.33。</w:t>
      </w:r>
    </w:p>
    <w:p w14:paraId="19C014DE">
      <w:pPr>
        <w:numPr>
          <w:ilvl w:val="2"/>
          <w:numId w:val="1"/>
        </w:numPr>
        <w:tabs>
          <w:tab w:val="left" w:pos="709"/>
          <w:tab w:val="left" w:pos="794"/>
        </w:tabs>
        <w:outlineLvl w:val="2"/>
        <w:rPr>
          <w:bCs/>
        </w:rPr>
      </w:pPr>
      <w:r>
        <w:rPr>
          <w:bCs/>
        </w:rPr>
        <w:t>桥梁支座宜采用球形钢支座</w:t>
      </w:r>
      <w:r>
        <w:rPr>
          <w:rFonts w:hint="eastAsia"/>
          <w:bCs/>
        </w:rPr>
        <w:t>或</w:t>
      </w:r>
      <w:r>
        <w:rPr>
          <w:bCs/>
        </w:rPr>
        <w:t>盆式橡胶支座。</w:t>
      </w:r>
    </w:p>
    <w:p w14:paraId="78ED54B3">
      <w:pPr>
        <w:numPr>
          <w:ilvl w:val="2"/>
          <w:numId w:val="1"/>
        </w:numPr>
        <w:tabs>
          <w:tab w:val="left" w:pos="709"/>
          <w:tab w:val="left" w:pos="794"/>
          <w:tab w:val="left" w:pos="5880"/>
        </w:tabs>
        <w:outlineLvl w:val="2"/>
        <w:rPr>
          <w:bCs/>
        </w:rPr>
      </w:pPr>
      <w:r>
        <w:rPr>
          <w:bCs/>
        </w:rPr>
        <w:t>桥梁附属结构应根据设计工作年限和环境等级规定选择材料。</w:t>
      </w:r>
    </w:p>
    <w:p w14:paraId="43D73EE1">
      <w:pPr>
        <w:rPr>
          <w:rFonts w:ascii="Calibri" w:hAnsi="Calibri"/>
        </w:rPr>
      </w:pPr>
    </w:p>
    <w:p w14:paraId="33940E4A">
      <w:pPr>
        <w:rPr>
          <w:rFonts w:ascii="Calibri" w:hAnsi="Calibri"/>
        </w:rPr>
      </w:pPr>
    </w:p>
    <w:p w14:paraId="51F4EA79">
      <w:pPr>
        <w:pStyle w:val="3"/>
      </w:pPr>
      <w:r>
        <w:rPr>
          <w:rFonts w:eastAsia="宋体"/>
          <w:kern w:val="2"/>
          <w:sz w:val="21"/>
          <w:szCs w:val="24"/>
        </w:rPr>
        <w:br w:type="page"/>
      </w:r>
      <w:bookmarkStart w:id="739" w:name="_Toc183882466"/>
      <w:bookmarkStart w:id="740" w:name="_Toc183888156"/>
      <w:bookmarkStart w:id="741" w:name="_Toc183735414"/>
      <w:bookmarkStart w:id="742" w:name="_Toc183888518"/>
      <w:bookmarkStart w:id="743" w:name="_Toc183882104"/>
      <w:bookmarkStart w:id="744" w:name="_Toc183683531"/>
      <w:bookmarkStart w:id="745" w:name="_Toc183790543"/>
      <w:bookmarkStart w:id="746" w:name="_Toc183699870"/>
      <w:bookmarkStart w:id="747" w:name="_Toc183765113"/>
      <w:r>
        <w:t>地下结构</w:t>
      </w:r>
      <w:bookmarkEnd w:id="739"/>
      <w:bookmarkEnd w:id="740"/>
      <w:bookmarkEnd w:id="741"/>
      <w:bookmarkEnd w:id="742"/>
      <w:bookmarkEnd w:id="743"/>
      <w:bookmarkEnd w:id="744"/>
      <w:bookmarkEnd w:id="745"/>
      <w:bookmarkEnd w:id="746"/>
      <w:bookmarkEnd w:id="747"/>
    </w:p>
    <w:p w14:paraId="3BD409A3">
      <w:pPr>
        <w:numPr>
          <w:ilvl w:val="1"/>
          <w:numId w:val="1"/>
        </w:numPr>
        <w:snapToGrid w:val="0"/>
        <w:spacing w:before="156" w:after="156" w:line="240" w:lineRule="auto"/>
        <w:jc w:val="center"/>
        <w:outlineLvl w:val="1"/>
        <w:rPr>
          <w:rFonts w:eastAsia="黑体"/>
          <w:bCs/>
          <w:szCs w:val="28"/>
        </w:rPr>
      </w:pPr>
      <w:bookmarkStart w:id="748" w:name="_Toc168059424"/>
      <w:bookmarkStart w:id="749" w:name="_Toc168061679"/>
      <w:bookmarkStart w:id="750" w:name="_Toc168061232"/>
      <w:bookmarkStart w:id="751" w:name="_Toc183790544"/>
      <w:bookmarkStart w:id="752" w:name="_Toc183882105"/>
      <w:bookmarkStart w:id="753" w:name="_Toc183882467"/>
      <w:bookmarkStart w:id="754" w:name="_Toc183888157"/>
      <w:bookmarkStart w:id="755" w:name="_Toc183765114"/>
      <w:bookmarkStart w:id="756" w:name="_Toc183888519"/>
      <w:r>
        <w:rPr>
          <w:rFonts w:eastAsia="黑体"/>
          <w:bCs/>
          <w:szCs w:val="28"/>
        </w:rPr>
        <w:t>一般规定</w:t>
      </w:r>
      <w:bookmarkEnd w:id="748"/>
      <w:bookmarkEnd w:id="749"/>
      <w:bookmarkEnd w:id="750"/>
      <w:bookmarkEnd w:id="751"/>
      <w:bookmarkEnd w:id="752"/>
      <w:bookmarkEnd w:id="753"/>
      <w:bookmarkEnd w:id="754"/>
      <w:bookmarkEnd w:id="755"/>
      <w:bookmarkEnd w:id="756"/>
    </w:p>
    <w:p w14:paraId="50827859">
      <w:pPr>
        <w:numPr>
          <w:ilvl w:val="2"/>
          <w:numId w:val="1"/>
        </w:numPr>
        <w:tabs>
          <w:tab w:val="left" w:pos="709"/>
          <w:tab w:val="left" w:pos="794"/>
        </w:tabs>
        <w:jc w:val="left"/>
        <w:outlineLvl w:val="2"/>
        <w:rPr>
          <w:bCs/>
        </w:rPr>
      </w:pPr>
      <w:r>
        <w:rPr>
          <w:bCs/>
        </w:rPr>
        <w:t>本章适用于采用明挖法、盖挖逆作法、矿山法</w:t>
      </w:r>
      <w:r>
        <w:rPr>
          <w:rFonts w:hint="eastAsia"/>
          <w:bCs/>
        </w:rPr>
        <w:t>、</w:t>
      </w:r>
      <w:r>
        <w:rPr>
          <w:bCs/>
        </w:rPr>
        <w:t>盾构法</w:t>
      </w:r>
      <w:r>
        <w:rPr>
          <w:rFonts w:hint="eastAsia"/>
          <w:bCs/>
        </w:rPr>
        <w:t>及顶管法</w:t>
      </w:r>
      <w:r>
        <w:rPr>
          <w:rFonts w:hint="eastAsia"/>
        </w:rPr>
        <w:t>等施工方法修建的城市轨道交通工程地下结构的设计</w:t>
      </w:r>
      <w:r>
        <w:rPr>
          <w:bCs/>
        </w:rPr>
        <w:t>。</w:t>
      </w:r>
    </w:p>
    <w:p w14:paraId="384FC8C5">
      <w:pPr>
        <w:numPr>
          <w:ilvl w:val="2"/>
          <w:numId w:val="1"/>
        </w:numPr>
        <w:tabs>
          <w:tab w:val="left" w:pos="709"/>
          <w:tab w:val="left" w:pos="794"/>
        </w:tabs>
        <w:jc w:val="left"/>
        <w:outlineLvl w:val="2"/>
        <w:rPr>
          <w:bCs/>
        </w:rPr>
      </w:pPr>
      <w:r>
        <w:rPr>
          <w:bCs/>
        </w:rPr>
        <w:t>地下结构主要设计原则和技术标准应符合下列规定：</w:t>
      </w:r>
    </w:p>
    <w:p w14:paraId="67D6109F">
      <w:pPr>
        <w:ind w:firstLine="422" w:firstLineChars="200"/>
      </w:pPr>
      <w:r>
        <w:rPr>
          <w:b/>
        </w:rPr>
        <w:t>1</w:t>
      </w:r>
      <w:r>
        <w:rPr>
          <w:rFonts w:hint="eastAsia"/>
          <w:b/>
        </w:rPr>
        <w:t xml:space="preserve"> </w:t>
      </w:r>
      <w:r>
        <w:rPr>
          <w:rFonts w:hint="eastAsia"/>
        </w:rPr>
        <w:t xml:space="preserve"> </w:t>
      </w:r>
      <w:r>
        <w:t>地下结构设计应贯彻理论计算和工程类比相结合的基本原则，运用和引进新技术、新工艺、新材料，并充分考虑结构设计的安全可靠性和经济合理性；</w:t>
      </w:r>
    </w:p>
    <w:p w14:paraId="1A48828C">
      <w:pPr>
        <w:ind w:firstLine="422" w:firstLineChars="200"/>
      </w:pPr>
      <w:r>
        <w:rPr>
          <w:b/>
        </w:rPr>
        <w:t>2</w:t>
      </w:r>
      <w:r>
        <w:rPr>
          <w:rFonts w:hint="eastAsia"/>
        </w:rPr>
        <w:t xml:space="preserve">  </w:t>
      </w:r>
      <w:r>
        <w:t>地下结构的设计方法应按下列原则执行，并采用信息化设计；</w:t>
      </w:r>
    </w:p>
    <w:p w14:paraId="6AC50614">
      <w:pPr>
        <w:ind w:firstLine="420" w:firstLineChars="200"/>
      </w:pPr>
      <w:r>
        <w:t>1)</w:t>
      </w:r>
      <w:r>
        <w:rPr>
          <w:rFonts w:hint="eastAsia"/>
        </w:rPr>
        <w:t xml:space="preserve">  </w:t>
      </w:r>
      <w:r>
        <w:t>地下结构应按以概率理论为基础的极限状态法设计，进行稳定性验算时，应采用总安全系数法；</w:t>
      </w:r>
    </w:p>
    <w:p w14:paraId="23872993">
      <w:pPr>
        <w:ind w:firstLine="420" w:firstLineChars="200"/>
      </w:pPr>
      <w:r>
        <w:t>2)</w:t>
      </w:r>
      <w:r>
        <w:rPr>
          <w:rFonts w:hint="eastAsia"/>
        </w:rPr>
        <w:t xml:space="preserve">  </w:t>
      </w:r>
      <w:r>
        <w:t>直接承受列车荷载的楼板等构件应按容许应力法设计，其设计计算及构造要求应</w:t>
      </w:r>
      <w:r>
        <w:rPr>
          <w:rFonts w:hint="eastAsia"/>
        </w:rPr>
        <w:t>符合</w:t>
      </w:r>
      <w:r>
        <w:t>现行</w:t>
      </w:r>
      <w:r>
        <w:rPr>
          <w:rFonts w:hint="eastAsia"/>
        </w:rPr>
        <w:t>标准《铁路桥涵混凝土结构设计规范》 TB10092</w:t>
      </w:r>
      <w:r>
        <w:t>的</w:t>
      </w:r>
      <w:r>
        <w:rPr>
          <w:rFonts w:hint="eastAsia"/>
        </w:rPr>
        <w:t>规定</w:t>
      </w:r>
      <w:r>
        <w:t>。</w:t>
      </w:r>
    </w:p>
    <w:p w14:paraId="1352AD12">
      <w:pPr>
        <w:ind w:firstLine="420" w:firstLineChars="200"/>
      </w:pPr>
      <w:r>
        <w:t>3</w:t>
      </w:r>
      <w:r>
        <w:rPr>
          <w:rFonts w:hint="eastAsia"/>
        </w:rPr>
        <w:t xml:space="preserve">  </w:t>
      </w:r>
      <w:r>
        <w:t>地下结构应进行承载能力极限状态和正常使用极限状态设计，并应根据施工和使用过程中在结构上可能同时出现的</w:t>
      </w:r>
      <w:r>
        <w:rPr>
          <w:rFonts w:hint="eastAsia"/>
        </w:rPr>
        <w:t>作用</w:t>
      </w:r>
      <w:r>
        <w:t>，按承载能力极限状态和正常使用极限状态分别进行荷载组合，并应取各自的最不利的荷载效应组合进行包络设计；</w:t>
      </w:r>
    </w:p>
    <w:p w14:paraId="65C635A6">
      <w:pPr>
        <w:ind w:firstLine="422" w:firstLineChars="200"/>
      </w:pPr>
      <w:r>
        <w:rPr>
          <w:b/>
        </w:rPr>
        <w:t>4</w:t>
      </w:r>
      <w:r>
        <w:rPr>
          <w:rFonts w:hint="eastAsia"/>
          <w:b/>
        </w:rPr>
        <w:t xml:space="preserve"> </w:t>
      </w:r>
      <w:r>
        <w:rPr>
          <w:rFonts w:hint="eastAsia"/>
        </w:rPr>
        <w:t xml:space="preserve"> </w:t>
      </w:r>
      <w:r>
        <w:t>主体结构和内部结构按永久</w:t>
      </w:r>
      <w:r>
        <w:rPr>
          <w:rFonts w:hint="eastAsia"/>
        </w:rPr>
        <w:t>结构</w:t>
      </w:r>
      <w:r>
        <w:t>进行设计，并应符合下列规定：</w:t>
      </w:r>
    </w:p>
    <w:p w14:paraId="0004FE4C">
      <w:pPr>
        <w:ind w:firstLine="420" w:firstLineChars="200"/>
      </w:pPr>
      <w:r>
        <w:t>1)</w:t>
      </w:r>
      <w:r>
        <w:rPr>
          <w:rFonts w:hint="eastAsia"/>
        </w:rPr>
        <w:t xml:space="preserve">  </w:t>
      </w:r>
      <w:r>
        <w:t>设计</w:t>
      </w:r>
      <w:r>
        <w:rPr>
          <w:rFonts w:hint="eastAsia"/>
        </w:rPr>
        <w:t>工作</w:t>
      </w:r>
      <w:r>
        <w:t>年限应为100年，并应根据使用环境类别进行耐久性设计；</w:t>
      </w:r>
    </w:p>
    <w:p w14:paraId="5A9C46AE">
      <w:pPr>
        <w:ind w:firstLine="420" w:firstLineChars="200"/>
      </w:pPr>
      <w:r>
        <w:t>2)</w:t>
      </w:r>
      <w:r>
        <w:rPr>
          <w:rFonts w:hint="eastAsia"/>
        </w:rPr>
        <w:t xml:space="preserve">  </w:t>
      </w:r>
      <w:r>
        <w:t>应按荷载效应的基本组合或偶然组合进行承载能力极限状态计算，荷载效应的基本组合时结构重要性系数应取γ</w:t>
      </w:r>
      <w:r>
        <w:rPr>
          <w:vertAlign w:val="subscript"/>
        </w:rPr>
        <w:t>0</w:t>
      </w:r>
      <w:r>
        <w:t>＝1.1，荷载效应的偶然组合时结构重要性系数应取γ</w:t>
      </w:r>
      <w:r>
        <w:rPr>
          <w:vertAlign w:val="subscript"/>
        </w:rPr>
        <w:t>0</w:t>
      </w:r>
      <w:r>
        <w:t>＝1.0；</w:t>
      </w:r>
    </w:p>
    <w:p w14:paraId="38506D56">
      <w:pPr>
        <w:ind w:firstLine="420" w:firstLineChars="200"/>
      </w:pPr>
      <w:r>
        <w:t>3)</w:t>
      </w:r>
      <w:r>
        <w:rPr>
          <w:rFonts w:hint="eastAsia"/>
        </w:rPr>
        <w:t xml:space="preserve">  </w:t>
      </w:r>
      <w:r>
        <w:t>应按荷载效应的准永久组合并考虑长期作用的影响进行正常使用极限状态裂缝宽度验算。一般环境(Ⅰ类)和冻融环境(Ⅱ类)中，结构构件正截面的受力裂缝控制等级应为三级，与地下水、土接触并有自防水要求的混凝土构件，其表面最大裂缝宽度限值应取0.2mm，其他构件的最大裂缝宽度限值应取0.3mm。在裂缝宽度验算时，当钢筋的混凝土保护层实际厚度超过30mm时，保护层厚度可取30mm；</w:t>
      </w:r>
    </w:p>
    <w:p w14:paraId="007F41B4">
      <w:pPr>
        <w:ind w:firstLine="420" w:firstLineChars="200"/>
      </w:pPr>
      <w:r>
        <w:t>4)</w:t>
      </w:r>
      <w:r>
        <w:rPr>
          <w:rFonts w:hint="eastAsia"/>
        </w:rPr>
        <w:t xml:space="preserve">  </w:t>
      </w:r>
      <w:r>
        <w:t>应按荷载效应的准永久组合并考虑长期作用的影响进行正常使用极限状态变形验算，受弯构件的最</w:t>
      </w:r>
      <w:r>
        <w:rPr>
          <w:rFonts w:hint="eastAsia"/>
        </w:rPr>
        <w:t>大挠</w:t>
      </w:r>
      <w:r>
        <w:t>度限值不应超过L</w:t>
      </w:r>
      <w:r>
        <w:rPr>
          <w:vertAlign w:val="subscript"/>
        </w:rPr>
        <w:t>0</w:t>
      </w:r>
      <w:r>
        <w:t>/400~L</w:t>
      </w:r>
      <w:r>
        <w:rPr>
          <w:vertAlign w:val="subscript"/>
        </w:rPr>
        <w:t>0</w:t>
      </w:r>
      <w:r>
        <w:t>/300，悬臂构件的最大</w:t>
      </w:r>
      <w:r>
        <w:rPr>
          <w:rFonts w:hint="eastAsia"/>
        </w:rPr>
        <w:t>挠</w:t>
      </w:r>
      <w:r>
        <w:t>度限值不应超过2(L</w:t>
      </w:r>
      <w:r>
        <w:rPr>
          <w:vertAlign w:val="subscript"/>
        </w:rPr>
        <w:t>0</w:t>
      </w:r>
      <w:r>
        <w:t>/400~L</w:t>
      </w:r>
      <w:r>
        <w:rPr>
          <w:vertAlign w:val="subscript"/>
        </w:rPr>
        <w:t>0</w:t>
      </w:r>
      <w:r>
        <w:t>/300)，L</w:t>
      </w:r>
      <w:r>
        <w:rPr>
          <w:vertAlign w:val="subscript"/>
        </w:rPr>
        <w:t>0</w:t>
      </w:r>
      <w:r>
        <w:t>为构件的计算跨度。</w:t>
      </w:r>
    </w:p>
    <w:p w14:paraId="2D08587B">
      <w:pPr>
        <w:ind w:firstLine="422" w:firstLineChars="200"/>
      </w:pPr>
      <w:r>
        <w:rPr>
          <w:b/>
        </w:rPr>
        <w:t>5</w:t>
      </w:r>
      <w:r>
        <w:rPr>
          <w:rFonts w:hint="eastAsia"/>
          <w:b/>
        </w:rPr>
        <w:t xml:space="preserve"> </w:t>
      </w:r>
      <w:r>
        <w:rPr>
          <w:rFonts w:hint="eastAsia"/>
        </w:rPr>
        <w:t xml:space="preserve"> </w:t>
      </w:r>
      <w:r>
        <w:t>地下结构的基坑支护结构及矿山法初期支护结构应按临时</w:t>
      </w:r>
      <w:r>
        <w:rPr>
          <w:rFonts w:hint="eastAsia"/>
        </w:rPr>
        <w:t>结构</w:t>
      </w:r>
      <w:r>
        <w:t>进行设计，并仅按荷载效应的基本组合进行极限状态承载能力计算，结构重要性系数应取γ</w:t>
      </w:r>
      <w:r>
        <w:rPr>
          <w:vertAlign w:val="subscript"/>
        </w:rPr>
        <w:t>0</w:t>
      </w:r>
      <w:r>
        <w:t>＝1.0；</w:t>
      </w:r>
    </w:p>
    <w:p w14:paraId="3437221B">
      <w:pPr>
        <w:ind w:firstLine="422" w:firstLineChars="200"/>
      </w:pPr>
      <w:r>
        <w:rPr>
          <w:rFonts w:hint="eastAsia"/>
          <w:b/>
        </w:rPr>
        <w:t>6</w:t>
      </w:r>
      <w:r>
        <w:rPr>
          <w:rFonts w:hint="eastAsia"/>
        </w:rPr>
        <w:t xml:space="preserve">  </w:t>
      </w:r>
      <w:r>
        <w:t>地下结构应按抗浮设防水位进行抗浮稳定性验算。施工期间抗浮安全系数不应小于1.05</w:t>
      </w:r>
      <w:r>
        <w:rPr>
          <w:rFonts w:hint="eastAsia"/>
        </w:rPr>
        <w:t>，</w:t>
      </w:r>
      <w:r>
        <w:t>使用期间抗浮安全系数不应小于1.1。其中，盾构隧道</w:t>
      </w:r>
      <w:r>
        <w:rPr>
          <w:rFonts w:hint="eastAsia"/>
        </w:rPr>
        <w:t>结构</w:t>
      </w:r>
      <w:r>
        <w:t>抗浮安全系数施工期间不应小于1.1，使用期间不应小于1.2</w:t>
      </w:r>
      <w:r>
        <w:rPr>
          <w:rFonts w:hint="eastAsia"/>
        </w:rPr>
        <w:t>。</w:t>
      </w:r>
    </w:p>
    <w:p w14:paraId="4224265C">
      <w:pPr>
        <w:ind w:firstLine="422" w:firstLineChars="200"/>
      </w:pPr>
      <w:r>
        <w:rPr>
          <w:b/>
        </w:rPr>
        <w:t>7</w:t>
      </w:r>
      <w:r>
        <w:rPr>
          <w:rFonts w:hint="eastAsia"/>
          <w:b/>
        </w:rPr>
        <w:t xml:space="preserve"> </w:t>
      </w:r>
      <w:r>
        <w:rPr>
          <w:rFonts w:hint="eastAsia"/>
        </w:rPr>
        <w:t xml:space="preserve"> </w:t>
      </w:r>
      <w:r>
        <w:t>地下结构应按场区抗震设防要求进行抗震承载能力计算；</w:t>
      </w:r>
    </w:p>
    <w:p w14:paraId="7FE0709F">
      <w:pPr>
        <w:ind w:firstLine="422" w:firstLineChars="200"/>
      </w:pPr>
      <w:r>
        <w:rPr>
          <w:b/>
        </w:rPr>
        <w:t>8</w:t>
      </w:r>
      <w:r>
        <w:rPr>
          <w:rFonts w:hint="eastAsia"/>
        </w:rPr>
        <w:t xml:space="preserve">  </w:t>
      </w:r>
      <w:r>
        <w:t>有战时防护要求的地下结构应在规定的设防部位根据批准的人防抗力标准按现行《轨道交通工程人民防空设计规范》RFJ02的要求进行结构验算。上跨、下穿及连通既有线路结构时，不应降低各自结构的防护能力；</w:t>
      </w:r>
    </w:p>
    <w:p w14:paraId="604D7A26">
      <w:pPr>
        <w:ind w:firstLine="422" w:firstLineChars="200"/>
      </w:pPr>
      <w:r>
        <w:rPr>
          <w:b/>
        </w:rPr>
        <w:t>9</w:t>
      </w:r>
      <w:r>
        <w:rPr>
          <w:rFonts w:hint="eastAsia"/>
        </w:rPr>
        <w:t xml:space="preserve">  </w:t>
      </w:r>
      <w:r>
        <w:t>地下结构防水设计应符合本规范第12章的相关规定；</w:t>
      </w:r>
    </w:p>
    <w:p w14:paraId="1753DD59">
      <w:pPr>
        <w:ind w:firstLine="422" w:firstLineChars="200"/>
      </w:pPr>
      <w:r>
        <w:rPr>
          <w:b/>
        </w:rPr>
        <w:t>10</w:t>
      </w:r>
      <w:r>
        <w:rPr>
          <w:rFonts w:hint="eastAsia"/>
          <w:b/>
        </w:rPr>
        <w:t xml:space="preserve"> </w:t>
      </w:r>
      <w:r>
        <w:rPr>
          <w:rFonts w:hint="eastAsia"/>
        </w:rPr>
        <w:t xml:space="preserve"> </w:t>
      </w:r>
      <w:r>
        <w:t>地下结构设计应</w:t>
      </w:r>
      <w:r>
        <w:rPr>
          <w:rFonts w:hint="eastAsia"/>
        </w:rPr>
        <w:t>符合</w:t>
      </w:r>
      <w:r>
        <w:t>现行《建筑设计防火规范》GB50016的相关</w:t>
      </w:r>
      <w:r>
        <w:rPr>
          <w:rFonts w:hint="eastAsia"/>
        </w:rPr>
        <w:t>规定</w:t>
      </w:r>
      <w:r>
        <w:t>，地下结构中承重构件的耐火等级应为一级；</w:t>
      </w:r>
    </w:p>
    <w:p w14:paraId="075F5522">
      <w:pPr>
        <w:ind w:firstLine="422" w:firstLineChars="200"/>
      </w:pPr>
      <w:r>
        <w:rPr>
          <w:b/>
        </w:rPr>
        <w:t>11</w:t>
      </w:r>
      <w:r>
        <w:rPr>
          <w:rFonts w:hint="eastAsia"/>
          <w:b/>
        </w:rPr>
        <w:t xml:space="preserve"> </w:t>
      </w:r>
      <w:r>
        <w:rPr>
          <w:rFonts w:hint="eastAsia"/>
        </w:rPr>
        <w:t xml:space="preserve"> </w:t>
      </w:r>
      <w:r>
        <w:rPr>
          <w:szCs w:val="18"/>
        </w:rPr>
        <w:t>地下结构应根据现行行业标准《地铁杂散电流腐蚀防护技术标准》CJJ/T49采取防止杂散电流的措施。钢结构及钢连接件应进行防锈和防腐蚀处理</w:t>
      </w:r>
      <w:r>
        <w:rPr>
          <w:rFonts w:hint="eastAsia"/>
          <w:szCs w:val="18"/>
        </w:rPr>
        <w:t>。</w:t>
      </w:r>
    </w:p>
    <w:p w14:paraId="6F51BCDC">
      <w:pPr>
        <w:numPr>
          <w:ilvl w:val="1"/>
          <w:numId w:val="1"/>
        </w:numPr>
        <w:snapToGrid w:val="0"/>
        <w:spacing w:before="156" w:after="156" w:line="240" w:lineRule="auto"/>
        <w:jc w:val="center"/>
        <w:outlineLvl w:val="1"/>
        <w:rPr>
          <w:rFonts w:eastAsia="黑体"/>
          <w:bCs/>
          <w:szCs w:val="28"/>
        </w:rPr>
      </w:pPr>
      <w:bookmarkStart w:id="757" w:name="_Toc168061233"/>
      <w:bookmarkStart w:id="758" w:name="_Toc168059425"/>
      <w:bookmarkStart w:id="759" w:name="_Toc168061680"/>
      <w:bookmarkStart w:id="760" w:name="_Toc183765115"/>
      <w:bookmarkStart w:id="761" w:name="_Toc183888158"/>
      <w:bookmarkStart w:id="762" w:name="_Toc183882106"/>
      <w:bookmarkStart w:id="763" w:name="_Toc183790545"/>
      <w:bookmarkStart w:id="764" w:name="_Toc183888520"/>
      <w:bookmarkStart w:id="765" w:name="_Toc183882468"/>
      <w:r>
        <w:rPr>
          <w:rFonts w:eastAsia="黑体"/>
          <w:bCs/>
          <w:szCs w:val="28"/>
        </w:rPr>
        <w:t>施工方法和结构</w:t>
      </w:r>
      <w:bookmarkEnd w:id="757"/>
      <w:bookmarkEnd w:id="758"/>
      <w:bookmarkEnd w:id="759"/>
      <w:r>
        <w:rPr>
          <w:rFonts w:hint="eastAsia" w:eastAsia="黑体"/>
          <w:bCs/>
          <w:szCs w:val="28"/>
        </w:rPr>
        <w:t>选型</w:t>
      </w:r>
      <w:bookmarkEnd w:id="760"/>
      <w:bookmarkEnd w:id="761"/>
      <w:bookmarkEnd w:id="762"/>
      <w:bookmarkEnd w:id="763"/>
      <w:bookmarkEnd w:id="764"/>
      <w:bookmarkEnd w:id="765"/>
    </w:p>
    <w:p w14:paraId="2DC73703">
      <w:pPr>
        <w:numPr>
          <w:ilvl w:val="2"/>
          <w:numId w:val="1"/>
        </w:numPr>
        <w:tabs>
          <w:tab w:val="left" w:pos="709"/>
          <w:tab w:val="left" w:pos="794"/>
        </w:tabs>
        <w:jc w:val="left"/>
        <w:outlineLvl w:val="2"/>
        <w:rPr>
          <w:bCs/>
        </w:rPr>
      </w:pPr>
      <w:r>
        <w:rPr>
          <w:bCs/>
        </w:rPr>
        <w:t>地下结构施工方法的确定应遵循以下基本原则：</w:t>
      </w:r>
    </w:p>
    <w:p w14:paraId="4E9647EE">
      <w:pPr>
        <w:pStyle w:val="7"/>
        <w:ind w:firstLine="420"/>
      </w:pPr>
      <w:r>
        <w:t>地下结构施工方法应根据环境情况、工程地质和水文地质条件，通过对工程安全、工程质量、环境影响、技术先进、造价</w:t>
      </w:r>
      <w:r>
        <w:rPr>
          <w:rFonts w:hint="eastAsia"/>
        </w:rPr>
        <w:t>和</w:t>
      </w:r>
      <w:r>
        <w:t>工期等多方面的充分论证和综合比较后确定；</w:t>
      </w:r>
    </w:p>
    <w:p w14:paraId="76524721">
      <w:pPr>
        <w:pStyle w:val="7"/>
        <w:ind w:firstLine="420"/>
      </w:pPr>
      <w:r>
        <w:rPr>
          <w:rFonts w:hint="eastAsia"/>
        </w:rPr>
        <w:t>地下车站结构以明挖法、盖挖逆作法或矿山法为主，出入口等附属建筑结构也可采用顶管法等工法施工；</w:t>
      </w:r>
    </w:p>
    <w:p w14:paraId="4D7FBCBE">
      <w:pPr>
        <w:pStyle w:val="7"/>
        <w:ind w:firstLine="420"/>
      </w:pPr>
      <w:r>
        <w:t>地下区间结构以盾构法或矿山法施工为主，在地面空旷且隧道埋深浅的地段可采用明挖法施工</w:t>
      </w:r>
      <w:r>
        <w:rPr>
          <w:rFonts w:hint="eastAsia"/>
        </w:rPr>
        <w:t>；</w:t>
      </w:r>
    </w:p>
    <w:p w14:paraId="38789353">
      <w:pPr>
        <w:pStyle w:val="7"/>
        <w:ind w:firstLine="420"/>
      </w:pPr>
      <w:r>
        <w:rPr>
          <w:rFonts w:hint="eastAsia"/>
        </w:rPr>
        <w:t>区间</w:t>
      </w:r>
      <w:r>
        <w:t>线路配线等结构断面变化段，宜结合车站施工方法采用明挖法、矿山法或顶管法施工</w:t>
      </w:r>
      <w:r>
        <w:rPr>
          <w:rFonts w:hint="eastAsia"/>
        </w:rPr>
        <w:t>。</w:t>
      </w:r>
    </w:p>
    <w:p w14:paraId="04B8A9E1">
      <w:pPr>
        <w:pStyle w:val="7"/>
        <w:ind w:firstLine="420"/>
      </w:pPr>
      <w:r>
        <w:t>盾构区间联络通道，宜采用矿山法或</w:t>
      </w:r>
      <w:r>
        <w:rPr>
          <w:rFonts w:hint="eastAsia"/>
        </w:rPr>
        <w:t>顶管法</w:t>
      </w:r>
      <w:r>
        <w:t>施工</w:t>
      </w:r>
      <w:r>
        <w:rPr>
          <w:rFonts w:hint="eastAsia"/>
        </w:rPr>
        <w:t>。</w:t>
      </w:r>
    </w:p>
    <w:p w14:paraId="3B59BE3B">
      <w:pPr>
        <w:pStyle w:val="7"/>
        <w:ind w:firstLine="420"/>
      </w:pPr>
      <w:r>
        <w:rPr>
          <w:rFonts w:hint="eastAsia"/>
        </w:rPr>
        <w:t>地下结构</w:t>
      </w:r>
      <w:r>
        <w:t>近距离穿越</w:t>
      </w:r>
      <w:r>
        <w:rPr>
          <w:rFonts w:hint="eastAsia"/>
        </w:rPr>
        <w:t>或邻近</w:t>
      </w:r>
      <w:r>
        <w:t>既有铁路、城市轨道交通、公路、桥梁以及其他重要和敏感性建(构)筑物</w:t>
      </w:r>
      <w:r>
        <w:rPr>
          <w:rFonts w:hint="eastAsia"/>
        </w:rPr>
        <w:t>时</w:t>
      </w:r>
      <w:r>
        <w:t>，应结合</w:t>
      </w:r>
      <w:r>
        <w:rPr>
          <w:rFonts w:hint="eastAsia"/>
        </w:rPr>
        <w:t>上述</w:t>
      </w:r>
      <w:r>
        <w:t>工程的</w:t>
      </w:r>
      <w:r>
        <w:rPr>
          <w:rFonts w:hint="eastAsia"/>
        </w:rPr>
        <w:t>特点及产权方的</w:t>
      </w:r>
      <w:r>
        <w:t>具体要求，比选</w:t>
      </w:r>
      <w:r>
        <w:rPr>
          <w:rFonts w:hint="eastAsia"/>
        </w:rPr>
        <w:t>后</w:t>
      </w:r>
      <w:r>
        <w:t>确定</w:t>
      </w:r>
      <w:r>
        <w:rPr>
          <w:rFonts w:hint="eastAsia"/>
        </w:rPr>
        <w:t>适宜</w:t>
      </w:r>
      <w:r>
        <w:t>的施工方法及</w:t>
      </w:r>
      <w:r>
        <w:rPr>
          <w:rFonts w:hint="eastAsia"/>
        </w:rPr>
        <w:t>对应</w:t>
      </w:r>
      <w:r>
        <w:t>技术措施，必要时应进行专题论证。</w:t>
      </w:r>
    </w:p>
    <w:p w14:paraId="7CE3BEB0">
      <w:pPr>
        <w:numPr>
          <w:ilvl w:val="2"/>
          <w:numId w:val="1"/>
        </w:numPr>
        <w:tabs>
          <w:tab w:val="left" w:pos="709"/>
          <w:tab w:val="left" w:pos="794"/>
        </w:tabs>
        <w:jc w:val="left"/>
        <w:outlineLvl w:val="2"/>
        <w:rPr>
          <w:bCs/>
        </w:rPr>
      </w:pPr>
      <w:r>
        <w:rPr>
          <w:bCs/>
        </w:rPr>
        <w:t>地下结构选型应遵循以下基本原则：</w:t>
      </w:r>
    </w:p>
    <w:p w14:paraId="48175D4C">
      <w:pPr>
        <w:ind w:firstLine="422" w:firstLineChars="200"/>
      </w:pPr>
      <w:r>
        <w:rPr>
          <w:b/>
        </w:rPr>
        <w:t>1</w:t>
      </w:r>
      <w:r>
        <w:rPr>
          <w:rFonts w:hint="eastAsia"/>
          <w:b/>
        </w:rPr>
        <w:t xml:space="preserve"> </w:t>
      </w:r>
      <w:r>
        <w:rPr>
          <w:rFonts w:hint="eastAsia"/>
        </w:rPr>
        <w:t xml:space="preserve"> </w:t>
      </w:r>
      <w:r>
        <w:t>地下结构型式应满足城市轨道交通使用功能的需求，并应根据工程地质及水文地质条件、施工方法及断面尺寸，从结构受力、施工工艺、环境保护及工程造价等方面通过综合比较后确定；</w:t>
      </w:r>
    </w:p>
    <w:p w14:paraId="43631416">
      <w:pPr>
        <w:ind w:firstLine="422" w:firstLineChars="200"/>
      </w:pPr>
      <w:r>
        <w:rPr>
          <w:b/>
        </w:rPr>
        <w:t>2</w:t>
      </w:r>
      <w:r>
        <w:rPr>
          <w:rFonts w:hint="eastAsia"/>
          <w:b/>
        </w:rPr>
        <w:t xml:space="preserve"> </w:t>
      </w:r>
      <w:r>
        <w:rPr>
          <w:rFonts w:hint="eastAsia"/>
        </w:rPr>
        <w:t xml:space="preserve"> </w:t>
      </w:r>
      <w:r>
        <w:t>车站结构型式应与两端的区间结构施工方法相协调。当区间结构采用盾构法或顶管法施工时，车站及端头井的梁柱布置以及净空尺寸应根据工程筹划安排满足相应的始发、接收、调头或过站等施工工艺的要求；</w:t>
      </w:r>
    </w:p>
    <w:p w14:paraId="4B0663E9">
      <w:pPr>
        <w:ind w:firstLine="422" w:firstLineChars="200"/>
      </w:pPr>
      <w:r>
        <w:rPr>
          <w:b/>
        </w:rPr>
        <w:t>3</w:t>
      </w:r>
      <w:r>
        <w:rPr>
          <w:rFonts w:hint="eastAsia"/>
        </w:rPr>
        <w:t xml:space="preserve">  </w:t>
      </w:r>
      <w:r>
        <w:t>地下结构净空尺寸应满足建筑使用功能的要求、并考虑施工工艺的影响。行车</w:t>
      </w:r>
      <w:r>
        <w:rPr>
          <w:rFonts w:hint="eastAsia"/>
        </w:rPr>
        <w:t>地下结构</w:t>
      </w:r>
      <w:r>
        <w:t>的净空尺寸，除应满足建筑限界、施工工艺等要求外，还应考虑施工误差、结构变形及后期沉降等因素给出必要的裕量，行车</w:t>
      </w:r>
      <w:r>
        <w:rPr>
          <w:rFonts w:hint="eastAsia"/>
        </w:rPr>
        <w:t>地下结构</w:t>
      </w:r>
      <w:r>
        <w:t>各种结构型式的建筑限界外的净空裕量可按表1</w:t>
      </w:r>
      <w:r>
        <w:rPr>
          <w:rFonts w:hint="eastAsia"/>
        </w:rPr>
        <w:t>2</w:t>
      </w:r>
      <w:r>
        <w:t>.2.2取值。</w:t>
      </w:r>
    </w:p>
    <w:p w14:paraId="4F33CC44">
      <w:pPr>
        <w:pStyle w:val="198"/>
      </w:pPr>
      <w:r>
        <w:t>表1</w:t>
      </w:r>
      <w:r>
        <w:rPr>
          <w:rFonts w:hint="eastAsia"/>
        </w:rPr>
        <w:t>2</w:t>
      </w:r>
      <w:r>
        <w:t>.2.2</w:t>
      </w:r>
      <w:r>
        <w:rPr>
          <w:rFonts w:hint="eastAsia"/>
        </w:rPr>
        <w:t xml:space="preserve">  </w:t>
      </w:r>
      <w:r>
        <w:t>行车</w:t>
      </w:r>
      <w:r>
        <w:rPr>
          <w:rFonts w:hint="eastAsia"/>
        </w:rPr>
        <w:t>地下结构</w:t>
      </w:r>
      <w:r>
        <w:t>建筑限界外的净空裕量取值(mm)</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33"/>
        <w:gridCol w:w="1418"/>
        <w:gridCol w:w="1222"/>
        <w:gridCol w:w="1054"/>
        <w:gridCol w:w="1054"/>
        <w:gridCol w:w="1059"/>
      </w:tblGrid>
      <w:tr w14:paraId="4869A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2" w:hRule="atLeast"/>
          <w:jc w:val="center"/>
        </w:trPr>
        <w:tc>
          <w:tcPr>
            <w:tcW w:w="533" w:type="dxa"/>
            <w:tcBorders>
              <w:left w:val="single" w:color="000000" w:sz="6" w:space="0"/>
            </w:tcBorders>
            <w:vAlign w:val="center"/>
          </w:tcPr>
          <w:p w14:paraId="113038C1">
            <w:pPr>
              <w:jc w:val="center"/>
              <w:rPr>
                <w:sz w:val="15"/>
                <w:szCs w:val="15"/>
              </w:rPr>
            </w:pPr>
            <w:r>
              <w:rPr>
                <w:sz w:val="15"/>
                <w:szCs w:val="15"/>
              </w:rPr>
              <w:t>结构型式</w:t>
            </w:r>
          </w:p>
        </w:tc>
        <w:tc>
          <w:tcPr>
            <w:tcW w:w="1418" w:type="dxa"/>
            <w:vAlign w:val="center"/>
          </w:tcPr>
          <w:p w14:paraId="01FDF4BF">
            <w:pPr>
              <w:jc w:val="center"/>
              <w:rPr>
                <w:sz w:val="15"/>
                <w:szCs w:val="15"/>
              </w:rPr>
            </w:pPr>
            <w:r>
              <w:rPr>
                <w:sz w:val="15"/>
                <w:szCs w:val="15"/>
              </w:rPr>
              <w:t>明挖、盖挖逆作法</w:t>
            </w:r>
            <w:r>
              <w:rPr>
                <w:rFonts w:hint="eastAsia"/>
                <w:sz w:val="15"/>
                <w:szCs w:val="15"/>
              </w:rPr>
              <w:t>主体</w:t>
            </w:r>
            <w:r>
              <w:rPr>
                <w:sz w:val="15"/>
                <w:szCs w:val="15"/>
              </w:rPr>
              <w:t>结构</w:t>
            </w:r>
          </w:p>
        </w:tc>
        <w:tc>
          <w:tcPr>
            <w:tcW w:w="1222" w:type="dxa"/>
            <w:vAlign w:val="center"/>
          </w:tcPr>
          <w:p w14:paraId="06A2F272">
            <w:pPr>
              <w:jc w:val="center"/>
              <w:rPr>
                <w:sz w:val="15"/>
                <w:szCs w:val="15"/>
              </w:rPr>
            </w:pPr>
            <w:r>
              <w:rPr>
                <w:sz w:val="15"/>
                <w:szCs w:val="15"/>
              </w:rPr>
              <w:t>矿山、盾构法</w:t>
            </w:r>
            <w:r>
              <w:rPr>
                <w:rFonts w:hint="eastAsia"/>
                <w:sz w:val="15"/>
                <w:szCs w:val="15"/>
              </w:rPr>
              <w:t>主体</w:t>
            </w:r>
            <w:r>
              <w:rPr>
                <w:sz w:val="15"/>
                <w:szCs w:val="15"/>
              </w:rPr>
              <w:t>结构</w:t>
            </w:r>
          </w:p>
        </w:tc>
        <w:tc>
          <w:tcPr>
            <w:tcW w:w="1054" w:type="dxa"/>
            <w:vAlign w:val="center"/>
          </w:tcPr>
          <w:p w14:paraId="343BB597">
            <w:pPr>
              <w:pStyle w:val="235"/>
              <w:rPr>
                <w:color w:val="auto"/>
              </w:rPr>
            </w:pPr>
            <w:r>
              <w:rPr>
                <w:rFonts w:hint="eastAsia"/>
                <w:color w:val="auto"/>
              </w:rPr>
              <w:t>顶管法主体结构</w:t>
            </w:r>
          </w:p>
        </w:tc>
        <w:tc>
          <w:tcPr>
            <w:tcW w:w="1054" w:type="dxa"/>
            <w:vAlign w:val="center"/>
          </w:tcPr>
          <w:p w14:paraId="71B238D6">
            <w:pPr>
              <w:jc w:val="center"/>
              <w:rPr>
                <w:sz w:val="15"/>
                <w:szCs w:val="15"/>
              </w:rPr>
            </w:pPr>
            <w:r>
              <w:rPr>
                <w:sz w:val="15"/>
                <w:szCs w:val="15"/>
              </w:rPr>
              <w:t>站台板构件</w:t>
            </w:r>
          </w:p>
        </w:tc>
        <w:tc>
          <w:tcPr>
            <w:tcW w:w="1059" w:type="dxa"/>
            <w:tcBorders>
              <w:right w:val="single" w:color="000000" w:sz="6" w:space="0"/>
            </w:tcBorders>
            <w:vAlign w:val="center"/>
          </w:tcPr>
          <w:p w14:paraId="5D3B5646">
            <w:pPr>
              <w:jc w:val="center"/>
              <w:rPr>
                <w:sz w:val="15"/>
                <w:szCs w:val="15"/>
              </w:rPr>
            </w:pPr>
            <w:r>
              <w:rPr>
                <w:sz w:val="15"/>
                <w:szCs w:val="15"/>
              </w:rPr>
              <w:t>其他内部构件</w:t>
            </w:r>
          </w:p>
        </w:tc>
      </w:tr>
      <w:tr w14:paraId="0A447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2" w:hRule="atLeast"/>
          <w:jc w:val="center"/>
        </w:trPr>
        <w:tc>
          <w:tcPr>
            <w:tcW w:w="533" w:type="dxa"/>
            <w:tcBorders>
              <w:left w:val="single" w:color="000000" w:sz="6" w:space="0"/>
            </w:tcBorders>
            <w:vAlign w:val="center"/>
          </w:tcPr>
          <w:p w14:paraId="19112164">
            <w:pPr>
              <w:jc w:val="center"/>
              <w:rPr>
                <w:sz w:val="15"/>
                <w:szCs w:val="15"/>
              </w:rPr>
            </w:pPr>
            <w:r>
              <w:rPr>
                <w:sz w:val="15"/>
                <w:szCs w:val="15"/>
              </w:rPr>
              <w:t>净空裕量</w:t>
            </w:r>
          </w:p>
        </w:tc>
        <w:tc>
          <w:tcPr>
            <w:tcW w:w="1418" w:type="dxa"/>
            <w:vAlign w:val="center"/>
          </w:tcPr>
          <w:p w14:paraId="413ABEF0">
            <w:pPr>
              <w:jc w:val="center"/>
              <w:rPr>
                <w:sz w:val="15"/>
                <w:szCs w:val="15"/>
              </w:rPr>
            </w:pPr>
            <w:r>
              <w:rPr>
                <w:sz w:val="15"/>
                <w:szCs w:val="15"/>
              </w:rPr>
              <w:t>50</w:t>
            </w:r>
          </w:p>
        </w:tc>
        <w:tc>
          <w:tcPr>
            <w:tcW w:w="1222" w:type="dxa"/>
            <w:vAlign w:val="center"/>
          </w:tcPr>
          <w:p w14:paraId="05BBCD37">
            <w:pPr>
              <w:jc w:val="center"/>
              <w:rPr>
                <w:sz w:val="15"/>
                <w:szCs w:val="15"/>
              </w:rPr>
            </w:pPr>
            <w:r>
              <w:rPr>
                <w:sz w:val="15"/>
                <w:szCs w:val="15"/>
              </w:rPr>
              <w:t>100</w:t>
            </w:r>
            <w:r>
              <w:rPr>
                <w:rFonts w:hint="eastAsia"/>
                <w:sz w:val="15"/>
                <w:szCs w:val="15"/>
              </w:rPr>
              <w:t>~150</w:t>
            </w:r>
          </w:p>
        </w:tc>
        <w:tc>
          <w:tcPr>
            <w:tcW w:w="1054" w:type="dxa"/>
            <w:vAlign w:val="center"/>
          </w:tcPr>
          <w:p w14:paraId="10BC6A29">
            <w:pPr>
              <w:pStyle w:val="235"/>
              <w:rPr>
                <w:color w:val="auto"/>
              </w:rPr>
            </w:pPr>
            <w:r>
              <w:rPr>
                <w:rFonts w:hint="eastAsia"/>
                <w:color w:val="auto"/>
              </w:rPr>
              <w:t>50</w:t>
            </w:r>
          </w:p>
        </w:tc>
        <w:tc>
          <w:tcPr>
            <w:tcW w:w="1054" w:type="dxa"/>
            <w:vAlign w:val="center"/>
          </w:tcPr>
          <w:p w14:paraId="27415CB2">
            <w:pPr>
              <w:jc w:val="center"/>
              <w:rPr>
                <w:sz w:val="15"/>
                <w:szCs w:val="15"/>
              </w:rPr>
            </w:pPr>
            <w:r>
              <w:rPr>
                <w:sz w:val="15"/>
                <w:szCs w:val="15"/>
              </w:rPr>
              <w:t>0</w:t>
            </w:r>
          </w:p>
        </w:tc>
        <w:tc>
          <w:tcPr>
            <w:tcW w:w="1059" w:type="dxa"/>
            <w:tcBorders>
              <w:right w:val="single" w:color="000000" w:sz="6" w:space="0"/>
            </w:tcBorders>
            <w:vAlign w:val="center"/>
          </w:tcPr>
          <w:p w14:paraId="118DDC2D">
            <w:pPr>
              <w:jc w:val="center"/>
              <w:rPr>
                <w:sz w:val="15"/>
                <w:szCs w:val="15"/>
              </w:rPr>
            </w:pPr>
            <w:r>
              <w:rPr>
                <w:sz w:val="15"/>
                <w:szCs w:val="15"/>
              </w:rPr>
              <w:t>50</w:t>
            </w:r>
          </w:p>
        </w:tc>
      </w:tr>
    </w:tbl>
    <w:p w14:paraId="7F98EDBD">
      <w:pPr>
        <w:ind w:left="945" w:leftChars="200" w:hanging="525" w:hangingChars="350"/>
        <w:rPr>
          <w:sz w:val="15"/>
          <w:szCs w:val="18"/>
        </w:rPr>
      </w:pPr>
      <w:r>
        <w:rPr>
          <w:sz w:val="15"/>
          <w:szCs w:val="18"/>
        </w:rPr>
        <w:t>注：</w:t>
      </w:r>
      <w:r>
        <w:rPr>
          <w:rFonts w:hint="eastAsia"/>
          <w:sz w:val="15"/>
          <w:szCs w:val="18"/>
        </w:rPr>
        <w:t xml:space="preserve">   </w:t>
      </w:r>
      <w:r>
        <w:rPr>
          <w:sz w:val="15"/>
          <w:szCs w:val="18"/>
        </w:rPr>
        <w:t>站台板构件的净空裕量取值为0，仅用于站台计算长度内的站台板结构；其他内部构件指除了站台计算长度以内的站台板构件外，车站和区间行车隧道内的立柱、隔墙、梁、板、楼梯等构件。</w:t>
      </w:r>
    </w:p>
    <w:p w14:paraId="28E563B2">
      <w:pPr>
        <w:numPr>
          <w:ilvl w:val="1"/>
          <w:numId w:val="1"/>
        </w:numPr>
        <w:snapToGrid w:val="0"/>
        <w:spacing w:before="156" w:after="156" w:line="240" w:lineRule="auto"/>
        <w:jc w:val="center"/>
        <w:outlineLvl w:val="1"/>
      </w:pPr>
      <w:bookmarkStart w:id="766" w:name="_Toc183888159"/>
      <w:bookmarkStart w:id="767" w:name="_Toc183882469"/>
      <w:bookmarkStart w:id="768" w:name="_Toc183765116"/>
      <w:bookmarkStart w:id="769" w:name="_Toc183888521"/>
      <w:bookmarkStart w:id="770" w:name="_Toc183790546"/>
      <w:bookmarkStart w:id="771" w:name="_Toc183882107"/>
      <w:r>
        <w:rPr>
          <w:rFonts w:eastAsia="黑体"/>
          <w:bCs/>
          <w:szCs w:val="28"/>
        </w:rPr>
        <w:t>荷载</w:t>
      </w:r>
      <w:bookmarkEnd w:id="766"/>
      <w:bookmarkEnd w:id="767"/>
      <w:bookmarkEnd w:id="768"/>
      <w:bookmarkEnd w:id="769"/>
      <w:bookmarkEnd w:id="770"/>
      <w:bookmarkEnd w:id="771"/>
    </w:p>
    <w:p w14:paraId="032E7D35">
      <w:pPr>
        <w:numPr>
          <w:ilvl w:val="2"/>
          <w:numId w:val="1"/>
        </w:numPr>
        <w:tabs>
          <w:tab w:val="left" w:pos="709"/>
          <w:tab w:val="left" w:pos="794"/>
        </w:tabs>
        <w:jc w:val="left"/>
        <w:outlineLvl w:val="2"/>
        <w:rPr>
          <w:bCs/>
        </w:rPr>
      </w:pPr>
      <w:r>
        <w:rPr>
          <w:bCs/>
        </w:rPr>
        <w:t>作用在地下结构上的荷载，可按表1</w:t>
      </w:r>
      <w:r>
        <w:rPr>
          <w:rFonts w:hint="eastAsia"/>
          <w:bCs/>
        </w:rPr>
        <w:t>2</w:t>
      </w:r>
      <w:r>
        <w:rPr>
          <w:bCs/>
        </w:rPr>
        <w:t>.3.1进行分类。</w:t>
      </w:r>
    </w:p>
    <w:p w14:paraId="2986100E">
      <w:pPr>
        <w:pStyle w:val="198"/>
      </w:pPr>
      <w:r>
        <w:t>表1</w:t>
      </w:r>
      <w:r>
        <w:rPr>
          <w:rFonts w:hint="eastAsia"/>
        </w:rPr>
        <w:t>2</w:t>
      </w:r>
      <w:r>
        <w:t>.3.1</w:t>
      </w:r>
      <w:r>
        <w:rPr>
          <w:rFonts w:hint="eastAsia"/>
        </w:rPr>
        <w:t xml:space="preserve">  </w:t>
      </w:r>
      <w:r>
        <w:t>荷载分类</w:t>
      </w:r>
    </w:p>
    <w:tbl>
      <w:tblPr>
        <w:tblStyle w:val="88"/>
        <w:tblW w:w="594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41"/>
        <w:gridCol w:w="3807"/>
      </w:tblGrid>
      <w:tr w14:paraId="5F56C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3" w:hRule="atLeast"/>
          <w:jc w:val="center"/>
        </w:trPr>
        <w:tc>
          <w:tcPr>
            <w:tcW w:w="2141" w:type="dxa"/>
            <w:tcBorders>
              <w:left w:val="single" w:color="000000" w:sz="6" w:space="0"/>
            </w:tcBorders>
            <w:vAlign w:val="center"/>
          </w:tcPr>
          <w:p w14:paraId="1722AC9A">
            <w:pPr>
              <w:autoSpaceDE w:val="0"/>
              <w:autoSpaceDN w:val="0"/>
              <w:spacing w:line="240" w:lineRule="auto"/>
              <w:jc w:val="center"/>
              <w:rPr>
                <w:kern w:val="0"/>
                <w:sz w:val="15"/>
                <w:szCs w:val="15"/>
              </w:rPr>
            </w:pPr>
            <w:r>
              <w:rPr>
                <w:kern w:val="0"/>
                <w:sz w:val="15"/>
                <w:szCs w:val="15"/>
              </w:rPr>
              <w:t>荷载分类</w:t>
            </w:r>
          </w:p>
        </w:tc>
        <w:tc>
          <w:tcPr>
            <w:tcW w:w="3807" w:type="dxa"/>
            <w:tcBorders>
              <w:right w:val="single" w:color="000000" w:sz="6" w:space="0"/>
            </w:tcBorders>
            <w:vAlign w:val="center"/>
          </w:tcPr>
          <w:p w14:paraId="28444D50">
            <w:pPr>
              <w:autoSpaceDE w:val="0"/>
              <w:autoSpaceDN w:val="0"/>
              <w:spacing w:line="240" w:lineRule="auto"/>
              <w:jc w:val="center"/>
              <w:rPr>
                <w:kern w:val="0"/>
                <w:sz w:val="15"/>
                <w:szCs w:val="15"/>
              </w:rPr>
            </w:pPr>
            <w:r>
              <w:rPr>
                <w:kern w:val="0"/>
                <w:sz w:val="15"/>
                <w:szCs w:val="15"/>
              </w:rPr>
              <w:t>荷载名称</w:t>
            </w:r>
          </w:p>
        </w:tc>
      </w:tr>
      <w:tr w14:paraId="259ED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0" w:hRule="atLeast"/>
          <w:jc w:val="center"/>
        </w:trPr>
        <w:tc>
          <w:tcPr>
            <w:tcW w:w="2141" w:type="dxa"/>
            <w:vMerge w:val="restart"/>
            <w:tcBorders>
              <w:left w:val="single" w:color="000000" w:sz="6" w:space="0"/>
              <w:bottom w:val="nil"/>
            </w:tcBorders>
            <w:vAlign w:val="center"/>
          </w:tcPr>
          <w:p w14:paraId="1F16D23E">
            <w:pPr>
              <w:autoSpaceDE w:val="0"/>
              <w:autoSpaceDN w:val="0"/>
              <w:spacing w:line="240" w:lineRule="auto"/>
              <w:jc w:val="center"/>
              <w:rPr>
                <w:kern w:val="0"/>
                <w:sz w:val="15"/>
                <w:szCs w:val="15"/>
              </w:rPr>
            </w:pPr>
            <w:r>
              <w:rPr>
                <w:kern w:val="0"/>
                <w:sz w:val="15"/>
                <w:szCs w:val="15"/>
              </w:rPr>
              <w:t>永久荷载</w:t>
            </w:r>
          </w:p>
        </w:tc>
        <w:tc>
          <w:tcPr>
            <w:tcW w:w="3807" w:type="dxa"/>
            <w:tcBorders>
              <w:right w:val="single" w:color="000000" w:sz="6" w:space="0"/>
            </w:tcBorders>
            <w:vAlign w:val="center"/>
          </w:tcPr>
          <w:p w14:paraId="498C4779">
            <w:pPr>
              <w:autoSpaceDE w:val="0"/>
              <w:autoSpaceDN w:val="0"/>
              <w:spacing w:line="240" w:lineRule="auto"/>
              <w:jc w:val="center"/>
              <w:rPr>
                <w:kern w:val="0"/>
                <w:sz w:val="15"/>
                <w:szCs w:val="15"/>
              </w:rPr>
            </w:pPr>
            <w:r>
              <w:rPr>
                <w:kern w:val="0"/>
                <w:sz w:val="15"/>
                <w:szCs w:val="15"/>
              </w:rPr>
              <w:t>结构自重</w:t>
            </w:r>
          </w:p>
        </w:tc>
      </w:tr>
      <w:tr w14:paraId="6E6D3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jc w:val="center"/>
        </w:trPr>
        <w:tc>
          <w:tcPr>
            <w:tcW w:w="2141" w:type="dxa"/>
            <w:vMerge w:val="continue"/>
            <w:tcBorders>
              <w:top w:val="nil"/>
              <w:left w:val="single" w:color="000000" w:sz="6" w:space="0"/>
              <w:bottom w:val="nil"/>
            </w:tcBorders>
            <w:vAlign w:val="center"/>
          </w:tcPr>
          <w:p w14:paraId="5A342FA3">
            <w:pPr>
              <w:autoSpaceDE w:val="0"/>
              <w:autoSpaceDN w:val="0"/>
              <w:spacing w:line="240" w:lineRule="auto"/>
              <w:jc w:val="center"/>
              <w:rPr>
                <w:kern w:val="0"/>
                <w:sz w:val="15"/>
                <w:szCs w:val="15"/>
              </w:rPr>
            </w:pPr>
          </w:p>
        </w:tc>
        <w:tc>
          <w:tcPr>
            <w:tcW w:w="3807" w:type="dxa"/>
            <w:tcBorders>
              <w:right w:val="single" w:color="000000" w:sz="6" w:space="0"/>
            </w:tcBorders>
            <w:vAlign w:val="center"/>
          </w:tcPr>
          <w:p w14:paraId="1F14722F">
            <w:pPr>
              <w:autoSpaceDE w:val="0"/>
              <w:autoSpaceDN w:val="0"/>
              <w:spacing w:line="240" w:lineRule="auto"/>
              <w:jc w:val="center"/>
              <w:rPr>
                <w:kern w:val="0"/>
                <w:sz w:val="15"/>
                <w:szCs w:val="15"/>
              </w:rPr>
            </w:pPr>
            <w:r>
              <w:rPr>
                <w:kern w:val="0"/>
                <w:sz w:val="15"/>
                <w:szCs w:val="15"/>
              </w:rPr>
              <w:t>地层压力</w:t>
            </w:r>
          </w:p>
        </w:tc>
      </w:tr>
      <w:tr w14:paraId="1F3F3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jc w:val="center"/>
        </w:trPr>
        <w:tc>
          <w:tcPr>
            <w:tcW w:w="2141" w:type="dxa"/>
            <w:vMerge w:val="continue"/>
            <w:tcBorders>
              <w:top w:val="nil"/>
              <w:left w:val="single" w:color="000000" w:sz="6" w:space="0"/>
              <w:bottom w:val="nil"/>
            </w:tcBorders>
            <w:vAlign w:val="center"/>
          </w:tcPr>
          <w:p w14:paraId="6E4EC8A8">
            <w:pPr>
              <w:autoSpaceDE w:val="0"/>
              <w:autoSpaceDN w:val="0"/>
              <w:spacing w:line="240" w:lineRule="auto"/>
              <w:jc w:val="center"/>
              <w:rPr>
                <w:kern w:val="0"/>
                <w:sz w:val="15"/>
                <w:szCs w:val="15"/>
              </w:rPr>
            </w:pPr>
          </w:p>
        </w:tc>
        <w:tc>
          <w:tcPr>
            <w:tcW w:w="3807" w:type="dxa"/>
            <w:tcBorders>
              <w:right w:val="single" w:color="000000" w:sz="6" w:space="0"/>
            </w:tcBorders>
            <w:vAlign w:val="center"/>
          </w:tcPr>
          <w:p w14:paraId="5F74CF3D">
            <w:pPr>
              <w:autoSpaceDE w:val="0"/>
              <w:autoSpaceDN w:val="0"/>
              <w:spacing w:line="240" w:lineRule="auto"/>
              <w:jc w:val="center"/>
              <w:rPr>
                <w:kern w:val="0"/>
                <w:sz w:val="15"/>
                <w:szCs w:val="15"/>
              </w:rPr>
            </w:pPr>
            <w:r>
              <w:rPr>
                <w:kern w:val="0"/>
                <w:sz w:val="15"/>
                <w:szCs w:val="15"/>
              </w:rPr>
              <w:t>结构上部和破坏棱体范围内的设施及建筑物压力</w:t>
            </w:r>
          </w:p>
        </w:tc>
      </w:tr>
      <w:tr w14:paraId="670A8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5" w:hRule="atLeast"/>
          <w:jc w:val="center"/>
        </w:trPr>
        <w:tc>
          <w:tcPr>
            <w:tcW w:w="2141" w:type="dxa"/>
            <w:vMerge w:val="continue"/>
            <w:tcBorders>
              <w:top w:val="nil"/>
              <w:left w:val="single" w:color="000000" w:sz="6" w:space="0"/>
              <w:bottom w:val="nil"/>
            </w:tcBorders>
            <w:vAlign w:val="center"/>
          </w:tcPr>
          <w:p w14:paraId="57C30D9A">
            <w:pPr>
              <w:autoSpaceDE w:val="0"/>
              <w:autoSpaceDN w:val="0"/>
              <w:spacing w:line="240" w:lineRule="auto"/>
              <w:jc w:val="center"/>
              <w:rPr>
                <w:kern w:val="0"/>
                <w:sz w:val="15"/>
                <w:szCs w:val="15"/>
              </w:rPr>
            </w:pPr>
          </w:p>
        </w:tc>
        <w:tc>
          <w:tcPr>
            <w:tcW w:w="3807" w:type="dxa"/>
            <w:tcBorders>
              <w:right w:val="single" w:color="000000" w:sz="6" w:space="0"/>
            </w:tcBorders>
            <w:vAlign w:val="center"/>
          </w:tcPr>
          <w:p w14:paraId="70ED9F70">
            <w:pPr>
              <w:autoSpaceDE w:val="0"/>
              <w:autoSpaceDN w:val="0"/>
              <w:spacing w:line="240" w:lineRule="auto"/>
              <w:jc w:val="center"/>
              <w:rPr>
                <w:kern w:val="0"/>
                <w:sz w:val="15"/>
                <w:szCs w:val="15"/>
              </w:rPr>
            </w:pPr>
            <w:r>
              <w:rPr>
                <w:kern w:val="0"/>
                <w:sz w:val="15"/>
                <w:szCs w:val="15"/>
              </w:rPr>
              <w:t>水压力及浮力</w:t>
            </w:r>
          </w:p>
        </w:tc>
      </w:tr>
      <w:tr w14:paraId="7C81E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jc w:val="center"/>
        </w:trPr>
        <w:tc>
          <w:tcPr>
            <w:tcW w:w="2141" w:type="dxa"/>
            <w:vMerge w:val="continue"/>
            <w:tcBorders>
              <w:top w:val="nil"/>
              <w:left w:val="single" w:color="000000" w:sz="6" w:space="0"/>
              <w:bottom w:val="nil"/>
            </w:tcBorders>
            <w:vAlign w:val="center"/>
          </w:tcPr>
          <w:p w14:paraId="1A915C68">
            <w:pPr>
              <w:autoSpaceDE w:val="0"/>
              <w:autoSpaceDN w:val="0"/>
              <w:spacing w:line="240" w:lineRule="auto"/>
              <w:jc w:val="center"/>
              <w:rPr>
                <w:kern w:val="0"/>
                <w:sz w:val="15"/>
                <w:szCs w:val="15"/>
              </w:rPr>
            </w:pPr>
          </w:p>
        </w:tc>
        <w:tc>
          <w:tcPr>
            <w:tcW w:w="3807" w:type="dxa"/>
            <w:tcBorders>
              <w:right w:val="single" w:color="000000" w:sz="6" w:space="0"/>
            </w:tcBorders>
            <w:vAlign w:val="center"/>
          </w:tcPr>
          <w:p w14:paraId="5592D1A7">
            <w:pPr>
              <w:autoSpaceDE w:val="0"/>
              <w:autoSpaceDN w:val="0"/>
              <w:spacing w:line="240" w:lineRule="auto"/>
              <w:jc w:val="center"/>
              <w:rPr>
                <w:kern w:val="0"/>
                <w:sz w:val="15"/>
                <w:szCs w:val="15"/>
              </w:rPr>
            </w:pPr>
            <w:r>
              <w:rPr>
                <w:kern w:val="0"/>
                <w:sz w:val="15"/>
                <w:szCs w:val="15"/>
              </w:rPr>
              <w:t>混凝土收缩及徐变影响</w:t>
            </w:r>
          </w:p>
        </w:tc>
      </w:tr>
      <w:tr w14:paraId="4D66B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141" w:type="dxa"/>
            <w:vMerge w:val="continue"/>
            <w:tcBorders>
              <w:top w:val="nil"/>
              <w:left w:val="single" w:color="000000" w:sz="6" w:space="0"/>
            </w:tcBorders>
            <w:vAlign w:val="center"/>
          </w:tcPr>
          <w:p w14:paraId="1E535C42">
            <w:pPr>
              <w:autoSpaceDE w:val="0"/>
              <w:autoSpaceDN w:val="0"/>
              <w:spacing w:line="240" w:lineRule="auto"/>
              <w:jc w:val="center"/>
              <w:rPr>
                <w:kern w:val="0"/>
                <w:sz w:val="15"/>
                <w:szCs w:val="15"/>
              </w:rPr>
            </w:pPr>
          </w:p>
        </w:tc>
        <w:tc>
          <w:tcPr>
            <w:tcW w:w="3807" w:type="dxa"/>
            <w:tcBorders>
              <w:right w:val="single" w:color="000000" w:sz="6" w:space="0"/>
            </w:tcBorders>
            <w:vAlign w:val="center"/>
          </w:tcPr>
          <w:p w14:paraId="7F0712BC">
            <w:pPr>
              <w:autoSpaceDE w:val="0"/>
              <w:autoSpaceDN w:val="0"/>
              <w:spacing w:line="240" w:lineRule="auto"/>
              <w:jc w:val="center"/>
              <w:rPr>
                <w:kern w:val="0"/>
                <w:sz w:val="15"/>
                <w:szCs w:val="15"/>
              </w:rPr>
            </w:pPr>
            <w:r>
              <w:rPr>
                <w:kern w:val="0"/>
                <w:sz w:val="15"/>
                <w:szCs w:val="15"/>
              </w:rPr>
              <w:t>预加应力</w:t>
            </w:r>
          </w:p>
        </w:tc>
      </w:tr>
    </w:tbl>
    <w:p w14:paraId="778B48CB">
      <w:pPr>
        <w:adjustRightInd w:val="0"/>
        <w:snapToGrid w:val="0"/>
        <w:ind w:firstLine="400"/>
        <w:jc w:val="center"/>
        <w:rPr>
          <w:rFonts w:eastAsia="黑体" w:cs="黑体"/>
          <w:sz w:val="18"/>
          <w:szCs w:val="18"/>
        </w:rPr>
      </w:pPr>
    </w:p>
    <w:p w14:paraId="357495F9">
      <w:pPr>
        <w:widowControl/>
        <w:spacing w:line="240" w:lineRule="auto"/>
        <w:jc w:val="left"/>
        <w:rPr>
          <w:rFonts w:eastAsia="黑体" w:cs="黑体"/>
          <w:sz w:val="18"/>
          <w:szCs w:val="18"/>
        </w:rPr>
      </w:pPr>
      <w:r>
        <w:rPr>
          <w:rFonts w:eastAsia="黑体" w:cs="黑体"/>
          <w:sz w:val="18"/>
          <w:szCs w:val="18"/>
        </w:rPr>
        <w:br w:type="page"/>
      </w:r>
    </w:p>
    <w:p w14:paraId="54AA3F9B">
      <w:pPr>
        <w:adjustRightInd w:val="0"/>
        <w:snapToGrid w:val="0"/>
        <w:ind w:firstLine="400"/>
        <w:jc w:val="center"/>
        <w:rPr>
          <w:rFonts w:eastAsia="黑体" w:cs="黑体"/>
          <w:sz w:val="18"/>
          <w:szCs w:val="18"/>
        </w:rPr>
      </w:pPr>
      <w:r>
        <w:rPr>
          <w:rFonts w:eastAsia="黑体" w:cs="黑体"/>
          <w:sz w:val="18"/>
          <w:szCs w:val="18"/>
        </w:rPr>
        <w:t>表1</w:t>
      </w:r>
      <w:r>
        <w:rPr>
          <w:rFonts w:hint="eastAsia" w:eastAsia="黑体" w:cs="黑体"/>
          <w:sz w:val="18"/>
          <w:szCs w:val="18"/>
        </w:rPr>
        <w:t>2</w:t>
      </w:r>
      <w:r>
        <w:rPr>
          <w:rFonts w:eastAsia="黑体" w:cs="黑体"/>
          <w:sz w:val="18"/>
          <w:szCs w:val="18"/>
        </w:rPr>
        <w:t>.3.1</w:t>
      </w:r>
      <w:r>
        <w:rPr>
          <w:rFonts w:hint="eastAsia" w:eastAsia="黑体" w:cs="黑体"/>
          <w:sz w:val="18"/>
          <w:szCs w:val="18"/>
        </w:rPr>
        <w:t xml:space="preserve">  </w:t>
      </w:r>
      <w:r>
        <w:rPr>
          <w:rFonts w:eastAsia="黑体" w:cs="黑体"/>
          <w:sz w:val="18"/>
          <w:szCs w:val="18"/>
        </w:rPr>
        <w:t>荷载分类(续)</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47"/>
        <w:gridCol w:w="1586"/>
        <w:gridCol w:w="3807"/>
      </w:tblGrid>
      <w:tr w14:paraId="25773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5" w:hRule="atLeast"/>
          <w:tblHeader/>
          <w:jc w:val="center"/>
        </w:trPr>
        <w:tc>
          <w:tcPr>
            <w:tcW w:w="2533" w:type="dxa"/>
            <w:gridSpan w:val="2"/>
            <w:tcBorders>
              <w:left w:val="single" w:color="000000" w:sz="6" w:space="0"/>
            </w:tcBorders>
            <w:vAlign w:val="center"/>
          </w:tcPr>
          <w:p w14:paraId="22570875">
            <w:pPr>
              <w:autoSpaceDE w:val="0"/>
              <w:autoSpaceDN w:val="0"/>
              <w:spacing w:line="240" w:lineRule="auto"/>
              <w:jc w:val="center"/>
              <w:rPr>
                <w:kern w:val="0"/>
                <w:sz w:val="15"/>
                <w:szCs w:val="15"/>
              </w:rPr>
            </w:pPr>
            <w:r>
              <w:rPr>
                <w:kern w:val="0"/>
                <w:sz w:val="15"/>
                <w:szCs w:val="15"/>
              </w:rPr>
              <w:t>荷载分类</w:t>
            </w:r>
          </w:p>
        </w:tc>
        <w:tc>
          <w:tcPr>
            <w:tcW w:w="3807" w:type="dxa"/>
            <w:tcBorders>
              <w:right w:val="single" w:color="000000" w:sz="6" w:space="0"/>
            </w:tcBorders>
            <w:vAlign w:val="center"/>
          </w:tcPr>
          <w:p w14:paraId="7FEC4099">
            <w:pPr>
              <w:autoSpaceDE w:val="0"/>
              <w:autoSpaceDN w:val="0"/>
              <w:spacing w:line="240" w:lineRule="auto"/>
              <w:jc w:val="center"/>
              <w:rPr>
                <w:kern w:val="0"/>
                <w:sz w:val="15"/>
                <w:szCs w:val="15"/>
              </w:rPr>
            </w:pPr>
            <w:r>
              <w:rPr>
                <w:kern w:val="0"/>
                <w:sz w:val="15"/>
                <w:szCs w:val="15"/>
              </w:rPr>
              <w:t>荷载名称</w:t>
            </w:r>
          </w:p>
        </w:tc>
      </w:tr>
      <w:tr w14:paraId="7B790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9" w:hRule="atLeast"/>
          <w:jc w:val="center"/>
        </w:trPr>
        <w:tc>
          <w:tcPr>
            <w:tcW w:w="2533" w:type="dxa"/>
            <w:gridSpan w:val="2"/>
            <w:vMerge w:val="restart"/>
            <w:tcBorders>
              <w:left w:val="single" w:color="000000" w:sz="6" w:space="0"/>
              <w:bottom w:val="nil"/>
            </w:tcBorders>
            <w:vAlign w:val="center"/>
          </w:tcPr>
          <w:p w14:paraId="69241E2E">
            <w:pPr>
              <w:autoSpaceDE w:val="0"/>
              <w:autoSpaceDN w:val="0"/>
              <w:spacing w:line="240" w:lineRule="auto"/>
              <w:jc w:val="center"/>
              <w:rPr>
                <w:kern w:val="0"/>
                <w:sz w:val="15"/>
                <w:szCs w:val="15"/>
              </w:rPr>
            </w:pPr>
            <w:r>
              <w:rPr>
                <w:kern w:val="0"/>
                <w:sz w:val="15"/>
                <w:szCs w:val="15"/>
              </w:rPr>
              <w:t>永久荷载</w:t>
            </w:r>
          </w:p>
        </w:tc>
        <w:tc>
          <w:tcPr>
            <w:tcW w:w="3807" w:type="dxa"/>
            <w:tcBorders>
              <w:right w:val="single" w:color="000000" w:sz="6" w:space="0"/>
            </w:tcBorders>
            <w:vAlign w:val="center"/>
          </w:tcPr>
          <w:p w14:paraId="29A6B4F6">
            <w:pPr>
              <w:autoSpaceDE w:val="0"/>
              <w:autoSpaceDN w:val="0"/>
              <w:spacing w:line="240" w:lineRule="auto"/>
              <w:jc w:val="center"/>
              <w:rPr>
                <w:kern w:val="0"/>
                <w:sz w:val="15"/>
                <w:szCs w:val="15"/>
              </w:rPr>
            </w:pPr>
            <w:r>
              <w:rPr>
                <w:kern w:val="0"/>
                <w:sz w:val="15"/>
                <w:szCs w:val="15"/>
              </w:rPr>
              <w:t>设备重量</w:t>
            </w:r>
          </w:p>
        </w:tc>
      </w:tr>
      <w:tr w14:paraId="694D9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jc w:val="center"/>
        </w:trPr>
        <w:tc>
          <w:tcPr>
            <w:tcW w:w="2533" w:type="dxa"/>
            <w:gridSpan w:val="2"/>
            <w:vMerge w:val="continue"/>
            <w:tcBorders>
              <w:top w:val="nil"/>
              <w:left w:val="single" w:color="000000" w:sz="6" w:space="0"/>
            </w:tcBorders>
            <w:vAlign w:val="center"/>
          </w:tcPr>
          <w:p w14:paraId="6D976EA2">
            <w:pPr>
              <w:autoSpaceDE w:val="0"/>
              <w:autoSpaceDN w:val="0"/>
              <w:spacing w:line="240" w:lineRule="auto"/>
              <w:jc w:val="center"/>
              <w:rPr>
                <w:kern w:val="0"/>
                <w:sz w:val="15"/>
                <w:szCs w:val="15"/>
              </w:rPr>
            </w:pPr>
          </w:p>
        </w:tc>
        <w:tc>
          <w:tcPr>
            <w:tcW w:w="3807" w:type="dxa"/>
            <w:tcBorders>
              <w:right w:val="single" w:color="000000" w:sz="6" w:space="0"/>
            </w:tcBorders>
            <w:vAlign w:val="center"/>
          </w:tcPr>
          <w:p w14:paraId="657C36C2">
            <w:pPr>
              <w:autoSpaceDE w:val="0"/>
              <w:autoSpaceDN w:val="0"/>
              <w:spacing w:line="240" w:lineRule="auto"/>
              <w:jc w:val="center"/>
              <w:rPr>
                <w:kern w:val="0"/>
                <w:sz w:val="15"/>
                <w:szCs w:val="15"/>
              </w:rPr>
            </w:pPr>
            <w:r>
              <w:rPr>
                <w:kern w:val="0"/>
                <w:sz w:val="15"/>
                <w:szCs w:val="15"/>
              </w:rPr>
              <w:t>地基下沉影响</w:t>
            </w:r>
          </w:p>
        </w:tc>
      </w:tr>
      <w:tr w14:paraId="60CDA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5" w:hRule="atLeast"/>
          <w:jc w:val="center"/>
        </w:trPr>
        <w:tc>
          <w:tcPr>
            <w:tcW w:w="947" w:type="dxa"/>
            <w:vMerge w:val="restart"/>
            <w:tcBorders>
              <w:left w:val="single" w:color="000000" w:sz="6" w:space="0"/>
              <w:bottom w:val="nil"/>
            </w:tcBorders>
            <w:vAlign w:val="center"/>
          </w:tcPr>
          <w:p w14:paraId="61CDF3EB">
            <w:pPr>
              <w:autoSpaceDE w:val="0"/>
              <w:autoSpaceDN w:val="0"/>
              <w:spacing w:line="240" w:lineRule="auto"/>
              <w:jc w:val="center"/>
              <w:rPr>
                <w:kern w:val="0"/>
                <w:sz w:val="15"/>
                <w:szCs w:val="15"/>
              </w:rPr>
            </w:pPr>
            <w:r>
              <w:rPr>
                <w:kern w:val="0"/>
                <w:sz w:val="15"/>
                <w:szCs w:val="15"/>
              </w:rPr>
              <w:t>可变荷载</w:t>
            </w:r>
          </w:p>
        </w:tc>
        <w:tc>
          <w:tcPr>
            <w:tcW w:w="1586" w:type="dxa"/>
            <w:vMerge w:val="restart"/>
            <w:tcBorders>
              <w:bottom w:val="nil"/>
            </w:tcBorders>
            <w:vAlign w:val="center"/>
          </w:tcPr>
          <w:p w14:paraId="351375BC">
            <w:pPr>
              <w:autoSpaceDE w:val="0"/>
              <w:autoSpaceDN w:val="0"/>
              <w:spacing w:line="240" w:lineRule="auto"/>
              <w:jc w:val="center"/>
              <w:rPr>
                <w:kern w:val="0"/>
                <w:sz w:val="15"/>
                <w:szCs w:val="15"/>
              </w:rPr>
            </w:pPr>
            <w:r>
              <w:rPr>
                <w:kern w:val="0"/>
                <w:sz w:val="15"/>
                <w:szCs w:val="15"/>
              </w:rPr>
              <w:t>基本可变荷载</w:t>
            </w:r>
          </w:p>
        </w:tc>
        <w:tc>
          <w:tcPr>
            <w:tcW w:w="3807" w:type="dxa"/>
            <w:tcBorders>
              <w:right w:val="single" w:color="000000" w:sz="6" w:space="0"/>
            </w:tcBorders>
            <w:vAlign w:val="center"/>
          </w:tcPr>
          <w:p w14:paraId="46986E56">
            <w:pPr>
              <w:autoSpaceDE w:val="0"/>
              <w:autoSpaceDN w:val="0"/>
              <w:spacing w:line="240" w:lineRule="auto"/>
              <w:jc w:val="center"/>
              <w:rPr>
                <w:kern w:val="0"/>
                <w:sz w:val="15"/>
                <w:szCs w:val="15"/>
              </w:rPr>
            </w:pPr>
            <w:r>
              <w:rPr>
                <w:kern w:val="0"/>
                <w:sz w:val="15"/>
                <w:szCs w:val="15"/>
              </w:rPr>
              <w:t>地面车辆荷载及其动力作用</w:t>
            </w:r>
          </w:p>
        </w:tc>
      </w:tr>
      <w:tr w14:paraId="5C604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jc w:val="center"/>
        </w:trPr>
        <w:tc>
          <w:tcPr>
            <w:tcW w:w="947" w:type="dxa"/>
            <w:vMerge w:val="continue"/>
            <w:tcBorders>
              <w:top w:val="nil"/>
              <w:left w:val="single" w:color="000000" w:sz="6" w:space="0"/>
              <w:bottom w:val="nil"/>
            </w:tcBorders>
            <w:vAlign w:val="center"/>
          </w:tcPr>
          <w:p w14:paraId="4C6D948B">
            <w:pPr>
              <w:autoSpaceDE w:val="0"/>
              <w:autoSpaceDN w:val="0"/>
              <w:spacing w:line="240" w:lineRule="auto"/>
              <w:jc w:val="center"/>
              <w:rPr>
                <w:kern w:val="0"/>
                <w:sz w:val="15"/>
                <w:szCs w:val="15"/>
              </w:rPr>
            </w:pPr>
          </w:p>
        </w:tc>
        <w:tc>
          <w:tcPr>
            <w:tcW w:w="1586" w:type="dxa"/>
            <w:vMerge w:val="continue"/>
            <w:tcBorders>
              <w:top w:val="nil"/>
              <w:bottom w:val="nil"/>
            </w:tcBorders>
            <w:vAlign w:val="center"/>
          </w:tcPr>
          <w:p w14:paraId="22E8842C">
            <w:pPr>
              <w:autoSpaceDE w:val="0"/>
              <w:autoSpaceDN w:val="0"/>
              <w:spacing w:line="240" w:lineRule="auto"/>
              <w:jc w:val="center"/>
              <w:rPr>
                <w:kern w:val="0"/>
                <w:sz w:val="15"/>
                <w:szCs w:val="15"/>
              </w:rPr>
            </w:pPr>
          </w:p>
        </w:tc>
        <w:tc>
          <w:tcPr>
            <w:tcW w:w="3807" w:type="dxa"/>
            <w:tcBorders>
              <w:right w:val="single" w:color="000000" w:sz="6" w:space="0"/>
            </w:tcBorders>
            <w:vAlign w:val="center"/>
          </w:tcPr>
          <w:p w14:paraId="4D234022">
            <w:pPr>
              <w:autoSpaceDE w:val="0"/>
              <w:autoSpaceDN w:val="0"/>
              <w:spacing w:line="240" w:lineRule="auto"/>
              <w:jc w:val="center"/>
              <w:rPr>
                <w:kern w:val="0"/>
                <w:sz w:val="15"/>
                <w:szCs w:val="15"/>
              </w:rPr>
            </w:pPr>
            <w:r>
              <w:rPr>
                <w:kern w:val="0"/>
                <w:sz w:val="15"/>
                <w:szCs w:val="15"/>
              </w:rPr>
              <w:t>轨道交通车辆荷载及其动力作用</w:t>
            </w:r>
          </w:p>
        </w:tc>
      </w:tr>
      <w:tr w14:paraId="4D679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jc w:val="center"/>
        </w:trPr>
        <w:tc>
          <w:tcPr>
            <w:tcW w:w="947" w:type="dxa"/>
            <w:vMerge w:val="continue"/>
            <w:tcBorders>
              <w:top w:val="nil"/>
              <w:left w:val="single" w:color="000000" w:sz="6" w:space="0"/>
              <w:bottom w:val="nil"/>
            </w:tcBorders>
            <w:vAlign w:val="center"/>
          </w:tcPr>
          <w:p w14:paraId="73DF3789">
            <w:pPr>
              <w:autoSpaceDE w:val="0"/>
              <w:autoSpaceDN w:val="0"/>
              <w:spacing w:line="240" w:lineRule="auto"/>
              <w:jc w:val="center"/>
              <w:rPr>
                <w:kern w:val="0"/>
                <w:sz w:val="15"/>
                <w:szCs w:val="15"/>
              </w:rPr>
            </w:pPr>
          </w:p>
        </w:tc>
        <w:tc>
          <w:tcPr>
            <w:tcW w:w="1586" w:type="dxa"/>
            <w:vMerge w:val="continue"/>
            <w:tcBorders>
              <w:top w:val="nil"/>
              <w:bottom w:val="nil"/>
            </w:tcBorders>
            <w:vAlign w:val="center"/>
          </w:tcPr>
          <w:p w14:paraId="55627ABB">
            <w:pPr>
              <w:autoSpaceDE w:val="0"/>
              <w:autoSpaceDN w:val="0"/>
              <w:spacing w:line="240" w:lineRule="auto"/>
              <w:jc w:val="center"/>
              <w:rPr>
                <w:kern w:val="0"/>
                <w:sz w:val="15"/>
                <w:szCs w:val="15"/>
              </w:rPr>
            </w:pPr>
          </w:p>
        </w:tc>
        <w:tc>
          <w:tcPr>
            <w:tcW w:w="3807" w:type="dxa"/>
            <w:tcBorders>
              <w:right w:val="single" w:color="000000" w:sz="6" w:space="0"/>
            </w:tcBorders>
            <w:vAlign w:val="center"/>
          </w:tcPr>
          <w:p w14:paraId="3E0B2A6E">
            <w:pPr>
              <w:autoSpaceDE w:val="0"/>
              <w:autoSpaceDN w:val="0"/>
              <w:spacing w:line="240" w:lineRule="auto"/>
              <w:jc w:val="center"/>
              <w:rPr>
                <w:kern w:val="0"/>
                <w:sz w:val="15"/>
                <w:szCs w:val="15"/>
              </w:rPr>
            </w:pPr>
            <w:r>
              <w:rPr>
                <w:kern w:val="0"/>
                <w:sz w:val="15"/>
                <w:szCs w:val="15"/>
              </w:rPr>
              <w:t>特种消防车荷载</w:t>
            </w:r>
          </w:p>
        </w:tc>
      </w:tr>
      <w:tr w14:paraId="69B4D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5" w:hRule="atLeast"/>
          <w:jc w:val="center"/>
        </w:trPr>
        <w:tc>
          <w:tcPr>
            <w:tcW w:w="947" w:type="dxa"/>
            <w:vMerge w:val="continue"/>
            <w:tcBorders>
              <w:top w:val="nil"/>
              <w:left w:val="single" w:color="000000" w:sz="6" w:space="0"/>
              <w:bottom w:val="nil"/>
            </w:tcBorders>
            <w:vAlign w:val="center"/>
          </w:tcPr>
          <w:p w14:paraId="1A23460D">
            <w:pPr>
              <w:autoSpaceDE w:val="0"/>
              <w:autoSpaceDN w:val="0"/>
              <w:spacing w:line="240" w:lineRule="auto"/>
              <w:jc w:val="center"/>
              <w:rPr>
                <w:kern w:val="0"/>
                <w:sz w:val="15"/>
                <w:szCs w:val="15"/>
              </w:rPr>
            </w:pPr>
          </w:p>
        </w:tc>
        <w:tc>
          <w:tcPr>
            <w:tcW w:w="1586" w:type="dxa"/>
            <w:vMerge w:val="continue"/>
            <w:tcBorders>
              <w:top w:val="nil"/>
            </w:tcBorders>
            <w:vAlign w:val="center"/>
          </w:tcPr>
          <w:p w14:paraId="56433098">
            <w:pPr>
              <w:autoSpaceDE w:val="0"/>
              <w:autoSpaceDN w:val="0"/>
              <w:spacing w:line="240" w:lineRule="auto"/>
              <w:jc w:val="center"/>
              <w:rPr>
                <w:kern w:val="0"/>
                <w:sz w:val="15"/>
                <w:szCs w:val="15"/>
              </w:rPr>
            </w:pPr>
          </w:p>
        </w:tc>
        <w:tc>
          <w:tcPr>
            <w:tcW w:w="3807" w:type="dxa"/>
            <w:tcBorders>
              <w:right w:val="single" w:color="000000" w:sz="6" w:space="0"/>
            </w:tcBorders>
            <w:vAlign w:val="center"/>
          </w:tcPr>
          <w:p w14:paraId="6AAC292F">
            <w:pPr>
              <w:autoSpaceDE w:val="0"/>
              <w:autoSpaceDN w:val="0"/>
              <w:spacing w:line="240" w:lineRule="auto"/>
              <w:jc w:val="center"/>
              <w:rPr>
                <w:kern w:val="0"/>
                <w:sz w:val="15"/>
                <w:szCs w:val="15"/>
              </w:rPr>
            </w:pPr>
            <w:r>
              <w:rPr>
                <w:kern w:val="0"/>
                <w:sz w:val="15"/>
                <w:szCs w:val="15"/>
              </w:rPr>
              <w:t>人群荷载</w:t>
            </w:r>
          </w:p>
        </w:tc>
      </w:tr>
      <w:tr w14:paraId="7300E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jc w:val="center"/>
        </w:trPr>
        <w:tc>
          <w:tcPr>
            <w:tcW w:w="947" w:type="dxa"/>
            <w:vMerge w:val="continue"/>
            <w:tcBorders>
              <w:top w:val="nil"/>
              <w:left w:val="single" w:color="000000" w:sz="6" w:space="0"/>
              <w:bottom w:val="nil"/>
            </w:tcBorders>
            <w:vAlign w:val="center"/>
          </w:tcPr>
          <w:p w14:paraId="59483572">
            <w:pPr>
              <w:autoSpaceDE w:val="0"/>
              <w:autoSpaceDN w:val="0"/>
              <w:spacing w:line="240" w:lineRule="auto"/>
              <w:jc w:val="center"/>
              <w:rPr>
                <w:kern w:val="0"/>
                <w:sz w:val="15"/>
                <w:szCs w:val="15"/>
              </w:rPr>
            </w:pPr>
          </w:p>
        </w:tc>
        <w:tc>
          <w:tcPr>
            <w:tcW w:w="1586" w:type="dxa"/>
            <w:vMerge w:val="restart"/>
            <w:tcBorders>
              <w:bottom w:val="nil"/>
            </w:tcBorders>
            <w:vAlign w:val="center"/>
          </w:tcPr>
          <w:p w14:paraId="42372A2F">
            <w:pPr>
              <w:autoSpaceDE w:val="0"/>
              <w:autoSpaceDN w:val="0"/>
              <w:spacing w:line="240" w:lineRule="auto"/>
              <w:jc w:val="center"/>
              <w:rPr>
                <w:kern w:val="0"/>
                <w:sz w:val="15"/>
                <w:szCs w:val="15"/>
              </w:rPr>
            </w:pPr>
            <w:r>
              <w:rPr>
                <w:kern w:val="0"/>
                <w:sz w:val="15"/>
                <w:szCs w:val="15"/>
              </w:rPr>
              <w:t>其他可变荷载</w:t>
            </w:r>
          </w:p>
        </w:tc>
        <w:tc>
          <w:tcPr>
            <w:tcW w:w="3807" w:type="dxa"/>
            <w:tcBorders>
              <w:right w:val="single" w:color="000000" w:sz="6" w:space="0"/>
            </w:tcBorders>
            <w:vAlign w:val="center"/>
          </w:tcPr>
          <w:p w14:paraId="595A29C2">
            <w:pPr>
              <w:autoSpaceDE w:val="0"/>
              <w:autoSpaceDN w:val="0"/>
              <w:spacing w:line="240" w:lineRule="auto"/>
              <w:jc w:val="center"/>
              <w:rPr>
                <w:kern w:val="0"/>
                <w:sz w:val="15"/>
                <w:szCs w:val="15"/>
              </w:rPr>
            </w:pPr>
            <w:r>
              <w:rPr>
                <w:kern w:val="0"/>
                <w:sz w:val="15"/>
                <w:szCs w:val="15"/>
              </w:rPr>
              <w:t>温度变化影响</w:t>
            </w:r>
          </w:p>
        </w:tc>
      </w:tr>
      <w:tr w14:paraId="54E62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jc w:val="center"/>
        </w:trPr>
        <w:tc>
          <w:tcPr>
            <w:tcW w:w="947" w:type="dxa"/>
            <w:vMerge w:val="continue"/>
            <w:tcBorders>
              <w:top w:val="nil"/>
              <w:left w:val="single" w:color="000000" w:sz="6" w:space="0"/>
            </w:tcBorders>
            <w:vAlign w:val="center"/>
          </w:tcPr>
          <w:p w14:paraId="05619473">
            <w:pPr>
              <w:autoSpaceDE w:val="0"/>
              <w:autoSpaceDN w:val="0"/>
              <w:spacing w:line="240" w:lineRule="auto"/>
              <w:jc w:val="center"/>
              <w:rPr>
                <w:kern w:val="0"/>
                <w:sz w:val="15"/>
                <w:szCs w:val="15"/>
              </w:rPr>
            </w:pPr>
          </w:p>
        </w:tc>
        <w:tc>
          <w:tcPr>
            <w:tcW w:w="1586" w:type="dxa"/>
            <w:vMerge w:val="continue"/>
            <w:tcBorders>
              <w:top w:val="nil"/>
            </w:tcBorders>
            <w:vAlign w:val="center"/>
          </w:tcPr>
          <w:p w14:paraId="0B88B5F4">
            <w:pPr>
              <w:autoSpaceDE w:val="0"/>
              <w:autoSpaceDN w:val="0"/>
              <w:spacing w:line="240" w:lineRule="auto"/>
              <w:jc w:val="center"/>
              <w:rPr>
                <w:kern w:val="0"/>
                <w:sz w:val="15"/>
                <w:szCs w:val="15"/>
              </w:rPr>
            </w:pPr>
          </w:p>
        </w:tc>
        <w:tc>
          <w:tcPr>
            <w:tcW w:w="3807" w:type="dxa"/>
            <w:tcBorders>
              <w:right w:val="single" w:color="000000" w:sz="6" w:space="0"/>
            </w:tcBorders>
            <w:vAlign w:val="center"/>
          </w:tcPr>
          <w:p w14:paraId="16B911A2">
            <w:pPr>
              <w:autoSpaceDE w:val="0"/>
              <w:autoSpaceDN w:val="0"/>
              <w:spacing w:line="240" w:lineRule="auto"/>
              <w:jc w:val="center"/>
              <w:rPr>
                <w:kern w:val="0"/>
                <w:sz w:val="15"/>
                <w:szCs w:val="15"/>
              </w:rPr>
            </w:pPr>
            <w:r>
              <w:rPr>
                <w:kern w:val="0"/>
                <w:sz w:val="15"/>
                <w:szCs w:val="15"/>
              </w:rPr>
              <w:t>施工荷载</w:t>
            </w:r>
          </w:p>
        </w:tc>
      </w:tr>
      <w:tr w14:paraId="741D0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6" w:hRule="atLeast"/>
          <w:jc w:val="center"/>
        </w:trPr>
        <w:tc>
          <w:tcPr>
            <w:tcW w:w="2533" w:type="dxa"/>
            <w:gridSpan w:val="2"/>
            <w:vMerge w:val="restart"/>
            <w:tcBorders>
              <w:left w:val="single" w:color="000000" w:sz="6" w:space="0"/>
              <w:bottom w:val="nil"/>
            </w:tcBorders>
            <w:vAlign w:val="center"/>
          </w:tcPr>
          <w:p w14:paraId="1D31CB2C">
            <w:pPr>
              <w:autoSpaceDE w:val="0"/>
              <w:autoSpaceDN w:val="0"/>
              <w:spacing w:line="240" w:lineRule="auto"/>
              <w:jc w:val="center"/>
              <w:rPr>
                <w:kern w:val="0"/>
                <w:sz w:val="15"/>
                <w:szCs w:val="15"/>
              </w:rPr>
            </w:pPr>
            <w:r>
              <w:rPr>
                <w:kern w:val="0"/>
                <w:sz w:val="15"/>
                <w:szCs w:val="15"/>
              </w:rPr>
              <w:t>偶然荷载</w:t>
            </w:r>
          </w:p>
        </w:tc>
        <w:tc>
          <w:tcPr>
            <w:tcW w:w="3807" w:type="dxa"/>
            <w:tcBorders>
              <w:right w:val="single" w:color="000000" w:sz="6" w:space="0"/>
            </w:tcBorders>
            <w:vAlign w:val="center"/>
          </w:tcPr>
          <w:p w14:paraId="1A4C170D">
            <w:pPr>
              <w:autoSpaceDE w:val="0"/>
              <w:autoSpaceDN w:val="0"/>
              <w:spacing w:line="240" w:lineRule="auto"/>
              <w:jc w:val="center"/>
              <w:rPr>
                <w:kern w:val="0"/>
                <w:sz w:val="15"/>
                <w:szCs w:val="15"/>
              </w:rPr>
            </w:pPr>
            <w:r>
              <w:rPr>
                <w:kern w:val="0"/>
                <w:sz w:val="15"/>
                <w:szCs w:val="15"/>
              </w:rPr>
              <w:t>地震力</w:t>
            </w:r>
          </w:p>
        </w:tc>
      </w:tr>
      <w:tr w14:paraId="23EE8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9" w:hRule="atLeast"/>
          <w:jc w:val="center"/>
        </w:trPr>
        <w:tc>
          <w:tcPr>
            <w:tcW w:w="2533" w:type="dxa"/>
            <w:gridSpan w:val="2"/>
            <w:vMerge w:val="continue"/>
            <w:tcBorders>
              <w:top w:val="nil"/>
              <w:left w:val="single" w:color="000000" w:sz="6" w:space="0"/>
            </w:tcBorders>
            <w:vAlign w:val="center"/>
          </w:tcPr>
          <w:p w14:paraId="19815F28">
            <w:pPr>
              <w:autoSpaceDE w:val="0"/>
              <w:autoSpaceDN w:val="0"/>
              <w:spacing w:line="240" w:lineRule="auto"/>
              <w:jc w:val="center"/>
              <w:rPr>
                <w:kern w:val="0"/>
                <w:sz w:val="15"/>
                <w:szCs w:val="15"/>
              </w:rPr>
            </w:pPr>
          </w:p>
        </w:tc>
        <w:tc>
          <w:tcPr>
            <w:tcW w:w="3807" w:type="dxa"/>
            <w:tcBorders>
              <w:right w:val="single" w:color="000000" w:sz="6" w:space="0"/>
            </w:tcBorders>
            <w:vAlign w:val="center"/>
          </w:tcPr>
          <w:p w14:paraId="132C420C">
            <w:pPr>
              <w:autoSpaceDE w:val="0"/>
              <w:autoSpaceDN w:val="0"/>
              <w:spacing w:line="240" w:lineRule="auto"/>
              <w:jc w:val="center"/>
              <w:rPr>
                <w:kern w:val="0"/>
                <w:sz w:val="15"/>
                <w:szCs w:val="15"/>
              </w:rPr>
            </w:pPr>
            <w:r>
              <w:rPr>
                <w:kern w:val="0"/>
                <w:sz w:val="15"/>
                <w:szCs w:val="15"/>
              </w:rPr>
              <w:t>人防荷载</w:t>
            </w:r>
          </w:p>
        </w:tc>
      </w:tr>
    </w:tbl>
    <w:p w14:paraId="11069E6C">
      <w:pPr>
        <w:numPr>
          <w:ilvl w:val="2"/>
          <w:numId w:val="1"/>
        </w:numPr>
        <w:tabs>
          <w:tab w:val="left" w:pos="709"/>
          <w:tab w:val="left" w:pos="794"/>
        </w:tabs>
        <w:jc w:val="left"/>
        <w:outlineLvl w:val="2"/>
        <w:rPr>
          <w:bCs/>
        </w:rPr>
      </w:pPr>
      <w:r>
        <w:rPr>
          <w:bCs/>
        </w:rPr>
        <w:t>在确定荷载的数值时，应考虑施工期间和使用年限内预期可能发生的变化进行最不利荷载组合，荷载组合及不同组合工况下的荷载分项系数应按表1</w:t>
      </w:r>
      <w:r>
        <w:rPr>
          <w:rFonts w:hint="eastAsia"/>
          <w:bCs/>
        </w:rPr>
        <w:t>2</w:t>
      </w:r>
      <w:r>
        <w:rPr>
          <w:bCs/>
        </w:rPr>
        <w:t>.3.2取值。</w:t>
      </w:r>
    </w:p>
    <w:p w14:paraId="45F857EC">
      <w:pPr>
        <w:numPr>
          <w:ilvl w:val="2"/>
          <w:numId w:val="1"/>
        </w:numPr>
        <w:tabs>
          <w:tab w:val="left" w:pos="709"/>
          <w:tab w:val="left" w:pos="794"/>
        </w:tabs>
        <w:jc w:val="left"/>
        <w:outlineLvl w:val="2"/>
        <w:rPr>
          <w:bCs/>
        </w:rPr>
      </w:pPr>
      <w:r>
        <w:rPr>
          <w:bCs/>
        </w:rPr>
        <w:t>荷载组合及不同组合工况下的荷载分项系数</w:t>
      </w:r>
    </w:p>
    <w:p w14:paraId="6351C589">
      <w:pPr>
        <w:pStyle w:val="198"/>
      </w:pPr>
      <w:r>
        <w:t>表1</w:t>
      </w:r>
      <w:r>
        <w:rPr>
          <w:rFonts w:hint="eastAsia"/>
        </w:rPr>
        <w:t>2</w:t>
      </w:r>
      <w:r>
        <w:t>.3.2</w:t>
      </w:r>
      <w:r>
        <w:rPr>
          <w:rFonts w:hint="eastAsia"/>
        </w:rPr>
        <w:t xml:space="preserve">  </w:t>
      </w:r>
      <w:r>
        <w:t>荷载组合及不同组合工况下的荷载分项系数</w:t>
      </w:r>
    </w:p>
    <w:tbl>
      <w:tblPr>
        <w:tblStyle w:val="88"/>
        <w:tblW w:w="6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453"/>
        <w:gridCol w:w="824"/>
        <w:gridCol w:w="814"/>
        <w:gridCol w:w="853"/>
        <w:gridCol w:w="855"/>
      </w:tblGrid>
      <w:tr w14:paraId="3C2C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1"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313F993">
            <w:pPr>
              <w:rPr>
                <w:sz w:val="15"/>
                <w:szCs w:val="15"/>
              </w:rPr>
            </w:pPr>
            <w:r>
              <w:rPr>
                <w:sz w:val="15"/>
                <w:szCs w:val="15"/>
              </w:rPr>
              <w:t>荷载组合</w:t>
            </w:r>
          </w:p>
        </w:tc>
        <w:tc>
          <w:tcPr>
            <w:tcW w:w="1453"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05A7051">
            <w:pPr>
              <w:rPr>
                <w:sz w:val="15"/>
                <w:szCs w:val="15"/>
              </w:rPr>
            </w:pPr>
            <w:r>
              <w:rPr>
                <w:sz w:val="15"/>
                <w:szCs w:val="15"/>
              </w:rPr>
              <w:t>验算工况</w:t>
            </w:r>
          </w:p>
        </w:tc>
        <w:tc>
          <w:tcPr>
            <w:tcW w:w="824"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893AD30">
            <w:pPr>
              <w:rPr>
                <w:sz w:val="15"/>
                <w:szCs w:val="15"/>
              </w:rPr>
            </w:pPr>
            <w:r>
              <w:rPr>
                <w:sz w:val="15"/>
                <w:szCs w:val="15"/>
              </w:rPr>
              <w:t>永久荷载</w:t>
            </w:r>
          </w:p>
        </w:tc>
        <w:tc>
          <w:tcPr>
            <w:tcW w:w="814"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467FB82">
            <w:pPr>
              <w:rPr>
                <w:sz w:val="15"/>
                <w:szCs w:val="15"/>
              </w:rPr>
            </w:pPr>
            <w:r>
              <w:rPr>
                <w:sz w:val="15"/>
                <w:szCs w:val="15"/>
              </w:rPr>
              <w:t>可变荷载</w:t>
            </w:r>
          </w:p>
        </w:tc>
        <w:tc>
          <w:tcPr>
            <w:tcW w:w="1708"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4286160">
            <w:pPr>
              <w:rPr>
                <w:sz w:val="15"/>
                <w:szCs w:val="15"/>
              </w:rPr>
            </w:pPr>
            <w:r>
              <w:rPr>
                <w:sz w:val="15"/>
                <w:szCs w:val="15"/>
              </w:rPr>
              <w:t>偶然荷载</w:t>
            </w:r>
          </w:p>
        </w:tc>
      </w:tr>
      <w:tr w14:paraId="43D9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1"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F7A47D9">
            <w:pPr>
              <w:rPr>
                <w:sz w:val="15"/>
                <w:szCs w:val="15"/>
              </w:rPr>
            </w:pPr>
          </w:p>
        </w:tc>
        <w:tc>
          <w:tcPr>
            <w:tcW w:w="1453" w:type="dxa"/>
            <w:vMerge w:val="continue"/>
            <w:tcBorders>
              <w:top w:val="single" w:color="000000" w:sz="6" w:space="0"/>
              <w:left w:val="single" w:color="CBCDD1" w:sz="6" w:space="0"/>
              <w:bottom w:val="single" w:color="000000" w:sz="6" w:space="0"/>
              <w:right w:val="single" w:color="000000" w:sz="6" w:space="0"/>
            </w:tcBorders>
            <w:tcMar>
              <w:top w:w="0" w:type="dxa"/>
              <w:left w:w="108" w:type="dxa"/>
              <w:bottom w:w="0" w:type="dxa"/>
              <w:right w:w="108" w:type="dxa"/>
            </w:tcMar>
            <w:vAlign w:val="center"/>
          </w:tcPr>
          <w:p w14:paraId="61230A0D">
            <w:pPr>
              <w:rPr>
                <w:sz w:val="15"/>
                <w:szCs w:val="15"/>
              </w:rPr>
            </w:pPr>
          </w:p>
        </w:tc>
        <w:tc>
          <w:tcPr>
            <w:tcW w:w="824" w:type="dxa"/>
            <w:vMerge w:val="continue"/>
            <w:tcBorders>
              <w:top w:val="single" w:color="000000" w:sz="6" w:space="0"/>
              <w:left w:val="single" w:color="CBCDD1" w:sz="6" w:space="0"/>
              <w:bottom w:val="single" w:color="000000" w:sz="6" w:space="0"/>
              <w:right w:val="single" w:color="000000" w:sz="6" w:space="0"/>
            </w:tcBorders>
            <w:tcMar>
              <w:top w:w="0" w:type="dxa"/>
              <w:left w:w="108" w:type="dxa"/>
              <w:bottom w:w="0" w:type="dxa"/>
              <w:right w:w="108" w:type="dxa"/>
            </w:tcMar>
            <w:vAlign w:val="center"/>
          </w:tcPr>
          <w:p w14:paraId="184573BC">
            <w:pPr>
              <w:rPr>
                <w:sz w:val="15"/>
                <w:szCs w:val="15"/>
              </w:rPr>
            </w:pPr>
          </w:p>
        </w:tc>
        <w:tc>
          <w:tcPr>
            <w:tcW w:w="814" w:type="dxa"/>
            <w:vMerge w:val="continue"/>
            <w:tcBorders>
              <w:top w:val="single" w:color="000000" w:sz="6" w:space="0"/>
              <w:left w:val="single" w:color="CBCDD1" w:sz="6" w:space="0"/>
              <w:bottom w:val="single" w:color="000000" w:sz="6" w:space="0"/>
              <w:right w:val="single" w:color="000000" w:sz="6" w:space="0"/>
            </w:tcBorders>
            <w:tcMar>
              <w:top w:w="0" w:type="dxa"/>
              <w:left w:w="108" w:type="dxa"/>
              <w:bottom w:w="0" w:type="dxa"/>
              <w:right w:w="108" w:type="dxa"/>
            </w:tcMar>
            <w:vAlign w:val="center"/>
          </w:tcPr>
          <w:p w14:paraId="3B75B310">
            <w:pPr>
              <w:rPr>
                <w:sz w:val="15"/>
                <w:szCs w:val="15"/>
              </w:rPr>
            </w:pPr>
          </w:p>
        </w:tc>
        <w:tc>
          <w:tcPr>
            <w:tcW w:w="8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D633665">
            <w:pPr>
              <w:rPr>
                <w:sz w:val="15"/>
                <w:szCs w:val="15"/>
              </w:rPr>
            </w:pPr>
            <w:r>
              <w:rPr>
                <w:sz w:val="15"/>
                <w:szCs w:val="15"/>
              </w:rPr>
              <w:t>地震荷载</w:t>
            </w:r>
          </w:p>
        </w:tc>
        <w:tc>
          <w:tcPr>
            <w:tcW w:w="85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22A8267">
            <w:pPr>
              <w:rPr>
                <w:sz w:val="15"/>
                <w:szCs w:val="15"/>
              </w:rPr>
            </w:pPr>
            <w:r>
              <w:rPr>
                <w:sz w:val="15"/>
                <w:szCs w:val="15"/>
              </w:rPr>
              <w:t>人防荷载</w:t>
            </w:r>
          </w:p>
        </w:tc>
      </w:tr>
      <w:tr w14:paraId="19A7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1"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C4518DD">
            <w:pPr>
              <w:rPr>
                <w:sz w:val="15"/>
                <w:szCs w:val="15"/>
              </w:rPr>
            </w:pPr>
            <w:r>
              <w:rPr>
                <w:sz w:val="15"/>
                <w:szCs w:val="15"/>
              </w:rPr>
              <w:t>永久荷载+可变荷载</w:t>
            </w:r>
          </w:p>
        </w:tc>
        <w:tc>
          <w:tcPr>
            <w:tcW w:w="14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1D79EF7">
            <w:pPr>
              <w:rPr>
                <w:sz w:val="15"/>
                <w:szCs w:val="15"/>
              </w:rPr>
            </w:pPr>
            <w:r>
              <w:rPr>
                <w:sz w:val="15"/>
                <w:szCs w:val="15"/>
              </w:rPr>
              <w:t>构件强度计算</w:t>
            </w:r>
          </w:p>
        </w:tc>
        <w:tc>
          <w:tcPr>
            <w:tcW w:w="82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7FA4AE9">
            <w:pPr>
              <w:rPr>
                <w:sz w:val="15"/>
                <w:szCs w:val="15"/>
              </w:rPr>
            </w:pPr>
            <w:r>
              <w:rPr>
                <w:sz w:val="15"/>
                <w:szCs w:val="15"/>
              </w:rPr>
              <w:t>1.3（1.0）</w:t>
            </w:r>
          </w:p>
        </w:tc>
        <w:tc>
          <w:tcPr>
            <w:tcW w:w="81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818BD0A">
            <w:pPr>
              <w:rPr>
                <w:sz w:val="15"/>
                <w:szCs w:val="15"/>
              </w:rPr>
            </w:pPr>
            <w:r>
              <w:rPr>
                <w:sz w:val="15"/>
                <w:szCs w:val="15"/>
              </w:rPr>
              <w:t>1.5</w:t>
            </w:r>
            <w:r>
              <w:rPr>
                <w:rFonts w:hint="eastAsia"/>
                <w:sz w:val="15"/>
                <w:szCs w:val="15"/>
              </w:rPr>
              <w:t>（0）</w:t>
            </w:r>
          </w:p>
        </w:tc>
        <w:tc>
          <w:tcPr>
            <w:tcW w:w="8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818EDCB">
            <w:pPr>
              <w:rPr>
                <w:sz w:val="15"/>
                <w:szCs w:val="15"/>
              </w:rPr>
            </w:pPr>
          </w:p>
        </w:tc>
        <w:tc>
          <w:tcPr>
            <w:tcW w:w="85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F675152">
            <w:pPr>
              <w:rPr>
                <w:sz w:val="15"/>
                <w:szCs w:val="15"/>
              </w:rPr>
            </w:pPr>
          </w:p>
        </w:tc>
      </w:tr>
      <w:tr w14:paraId="59C6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1" w:type="dxa"/>
            <w:vMerge w:val="continue"/>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00D5800">
            <w:pPr>
              <w:rPr>
                <w:sz w:val="15"/>
                <w:szCs w:val="15"/>
              </w:rPr>
            </w:pPr>
          </w:p>
        </w:tc>
        <w:tc>
          <w:tcPr>
            <w:tcW w:w="14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AF5D0A4">
            <w:pPr>
              <w:rPr>
                <w:sz w:val="15"/>
                <w:szCs w:val="15"/>
              </w:rPr>
            </w:pPr>
            <w:r>
              <w:rPr>
                <w:sz w:val="15"/>
                <w:szCs w:val="15"/>
              </w:rPr>
              <w:t>构件裂缝宽度验算</w:t>
            </w:r>
          </w:p>
        </w:tc>
        <w:tc>
          <w:tcPr>
            <w:tcW w:w="82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351F8D9">
            <w:pPr>
              <w:rPr>
                <w:sz w:val="15"/>
                <w:szCs w:val="15"/>
              </w:rPr>
            </w:pPr>
            <w:r>
              <w:rPr>
                <w:sz w:val="15"/>
                <w:szCs w:val="15"/>
              </w:rPr>
              <w:t>1.0</w:t>
            </w:r>
          </w:p>
        </w:tc>
        <w:tc>
          <w:tcPr>
            <w:tcW w:w="81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AC46B6E">
            <w:pPr>
              <w:rPr>
                <w:sz w:val="15"/>
                <w:szCs w:val="15"/>
              </w:rPr>
            </w:pPr>
            <w:r>
              <w:rPr>
                <w:sz w:val="15"/>
                <w:szCs w:val="15"/>
              </w:rPr>
              <w:t>0.8</w:t>
            </w:r>
          </w:p>
        </w:tc>
        <w:tc>
          <w:tcPr>
            <w:tcW w:w="8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C5A498F">
            <w:pPr>
              <w:rPr>
                <w:sz w:val="15"/>
                <w:szCs w:val="15"/>
              </w:rPr>
            </w:pPr>
          </w:p>
        </w:tc>
        <w:tc>
          <w:tcPr>
            <w:tcW w:w="85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EC4AA51">
            <w:pPr>
              <w:rPr>
                <w:sz w:val="15"/>
                <w:szCs w:val="15"/>
              </w:rPr>
            </w:pPr>
          </w:p>
        </w:tc>
      </w:tr>
      <w:tr w14:paraId="0C10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1" w:type="dxa"/>
            <w:vMerge w:val="continue"/>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FBA33EC">
            <w:pPr>
              <w:rPr>
                <w:sz w:val="15"/>
                <w:szCs w:val="15"/>
              </w:rPr>
            </w:pPr>
          </w:p>
        </w:tc>
        <w:tc>
          <w:tcPr>
            <w:tcW w:w="14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566AE03">
            <w:pPr>
              <w:rPr>
                <w:sz w:val="15"/>
                <w:szCs w:val="15"/>
              </w:rPr>
            </w:pPr>
            <w:r>
              <w:rPr>
                <w:sz w:val="15"/>
                <w:szCs w:val="15"/>
              </w:rPr>
              <w:t>构件变形验算</w:t>
            </w:r>
          </w:p>
        </w:tc>
        <w:tc>
          <w:tcPr>
            <w:tcW w:w="82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F2E9BA8">
            <w:pPr>
              <w:rPr>
                <w:sz w:val="15"/>
                <w:szCs w:val="15"/>
              </w:rPr>
            </w:pPr>
            <w:r>
              <w:rPr>
                <w:sz w:val="15"/>
                <w:szCs w:val="15"/>
              </w:rPr>
              <w:t>1.0</w:t>
            </w:r>
          </w:p>
        </w:tc>
        <w:tc>
          <w:tcPr>
            <w:tcW w:w="81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A164B75">
            <w:pPr>
              <w:rPr>
                <w:sz w:val="15"/>
                <w:szCs w:val="15"/>
              </w:rPr>
            </w:pPr>
            <w:r>
              <w:rPr>
                <w:sz w:val="15"/>
                <w:szCs w:val="15"/>
              </w:rPr>
              <w:t>0.8</w:t>
            </w:r>
          </w:p>
        </w:tc>
        <w:tc>
          <w:tcPr>
            <w:tcW w:w="8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4598FA9">
            <w:pPr>
              <w:rPr>
                <w:sz w:val="15"/>
                <w:szCs w:val="15"/>
              </w:rPr>
            </w:pPr>
          </w:p>
        </w:tc>
        <w:tc>
          <w:tcPr>
            <w:tcW w:w="85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AE91D29">
            <w:pPr>
              <w:rPr>
                <w:sz w:val="15"/>
                <w:szCs w:val="15"/>
              </w:rPr>
            </w:pPr>
          </w:p>
        </w:tc>
      </w:tr>
      <w:tr w14:paraId="6AEA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328328A">
            <w:pPr>
              <w:rPr>
                <w:sz w:val="15"/>
                <w:szCs w:val="15"/>
              </w:rPr>
            </w:pPr>
            <w:r>
              <w:rPr>
                <w:sz w:val="15"/>
                <w:szCs w:val="15"/>
              </w:rPr>
              <w:t>永久荷载+可变荷载+地震荷载</w:t>
            </w:r>
          </w:p>
        </w:tc>
        <w:tc>
          <w:tcPr>
            <w:tcW w:w="14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827C454">
            <w:pPr>
              <w:rPr>
                <w:sz w:val="15"/>
                <w:szCs w:val="15"/>
              </w:rPr>
            </w:pPr>
            <w:r>
              <w:rPr>
                <w:sz w:val="15"/>
                <w:szCs w:val="15"/>
              </w:rPr>
              <w:t>构件强度计算</w:t>
            </w:r>
          </w:p>
        </w:tc>
        <w:tc>
          <w:tcPr>
            <w:tcW w:w="82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8A3AF71">
            <w:pPr>
              <w:rPr>
                <w:sz w:val="15"/>
                <w:szCs w:val="15"/>
              </w:rPr>
            </w:pPr>
            <w:r>
              <w:rPr>
                <w:sz w:val="15"/>
                <w:szCs w:val="15"/>
              </w:rPr>
              <w:t>1.3（1.0）</w:t>
            </w:r>
          </w:p>
        </w:tc>
        <w:tc>
          <w:tcPr>
            <w:tcW w:w="81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A8E7598">
            <w:pPr>
              <w:rPr>
                <w:sz w:val="15"/>
                <w:szCs w:val="15"/>
              </w:rPr>
            </w:pPr>
            <w:r>
              <w:rPr>
                <w:sz w:val="15"/>
                <w:szCs w:val="15"/>
              </w:rPr>
              <w:t>0.65</w:t>
            </w:r>
          </w:p>
        </w:tc>
        <w:tc>
          <w:tcPr>
            <w:tcW w:w="8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641FF24">
            <w:pPr>
              <w:rPr>
                <w:sz w:val="15"/>
                <w:szCs w:val="15"/>
              </w:rPr>
            </w:pPr>
            <w:r>
              <w:rPr>
                <w:sz w:val="15"/>
                <w:szCs w:val="15"/>
              </w:rPr>
              <w:t>1.4</w:t>
            </w:r>
          </w:p>
        </w:tc>
        <w:tc>
          <w:tcPr>
            <w:tcW w:w="85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CE5E764">
            <w:pPr>
              <w:rPr>
                <w:sz w:val="15"/>
                <w:szCs w:val="15"/>
              </w:rPr>
            </w:pPr>
          </w:p>
        </w:tc>
      </w:tr>
      <w:tr w14:paraId="0439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5869F67">
            <w:pPr>
              <w:rPr>
                <w:sz w:val="15"/>
                <w:szCs w:val="15"/>
              </w:rPr>
            </w:pPr>
            <w:r>
              <w:rPr>
                <w:sz w:val="15"/>
                <w:szCs w:val="15"/>
              </w:rPr>
              <w:t>永久荷载+人防荷载</w:t>
            </w:r>
          </w:p>
        </w:tc>
        <w:tc>
          <w:tcPr>
            <w:tcW w:w="14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89E1C24">
            <w:pPr>
              <w:rPr>
                <w:sz w:val="15"/>
                <w:szCs w:val="15"/>
              </w:rPr>
            </w:pPr>
            <w:r>
              <w:rPr>
                <w:sz w:val="15"/>
                <w:szCs w:val="15"/>
              </w:rPr>
              <w:t>构件强度计算</w:t>
            </w:r>
          </w:p>
        </w:tc>
        <w:tc>
          <w:tcPr>
            <w:tcW w:w="82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4AA763B">
            <w:pPr>
              <w:rPr>
                <w:sz w:val="15"/>
                <w:szCs w:val="15"/>
              </w:rPr>
            </w:pPr>
            <w:r>
              <w:rPr>
                <w:sz w:val="15"/>
                <w:szCs w:val="15"/>
              </w:rPr>
              <w:t>1.2（1.0）</w:t>
            </w:r>
          </w:p>
        </w:tc>
        <w:tc>
          <w:tcPr>
            <w:tcW w:w="81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A869783">
            <w:pPr>
              <w:rPr>
                <w:sz w:val="15"/>
                <w:szCs w:val="15"/>
              </w:rPr>
            </w:pPr>
          </w:p>
        </w:tc>
        <w:tc>
          <w:tcPr>
            <w:tcW w:w="8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86F73DF">
            <w:pPr>
              <w:rPr>
                <w:sz w:val="15"/>
                <w:szCs w:val="15"/>
              </w:rPr>
            </w:pPr>
          </w:p>
        </w:tc>
        <w:tc>
          <w:tcPr>
            <w:tcW w:w="85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6BD38CE">
            <w:pPr>
              <w:rPr>
                <w:sz w:val="15"/>
                <w:szCs w:val="15"/>
              </w:rPr>
            </w:pPr>
            <w:r>
              <w:rPr>
                <w:sz w:val="15"/>
                <w:szCs w:val="15"/>
              </w:rPr>
              <w:t>1.0</w:t>
            </w:r>
          </w:p>
        </w:tc>
      </w:tr>
    </w:tbl>
    <w:p w14:paraId="20B3DB4F">
      <w:pPr>
        <w:ind w:left="945" w:leftChars="200" w:hanging="525" w:hangingChars="350"/>
        <w:rPr>
          <w:sz w:val="15"/>
          <w:szCs w:val="18"/>
        </w:rPr>
      </w:pPr>
      <w:r>
        <w:rPr>
          <w:sz w:val="15"/>
          <w:szCs w:val="18"/>
        </w:rPr>
        <w:t>注：</w:t>
      </w:r>
      <w:r>
        <w:rPr>
          <w:rFonts w:hint="eastAsia"/>
          <w:sz w:val="15"/>
          <w:szCs w:val="18"/>
        </w:rPr>
        <w:t xml:space="preserve">  </w:t>
      </w:r>
      <w:r>
        <w:rPr>
          <w:sz w:val="15"/>
          <w:szCs w:val="18"/>
        </w:rPr>
        <w:t>括号内的数字用于该荷载对结构作用有利时的分项系数取值。</w:t>
      </w:r>
    </w:p>
    <w:p w14:paraId="2EF12A69">
      <w:pPr>
        <w:numPr>
          <w:ilvl w:val="2"/>
          <w:numId w:val="1"/>
        </w:numPr>
        <w:tabs>
          <w:tab w:val="left" w:pos="709"/>
          <w:tab w:val="left" w:pos="794"/>
        </w:tabs>
        <w:jc w:val="left"/>
        <w:outlineLvl w:val="2"/>
        <w:rPr>
          <w:bCs/>
        </w:rPr>
      </w:pPr>
      <w:r>
        <w:rPr>
          <w:bCs/>
        </w:rPr>
        <w:t>地层压力应按下列原则进行计算：</w:t>
      </w:r>
    </w:p>
    <w:p w14:paraId="74F4C746">
      <w:pPr>
        <w:ind w:firstLine="422" w:firstLineChars="200"/>
      </w:pPr>
      <w:r>
        <w:rPr>
          <w:b/>
        </w:rPr>
        <w:t>1</w:t>
      </w:r>
      <w:r>
        <w:rPr>
          <w:rFonts w:hint="eastAsia"/>
          <w:b/>
        </w:rPr>
        <w:t xml:space="preserve"> </w:t>
      </w:r>
      <w:r>
        <w:rPr>
          <w:rFonts w:hint="eastAsia"/>
        </w:rPr>
        <w:t xml:space="preserve"> </w:t>
      </w:r>
      <w:r>
        <w:t>竖向压力应按下列规定计算：</w:t>
      </w:r>
    </w:p>
    <w:p w14:paraId="6D8DAD0E">
      <w:pPr>
        <w:ind w:firstLine="420" w:firstLineChars="200"/>
      </w:pPr>
      <w:r>
        <w:t>1)</w:t>
      </w:r>
      <w:r>
        <w:rPr>
          <w:rFonts w:hint="eastAsia"/>
        </w:rPr>
        <w:t xml:space="preserve">  </w:t>
      </w:r>
      <w:r>
        <w:t>采用明挖和盖挖逆作法施工的地下结构，以及采用矿山法施工的地下车站结构、大型双层风道结构和大断面折返线结构宜按计算截面以上全部土柱重量计算；</w:t>
      </w:r>
    </w:p>
    <w:p w14:paraId="6F34F030">
      <w:pPr>
        <w:ind w:firstLine="420" w:firstLineChars="200"/>
      </w:pPr>
      <w:r>
        <w:t>2)</w:t>
      </w:r>
      <w:r>
        <w:rPr>
          <w:rFonts w:hint="eastAsia"/>
        </w:rPr>
        <w:t xml:space="preserve">  </w:t>
      </w:r>
      <w:r>
        <w:t>采用矿山法和盾构法施工的区间、出入口通道、单层风道及施工通道等单洞隧道结构，浅埋情况下宜按全土柱重量计算，深埋情况下宜考虑土体卸载拱作用的影响。</w:t>
      </w:r>
    </w:p>
    <w:p w14:paraId="5CEF5640">
      <w:pPr>
        <w:ind w:firstLine="422" w:firstLineChars="200"/>
      </w:pPr>
      <w:r>
        <w:rPr>
          <w:b/>
        </w:rPr>
        <w:t>2</w:t>
      </w:r>
      <w:r>
        <w:rPr>
          <w:rFonts w:hint="eastAsia"/>
          <w:b/>
        </w:rPr>
        <w:t xml:space="preserve"> </w:t>
      </w:r>
      <w:r>
        <w:rPr>
          <w:rFonts w:hint="eastAsia"/>
        </w:rPr>
        <w:t xml:space="preserve"> </w:t>
      </w:r>
      <w:r>
        <w:t>水平压力应按下列规定计算：</w:t>
      </w:r>
    </w:p>
    <w:p w14:paraId="64CCB5FB">
      <w:pPr>
        <w:ind w:firstLine="420" w:firstLineChars="200"/>
      </w:pPr>
      <w:r>
        <w:t>1)</w:t>
      </w:r>
      <w:r>
        <w:rPr>
          <w:rFonts w:hint="eastAsia"/>
        </w:rPr>
        <w:t xml:space="preserve">  </w:t>
      </w:r>
      <w:r>
        <w:t>施工阶段的明挖法基坑支护及其主体结构、矿山法初期支护，作用在主动区的土压力宜按朗金土压力计算，在结构的非脱离区或给支护结构施加预应力时应考虑土体抗力的作用；</w:t>
      </w:r>
    </w:p>
    <w:p w14:paraId="1C6E4B22">
      <w:pPr>
        <w:ind w:firstLine="420" w:firstLineChars="200"/>
      </w:pPr>
      <w:r>
        <w:t>2)</w:t>
      </w:r>
      <w:r>
        <w:rPr>
          <w:rFonts w:hint="eastAsia"/>
        </w:rPr>
        <w:t xml:space="preserve">  </w:t>
      </w:r>
      <w:r>
        <w:rPr>
          <w:rFonts w:ascii="宋体" w:hAnsi="宋体" w:cs="宋体"/>
          <w:spacing w:val="17"/>
          <w:szCs w:val="20"/>
        </w:rPr>
        <w:t>施工阶段的盖挖逆作法、洞桩(柱)逆作法和一次扣拱法，结构承受的水平土压力宜按静止</w:t>
      </w:r>
      <w:r>
        <w:rPr>
          <w:rFonts w:ascii="宋体" w:hAnsi="宋体" w:cs="宋体"/>
          <w:spacing w:val="12"/>
          <w:szCs w:val="20"/>
        </w:rPr>
        <w:t>土</w:t>
      </w:r>
      <w:r>
        <w:rPr>
          <w:rFonts w:ascii="宋体" w:hAnsi="宋体" w:cs="宋体"/>
          <w:spacing w:val="-4"/>
          <w:szCs w:val="20"/>
        </w:rPr>
        <w:t>压力计算；</w:t>
      </w:r>
    </w:p>
    <w:p w14:paraId="4E450EDF">
      <w:pPr>
        <w:ind w:firstLine="420" w:firstLineChars="200"/>
      </w:pPr>
      <w:r>
        <w:t>3)</w:t>
      </w:r>
      <w:r>
        <w:rPr>
          <w:rFonts w:hint="eastAsia"/>
        </w:rPr>
        <w:t xml:space="preserve">  </w:t>
      </w:r>
      <w:r>
        <w:t>使用阶段的地下结构的水平土压力宜按静止土压力计算；</w:t>
      </w:r>
    </w:p>
    <w:p w14:paraId="4A5871B4">
      <w:pPr>
        <w:ind w:firstLine="420" w:firstLineChars="200"/>
      </w:pPr>
      <w:r>
        <w:t>4)</w:t>
      </w:r>
      <w:r>
        <w:rPr>
          <w:rFonts w:hint="eastAsia"/>
        </w:rPr>
        <w:t xml:space="preserve">  </w:t>
      </w:r>
      <w:r>
        <w:t>计算中应计及地面荷载和破坏棱体范围的建筑物以及施工机械等引起的附加水平侧压力。对内衬永久结构，应考虑外侧土压力的变化以及与基坑支护或初期支护结构的共同作用而分担的土压力，分别按最大、最小侧压力两种情况，与其他荷载进行不利包络组合。</w:t>
      </w:r>
    </w:p>
    <w:p w14:paraId="3E0EE76C">
      <w:pPr>
        <w:numPr>
          <w:ilvl w:val="2"/>
          <w:numId w:val="1"/>
        </w:numPr>
        <w:tabs>
          <w:tab w:val="left" w:pos="709"/>
          <w:tab w:val="left" w:pos="794"/>
        </w:tabs>
        <w:jc w:val="left"/>
        <w:outlineLvl w:val="2"/>
        <w:rPr>
          <w:bCs/>
        </w:rPr>
      </w:pPr>
      <w:r>
        <w:rPr>
          <w:bCs/>
        </w:rPr>
        <w:t>作用在地下结构上的水压力，应根据施工阶段和长期使用过程中地下水位的变化，不同的围岩条件，应分别按下列规定计算：</w:t>
      </w:r>
    </w:p>
    <w:p w14:paraId="5CD0FCB0">
      <w:pPr>
        <w:ind w:firstLine="422" w:firstLineChars="200"/>
      </w:pPr>
      <w:r>
        <w:rPr>
          <w:b/>
        </w:rPr>
        <w:t>1</w:t>
      </w:r>
      <w:r>
        <w:rPr>
          <w:rFonts w:hint="eastAsia"/>
          <w:b/>
        </w:rPr>
        <w:t xml:space="preserve"> </w:t>
      </w:r>
      <w:r>
        <w:rPr>
          <w:rFonts w:hint="eastAsia"/>
        </w:rPr>
        <w:t xml:space="preserve"> </w:t>
      </w:r>
      <w:r>
        <w:t>水压力可按静水压力计算，并应根据设防水位以及施工和使用阶段可能发生的地下水位最不利情况，计算水压力对结构的作用；</w:t>
      </w:r>
    </w:p>
    <w:p w14:paraId="587ADFB3">
      <w:pPr>
        <w:ind w:firstLine="422" w:firstLineChars="200"/>
      </w:pPr>
      <w:r>
        <w:rPr>
          <w:b/>
        </w:rPr>
        <w:t>2</w:t>
      </w:r>
      <w:r>
        <w:rPr>
          <w:rFonts w:hint="eastAsia"/>
          <w:b/>
        </w:rPr>
        <w:t xml:space="preserve"> </w:t>
      </w:r>
      <w:r>
        <w:rPr>
          <w:rFonts w:hint="eastAsia"/>
        </w:rPr>
        <w:t xml:space="preserve"> </w:t>
      </w:r>
      <w:r>
        <w:t>砂性土地层的侧向水、土压力应采用水土分算；</w:t>
      </w:r>
    </w:p>
    <w:p w14:paraId="7CE4C837">
      <w:pPr>
        <w:ind w:firstLine="422" w:firstLineChars="200"/>
      </w:pPr>
      <w:r>
        <w:rPr>
          <w:b/>
        </w:rPr>
        <w:t>3</w:t>
      </w:r>
      <w:r>
        <w:rPr>
          <w:rFonts w:hint="eastAsia"/>
        </w:rPr>
        <w:t xml:space="preserve">  </w:t>
      </w:r>
      <w:r>
        <w:t>粘性土地层的侧向水、土压力，在施工阶段宜采用水土合算，在使用阶段应采用水土分算。</w:t>
      </w:r>
    </w:p>
    <w:p w14:paraId="6FE1DF49">
      <w:pPr>
        <w:ind w:firstLine="420" w:firstLineChars="200"/>
      </w:pPr>
      <w:r>
        <w:t>土压力计算中，土体的抗剪强度指标应按表1</w:t>
      </w:r>
      <w:r>
        <w:rPr>
          <w:rFonts w:hint="eastAsia"/>
        </w:rPr>
        <w:t>2</w:t>
      </w:r>
      <w:r>
        <w:t>.3.5的规定选取。</w:t>
      </w:r>
    </w:p>
    <w:p w14:paraId="473FF6B8">
      <w:pPr>
        <w:pStyle w:val="198"/>
      </w:pPr>
    </w:p>
    <w:p w14:paraId="7BE8CCC7">
      <w:pPr>
        <w:pStyle w:val="198"/>
      </w:pPr>
      <w:r>
        <w:t>表1</w:t>
      </w:r>
      <w:r>
        <w:rPr>
          <w:rFonts w:hint="eastAsia"/>
        </w:rPr>
        <w:t>2</w:t>
      </w:r>
      <w:r>
        <w:t>.3.5</w:t>
      </w:r>
      <w:r>
        <w:rPr>
          <w:rFonts w:hint="eastAsia"/>
        </w:rPr>
        <w:t xml:space="preserve">  </w:t>
      </w:r>
      <w:r>
        <w:t>土体抗剪强度指标的选取</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48"/>
        <w:gridCol w:w="848"/>
        <w:gridCol w:w="1396"/>
        <w:gridCol w:w="1255"/>
        <w:gridCol w:w="1693"/>
      </w:tblGrid>
      <w:tr w14:paraId="1E729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1996" w:type="dxa"/>
            <w:gridSpan w:val="2"/>
            <w:tcBorders>
              <w:left w:val="single" w:color="000000" w:sz="6" w:space="0"/>
            </w:tcBorders>
            <w:vAlign w:val="center"/>
          </w:tcPr>
          <w:p w14:paraId="2D04E9A0">
            <w:r>
              <w:t>土性</w:t>
            </w:r>
          </w:p>
        </w:tc>
        <w:tc>
          <w:tcPr>
            <w:tcW w:w="2651" w:type="dxa"/>
            <w:gridSpan w:val="2"/>
            <w:vAlign w:val="center"/>
          </w:tcPr>
          <w:p w14:paraId="3083785E">
            <w:r>
              <w:t>粘性土、粘质粉土</w:t>
            </w:r>
          </w:p>
        </w:tc>
        <w:tc>
          <w:tcPr>
            <w:tcW w:w="1693" w:type="dxa"/>
            <w:tcBorders>
              <w:right w:val="single" w:color="000000" w:sz="6" w:space="0"/>
            </w:tcBorders>
            <w:vAlign w:val="center"/>
          </w:tcPr>
          <w:p w14:paraId="3EAD6E70">
            <w:r>
              <w:t>砂质粉土、砂土、碎石土</w:t>
            </w:r>
          </w:p>
        </w:tc>
      </w:tr>
      <w:tr w14:paraId="190FE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1996" w:type="dxa"/>
            <w:gridSpan w:val="2"/>
            <w:tcBorders>
              <w:left w:val="single" w:color="000000" w:sz="6" w:space="0"/>
            </w:tcBorders>
            <w:vAlign w:val="center"/>
          </w:tcPr>
          <w:p w14:paraId="2C720ECE">
            <w:r>
              <w:t>地下水位以上</w:t>
            </w:r>
          </w:p>
        </w:tc>
        <w:tc>
          <w:tcPr>
            <w:tcW w:w="2651" w:type="dxa"/>
            <w:gridSpan w:val="2"/>
            <w:vAlign w:val="center"/>
          </w:tcPr>
          <w:p w14:paraId="2EAEB666">
            <w:r>
              <w:t>采用三轴固结不排水抗剪强度指标Ccu、Φcu或直剪</w:t>
            </w:r>
          </w:p>
          <w:p w14:paraId="7F983E6B">
            <w:r>
              <w:t>固结快剪强度指标Ccq、Φcq</w:t>
            </w:r>
          </w:p>
        </w:tc>
        <w:tc>
          <w:tcPr>
            <w:tcW w:w="1693" w:type="dxa"/>
            <w:tcBorders>
              <w:right w:val="single" w:color="000000" w:sz="6" w:space="0"/>
            </w:tcBorders>
            <w:vAlign w:val="center"/>
          </w:tcPr>
          <w:p w14:paraId="0E9F8722">
            <w:r>
              <w:t>采用有效应力强度指标C′、Φ′</w:t>
            </w:r>
          </w:p>
        </w:tc>
      </w:tr>
      <w:tr w14:paraId="08552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1148" w:type="dxa"/>
            <w:vMerge w:val="restart"/>
            <w:tcBorders>
              <w:left w:val="single" w:color="000000" w:sz="6" w:space="0"/>
              <w:bottom w:val="nil"/>
            </w:tcBorders>
            <w:vAlign w:val="center"/>
          </w:tcPr>
          <w:p w14:paraId="12C4F141">
            <w:r>
              <w:t>地下水位以下</w:t>
            </w:r>
          </w:p>
        </w:tc>
        <w:tc>
          <w:tcPr>
            <w:tcW w:w="848" w:type="dxa"/>
            <w:vAlign w:val="center"/>
          </w:tcPr>
          <w:p w14:paraId="2868135F">
            <w:r>
              <w:t>水土分算</w:t>
            </w:r>
          </w:p>
        </w:tc>
        <w:tc>
          <w:tcPr>
            <w:tcW w:w="2651" w:type="dxa"/>
            <w:gridSpan w:val="2"/>
            <w:vAlign w:val="center"/>
          </w:tcPr>
          <w:p w14:paraId="3BBBE54D">
            <w:r>
              <w:t>采用有效应力强度指标C′、Φ′</w:t>
            </w:r>
          </w:p>
        </w:tc>
        <w:tc>
          <w:tcPr>
            <w:tcW w:w="1693" w:type="dxa"/>
            <w:tcBorders>
              <w:right w:val="single" w:color="000000" w:sz="6" w:space="0"/>
            </w:tcBorders>
            <w:vAlign w:val="center"/>
          </w:tcPr>
          <w:p w14:paraId="325880E2">
            <w:r>
              <w:t>采用有效应力强度指标C′、Φ′</w:t>
            </w:r>
          </w:p>
        </w:tc>
      </w:tr>
      <w:tr w14:paraId="25E88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1148" w:type="dxa"/>
            <w:vMerge w:val="continue"/>
            <w:tcBorders>
              <w:top w:val="nil"/>
              <w:left w:val="single" w:color="000000" w:sz="6" w:space="0"/>
            </w:tcBorders>
            <w:vAlign w:val="center"/>
          </w:tcPr>
          <w:p w14:paraId="4544ED45"/>
        </w:tc>
        <w:tc>
          <w:tcPr>
            <w:tcW w:w="848" w:type="dxa"/>
            <w:vAlign w:val="center"/>
          </w:tcPr>
          <w:p w14:paraId="004F4DBB">
            <w:r>
              <w:t>水土合算</w:t>
            </w:r>
          </w:p>
        </w:tc>
        <w:tc>
          <w:tcPr>
            <w:tcW w:w="1396" w:type="dxa"/>
            <w:vAlign w:val="center"/>
          </w:tcPr>
          <w:p w14:paraId="7D65B45B">
            <w:r>
              <w:t>对正常固结和超固结土，采用三轴固结不排水抗剪强度指标Ccu、Φcu或直剪固</w:t>
            </w:r>
          </w:p>
          <w:p w14:paraId="41C4F475">
            <w:r>
              <w:t>结快剪强度指标Ccq、Φcq</w:t>
            </w:r>
          </w:p>
        </w:tc>
        <w:tc>
          <w:tcPr>
            <w:tcW w:w="1255" w:type="dxa"/>
            <w:vAlign w:val="center"/>
          </w:tcPr>
          <w:p w14:paraId="3BE2F5DC">
            <w:r>
              <w:t>对欠固结土，宜采用有效自重压力下预固结的三轴不固结不排水抗剪强度指标Cuu、Φuu</w:t>
            </w:r>
          </w:p>
        </w:tc>
        <w:tc>
          <w:tcPr>
            <w:tcW w:w="1693" w:type="dxa"/>
            <w:tcBorders>
              <w:right w:val="single" w:color="000000" w:sz="6" w:space="0"/>
            </w:tcBorders>
            <w:vAlign w:val="center"/>
          </w:tcPr>
          <w:p w14:paraId="0CFECC19">
            <w:r>
              <w:t>—</w:t>
            </w:r>
          </w:p>
        </w:tc>
      </w:tr>
    </w:tbl>
    <w:p w14:paraId="63842EB5">
      <w:pPr>
        <w:spacing w:line="240" w:lineRule="auto"/>
        <w:ind w:left="796" w:leftChars="136" w:hanging="510" w:hangingChars="340"/>
        <w:jc w:val="left"/>
        <w:rPr>
          <w:sz w:val="15"/>
          <w:szCs w:val="18"/>
        </w:rPr>
      </w:pPr>
      <w:r>
        <w:rPr>
          <w:sz w:val="15"/>
          <w:szCs w:val="18"/>
        </w:rPr>
        <w:t>注：1</w:t>
      </w:r>
      <w:r>
        <w:rPr>
          <w:rFonts w:hint="eastAsia"/>
          <w:sz w:val="15"/>
          <w:szCs w:val="18"/>
        </w:rPr>
        <w:t xml:space="preserve">  </w:t>
      </w:r>
      <w:r>
        <w:rPr>
          <w:sz w:val="15"/>
          <w:szCs w:val="18"/>
        </w:rPr>
        <w:t>当</w:t>
      </w:r>
      <w:r>
        <w:rPr>
          <w:sz w:val="15"/>
          <w:szCs w:val="15"/>
        </w:rPr>
        <w:t>粘性</w:t>
      </w:r>
      <w:r>
        <w:rPr>
          <w:sz w:val="15"/>
          <w:szCs w:val="18"/>
        </w:rPr>
        <w:t>土、粘质粉土、砂质粉土缺少有效应力强度指标C′、Φ′时，也可采用三轴固结不排水</w:t>
      </w:r>
      <w:r>
        <w:rPr>
          <w:sz w:val="15"/>
          <w:szCs w:val="15"/>
        </w:rPr>
        <w:t>抗剪强度</w:t>
      </w:r>
      <w:r>
        <w:rPr>
          <w:sz w:val="15"/>
          <w:szCs w:val="18"/>
        </w:rPr>
        <w:t>指标Cuu、Φuu或直剪固结快剪强度指标Ccq、Φcq代替；</w:t>
      </w:r>
    </w:p>
    <w:p w14:paraId="6100CF5C">
      <w:pPr>
        <w:spacing w:line="240" w:lineRule="auto"/>
        <w:ind w:left="823" w:leftChars="285" w:hanging="225" w:hangingChars="150"/>
        <w:jc w:val="left"/>
        <w:rPr>
          <w:sz w:val="15"/>
          <w:szCs w:val="18"/>
        </w:rPr>
      </w:pPr>
      <w:r>
        <w:rPr>
          <w:sz w:val="15"/>
          <w:szCs w:val="18"/>
        </w:rPr>
        <w:t>2</w:t>
      </w:r>
      <w:r>
        <w:rPr>
          <w:rFonts w:hint="eastAsia"/>
          <w:sz w:val="15"/>
          <w:szCs w:val="18"/>
        </w:rPr>
        <w:t xml:space="preserve">  </w:t>
      </w:r>
      <w:r>
        <w:rPr>
          <w:sz w:val="15"/>
          <w:szCs w:val="18"/>
        </w:rPr>
        <w:t>有可靠的</w:t>
      </w:r>
      <w:r>
        <w:rPr>
          <w:sz w:val="15"/>
          <w:szCs w:val="20"/>
        </w:rPr>
        <w:t>地方</w:t>
      </w:r>
      <w:r>
        <w:rPr>
          <w:sz w:val="15"/>
          <w:szCs w:val="18"/>
        </w:rPr>
        <w:t>经验时，土的抗剪强度指标尚可根据室内、原位试验得到的其他物理力学指标，按经验方法确定。</w:t>
      </w:r>
    </w:p>
    <w:p w14:paraId="771FF50E">
      <w:pPr>
        <w:numPr>
          <w:ilvl w:val="2"/>
          <w:numId w:val="1"/>
        </w:numPr>
        <w:tabs>
          <w:tab w:val="left" w:pos="709"/>
          <w:tab w:val="left" w:pos="794"/>
        </w:tabs>
        <w:jc w:val="left"/>
        <w:outlineLvl w:val="2"/>
        <w:rPr>
          <w:bCs/>
        </w:rPr>
      </w:pPr>
      <w:r>
        <w:rPr>
          <w:bCs/>
        </w:rPr>
        <w:t>直接承受轨道交通车辆荷载的楼板等构件，应按车辆的实际轴重和排列计算其产生的荷载作用，并应考虑车辆的动力作用。A、B型车辆荷载轴重及排列应按本规范第</w:t>
      </w:r>
      <w:r>
        <w:rPr>
          <w:rFonts w:hint="eastAsia"/>
          <w:bCs/>
        </w:rPr>
        <w:t>5</w:t>
      </w:r>
      <w:r>
        <w:rPr>
          <w:bCs/>
        </w:rPr>
        <w:t>.2.2条的规定执行。</w:t>
      </w:r>
    </w:p>
    <w:p w14:paraId="200904DC">
      <w:pPr>
        <w:numPr>
          <w:ilvl w:val="2"/>
          <w:numId w:val="1"/>
        </w:numPr>
        <w:tabs>
          <w:tab w:val="left" w:pos="709"/>
          <w:tab w:val="left" w:pos="794"/>
        </w:tabs>
        <w:jc w:val="left"/>
        <w:outlineLvl w:val="2"/>
        <w:rPr>
          <w:bCs/>
        </w:rPr>
      </w:pPr>
      <w:r>
        <w:rPr>
          <w:bCs/>
        </w:rPr>
        <w:t>车站站台、楼板和楼梯等部位的人群荷载的标准值宜取4.0kPa，并应按特种消防车荷载进行构件承载力验算。特种消防车应按路虎60型履带式车辆荷载取值，外形尺寸(长×宽×高)应为2.3m×1.35m×2.0m，自重应为19kN。</w:t>
      </w:r>
    </w:p>
    <w:p w14:paraId="150C3F9F">
      <w:pPr>
        <w:numPr>
          <w:ilvl w:val="2"/>
          <w:numId w:val="1"/>
        </w:numPr>
        <w:tabs>
          <w:tab w:val="left" w:pos="709"/>
          <w:tab w:val="left" w:pos="794"/>
        </w:tabs>
        <w:jc w:val="left"/>
        <w:outlineLvl w:val="2"/>
        <w:rPr>
          <w:bCs/>
        </w:rPr>
      </w:pPr>
      <w:r>
        <w:rPr>
          <w:bCs/>
        </w:rPr>
        <w:t>设备区的计算荷载应根据设备安装、检修和正常使用的实际情况(包括动力效应)确定，标准值可取8.0kPa，重型设备尚应依据设备的实际重量、动力影响、安装运输途径等确定其荷载大小与范围。</w:t>
      </w:r>
    </w:p>
    <w:p w14:paraId="11F1661F">
      <w:pPr>
        <w:numPr>
          <w:ilvl w:val="2"/>
          <w:numId w:val="1"/>
        </w:numPr>
        <w:tabs>
          <w:tab w:val="left" w:pos="709"/>
          <w:tab w:val="left" w:pos="794"/>
        </w:tabs>
        <w:jc w:val="left"/>
        <w:outlineLvl w:val="2"/>
        <w:rPr>
          <w:bCs/>
        </w:rPr>
      </w:pPr>
      <w:r>
        <w:rPr>
          <w:bCs/>
        </w:rPr>
        <w:t>在道路下方的结构，覆土厚度小于1.5m时，应根据道路通行要求，按现行《公路桥涵设计通用规范》JTGD60计及地面车辆荷载及其最不利排列布置；当覆土厚度大于1.5m时，地面车辆荷载可按20kPa的均布荷载取值，且不应计冲击力的影响。</w:t>
      </w:r>
    </w:p>
    <w:p w14:paraId="74E75EF1">
      <w:pPr>
        <w:numPr>
          <w:ilvl w:val="2"/>
          <w:numId w:val="1"/>
        </w:numPr>
        <w:tabs>
          <w:tab w:val="left" w:pos="709"/>
          <w:tab w:val="left" w:pos="794"/>
        </w:tabs>
        <w:jc w:val="left"/>
        <w:outlineLvl w:val="2"/>
        <w:rPr>
          <w:bCs/>
        </w:rPr>
      </w:pPr>
      <w:r>
        <w:rPr>
          <w:bCs/>
        </w:rPr>
        <w:t>地下结构设计应考虑施工荷载的作用，施工机具荷载不宜超过10kPa；地面超载不宜超过20kPa；盾构工作井周边地面超载应根据盾构机重量、分块吊装方式、起重机布置等因素确定，且不应小于30kPa。</w:t>
      </w:r>
    </w:p>
    <w:p w14:paraId="6B323FC8">
      <w:pPr>
        <w:numPr>
          <w:ilvl w:val="1"/>
          <w:numId w:val="1"/>
        </w:numPr>
        <w:snapToGrid w:val="0"/>
        <w:spacing w:before="156" w:after="156" w:line="240" w:lineRule="auto"/>
        <w:jc w:val="center"/>
        <w:outlineLvl w:val="1"/>
        <w:rPr>
          <w:rFonts w:eastAsia="黑体"/>
          <w:bCs/>
          <w:szCs w:val="28"/>
        </w:rPr>
      </w:pPr>
      <w:bookmarkStart w:id="772" w:name="_Toc183882108"/>
      <w:bookmarkStart w:id="773" w:name="_Toc183882470"/>
      <w:bookmarkStart w:id="774" w:name="_Toc183888522"/>
      <w:bookmarkStart w:id="775" w:name="_Toc183888160"/>
      <w:bookmarkStart w:id="776" w:name="_Toc183790547"/>
      <w:bookmarkStart w:id="777" w:name="_Toc183765117"/>
      <w:r>
        <w:rPr>
          <w:rFonts w:eastAsia="黑体"/>
          <w:bCs/>
          <w:szCs w:val="28"/>
        </w:rPr>
        <w:t>明挖法、盖挖逆作法结构设计</w:t>
      </w:r>
      <w:bookmarkEnd w:id="772"/>
      <w:bookmarkEnd w:id="773"/>
      <w:bookmarkEnd w:id="774"/>
      <w:bookmarkEnd w:id="775"/>
      <w:bookmarkEnd w:id="776"/>
      <w:bookmarkEnd w:id="777"/>
    </w:p>
    <w:p w14:paraId="01C5BBCB">
      <w:pPr>
        <w:numPr>
          <w:ilvl w:val="2"/>
          <w:numId w:val="1"/>
        </w:numPr>
        <w:tabs>
          <w:tab w:val="left" w:pos="709"/>
          <w:tab w:val="left" w:pos="794"/>
        </w:tabs>
        <w:jc w:val="left"/>
        <w:outlineLvl w:val="2"/>
        <w:rPr>
          <w:bCs/>
        </w:rPr>
      </w:pPr>
      <w:r>
        <w:rPr>
          <w:bCs/>
        </w:rPr>
        <w:t>基坑工程设计应满足下列要求：</w:t>
      </w:r>
    </w:p>
    <w:p w14:paraId="19C21006">
      <w:pPr>
        <w:pStyle w:val="7"/>
        <w:ind w:firstLine="420"/>
      </w:pPr>
      <w:r>
        <w:t>基坑工程设计应根据工程特点和周边环境保护要求按照表1</w:t>
      </w:r>
      <w:r>
        <w:rPr>
          <w:rFonts w:hint="eastAsia"/>
        </w:rPr>
        <w:t>2</w:t>
      </w:r>
      <w:r>
        <w:t>.4.1-1确定基坑变形控制等级；</w:t>
      </w:r>
    </w:p>
    <w:p w14:paraId="44ED6F47">
      <w:pPr>
        <w:pStyle w:val="198"/>
      </w:pPr>
      <w:r>
        <w:t>表1</w:t>
      </w:r>
      <w:r>
        <w:rPr>
          <w:rFonts w:hint="eastAsia"/>
        </w:rPr>
        <w:t>2</w:t>
      </w:r>
      <w:r>
        <w:t>.4.1-1</w:t>
      </w:r>
      <w:r>
        <w:rPr>
          <w:rFonts w:hint="eastAsia"/>
        </w:rPr>
        <w:t xml:space="preserve">  </w:t>
      </w:r>
      <w:r>
        <w:t>基坑变形控制等级</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64"/>
        <w:gridCol w:w="2520"/>
        <w:gridCol w:w="3056"/>
      </w:tblGrid>
      <w:tr w14:paraId="1A4D6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7" w:hRule="atLeast"/>
          <w:jc w:val="center"/>
        </w:trPr>
        <w:tc>
          <w:tcPr>
            <w:tcW w:w="764" w:type="dxa"/>
            <w:tcBorders>
              <w:left w:val="single" w:color="000000" w:sz="6" w:space="0"/>
            </w:tcBorders>
            <w:vAlign w:val="center"/>
          </w:tcPr>
          <w:p w14:paraId="63D2D101">
            <w:pPr>
              <w:pStyle w:val="235"/>
              <w:rPr>
                <w:color w:val="auto"/>
              </w:rPr>
            </w:pPr>
            <w:r>
              <w:rPr>
                <w:color w:val="auto"/>
              </w:rPr>
              <w:t>变形控制等级</w:t>
            </w:r>
          </w:p>
        </w:tc>
        <w:tc>
          <w:tcPr>
            <w:tcW w:w="2520" w:type="dxa"/>
            <w:vAlign w:val="center"/>
          </w:tcPr>
          <w:p w14:paraId="29A907E1">
            <w:pPr>
              <w:pStyle w:val="235"/>
              <w:rPr>
                <w:color w:val="auto"/>
              </w:rPr>
            </w:pPr>
            <w:r>
              <w:rPr>
                <w:color w:val="auto"/>
              </w:rPr>
              <w:t>地面最大沉降量及支护结构水平位移控制要求</w:t>
            </w:r>
          </w:p>
        </w:tc>
        <w:tc>
          <w:tcPr>
            <w:tcW w:w="3056" w:type="dxa"/>
            <w:tcBorders>
              <w:right w:val="single" w:color="000000" w:sz="6" w:space="0"/>
            </w:tcBorders>
            <w:vAlign w:val="center"/>
          </w:tcPr>
          <w:p w14:paraId="54A00786">
            <w:pPr>
              <w:pStyle w:val="235"/>
              <w:rPr>
                <w:color w:val="auto"/>
              </w:rPr>
            </w:pPr>
            <w:r>
              <w:rPr>
                <w:color w:val="auto"/>
              </w:rPr>
              <w:t>周边环境条件</w:t>
            </w:r>
          </w:p>
        </w:tc>
      </w:tr>
      <w:tr w14:paraId="5F9E6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07" w:hRule="atLeast"/>
          <w:jc w:val="center"/>
        </w:trPr>
        <w:tc>
          <w:tcPr>
            <w:tcW w:w="764" w:type="dxa"/>
            <w:tcBorders>
              <w:left w:val="single" w:color="000000" w:sz="6" w:space="0"/>
            </w:tcBorders>
            <w:vAlign w:val="center"/>
          </w:tcPr>
          <w:p w14:paraId="27C605CD">
            <w:pPr>
              <w:pStyle w:val="235"/>
              <w:rPr>
                <w:color w:val="auto"/>
              </w:rPr>
            </w:pPr>
            <w:r>
              <w:rPr>
                <w:color w:val="auto"/>
              </w:rPr>
              <w:t>一级</w:t>
            </w:r>
          </w:p>
        </w:tc>
        <w:tc>
          <w:tcPr>
            <w:tcW w:w="2520" w:type="dxa"/>
            <w:vAlign w:val="center"/>
          </w:tcPr>
          <w:p w14:paraId="72D96183">
            <w:pPr>
              <w:pStyle w:val="235"/>
              <w:rPr>
                <w:color w:val="auto"/>
              </w:rPr>
            </w:pPr>
          </w:p>
          <w:p w14:paraId="187EC8D7">
            <w:pPr>
              <w:pStyle w:val="235"/>
              <w:rPr>
                <w:color w:val="auto"/>
              </w:rPr>
            </w:pPr>
            <w:r>
              <w:rPr>
                <w:color w:val="auto"/>
              </w:rPr>
              <w:t>1.地面最大沉降量≤0.15%H；</w:t>
            </w:r>
          </w:p>
          <w:p w14:paraId="52EBA976">
            <w:pPr>
              <w:pStyle w:val="235"/>
              <w:rPr>
                <w:color w:val="auto"/>
              </w:rPr>
            </w:pPr>
            <w:r>
              <w:rPr>
                <w:color w:val="auto"/>
              </w:rPr>
              <w:t>2.支护结构最大水平位移≤0.2%H，且≤30mm</w:t>
            </w:r>
          </w:p>
        </w:tc>
        <w:tc>
          <w:tcPr>
            <w:tcW w:w="3056" w:type="dxa"/>
            <w:tcBorders>
              <w:right w:val="single" w:color="000000" w:sz="6" w:space="0"/>
            </w:tcBorders>
            <w:vAlign w:val="center"/>
          </w:tcPr>
          <w:p w14:paraId="35D0E70A">
            <w:pPr>
              <w:pStyle w:val="235"/>
              <w:rPr>
                <w:color w:val="auto"/>
              </w:rPr>
            </w:pPr>
            <w:r>
              <w:rPr>
                <w:color w:val="auto"/>
              </w:rPr>
              <w:t>1.基坑周围0.7H范围内有重要建(构)筑物；或</w:t>
            </w:r>
          </w:p>
          <w:p w14:paraId="2A3C35F0">
            <w:pPr>
              <w:pStyle w:val="235"/>
              <w:rPr>
                <w:color w:val="auto"/>
              </w:rPr>
            </w:pPr>
            <w:r>
              <w:rPr>
                <w:color w:val="auto"/>
              </w:rPr>
              <w:t>2.基坑开挖深度≥16.0m，且在0.7~1.0H范围内有重要建(构)筑物；或</w:t>
            </w:r>
          </w:p>
          <w:p w14:paraId="62EE00B7">
            <w:pPr>
              <w:pStyle w:val="235"/>
              <w:rPr>
                <w:color w:val="auto"/>
              </w:rPr>
            </w:pPr>
            <w:r>
              <w:rPr>
                <w:color w:val="auto"/>
              </w:rPr>
              <w:t>3.基坑开挖深度H≥20.0m</w:t>
            </w:r>
          </w:p>
        </w:tc>
      </w:tr>
    </w:tbl>
    <w:p w14:paraId="5ABF52A0">
      <w:pPr>
        <w:pStyle w:val="198"/>
      </w:pPr>
    </w:p>
    <w:p w14:paraId="78D1AEE5">
      <w:pPr>
        <w:pStyle w:val="198"/>
      </w:pPr>
    </w:p>
    <w:p w14:paraId="1F2F812D">
      <w:pPr>
        <w:pStyle w:val="198"/>
      </w:pPr>
    </w:p>
    <w:p w14:paraId="7C7B6A18">
      <w:pPr>
        <w:pStyle w:val="198"/>
      </w:pPr>
    </w:p>
    <w:p w14:paraId="25A21740">
      <w:pPr>
        <w:pStyle w:val="198"/>
      </w:pPr>
      <w:r>
        <w:t>表1</w:t>
      </w:r>
      <w:r>
        <w:rPr>
          <w:rFonts w:hint="eastAsia"/>
        </w:rPr>
        <w:t>2</w:t>
      </w:r>
      <w:r>
        <w:t>.4.1-1</w:t>
      </w:r>
      <w:r>
        <w:rPr>
          <w:rFonts w:hint="eastAsia"/>
        </w:rPr>
        <w:t xml:space="preserve">  </w:t>
      </w:r>
      <w:r>
        <w:t>基坑变形控制等级(续)</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64"/>
        <w:gridCol w:w="2520"/>
        <w:gridCol w:w="3056"/>
      </w:tblGrid>
      <w:tr w14:paraId="47D0A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8" w:hRule="atLeast"/>
          <w:jc w:val="center"/>
        </w:trPr>
        <w:tc>
          <w:tcPr>
            <w:tcW w:w="764" w:type="dxa"/>
            <w:tcBorders>
              <w:left w:val="single" w:color="000000" w:sz="6" w:space="0"/>
            </w:tcBorders>
            <w:vAlign w:val="center"/>
          </w:tcPr>
          <w:p w14:paraId="5662C7E4">
            <w:pPr>
              <w:pStyle w:val="235"/>
              <w:rPr>
                <w:color w:val="auto"/>
              </w:rPr>
            </w:pPr>
            <w:r>
              <w:rPr>
                <w:color w:val="auto"/>
              </w:rPr>
              <w:t>变形控制等级</w:t>
            </w:r>
          </w:p>
        </w:tc>
        <w:tc>
          <w:tcPr>
            <w:tcW w:w="2520" w:type="dxa"/>
            <w:vAlign w:val="center"/>
          </w:tcPr>
          <w:p w14:paraId="269B6745">
            <w:pPr>
              <w:pStyle w:val="235"/>
              <w:rPr>
                <w:color w:val="auto"/>
              </w:rPr>
            </w:pPr>
            <w:r>
              <w:rPr>
                <w:color w:val="auto"/>
              </w:rPr>
              <w:t>地面最大沉降量及支护结构水平位移控制要求</w:t>
            </w:r>
          </w:p>
        </w:tc>
        <w:tc>
          <w:tcPr>
            <w:tcW w:w="3056" w:type="dxa"/>
            <w:tcBorders>
              <w:right w:val="single" w:color="000000" w:sz="6" w:space="0"/>
            </w:tcBorders>
            <w:vAlign w:val="center"/>
          </w:tcPr>
          <w:p w14:paraId="32D59C0E">
            <w:pPr>
              <w:pStyle w:val="235"/>
              <w:rPr>
                <w:color w:val="auto"/>
              </w:rPr>
            </w:pPr>
            <w:r>
              <w:rPr>
                <w:color w:val="auto"/>
              </w:rPr>
              <w:t>周边环境条件</w:t>
            </w:r>
          </w:p>
        </w:tc>
      </w:tr>
      <w:tr w14:paraId="22B1E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56" w:hRule="atLeast"/>
          <w:jc w:val="center"/>
        </w:trPr>
        <w:tc>
          <w:tcPr>
            <w:tcW w:w="764" w:type="dxa"/>
            <w:tcBorders>
              <w:left w:val="single" w:color="000000" w:sz="6" w:space="0"/>
            </w:tcBorders>
            <w:vAlign w:val="center"/>
          </w:tcPr>
          <w:p w14:paraId="2A4B11D0">
            <w:pPr>
              <w:pStyle w:val="235"/>
              <w:rPr>
                <w:color w:val="auto"/>
              </w:rPr>
            </w:pPr>
            <w:r>
              <w:rPr>
                <w:color w:val="auto"/>
              </w:rPr>
              <w:t>二级</w:t>
            </w:r>
          </w:p>
        </w:tc>
        <w:tc>
          <w:tcPr>
            <w:tcW w:w="2520" w:type="dxa"/>
            <w:vAlign w:val="center"/>
          </w:tcPr>
          <w:p w14:paraId="1CF7278A">
            <w:pPr>
              <w:pStyle w:val="235"/>
              <w:rPr>
                <w:color w:val="auto"/>
              </w:rPr>
            </w:pPr>
            <w:r>
              <w:rPr>
                <w:color w:val="auto"/>
              </w:rPr>
              <w:t>1.地面最大沉降量≤0.3%H</w:t>
            </w:r>
          </w:p>
          <w:p w14:paraId="50B49DD7">
            <w:pPr>
              <w:pStyle w:val="235"/>
              <w:rPr>
                <w:color w:val="auto"/>
              </w:rPr>
            </w:pPr>
            <w:r>
              <w:rPr>
                <w:color w:val="auto"/>
              </w:rPr>
              <w:t>2.支护结构最大水平位移≤0.4%H，且≤50mm</w:t>
            </w:r>
          </w:p>
        </w:tc>
        <w:tc>
          <w:tcPr>
            <w:tcW w:w="3056" w:type="dxa"/>
            <w:tcBorders>
              <w:right w:val="single" w:color="000000" w:sz="6" w:space="0"/>
            </w:tcBorders>
            <w:vAlign w:val="center"/>
          </w:tcPr>
          <w:p w14:paraId="3C183099">
            <w:pPr>
              <w:pStyle w:val="235"/>
              <w:rPr>
                <w:color w:val="auto"/>
              </w:rPr>
            </w:pPr>
            <w:r>
              <w:rPr>
                <w:color w:val="auto"/>
              </w:rPr>
              <w:t>1.基坑周围1.0~2.0H范围内有重要建(构)筑物；或</w:t>
            </w:r>
          </w:p>
          <w:p w14:paraId="070D4237">
            <w:pPr>
              <w:pStyle w:val="235"/>
              <w:rPr>
                <w:color w:val="auto"/>
              </w:rPr>
            </w:pPr>
            <w:r>
              <w:rPr>
                <w:color w:val="auto"/>
              </w:rPr>
              <w:t>2.基坑开挖深度16.0m≤H&lt;20.0m</w:t>
            </w:r>
          </w:p>
        </w:tc>
      </w:tr>
      <w:tr w14:paraId="2FED4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65" w:hRule="atLeast"/>
          <w:jc w:val="center"/>
        </w:trPr>
        <w:tc>
          <w:tcPr>
            <w:tcW w:w="764" w:type="dxa"/>
            <w:tcBorders>
              <w:left w:val="single" w:color="000000" w:sz="6" w:space="0"/>
            </w:tcBorders>
            <w:vAlign w:val="center"/>
          </w:tcPr>
          <w:p w14:paraId="1E4F5CEE">
            <w:pPr>
              <w:pStyle w:val="235"/>
              <w:rPr>
                <w:color w:val="auto"/>
              </w:rPr>
            </w:pPr>
            <w:r>
              <w:rPr>
                <w:color w:val="auto"/>
              </w:rPr>
              <w:t>三级</w:t>
            </w:r>
          </w:p>
        </w:tc>
        <w:tc>
          <w:tcPr>
            <w:tcW w:w="2520" w:type="dxa"/>
            <w:vAlign w:val="center"/>
          </w:tcPr>
          <w:p w14:paraId="65ACCDE8">
            <w:pPr>
              <w:pStyle w:val="235"/>
              <w:rPr>
                <w:color w:val="auto"/>
              </w:rPr>
            </w:pPr>
            <w:r>
              <w:rPr>
                <w:color w:val="auto"/>
              </w:rPr>
              <w:t>1.地面最大沉降量≤0.45%H；</w:t>
            </w:r>
          </w:p>
          <w:p w14:paraId="31642702">
            <w:pPr>
              <w:pStyle w:val="235"/>
              <w:rPr>
                <w:color w:val="auto"/>
              </w:rPr>
            </w:pPr>
            <w:r>
              <w:rPr>
                <w:color w:val="auto"/>
              </w:rPr>
              <w:t>2.支护结构最大水平位移≤0.6%H，且≤70mm</w:t>
            </w:r>
          </w:p>
        </w:tc>
        <w:tc>
          <w:tcPr>
            <w:tcW w:w="3056" w:type="dxa"/>
            <w:tcBorders>
              <w:right w:val="single" w:color="000000" w:sz="6" w:space="0"/>
            </w:tcBorders>
            <w:vAlign w:val="center"/>
          </w:tcPr>
          <w:p w14:paraId="6A393684">
            <w:pPr>
              <w:pStyle w:val="235"/>
              <w:rPr>
                <w:color w:val="auto"/>
              </w:rPr>
            </w:pPr>
            <w:r>
              <w:rPr>
                <w:color w:val="auto"/>
              </w:rPr>
              <w:t>环境安全无特殊要求，且基坑开挖深度H&lt;16.0m</w:t>
            </w:r>
          </w:p>
        </w:tc>
      </w:tr>
    </w:tbl>
    <w:p w14:paraId="3CF15231">
      <w:pPr>
        <w:spacing w:line="240" w:lineRule="auto"/>
        <w:ind w:left="796" w:leftChars="136" w:hanging="510" w:hangingChars="340"/>
        <w:jc w:val="left"/>
        <w:rPr>
          <w:sz w:val="15"/>
          <w:szCs w:val="18"/>
        </w:rPr>
      </w:pPr>
      <w:r>
        <w:rPr>
          <w:sz w:val="15"/>
          <w:szCs w:val="18"/>
        </w:rPr>
        <w:t>注：1</w:t>
      </w:r>
      <w:r>
        <w:rPr>
          <w:rFonts w:hint="eastAsia"/>
          <w:sz w:val="15"/>
          <w:szCs w:val="18"/>
        </w:rPr>
        <w:t xml:space="preserve">  </w:t>
      </w:r>
      <w:r>
        <w:rPr>
          <w:sz w:val="15"/>
          <w:szCs w:val="18"/>
        </w:rPr>
        <w:t>表中H为基坑开挖深度；</w:t>
      </w:r>
    </w:p>
    <w:p w14:paraId="10EB023D">
      <w:pPr>
        <w:spacing w:line="240" w:lineRule="auto"/>
        <w:ind w:left="823" w:leftChars="285" w:hanging="225" w:hangingChars="150"/>
        <w:jc w:val="left"/>
        <w:rPr>
          <w:sz w:val="15"/>
          <w:szCs w:val="18"/>
        </w:rPr>
      </w:pPr>
      <w:r>
        <w:rPr>
          <w:sz w:val="15"/>
          <w:szCs w:val="18"/>
        </w:rPr>
        <w:t>2</w:t>
      </w:r>
      <w:r>
        <w:rPr>
          <w:rFonts w:hint="eastAsia"/>
          <w:sz w:val="15"/>
          <w:szCs w:val="18"/>
        </w:rPr>
        <w:t xml:space="preserve">  </w:t>
      </w:r>
      <w:r>
        <w:rPr>
          <w:sz w:val="15"/>
          <w:szCs w:val="18"/>
        </w:rPr>
        <w:t>周边环境重要建(构)筑物参见本规范附录G第G.0.5节给出的相关定义；</w:t>
      </w:r>
    </w:p>
    <w:p w14:paraId="22C188DF">
      <w:pPr>
        <w:spacing w:line="240" w:lineRule="auto"/>
        <w:ind w:left="823" w:leftChars="285" w:hanging="225" w:hangingChars="150"/>
        <w:jc w:val="left"/>
      </w:pPr>
      <w:r>
        <w:rPr>
          <w:sz w:val="15"/>
          <w:szCs w:val="18"/>
        </w:rPr>
        <w:t>3</w:t>
      </w:r>
      <w:r>
        <w:rPr>
          <w:rFonts w:hint="eastAsia"/>
          <w:sz w:val="15"/>
          <w:szCs w:val="18"/>
        </w:rPr>
        <w:t xml:space="preserve">  </w:t>
      </w:r>
      <w:r>
        <w:rPr>
          <w:sz w:val="15"/>
          <w:szCs w:val="18"/>
        </w:rPr>
        <w:t>地面最大沉降量及支护结构水平位移控制值除了满足表中要求外，还应与基坑周边环境安全控制指标相协调，取两者较小值作为控制指标。</w:t>
      </w:r>
    </w:p>
    <w:p w14:paraId="75AC9B04">
      <w:pPr>
        <w:ind w:firstLine="422" w:firstLineChars="200"/>
      </w:pPr>
      <w:r>
        <w:rPr>
          <w:b/>
        </w:rPr>
        <w:t>2</w:t>
      </w:r>
      <w:r>
        <w:rPr>
          <w:rFonts w:hint="eastAsia"/>
        </w:rPr>
        <w:t xml:space="preserve">  </w:t>
      </w:r>
      <w:r>
        <w:t>应根据基坑周边环境、开挖深度、工程地质与水文地质条件、施工场地情况等，通过技术经济比较后选择合理的支护型式。一般情况下的基坑支护结构可按表1</w:t>
      </w:r>
      <w:r>
        <w:rPr>
          <w:rFonts w:hint="eastAsia"/>
        </w:rPr>
        <w:t>2</w:t>
      </w:r>
      <w:r>
        <w:t>.4.1-2选择；</w:t>
      </w:r>
    </w:p>
    <w:p w14:paraId="79C3D7A5">
      <w:pPr>
        <w:pStyle w:val="198"/>
      </w:pPr>
      <w:r>
        <w:t>表1</w:t>
      </w:r>
      <w:r>
        <w:rPr>
          <w:rFonts w:hint="eastAsia"/>
        </w:rPr>
        <w:t>2</w:t>
      </w:r>
      <w:r>
        <w:t>.4.1-2</w:t>
      </w:r>
      <w:r>
        <w:rPr>
          <w:rFonts w:hint="eastAsia"/>
        </w:rPr>
        <w:t xml:space="preserve">  </w:t>
      </w:r>
      <w:r>
        <w:t>基坑支护结构选型表</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766"/>
        <w:gridCol w:w="4574"/>
      </w:tblGrid>
      <w:tr w14:paraId="7A93C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8" w:hRule="atLeast"/>
          <w:jc w:val="center"/>
        </w:trPr>
        <w:tc>
          <w:tcPr>
            <w:tcW w:w="1766" w:type="dxa"/>
            <w:tcBorders>
              <w:left w:val="single" w:color="000000" w:sz="6" w:space="0"/>
            </w:tcBorders>
            <w:vAlign w:val="center"/>
          </w:tcPr>
          <w:p w14:paraId="6934C40F">
            <w:pPr>
              <w:pStyle w:val="235"/>
              <w:rPr>
                <w:color w:val="auto"/>
              </w:rPr>
            </w:pPr>
            <w:r>
              <w:rPr>
                <w:color w:val="auto"/>
              </w:rPr>
              <w:t>支护结构型式</w:t>
            </w:r>
          </w:p>
        </w:tc>
        <w:tc>
          <w:tcPr>
            <w:tcW w:w="4574" w:type="dxa"/>
            <w:tcBorders>
              <w:right w:val="single" w:color="000000" w:sz="6" w:space="0"/>
            </w:tcBorders>
            <w:vAlign w:val="center"/>
          </w:tcPr>
          <w:p w14:paraId="28525BAD">
            <w:pPr>
              <w:pStyle w:val="235"/>
              <w:rPr>
                <w:color w:val="auto"/>
              </w:rPr>
            </w:pPr>
            <w:r>
              <w:rPr>
                <w:color w:val="auto"/>
              </w:rPr>
              <w:t>适用条件</w:t>
            </w:r>
          </w:p>
        </w:tc>
      </w:tr>
      <w:tr w14:paraId="6CF72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61" w:hRule="atLeast"/>
          <w:jc w:val="center"/>
        </w:trPr>
        <w:tc>
          <w:tcPr>
            <w:tcW w:w="1766" w:type="dxa"/>
            <w:tcBorders>
              <w:left w:val="single" w:color="000000" w:sz="6" w:space="0"/>
            </w:tcBorders>
            <w:vAlign w:val="center"/>
          </w:tcPr>
          <w:p w14:paraId="128848FC">
            <w:pPr>
              <w:pStyle w:val="235"/>
              <w:rPr>
                <w:color w:val="auto"/>
              </w:rPr>
            </w:pPr>
            <w:r>
              <w:rPr>
                <w:color w:val="auto"/>
              </w:rPr>
              <w:t>放坡</w:t>
            </w:r>
          </w:p>
        </w:tc>
        <w:tc>
          <w:tcPr>
            <w:tcW w:w="4574" w:type="dxa"/>
            <w:tcBorders>
              <w:right w:val="single" w:color="000000" w:sz="6" w:space="0"/>
            </w:tcBorders>
            <w:vAlign w:val="center"/>
          </w:tcPr>
          <w:p w14:paraId="1164B50E">
            <w:pPr>
              <w:pStyle w:val="235"/>
              <w:rPr>
                <w:color w:val="auto"/>
              </w:rPr>
            </w:pPr>
            <w:r>
              <w:rPr>
                <w:color w:val="auto"/>
              </w:rPr>
              <w:t>1.基坑变形控制等级宜为三级；</w:t>
            </w:r>
          </w:p>
          <w:p w14:paraId="5F8294D4">
            <w:pPr>
              <w:pStyle w:val="235"/>
              <w:rPr>
                <w:color w:val="auto"/>
              </w:rPr>
            </w:pPr>
            <w:r>
              <w:rPr>
                <w:color w:val="auto"/>
              </w:rPr>
              <w:t>2.基坑开挖深度不宜大于8.0m；</w:t>
            </w:r>
          </w:p>
          <w:p w14:paraId="2F947271">
            <w:pPr>
              <w:pStyle w:val="235"/>
              <w:rPr>
                <w:color w:val="auto"/>
              </w:rPr>
            </w:pPr>
            <w:r>
              <w:rPr>
                <w:color w:val="auto"/>
              </w:rPr>
              <w:t>3.地下水位低于基坑底面，或当地下水位高于基坑底面时，应采取降水措施</w:t>
            </w:r>
          </w:p>
        </w:tc>
      </w:tr>
      <w:tr w14:paraId="45920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24" w:hRule="atLeast"/>
          <w:jc w:val="center"/>
        </w:trPr>
        <w:tc>
          <w:tcPr>
            <w:tcW w:w="1766" w:type="dxa"/>
            <w:tcBorders>
              <w:left w:val="single" w:color="000000" w:sz="6" w:space="0"/>
            </w:tcBorders>
            <w:vAlign w:val="center"/>
          </w:tcPr>
          <w:p w14:paraId="5FECE314">
            <w:pPr>
              <w:pStyle w:val="235"/>
              <w:rPr>
                <w:color w:val="auto"/>
              </w:rPr>
            </w:pPr>
            <w:r>
              <w:rPr>
                <w:color w:val="auto"/>
              </w:rPr>
              <w:t>土钉墙</w:t>
            </w:r>
          </w:p>
        </w:tc>
        <w:tc>
          <w:tcPr>
            <w:tcW w:w="4574" w:type="dxa"/>
            <w:tcBorders>
              <w:right w:val="single" w:color="000000" w:sz="6" w:space="0"/>
            </w:tcBorders>
            <w:vAlign w:val="center"/>
          </w:tcPr>
          <w:p w14:paraId="1DD06C21">
            <w:pPr>
              <w:pStyle w:val="235"/>
              <w:rPr>
                <w:color w:val="auto"/>
              </w:rPr>
            </w:pPr>
            <w:r>
              <w:rPr>
                <w:color w:val="auto"/>
              </w:rPr>
              <w:t>1.基坑变形控制等级宜为三级；</w:t>
            </w:r>
          </w:p>
          <w:p w14:paraId="5FD0FD1C">
            <w:pPr>
              <w:pStyle w:val="235"/>
              <w:rPr>
                <w:color w:val="auto"/>
              </w:rPr>
            </w:pPr>
            <w:r>
              <w:rPr>
                <w:color w:val="auto"/>
              </w:rPr>
              <w:t>2.基坑开挖深度不宜大于10.0m；</w:t>
            </w:r>
          </w:p>
          <w:p w14:paraId="6F8B142E">
            <w:pPr>
              <w:pStyle w:val="235"/>
              <w:rPr>
                <w:color w:val="auto"/>
              </w:rPr>
            </w:pPr>
            <w:r>
              <w:rPr>
                <w:color w:val="auto"/>
              </w:rPr>
              <w:t>3.地下水位低于基坑底面，或当地下水位高于基坑底面时，应采取降水措施</w:t>
            </w:r>
          </w:p>
        </w:tc>
      </w:tr>
      <w:tr w14:paraId="35005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82" w:hRule="atLeast"/>
          <w:jc w:val="center"/>
        </w:trPr>
        <w:tc>
          <w:tcPr>
            <w:tcW w:w="1766" w:type="dxa"/>
            <w:tcBorders>
              <w:left w:val="single" w:color="000000" w:sz="6" w:space="0"/>
            </w:tcBorders>
            <w:vAlign w:val="center"/>
          </w:tcPr>
          <w:p w14:paraId="0F7B35E6">
            <w:pPr>
              <w:pStyle w:val="235"/>
              <w:rPr>
                <w:color w:val="auto"/>
              </w:rPr>
            </w:pPr>
            <w:r>
              <w:rPr>
                <w:color w:val="auto"/>
              </w:rPr>
              <w:t>倒挂井壁喷锚支护</w:t>
            </w:r>
          </w:p>
        </w:tc>
        <w:tc>
          <w:tcPr>
            <w:tcW w:w="4574" w:type="dxa"/>
            <w:tcBorders>
              <w:right w:val="single" w:color="000000" w:sz="6" w:space="0"/>
            </w:tcBorders>
            <w:vAlign w:val="center"/>
          </w:tcPr>
          <w:p w14:paraId="04CF70C1">
            <w:pPr>
              <w:pStyle w:val="235"/>
              <w:rPr>
                <w:color w:val="auto"/>
              </w:rPr>
            </w:pPr>
            <w:r>
              <w:rPr>
                <w:color w:val="auto"/>
              </w:rPr>
              <w:t>1.基坑变形控制等级宜为一级、二级、三级；</w:t>
            </w:r>
          </w:p>
          <w:p w14:paraId="2525586F">
            <w:pPr>
              <w:pStyle w:val="235"/>
              <w:rPr>
                <w:color w:val="auto"/>
              </w:rPr>
            </w:pPr>
            <w:r>
              <w:rPr>
                <w:color w:val="auto"/>
              </w:rPr>
              <w:t>2.适用于开挖平面尺寸较小的竖井等基坑支护；</w:t>
            </w:r>
          </w:p>
          <w:p w14:paraId="24BE5645">
            <w:pPr>
              <w:pStyle w:val="235"/>
              <w:rPr>
                <w:color w:val="auto"/>
              </w:rPr>
            </w:pPr>
            <w:r>
              <w:rPr>
                <w:color w:val="auto"/>
              </w:rPr>
              <w:t>3.当地下水位高于基坑底面时，应采用降水、截水或封底等措施</w:t>
            </w:r>
          </w:p>
        </w:tc>
      </w:tr>
      <w:tr w14:paraId="7D490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24" w:hRule="atLeast"/>
          <w:jc w:val="center"/>
        </w:trPr>
        <w:tc>
          <w:tcPr>
            <w:tcW w:w="1766" w:type="dxa"/>
            <w:tcBorders>
              <w:left w:val="single" w:color="000000" w:sz="6" w:space="0"/>
            </w:tcBorders>
            <w:vAlign w:val="center"/>
          </w:tcPr>
          <w:p w14:paraId="68B7B979">
            <w:pPr>
              <w:pStyle w:val="235"/>
              <w:rPr>
                <w:color w:val="auto"/>
              </w:rPr>
            </w:pPr>
            <w:r>
              <w:rPr>
                <w:color w:val="auto"/>
              </w:rPr>
              <w:t>钻孔灌注桩、灌注桩、钻孔咬合桩、地下连续墙</w:t>
            </w:r>
          </w:p>
        </w:tc>
        <w:tc>
          <w:tcPr>
            <w:tcW w:w="4574" w:type="dxa"/>
            <w:tcBorders>
              <w:right w:val="single" w:color="000000" w:sz="6" w:space="0"/>
            </w:tcBorders>
            <w:vAlign w:val="center"/>
          </w:tcPr>
          <w:p w14:paraId="6B534F84">
            <w:pPr>
              <w:pStyle w:val="235"/>
              <w:rPr>
                <w:color w:val="auto"/>
              </w:rPr>
            </w:pPr>
            <w:r>
              <w:rPr>
                <w:color w:val="auto"/>
              </w:rPr>
              <w:t>1.基坑变形控制等级宜为一级、二级、三级；</w:t>
            </w:r>
          </w:p>
          <w:p w14:paraId="761E5EC1">
            <w:pPr>
              <w:pStyle w:val="235"/>
              <w:rPr>
                <w:color w:val="auto"/>
              </w:rPr>
            </w:pPr>
            <w:r>
              <w:rPr>
                <w:color w:val="auto"/>
              </w:rPr>
              <w:t>2.当地下水位低于基坑底面时，宜采用排桩；</w:t>
            </w:r>
          </w:p>
          <w:p w14:paraId="06261039">
            <w:pPr>
              <w:pStyle w:val="235"/>
              <w:rPr>
                <w:color w:val="auto"/>
              </w:rPr>
            </w:pPr>
            <w:r>
              <w:rPr>
                <w:color w:val="auto"/>
              </w:rPr>
              <w:t>3.当地下水位高于基坑底面时，宜采用排桩+降水、排桩+止水帷幕、钻孔咬合桩或地下连续墙</w:t>
            </w:r>
          </w:p>
        </w:tc>
      </w:tr>
    </w:tbl>
    <w:p w14:paraId="74FD0667">
      <w:pPr>
        <w:spacing w:line="240" w:lineRule="auto"/>
        <w:ind w:left="796" w:leftChars="136" w:hanging="510" w:hangingChars="340"/>
        <w:jc w:val="left"/>
      </w:pPr>
      <w:r>
        <w:rPr>
          <w:sz w:val="15"/>
          <w:szCs w:val="18"/>
        </w:rPr>
        <w:t>注：采用人工挖孔灌注桩尚需执行北京市颁布的有关规定。</w:t>
      </w:r>
    </w:p>
    <w:p w14:paraId="29EB838C">
      <w:pPr>
        <w:ind w:firstLine="422" w:firstLineChars="200"/>
      </w:pPr>
      <w:r>
        <w:rPr>
          <w:rFonts w:hint="eastAsia"/>
          <w:b/>
        </w:rPr>
        <w:t>3</w:t>
      </w:r>
      <w:r>
        <w:rPr>
          <w:rFonts w:hint="eastAsia"/>
        </w:rPr>
        <w:t xml:space="preserve">  </w:t>
      </w:r>
      <w:r>
        <w:t>各类基坑工程应按表1</w:t>
      </w:r>
      <w:r>
        <w:rPr>
          <w:rFonts w:hint="eastAsia"/>
        </w:rPr>
        <w:t>2</w:t>
      </w:r>
      <w:r>
        <w:t>.4.1-3的规定进行各种稳定性验算；</w:t>
      </w:r>
    </w:p>
    <w:p w14:paraId="4B225B83">
      <w:pPr>
        <w:pStyle w:val="198"/>
      </w:pPr>
    </w:p>
    <w:p w14:paraId="001D9FA3">
      <w:pPr>
        <w:pStyle w:val="198"/>
      </w:pPr>
      <w:r>
        <w:t>表1</w:t>
      </w:r>
      <w:r>
        <w:rPr>
          <w:rFonts w:hint="eastAsia"/>
        </w:rPr>
        <w:t>2</w:t>
      </w:r>
      <w:r>
        <w:t>.4.1-3</w:t>
      </w:r>
      <w:r>
        <w:rPr>
          <w:rFonts w:hint="eastAsia"/>
        </w:rPr>
        <w:t xml:space="preserve">  </w:t>
      </w:r>
      <w:r>
        <w:t>基坑工程稳定性验算内容及安全系数取值</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0"/>
        <w:gridCol w:w="968"/>
        <w:gridCol w:w="749"/>
        <w:gridCol w:w="924"/>
        <w:gridCol w:w="910"/>
        <w:gridCol w:w="943"/>
        <w:gridCol w:w="716"/>
      </w:tblGrid>
      <w:tr w14:paraId="147B5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7" w:hRule="atLeast"/>
        </w:trPr>
        <w:tc>
          <w:tcPr>
            <w:tcW w:w="1130" w:type="dxa"/>
            <w:tcBorders>
              <w:left w:val="single" w:color="000000" w:sz="6" w:space="0"/>
            </w:tcBorders>
            <w:vAlign w:val="center"/>
          </w:tcPr>
          <w:p w14:paraId="0B81EB09">
            <w:pPr>
              <w:pStyle w:val="235"/>
              <w:rPr>
                <w:color w:val="auto"/>
              </w:rPr>
            </w:pPr>
            <w:r>
              <w:rPr>
                <w:color w:val="auto"/>
              </w:rPr>
              <w:t>支护型式</w:t>
            </w:r>
          </w:p>
        </w:tc>
        <w:tc>
          <w:tcPr>
            <w:tcW w:w="968" w:type="dxa"/>
            <w:vAlign w:val="center"/>
          </w:tcPr>
          <w:p w14:paraId="1222824E">
            <w:pPr>
              <w:pStyle w:val="235"/>
              <w:rPr>
                <w:color w:val="auto"/>
              </w:rPr>
            </w:pPr>
            <w:r>
              <w:rPr>
                <w:color w:val="auto"/>
              </w:rPr>
              <w:t>整体滑动稳定性</w:t>
            </w:r>
          </w:p>
        </w:tc>
        <w:tc>
          <w:tcPr>
            <w:tcW w:w="749" w:type="dxa"/>
            <w:vAlign w:val="center"/>
          </w:tcPr>
          <w:p w14:paraId="50ED9782">
            <w:pPr>
              <w:pStyle w:val="235"/>
              <w:rPr>
                <w:color w:val="auto"/>
              </w:rPr>
            </w:pPr>
            <w:r>
              <w:rPr>
                <w:color w:val="auto"/>
              </w:rPr>
              <w:t>倾覆稳定性</w:t>
            </w:r>
          </w:p>
        </w:tc>
        <w:tc>
          <w:tcPr>
            <w:tcW w:w="924" w:type="dxa"/>
            <w:vAlign w:val="center"/>
          </w:tcPr>
          <w:p w14:paraId="45DA3520">
            <w:pPr>
              <w:pStyle w:val="235"/>
              <w:rPr>
                <w:color w:val="auto"/>
              </w:rPr>
            </w:pPr>
            <w:r>
              <w:rPr>
                <w:color w:val="auto"/>
              </w:rPr>
              <w:t>墙底隆起稳定性</w:t>
            </w:r>
          </w:p>
        </w:tc>
        <w:tc>
          <w:tcPr>
            <w:tcW w:w="910" w:type="dxa"/>
            <w:vAlign w:val="center"/>
          </w:tcPr>
          <w:p w14:paraId="5F34D527">
            <w:pPr>
              <w:pStyle w:val="235"/>
              <w:rPr>
                <w:color w:val="auto"/>
              </w:rPr>
            </w:pPr>
            <w:r>
              <w:rPr>
                <w:color w:val="auto"/>
              </w:rPr>
              <w:t>坑底隆起稳定性</w:t>
            </w:r>
          </w:p>
        </w:tc>
        <w:tc>
          <w:tcPr>
            <w:tcW w:w="943" w:type="dxa"/>
            <w:vAlign w:val="center"/>
          </w:tcPr>
          <w:p w14:paraId="08E232C8">
            <w:pPr>
              <w:pStyle w:val="235"/>
              <w:rPr>
                <w:color w:val="auto"/>
              </w:rPr>
            </w:pPr>
            <w:r>
              <w:rPr>
                <w:color w:val="auto"/>
              </w:rPr>
              <w:t>抗承压水稳定性</w:t>
            </w:r>
          </w:p>
        </w:tc>
        <w:tc>
          <w:tcPr>
            <w:tcW w:w="716" w:type="dxa"/>
            <w:tcBorders>
              <w:right w:val="single" w:color="000000" w:sz="6" w:space="0"/>
            </w:tcBorders>
            <w:vAlign w:val="center"/>
          </w:tcPr>
          <w:p w14:paraId="68C2CE90">
            <w:pPr>
              <w:pStyle w:val="235"/>
              <w:rPr>
                <w:color w:val="auto"/>
              </w:rPr>
            </w:pPr>
            <w:r>
              <w:rPr>
                <w:color w:val="auto"/>
              </w:rPr>
              <w:t>地下水渗流</w:t>
            </w:r>
          </w:p>
        </w:tc>
      </w:tr>
      <w:tr w14:paraId="40EFB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1130" w:type="dxa"/>
            <w:tcBorders>
              <w:left w:val="single" w:color="000000" w:sz="6" w:space="0"/>
            </w:tcBorders>
            <w:vAlign w:val="center"/>
          </w:tcPr>
          <w:p w14:paraId="5A7C009C">
            <w:pPr>
              <w:pStyle w:val="235"/>
              <w:rPr>
                <w:color w:val="auto"/>
              </w:rPr>
            </w:pPr>
            <w:r>
              <w:rPr>
                <w:color w:val="auto"/>
              </w:rPr>
              <w:t>放坡</w:t>
            </w:r>
          </w:p>
        </w:tc>
        <w:tc>
          <w:tcPr>
            <w:tcW w:w="968" w:type="dxa"/>
            <w:vAlign w:val="center"/>
          </w:tcPr>
          <w:p w14:paraId="623055C8">
            <w:pPr>
              <w:pStyle w:val="235"/>
              <w:rPr>
                <w:color w:val="auto"/>
              </w:rPr>
            </w:pPr>
            <w:r>
              <w:rPr>
                <w:rFonts w:ascii="Cambria Math" w:hAnsi="Cambria Math" w:cs="Cambria Math"/>
                <w:color w:val="auto"/>
              </w:rPr>
              <w:t>△</w:t>
            </w:r>
          </w:p>
        </w:tc>
        <w:tc>
          <w:tcPr>
            <w:tcW w:w="749" w:type="dxa"/>
            <w:vAlign w:val="center"/>
          </w:tcPr>
          <w:p w14:paraId="7357D62F">
            <w:pPr>
              <w:pStyle w:val="235"/>
              <w:rPr>
                <w:color w:val="auto"/>
              </w:rPr>
            </w:pPr>
            <w:r>
              <w:rPr>
                <w:color w:val="auto"/>
              </w:rPr>
              <w:t>—</w:t>
            </w:r>
          </w:p>
        </w:tc>
        <w:tc>
          <w:tcPr>
            <w:tcW w:w="924" w:type="dxa"/>
            <w:vAlign w:val="center"/>
          </w:tcPr>
          <w:p w14:paraId="0BC0C4EF">
            <w:pPr>
              <w:pStyle w:val="235"/>
              <w:rPr>
                <w:color w:val="auto"/>
              </w:rPr>
            </w:pPr>
            <w:r>
              <w:rPr>
                <w:color w:val="auto"/>
              </w:rPr>
              <w:t>—</w:t>
            </w:r>
          </w:p>
        </w:tc>
        <w:tc>
          <w:tcPr>
            <w:tcW w:w="910" w:type="dxa"/>
            <w:vAlign w:val="center"/>
          </w:tcPr>
          <w:p w14:paraId="7D4FC20A">
            <w:pPr>
              <w:pStyle w:val="235"/>
              <w:rPr>
                <w:color w:val="auto"/>
              </w:rPr>
            </w:pPr>
            <w:r>
              <w:rPr>
                <w:color w:val="auto"/>
              </w:rPr>
              <w:t>—</w:t>
            </w:r>
          </w:p>
        </w:tc>
        <w:tc>
          <w:tcPr>
            <w:tcW w:w="943" w:type="dxa"/>
            <w:vAlign w:val="center"/>
          </w:tcPr>
          <w:p w14:paraId="77D3E2D4">
            <w:pPr>
              <w:pStyle w:val="235"/>
              <w:rPr>
                <w:color w:val="auto"/>
              </w:rPr>
            </w:pPr>
            <w:r>
              <w:rPr>
                <w:color w:val="auto"/>
              </w:rPr>
              <w:t>○</w:t>
            </w:r>
          </w:p>
        </w:tc>
        <w:tc>
          <w:tcPr>
            <w:tcW w:w="716" w:type="dxa"/>
            <w:tcBorders>
              <w:right w:val="single" w:color="000000" w:sz="6" w:space="0"/>
            </w:tcBorders>
            <w:vAlign w:val="center"/>
          </w:tcPr>
          <w:p w14:paraId="16B1E01F">
            <w:pPr>
              <w:pStyle w:val="235"/>
              <w:rPr>
                <w:color w:val="auto"/>
              </w:rPr>
            </w:pPr>
            <w:r>
              <w:rPr>
                <w:color w:val="auto"/>
              </w:rPr>
              <w:t>—</w:t>
            </w:r>
          </w:p>
        </w:tc>
      </w:tr>
      <w:tr w14:paraId="1F940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trPr>
        <w:tc>
          <w:tcPr>
            <w:tcW w:w="1130" w:type="dxa"/>
            <w:tcBorders>
              <w:left w:val="single" w:color="000000" w:sz="6" w:space="0"/>
            </w:tcBorders>
            <w:vAlign w:val="center"/>
          </w:tcPr>
          <w:p w14:paraId="4760FE67">
            <w:pPr>
              <w:pStyle w:val="235"/>
              <w:rPr>
                <w:color w:val="auto"/>
              </w:rPr>
            </w:pPr>
            <w:r>
              <w:rPr>
                <w:color w:val="auto"/>
              </w:rPr>
              <w:t>土钉墙</w:t>
            </w:r>
          </w:p>
        </w:tc>
        <w:tc>
          <w:tcPr>
            <w:tcW w:w="968" w:type="dxa"/>
            <w:vAlign w:val="center"/>
          </w:tcPr>
          <w:p w14:paraId="6F0C8404">
            <w:pPr>
              <w:pStyle w:val="235"/>
              <w:rPr>
                <w:color w:val="auto"/>
              </w:rPr>
            </w:pPr>
            <w:r>
              <w:rPr>
                <w:rFonts w:ascii="Cambria Math" w:hAnsi="Cambria Math" w:cs="Cambria Math"/>
                <w:color w:val="auto"/>
              </w:rPr>
              <w:t>△</w:t>
            </w:r>
          </w:p>
        </w:tc>
        <w:tc>
          <w:tcPr>
            <w:tcW w:w="749" w:type="dxa"/>
            <w:vAlign w:val="center"/>
          </w:tcPr>
          <w:p w14:paraId="4E317C0C">
            <w:pPr>
              <w:pStyle w:val="235"/>
              <w:rPr>
                <w:color w:val="auto"/>
              </w:rPr>
            </w:pPr>
            <w:r>
              <w:rPr>
                <w:color w:val="auto"/>
              </w:rPr>
              <w:t>—</w:t>
            </w:r>
          </w:p>
        </w:tc>
        <w:tc>
          <w:tcPr>
            <w:tcW w:w="924" w:type="dxa"/>
            <w:vAlign w:val="center"/>
          </w:tcPr>
          <w:p w14:paraId="5B70B618">
            <w:pPr>
              <w:pStyle w:val="235"/>
              <w:rPr>
                <w:color w:val="auto"/>
              </w:rPr>
            </w:pPr>
            <w:r>
              <w:rPr>
                <w:color w:val="auto"/>
              </w:rPr>
              <w:t>—</w:t>
            </w:r>
          </w:p>
        </w:tc>
        <w:tc>
          <w:tcPr>
            <w:tcW w:w="910" w:type="dxa"/>
            <w:vAlign w:val="center"/>
          </w:tcPr>
          <w:p w14:paraId="0E06997A">
            <w:pPr>
              <w:pStyle w:val="235"/>
              <w:rPr>
                <w:color w:val="auto"/>
              </w:rPr>
            </w:pPr>
            <w:r>
              <w:rPr>
                <w:color w:val="auto"/>
              </w:rPr>
              <w:t>—</w:t>
            </w:r>
          </w:p>
        </w:tc>
        <w:tc>
          <w:tcPr>
            <w:tcW w:w="943" w:type="dxa"/>
            <w:vAlign w:val="center"/>
          </w:tcPr>
          <w:p w14:paraId="2E3AA03C">
            <w:pPr>
              <w:pStyle w:val="235"/>
              <w:rPr>
                <w:color w:val="auto"/>
              </w:rPr>
            </w:pPr>
            <w:r>
              <w:rPr>
                <w:color w:val="auto"/>
              </w:rPr>
              <w:t>○</w:t>
            </w:r>
          </w:p>
        </w:tc>
        <w:tc>
          <w:tcPr>
            <w:tcW w:w="716" w:type="dxa"/>
            <w:tcBorders>
              <w:right w:val="single" w:color="000000" w:sz="6" w:space="0"/>
            </w:tcBorders>
            <w:vAlign w:val="center"/>
          </w:tcPr>
          <w:p w14:paraId="1A21D925">
            <w:pPr>
              <w:pStyle w:val="235"/>
              <w:rPr>
                <w:color w:val="auto"/>
              </w:rPr>
            </w:pPr>
            <w:r>
              <w:rPr>
                <w:color w:val="auto"/>
              </w:rPr>
              <w:t>—</w:t>
            </w:r>
          </w:p>
        </w:tc>
      </w:tr>
      <w:tr w14:paraId="428BF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9" w:hRule="atLeast"/>
        </w:trPr>
        <w:tc>
          <w:tcPr>
            <w:tcW w:w="1130" w:type="dxa"/>
            <w:tcBorders>
              <w:left w:val="single" w:color="000000" w:sz="6" w:space="0"/>
            </w:tcBorders>
            <w:vAlign w:val="center"/>
          </w:tcPr>
          <w:p w14:paraId="0DFDF95C">
            <w:pPr>
              <w:pStyle w:val="235"/>
              <w:rPr>
                <w:color w:val="auto"/>
              </w:rPr>
            </w:pPr>
            <w:r>
              <w:rPr>
                <w:color w:val="auto"/>
              </w:rPr>
              <w:t>悬臂桩、墙支护</w:t>
            </w:r>
          </w:p>
        </w:tc>
        <w:tc>
          <w:tcPr>
            <w:tcW w:w="968" w:type="dxa"/>
            <w:vAlign w:val="center"/>
          </w:tcPr>
          <w:p w14:paraId="6353E742">
            <w:pPr>
              <w:pStyle w:val="235"/>
              <w:rPr>
                <w:color w:val="auto"/>
              </w:rPr>
            </w:pPr>
            <w:r>
              <w:rPr>
                <w:rFonts w:ascii="Cambria Math" w:hAnsi="Cambria Math" w:cs="Cambria Math"/>
                <w:color w:val="auto"/>
              </w:rPr>
              <w:t>△</w:t>
            </w:r>
          </w:p>
        </w:tc>
        <w:tc>
          <w:tcPr>
            <w:tcW w:w="749" w:type="dxa"/>
            <w:vAlign w:val="center"/>
          </w:tcPr>
          <w:p w14:paraId="24DBA898">
            <w:pPr>
              <w:pStyle w:val="235"/>
              <w:rPr>
                <w:color w:val="auto"/>
              </w:rPr>
            </w:pPr>
            <w:r>
              <w:rPr>
                <w:rFonts w:ascii="Cambria Math" w:hAnsi="Cambria Math" w:cs="Cambria Math"/>
                <w:color w:val="auto"/>
              </w:rPr>
              <w:t>△</w:t>
            </w:r>
          </w:p>
        </w:tc>
        <w:tc>
          <w:tcPr>
            <w:tcW w:w="924" w:type="dxa"/>
            <w:vAlign w:val="center"/>
          </w:tcPr>
          <w:p w14:paraId="19DF8BFD">
            <w:pPr>
              <w:pStyle w:val="235"/>
              <w:rPr>
                <w:color w:val="auto"/>
              </w:rPr>
            </w:pPr>
            <w:r>
              <w:rPr>
                <w:color w:val="auto"/>
              </w:rPr>
              <w:t>—</w:t>
            </w:r>
          </w:p>
        </w:tc>
        <w:tc>
          <w:tcPr>
            <w:tcW w:w="910" w:type="dxa"/>
            <w:vAlign w:val="center"/>
          </w:tcPr>
          <w:p w14:paraId="300A284D">
            <w:pPr>
              <w:pStyle w:val="235"/>
              <w:rPr>
                <w:color w:val="auto"/>
              </w:rPr>
            </w:pPr>
            <w:r>
              <w:rPr>
                <w:rFonts w:ascii="Cambria Math" w:hAnsi="Cambria Math" w:cs="Cambria Math"/>
                <w:color w:val="auto"/>
              </w:rPr>
              <w:t>△</w:t>
            </w:r>
          </w:p>
        </w:tc>
        <w:tc>
          <w:tcPr>
            <w:tcW w:w="943" w:type="dxa"/>
            <w:vAlign w:val="center"/>
          </w:tcPr>
          <w:p w14:paraId="10B8DF14">
            <w:pPr>
              <w:pStyle w:val="235"/>
              <w:rPr>
                <w:color w:val="auto"/>
              </w:rPr>
            </w:pPr>
            <w:r>
              <w:rPr>
                <w:color w:val="auto"/>
              </w:rPr>
              <w:t>○</w:t>
            </w:r>
          </w:p>
        </w:tc>
        <w:tc>
          <w:tcPr>
            <w:tcW w:w="716" w:type="dxa"/>
            <w:tcBorders>
              <w:right w:val="single" w:color="000000" w:sz="6" w:space="0"/>
            </w:tcBorders>
            <w:vAlign w:val="center"/>
          </w:tcPr>
          <w:p w14:paraId="1F52B239">
            <w:pPr>
              <w:pStyle w:val="235"/>
              <w:rPr>
                <w:color w:val="auto"/>
              </w:rPr>
            </w:pPr>
            <w:r>
              <w:rPr>
                <w:color w:val="auto"/>
              </w:rPr>
              <w:t>○</w:t>
            </w:r>
          </w:p>
        </w:tc>
      </w:tr>
      <w:tr w14:paraId="6BB95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trPr>
        <w:tc>
          <w:tcPr>
            <w:tcW w:w="1130" w:type="dxa"/>
            <w:tcBorders>
              <w:left w:val="single" w:color="000000" w:sz="6" w:space="0"/>
            </w:tcBorders>
            <w:vAlign w:val="center"/>
          </w:tcPr>
          <w:p w14:paraId="0DC71432">
            <w:pPr>
              <w:pStyle w:val="235"/>
              <w:rPr>
                <w:color w:val="auto"/>
              </w:rPr>
            </w:pPr>
            <w:r>
              <w:rPr>
                <w:color w:val="auto"/>
              </w:rPr>
              <w:t>单支点桩、墙支护</w:t>
            </w:r>
          </w:p>
        </w:tc>
        <w:tc>
          <w:tcPr>
            <w:tcW w:w="968" w:type="dxa"/>
            <w:vAlign w:val="center"/>
          </w:tcPr>
          <w:p w14:paraId="295E7EC8">
            <w:pPr>
              <w:pStyle w:val="235"/>
              <w:rPr>
                <w:color w:val="auto"/>
              </w:rPr>
            </w:pPr>
            <w:r>
              <w:rPr>
                <w:rFonts w:ascii="Cambria Math" w:hAnsi="Cambria Math" w:cs="Cambria Math"/>
                <w:color w:val="auto"/>
              </w:rPr>
              <w:t>△</w:t>
            </w:r>
          </w:p>
        </w:tc>
        <w:tc>
          <w:tcPr>
            <w:tcW w:w="749" w:type="dxa"/>
            <w:vAlign w:val="center"/>
          </w:tcPr>
          <w:p w14:paraId="29329679">
            <w:pPr>
              <w:pStyle w:val="235"/>
              <w:rPr>
                <w:color w:val="auto"/>
              </w:rPr>
            </w:pPr>
            <w:r>
              <w:rPr>
                <w:rFonts w:ascii="Cambria Math" w:hAnsi="Cambria Math" w:cs="Cambria Math"/>
                <w:color w:val="auto"/>
              </w:rPr>
              <w:t>△</w:t>
            </w:r>
          </w:p>
        </w:tc>
        <w:tc>
          <w:tcPr>
            <w:tcW w:w="924" w:type="dxa"/>
            <w:vAlign w:val="center"/>
          </w:tcPr>
          <w:p w14:paraId="14C3754E">
            <w:pPr>
              <w:pStyle w:val="235"/>
              <w:rPr>
                <w:color w:val="auto"/>
              </w:rPr>
            </w:pPr>
            <w:r>
              <w:rPr>
                <w:rFonts w:ascii="Cambria Math" w:hAnsi="Cambria Math" w:cs="Cambria Math"/>
                <w:color w:val="auto"/>
              </w:rPr>
              <w:t>△</w:t>
            </w:r>
          </w:p>
        </w:tc>
        <w:tc>
          <w:tcPr>
            <w:tcW w:w="910" w:type="dxa"/>
            <w:vAlign w:val="center"/>
          </w:tcPr>
          <w:p w14:paraId="2977E08B">
            <w:pPr>
              <w:pStyle w:val="235"/>
              <w:rPr>
                <w:color w:val="auto"/>
              </w:rPr>
            </w:pPr>
            <w:r>
              <w:rPr>
                <w:rFonts w:ascii="Cambria Math" w:hAnsi="Cambria Math" w:cs="Cambria Math"/>
                <w:color w:val="auto"/>
              </w:rPr>
              <w:t>△</w:t>
            </w:r>
          </w:p>
        </w:tc>
        <w:tc>
          <w:tcPr>
            <w:tcW w:w="943" w:type="dxa"/>
            <w:vAlign w:val="center"/>
          </w:tcPr>
          <w:p w14:paraId="76EDF89A">
            <w:pPr>
              <w:pStyle w:val="235"/>
              <w:rPr>
                <w:color w:val="auto"/>
              </w:rPr>
            </w:pPr>
            <w:r>
              <w:rPr>
                <w:color w:val="auto"/>
              </w:rPr>
              <w:t>○</w:t>
            </w:r>
          </w:p>
        </w:tc>
        <w:tc>
          <w:tcPr>
            <w:tcW w:w="716" w:type="dxa"/>
            <w:tcBorders>
              <w:right w:val="single" w:color="000000" w:sz="6" w:space="0"/>
            </w:tcBorders>
            <w:vAlign w:val="center"/>
          </w:tcPr>
          <w:p w14:paraId="2267306C">
            <w:pPr>
              <w:pStyle w:val="235"/>
              <w:rPr>
                <w:color w:val="auto"/>
              </w:rPr>
            </w:pPr>
            <w:r>
              <w:rPr>
                <w:color w:val="auto"/>
              </w:rPr>
              <w:t>○</w:t>
            </w:r>
          </w:p>
        </w:tc>
      </w:tr>
      <w:tr w14:paraId="0F1B3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52" w:hRule="atLeast"/>
        </w:trPr>
        <w:tc>
          <w:tcPr>
            <w:tcW w:w="1130" w:type="dxa"/>
            <w:tcBorders>
              <w:left w:val="single" w:color="000000" w:sz="6" w:space="0"/>
            </w:tcBorders>
            <w:vAlign w:val="center"/>
          </w:tcPr>
          <w:p w14:paraId="4075D87A">
            <w:pPr>
              <w:pStyle w:val="235"/>
              <w:rPr>
                <w:color w:val="auto"/>
              </w:rPr>
            </w:pPr>
            <w:r>
              <w:rPr>
                <w:color w:val="auto"/>
              </w:rPr>
              <w:t>多支点桩、墙支护</w:t>
            </w:r>
          </w:p>
          <w:p w14:paraId="03FEA40E">
            <w:pPr>
              <w:pStyle w:val="235"/>
              <w:rPr>
                <w:color w:val="auto"/>
              </w:rPr>
            </w:pPr>
            <w:r>
              <w:rPr>
                <w:color w:val="auto"/>
              </w:rPr>
              <w:t>(内支撑)</w:t>
            </w:r>
          </w:p>
        </w:tc>
        <w:tc>
          <w:tcPr>
            <w:tcW w:w="968" w:type="dxa"/>
            <w:vAlign w:val="center"/>
          </w:tcPr>
          <w:p w14:paraId="5AE8577E">
            <w:pPr>
              <w:pStyle w:val="235"/>
              <w:rPr>
                <w:b/>
                <w:bCs/>
                <w:color w:val="auto"/>
              </w:rPr>
            </w:pPr>
            <w:r>
              <w:rPr>
                <w:rFonts w:ascii="Cambria Math" w:hAnsi="Cambria Math" w:cs="Cambria Math"/>
                <w:b/>
                <w:bCs/>
                <w:color w:val="auto"/>
              </w:rPr>
              <w:t>△</w:t>
            </w:r>
          </w:p>
        </w:tc>
        <w:tc>
          <w:tcPr>
            <w:tcW w:w="749" w:type="dxa"/>
            <w:vAlign w:val="center"/>
          </w:tcPr>
          <w:p w14:paraId="1E7175A3">
            <w:pPr>
              <w:pStyle w:val="235"/>
              <w:rPr>
                <w:color w:val="auto"/>
              </w:rPr>
            </w:pPr>
          </w:p>
          <w:p w14:paraId="01BAA12C">
            <w:pPr>
              <w:pStyle w:val="235"/>
              <w:rPr>
                <w:color w:val="auto"/>
              </w:rPr>
            </w:pPr>
            <w:r>
              <w:rPr>
                <w:color w:val="auto"/>
              </w:rPr>
              <w:t>—</w:t>
            </w:r>
          </w:p>
        </w:tc>
        <w:tc>
          <w:tcPr>
            <w:tcW w:w="924" w:type="dxa"/>
            <w:vAlign w:val="center"/>
          </w:tcPr>
          <w:p w14:paraId="6FC5B5E0">
            <w:pPr>
              <w:pStyle w:val="235"/>
              <w:rPr>
                <w:color w:val="auto"/>
              </w:rPr>
            </w:pPr>
            <w:r>
              <w:rPr>
                <w:rFonts w:ascii="Cambria Math" w:hAnsi="Cambria Math" w:cs="Cambria Math"/>
                <w:color w:val="auto"/>
              </w:rPr>
              <w:t>△</w:t>
            </w:r>
          </w:p>
        </w:tc>
        <w:tc>
          <w:tcPr>
            <w:tcW w:w="910" w:type="dxa"/>
            <w:vAlign w:val="center"/>
          </w:tcPr>
          <w:p w14:paraId="0EDF489E">
            <w:pPr>
              <w:pStyle w:val="235"/>
              <w:rPr>
                <w:color w:val="auto"/>
              </w:rPr>
            </w:pPr>
            <w:r>
              <w:rPr>
                <w:rFonts w:ascii="Cambria Math" w:hAnsi="Cambria Math" w:cs="Cambria Math"/>
                <w:color w:val="auto"/>
              </w:rPr>
              <w:t>△</w:t>
            </w:r>
          </w:p>
        </w:tc>
        <w:tc>
          <w:tcPr>
            <w:tcW w:w="943" w:type="dxa"/>
            <w:vAlign w:val="center"/>
          </w:tcPr>
          <w:p w14:paraId="26F191B8">
            <w:pPr>
              <w:pStyle w:val="235"/>
              <w:rPr>
                <w:color w:val="auto"/>
              </w:rPr>
            </w:pPr>
            <w:r>
              <w:rPr>
                <w:color w:val="auto"/>
              </w:rPr>
              <w:t>○</w:t>
            </w:r>
          </w:p>
        </w:tc>
        <w:tc>
          <w:tcPr>
            <w:tcW w:w="716" w:type="dxa"/>
            <w:tcBorders>
              <w:right w:val="single" w:color="000000" w:sz="6" w:space="0"/>
            </w:tcBorders>
            <w:vAlign w:val="center"/>
          </w:tcPr>
          <w:p w14:paraId="1C6FFBCA">
            <w:pPr>
              <w:pStyle w:val="235"/>
              <w:rPr>
                <w:color w:val="auto"/>
              </w:rPr>
            </w:pPr>
            <w:r>
              <w:rPr>
                <w:color w:val="auto"/>
              </w:rPr>
              <w:t>○</w:t>
            </w:r>
          </w:p>
        </w:tc>
      </w:tr>
      <w:tr w14:paraId="47A06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53" w:hRule="atLeast"/>
        </w:trPr>
        <w:tc>
          <w:tcPr>
            <w:tcW w:w="1130" w:type="dxa"/>
            <w:tcBorders>
              <w:left w:val="single" w:color="000000" w:sz="6" w:space="0"/>
            </w:tcBorders>
            <w:vAlign w:val="center"/>
          </w:tcPr>
          <w:p w14:paraId="21A0DFE7">
            <w:pPr>
              <w:pStyle w:val="235"/>
              <w:rPr>
                <w:color w:val="auto"/>
              </w:rPr>
            </w:pPr>
            <w:r>
              <w:rPr>
                <w:color w:val="auto"/>
              </w:rPr>
              <w:t>多支点桩、墙支护</w:t>
            </w:r>
          </w:p>
          <w:p w14:paraId="33BA731E">
            <w:pPr>
              <w:pStyle w:val="235"/>
              <w:rPr>
                <w:color w:val="auto"/>
              </w:rPr>
            </w:pPr>
            <w:r>
              <w:rPr>
                <w:color w:val="auto"/>
              </w:rPr>
              <w:t>(锚杆)</w:t>
            </w:r>
          </w:p>
        </w:tc>
        <w:tc>
          <w:tcPr>
            <w:tcW w:w="968" w:type="dxa"/>
            <w:vAlign w:val="center"/>
          </w:tcPr>
          <w:p w14:paraId="12DF0358">
            <w:pPr>
              <w:pStyle w:val="235"/>
              <w:rPr>
                <w:color w:val="auto"/>
              </w:rPr>
            </w:pPr>
            <w:r>
              <w:rPr>
                <w:rFonts w:ascii="Cambria Math" w:hAnsi="Cambria Math" w:cs="Cambria Math"/>
                <w:color w:val="auto"/>
              </w:rPr>
              <w:t>△</w:t>
            </w:r>
          </w:p>
        </w:tc>
        <w:tc>
          <w:tcPr>
            <w:tcW w:w="749" w:type="dxa"/>
            <w:vAlign w:val="center"/>
          </w:tcPr>
          <w:p w14:paraId="108FF85A">
            <w:pPr>
              <w:pStyle w:val="235"/>
              <w:rPr>
                <w:color w:val="auto"/>
              </w:rPr>
            </w:pPr>
          </w:p>
          <w:p w14:paraId="7E373CB4">
            <w:pPr>
              <w:pStyle w:val="235"/>
              <w:rPr>
                <w:color w:val="auto"/>
              </w:rPr>
            </w:pPr>
            <w:r>
              <w:rPr>
                <w:color w:val="auto"/>
              </w:rPr>
              <w:t>—</w:t>
            </w:r>
          </w:p>
        </w:tc>
        <w:tc>
          <w:tcPr>
            <w:tcW w:w="924" w:type="dxa"/>
            <w:vAlign w:val="center"/>
          </w:tcPr>
          <w:p w14:paraId="2820C572">
            <w:pPr>
              <w:pStyle w:val="235"/>
              <w:rPr>
                <w:color w:val="auto"/>
              </w:rPr>
            </w:pPr>
            <w:r>
              <w:rPr>
                <w:rFonts w:ascii="Cambria Math" w:hAnsi="Cambria Math" w:cs="Cambria Math"/>
                <w:color w:val="auto"/>
              </w:rPr>
              <w:t>△</w:t>
            </w:r>
          </w:p>
        </w:tc>
        <w:tc>
          <w:tcPr>
            <w:tcW w:w="910" w:type="dxa"/>
            <w:vAlign w:val="center"/>
          </w:tcPr>
          <w:p w14:paraId="0C436A3A">
            <w:pPr>
              <w:pStyle w:val="235"/>
              <w:rPr>
                <w:color w:val="auto"/>
              </w:rPr>
            </w:pPr>
            <w:r>
              <w:rPr>
                <w:rFonts w:ascii="Cambria Math" w:hAnsi="Cambria Math" w:cs="Cambria Math"/>
                <w:color w:val="auto"/>
              </w:rPr>
              <w:t>△</w:t>
            </w:r>
          </w:p>
        </w:tc>
        <w:tc>
          <w:tcPr>
            <w:tcW w:w="943" w:type="dxa"/>
            <w:vAlign w:val="center"/>
          </w:tcPr>
          <w:p w14:paraId="114EF54F">
            <w:pPr>
              <w:pStyle w:val="235"/>
              <w:rPr>
                <w:color w:val="auto"/>
              </w:rPr>
            </w:pPr>
            <w:r>
              <w:rPr>
                <w:color w:val="auto"/>
              </w:rPr>
              <w:t>○</w:t>
            </w:r>
          </w:p>
        </w:tc>
        <w:tc>
          <w:tcPr>
            <w:tcW w:w="716" w:type="dxa"/>
            <w:tcBorders>
              <w:right w:val="single" w:color="000000" w:sz="6" w:space="0"/>
            </w:tcBorders>
            <w:vAlign w:val="center"/>
          </w:tcPr>
          <w:p w14:paraId="1D25A10E">
            <w:pPr>
              <w:pStyle w:val="235"/>
              <w:rPr>
                <w:color w:val="auto"/>
              </w:rPr>
            </w:pPr>
            <w:r>
              <w:rPr>
                <w:color w:val="auto"/>
              </w:rPr>
              <w:t>○</w:t>
            </w:r>
          </w:p>
        </w:tc>
      </w:tr>
      <w:tr w14:paraId="7C7A3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2" w:hRule="atLeast"/>
        </w:trPr>
        <w:tc>
          <w:tcPr>
            <w:tcW w:w="1130" w:type="dxa"/>
            <w:tcBorders>
              <w:left w:val="single" w:color="000000" w:sz="6" w:space="0"/>
            </w:tcBorders>
            <w:vAlign w:val="center"/>
          </w:tcPr>
          <w:p w14:paraId="6FF2D447">
            <w:pPr>
              <w:pStyle w:val="235"/>
              <w:rPr>
                <w:color w:val="auto"/>
              </w:rPr>
            </w:pPr>
            <w:r>
              <w:rPr>
                <w:color w:val="auto"/>
              </w:rPr>
              <w:t>安全系数K</w:t>
            </w:r>
          </w:p>
        </w:tc>
        <w:tc>
          <w:tcPr>
            <w:tcW w:w="968" w:type="dxa"/>
            <w:vAlign w:val="center"/>
          </w:tcPr>
          <w:p w14:paraId="51C696B0">
            <w:pPr>
              <w:pStyle w:val="235"/>
              <w:rPr>
                <w:color w:val="auto"/>
              </w:rPr>
            </w:pPr>
            <w:r>
              <w:rPr>
                <w:color w:val="auto"/>
              </w:rPr>
              <w:t>1.35(1.3、1.2)</w:t>
            </w:r>
          </w:p>
        </w:tc>
        <w:tc>
          <w:tcPr>
            <w:tcW w:w="749" w:type="dxa"/>
            <w:vAlign w:val="center"/>
          </w:tcPr>
          <w:p w14:paraId="4A8FB12F">
            <w:pPr>
              <w:pStyle w:val="235"/>
              <w:rPr>
                <w:color w:val="auto"/>
              </w:rPr>
            </w:pPr>
            <w:r>
              <w:rPr>
                <w:color w:val="auto"/>
              </w:rPr>
              <w:t>1.25</w:t>
            </w:r>
          </w:p>
        </w:tc>
        <w:tc>
          <w:tcPr>
            <w:tcW w:w="924" w:type="dxa"/>
            <w:vAlign w:val="center"/>
          </w:tcPr>
          <w:p w14:paraId="058D2A59">
            <w:pPr>
              <w:pStyle w:val="235"/>
              <w:rPr>
                <w:color w:val="auto"/>
              </w:rPr>
            </w:pPr>
            <w:r>
              <w:rPr>
                <w:color w:val="auto"/>
              </w:rPr>
              <w:t>1.6</w:t>
            </w:r>
          </w:p>
        </w:tc>
        <w:tc>
          <w:tcPr>
            <w:tcW w:w="910" w:type="dxa"/>
            <w:vAlign w:val="center"/>
          </w:tcPr>
          <w:p w14:paraId="139E5CBF">
            <w:pPr>
              <w:pStyle w:val="235"/>
              <w:rPr>
                <w:color w:val="auto"/>
              </w:rPr>
            </w:pPr>
            <w:r>
              <w:rPr>
                <w:color w:val="auto"/>
              </w:rPr>
              <w:t>1.9</w:t>
            </w:r>
          </w:p>
        </w:tc>
        <w:tc>
          <w:tcPr>
            <w:tcW w:w="943" w:type="dxa"/>
            <w:vAlign w:val="center"/>
          </w:tcPr>
          <w:p w14:paraId="3D58B8A5">
            <w:pPr>
              <w:pStyle w:val="235"/>
              <w:rPr>
                <w:color w:val="auto"/>
              </w:rPr>
            </w:pPr>
            <w:r>
              <w:rPr>
                <w:color w:val="auto"/>
              </w:rPr>
              <w:t>1.1</w:t>
            </w:r>
          </w:p>
        </w:tc>
        <w:tc>
          <w:tcPr>
            <w:tcW w:w="716" w:type="dxa"/>
            <w:tcBorders>
              <w:right w:val="single" w:color="000000" w:sz="6" w:space="0"/>
            </w:tcBorders>
            <w:vAlign w:val="center"/>
          </w:tcPr>
          <w:p w14:paraId="0FB060B2">
            <w:pPr>
              <w:pStyle w:val="235"/>
              <w:rPr>
                <w:color w:val="auto"/>
              </w:rPr>
            </w:pPr>
            <w:r>
              <w:rPr>
                <w:color w:val="auto"/>
              </w:rPr>
              <w:t>1.6</w:t>
            </w:r>
          </w:p>
        </w:tc>
      </w:tr>
    </w:tbl>
    <w:p w14:paraId="786E9D15">
      <w:pPr>
        <w:pStyle w:val="202"/>
        <w:ind w:left="850" w:leftChars="135" w:hanging="567" w:hangingChars="378"/>
      </w:pPr>
      <w:r>
        <w:t>注：1</w:t>
      </w:r>
      <w:r>
        <w:rPr>
          <w:rFonts w:hint="eastAsia"/>
        </w:rPr>
        <w:t xml:space="preserve">  </w:t>
      </w:r>
      <w:r>
        <w:t>△——应验算，○——必要时验算；</w:t>
      </w:r>
    </w:p>
    <w:p w14:paraId="468D3892">
      <w:pPr>
        <w:pStyle w:val="202"/>
        <w:ind w:left="851" w:leftChars="278" w:hanging="267" w:hangingChars="178"/>
      </w:pPr>
      <w:r>
        <w:t>2</w:t>
      </w:r>
      <w:r>
        <w:rPr>
          <w:rFonts w:hint="eastAsia"/>
        </w:rPr>
        <w:t xml:space="preserve">  </w:t>
      </w:r>
      <w:r>
        <w:t>整体滑动稳定性括号中1.3为土钉墙安全系数取值，1.2为放坡安全系数取值。</w:t>
      </w:r>
    </w:p>
    <w:p w14:paraId="32C02250">
      <w:pPr>
        <w:ind w:firstLine="422" w:firstLineChars="200"/>
      </w:pPr>
      <w:r>
        <w:rPr>
          <w:b/>
        </w:rPr>
        <w:t>4</w:t>
      </w:r>
      <w:r>
        <w:rPr>
          <w:rFonts w:hint="eastAsia"/>
          <w:b/>
        </w:rPr>
        <w:t xml:space="preserve"> </w:t>
      </w:r>
      <w:r>
        <w:rPr>
          <w:rFonts w:hint="eastAsia"/>
        </w:rPr>
        <w:t xml:space="preserve"> </w:t>
      </w:r>
      <w:r>
        <w:t>基坑工程地下水处理方案应进行施工降水和帷幕止水方案的技术经济比选。</w:t>
      </w:r>
    </w:p>
    <w:p w14:paraId="0FF138C6">
      <w:pPr>
        <w:numPr>
          <w:ilvl w:val="2"/>
          <w:numId w:val="1"/>
        </w:numPr>
        <w:tabs>
          <w:tab w:val="left" w:pos="709"/>
          <w:tab w:val="left" w:pos="794"/>
        </w:tabs>
        <w:jc w:val="left"/>
        <w:outlineLvl w:val="2"/>
        <w:rPr>
          <w:bCs/>
        </w:rPr>
      </w:pPr>
      <w:r>
        <w:rPr>
          <w:bCs/>
        </w:rPr>
        <w:t>放坡支护设计应符合下列规定：</w:t>
      </w:r>
    </w:p>
    <w:p w14:paraId="341BB203">
      <w:pPr>
        <w:ind w:firstLine="422" w:firstLineChars="200"/>
      </w:pPr>
      <w:r>
        <w:rPr>
          <w:b/>
        </w:rPr>
        <w:t>1</w:t>
      </w:r>
      <w:r>
        <w:rPr>
          <w:rFonts w:hint="eastAsia"/>
          <w:b/>
        </w:rPr>
        <w:t xml:space="preserve"> </w:t>
      </w:r>
      <w:r>
        <w:rPr>
          <w:rFonts w:hint="eastAsia"/>
        </w:rPr>
        <w:t xml:space="preserve"> </w:t>
      </w:r>
      <w:r>
        <w:t>土质边坡应根据周边环境情况、地质条件确定放坡坡度和高度，坡度不宜陡于1</w:t>
      </w:r>
      <w:r>
        <w:rPr>
          <w:rFonts w:hint="eastAsia"/>
        </w:rPr>
        <w:t>∶</w:t>
      </w:r>
      <w:r>
        <w:t>0.5；坡高大于5.0m的土质边坡，每超过5.0m宜设宽1.0~1.5m的过渡平台，并宜采用上陡下缓的放坡原则；</w:t>
      </w:r>
    </w:p>
    <w:p w14:paraId="2588EBC4">
      <w:pPr>
        <w:ind w:firstLine="422" w:firstLineChars="200"/>
      </w:pPr>
      <w:r>
        <w:rPr>
          <w:b/>
        </w:rPr>
        <w:t>2</w:t>
      </w:r>
      <w:r>
        <w:rPr>
          <w:rFonts w:hint="eastAsia"/>
          <w:b/>
        </w:rPr>
        <w:t xml:space="preserve"> </w:t>
      </w:r>
      <w:r>
        <w:rPr>
          <w:rFonts w:hint="eastAsia"/>
        </w:rPr>
        <w:t xml:space="preserve"> </w:t>
      </w:r>
      <w:r>
        <w:t>护坡面层宜采用钢筋网喷射混凝土，厚度不宜小于50mm，混凝土强度等级不应低于C20；钢筋网钢筋直径宜为6~8mm，间距不宜大于250mm；</w:t>
      </w:r>
    </w:p>
    <w:p w14:paraId="10C98D68">
      <w:pPr>
        <w:ind w:firstLine="422" w:firstLineChars="200"/>
      </w:pPr>
      <w:r>
        <w:rPr>
          <w:b/>
        </w:rPr>
        <w:t>3</w:t>
      </w:r>
      <w:r>
        <w:rPr>
          <w:rFonts w:hint="eastAsia"/>
        </w:rPr>
        <w:t xml:space="preserve">  </w:t>
      </w:r>
      <w:r>
        <w:t>当土质较差、坡高较大时，在坡面可设置插筋，垂直于坡面的插筋直径宜为12~16mm、长度宜为1.5~2.0m、间距不宜大于1.0m；</w:t>
      </w:r>
    </w:p>
    <w:p w14:paraId="1F428209">
      <w:pPr>
        <w:ind w:firstLine="422" w:firstLineChars="200"/>
      </w:pPr>
      <w:r>
        <w:rPr>
          <w:b/>
        </w:rPr>
        <w:t>4</w:t>
      </w:r>
      <w:r>
        <w:rPr>
          <w:rFonts w:hint="eastAsia"/>
        </w:rPr>
        <w:t xml:space="preserve">  </w:t>
      </w:r>
      <w:r>
        <w:t>土质边坡施工应采取有效的地表排水和基坑内排水措施，坡顶应有截水设施且不宜设置排水沟，在基底距离坡脚500mm处宜设排水沟，在支护面层间隔一定距离应设置泄水孔。</w:t>
      </w:r>
    </w:p>
    <w:p w14:paraId="55835009">
      <w:pPr>
        <w:numPr>
          <w:ilvl w:val="2"/>
          <w:numId w:val="1"/>
        </w:numPr>
        <w:tabs>
          <w:tab w:val="left" w:pos="709"/>
          <w:tab w:val="left" w:pos="794"/>
        </w:tabs>
        <w:jc w:val="left"/>
        <w:outlineLvl w:val="2"/>
        <w:rPr>
          <w:bCs/>
        </w:rPr>
      </w:pPr>
      <w:r>
        <w:rPr>
          <w:bCs/>
        </w:rPr>
        <w:t>土钉墙支护设计应符合下列规定：</w:t>
      </w:r>
    </w:p>
    <w:p w14:paraId="29A24F06">
      <w:pPr>
        <w:ind w:firstLine="422" w:firstLineChars="200"/>
      </w:pPr>
      <w:r>
        <w:rPr>
          <w:b/>
        </w:rPr>
        <w:t>1</w:t>
      </w:r>
      <w:r>
        <w:rPr>
          <w:rFonts w:hint="eastAsia"/>
          <w:b/>
        </w:rPr>
        <w:t xml:space="preserve"> </w:t>
      </w:r>
      <w:r>
        <w:rPr>
          <w:rFonts w:hint="eastAsia"/>
        </w:rPr>
        <w:t xml:space="preserve"> </w:t>
      </w:r>
      <w:r>
        <w:t>单一土钉墙基坑深度不宜超过10.0m，一般土层宜采用钻孔注浆型土钉，砂卵石地层可采用击入钢花管注浆型土钉。与预应力锚索联合支护时，基坑深度可适当放宽，但不宜超过15.0m；</w:t>
      </w:r>
    </w:p>
    <w:p w14:paraId="52BE6648">
      <w:pPr>
        <w:ind w:firstLine="422" w:firstLineChars="200"/>
      </w:pPr>
      <w:r>
        <w:rPr>
          <w:b/>
        </w:rPr>
        <w:t>2</w:t>
      </w:r>
      <w:r>
        <w:rPr>
          <w:rFonts w:hint="eastAsia"/>
          <w:b/>
        </w:rPr>
        <w:t xml:space="preserve"> </w:t>
      </w:r>
      <w:r>
        <w:rPr>
          <w:rFonts w:hint="eastAsia"/>
        </w:rPr>
        <w:t xml:space="preserve"> </w:t>
      </w:r>
      <w:r>
        <w:t>土钉墙承载力计算、构造设计及施工和质量检测宜按现行行业标准《建筑基坑支护技术规程》JGJ120的相关规定执行；</w:t>
      </w:r>
    </w:p>
    <w:p w14:paraId="6D66AE79">
      <w:pPr>
        <w:ind w:firstLine="422" w:firstLineChars="200"/>
      </w:pPr>
      <w:r>
        <w:rPr>
          <w:b/>
        </w:rPr>
        <w:t>3</w:t>
      </w:r>
      <w:r>
        <w:rPr>
          <w:rFonts w:hint="eastAsia"/>
          <w:b/>
        </w:rPr>
        <w:t xml:space="preserve"> </w:t>
      </w:r>
      <w:r>
        <w:rPr>
          <w:rFonts w:hint="eastAsia"/>
        </w:rPr>
        <w:t xml:space="preserve"> </w:t>
      </w:r>
      <w:r>
        <w:t>土钉墙承载力计算时，单根土钉的极限抗拔承载力安全系数不应小于1.6；单根土钉的极限抗拔承载力标准值应通过抗拔试验确定，也可按公式估算，但应通过土钉抗拔试验进行验证；</w:t>
      </w:r>
    </w:p>
    <w:p w14:paraId="17403B64">
      <w:pPr>
        <w:ind w:firstLine="422" w:firstLineChars="200"/>
      </w:pPr>
      <w:r>
        <w:rPr>
          <w:b/>
        </w:rPr>
        <w:t>4</w:t>
      </w:r>
      <w:r>
        <w:rPr>
          <w:rFonts w:hint="eastAsia"/>
          <w:b/>
        </w:rPr>
        <w:t xml:space="preserve"> </w:t>
      </w:r>
      <w:r>
        <w:rPr>
          <w:rFonts w:hint="eastAsia"/>
        </w:rPr>
        <w:t xml:space="preserve"> </w:t>
      </w:r>
      <w:r>
        <w:t>土钉墙墙面坡度宜为1</w:t>
      </w:r>
      <w:r>
        <w:rPr>
          <w:rFonts w:hint="eastAsia"/>
        </w:rPr>
        <w:t>∶</w:t>
      </w:r>
      <w:r>
        <w:t>0.2~1</w:t>
      </w:r>
      <w:r>
        <w:rPr>
          <w:rFonts w:hint="eastAsia"/>
        </w:rPr>
        <w:t>∶</w:t>
      </w:r>
      <w:r>
        <w:t>0.5，一般不宜大于1</w:t>
      </w:r>
      <w:r>
        <w:rPr>
          <w:rFonts w:hint="eastAsia"/>
        </w:rPr>
        <w:t>∶</w:t>
      </w:r>
      <w:r>
        <w:t>0.1；</w:t>
      </w:r>
    </w:p>
    <w:p w14:paraId="1633204E">
      <w:pPr>
        <w:ind w:firstLine="422" w:firstLineChars="200"/>
      </w:pPr>
      <w:r>
        <w:rPr>
          <w:b/>
        </w:rPr>
        <w:t>5</w:t>
      </w:r>
      <w:r>
        <w:rPr>
          <w:rFonts w:hint="eastAsia"/>
          <w:b/>
        </w:rPr>
        <w:t xml:space="preserve"> </w:t>
      </w:r>
      <w:r>
        <w:rPr>
          <w:rFonts w:hint="eastAsia"/>
        </w:rPr>
        <w:t xml:space="preserve"> </w:t>
      </w:r>
      <w:r>
        <w:t>土钉质量检测时，单一土钉抗拔承载力检测值不应小于土钉轴向拉力标准值的1.3倍，复合土钉墙中的预应力锚杆抗拔承载力检测值与轴向拉力标准值的比值不应小于1.3；</w:t>
      </w:r>
    </w:p>
    <w:p w14:paraId="426B13EC">
      <w:pPr>
        <w:ind w:firstLine="422" w:firstLineChars="200"/>
      </w:pPr>
      <w:r>
        <w:rPr>
          <w:b/>
        </w:rPr>
        <w:t>6</w:t>
      </w:r>
      <w:r>
        <w:rPr>
          <w:rFonts w:hint="eastAsia"/>
          <w:b/>
        </w:rPr>
        <w:t xml:space="preserve"> </w:t>
      </w:r>
      <w:r>
        <w:rPr>
          <w:rFonts w:hint="eastAsia"/>
        </w:rPr>
        <w:t xml:space="preserve"> </w:t>
      </w:r>
      <w:r>
        <w:t>土钉墙对地表水的防、截、排处理措施按本章第11.4.2条土质边坡的相关要求执行。</w:t>
      </w:r>
    </w:p>
    <w:p w14:paraId="20E8186E">
      <w:pPr>
        <w:numPr>
          <w:ilvl w:val="2"/>
          <w:numId w:val="1"/>
        </w:numPr>
        <w:tabs>
          <w:tab w:val="left" w:pos="709"/>
          <w:tab w:val="left" w:pos="794"/>
        </w:tabs>
        <w:jc w:val="left"/>
        <w:outlineLvl w:val="2"/>
        <w:rPr>
          <w:bCs/>
        </w:rPr>
      </w:pPr>
      <w:r>
        <w:rPr>
          <w:bCs/>
        </w:rPr>
        <w:t>桩墙支护结构设计应符合下列规定：</w:t>
      </w:r>
    </w:p>
    <w:p w14:paraId="02FE09AF">
      <w:pPr>
        <w:ind w:firstLine="422" w:firstLineChars="200"/>
      </w:pPr>
      <w:r>
        <w:rPr>
          <w:b/>
        </w:rPr>
        <w:t>1</w:t>
      </w:r>
      <w:r>
        <w:rPr>
          <w:rFonts w:hint="eastAsia"/>
          <w:b/>
        </w:rPr>
        <w:t xml:space="preserve"> </w:t>
      </w:r>
      <w:r>
        <w:rPr>
          <w:rFonts w:hint="eastAsia"/>
        </w:rPr>
        <w:t xml:space="preserve"> </w:t>
      </w:r>
      <w:r>
        <w:t>桩墙支护结构应根据设定的开挖工况和施工顺序按竖向弹性地基梁模型逐阶段计算其内力及变形，并按其中最不利作用效应进行设计。当计入支撑作用时，应考虑每层支撑设置时墙体已有的位移和支撑的弹性变形；</w:t>
      </w:r>
    </w:p>
    <w:p w14:paraId="66C62A41">
      <w:pPr>
        <w:ind w:firstLine="422" w:firstLineChars="200"/>
      </w:pPr>
      <w:r>
        <w:rPr>
          <w:b/>
        </w:rPr>
        <w:t>2</w:t>
      </w:r>
      <w:r>
        <w:rPr>
          <w:rFonts w:hint="eastAsia"/>
          <w:b/>
        </w:rPr>
        <w:t xml:space="preserve"> </w:t>
      </w:r>
      <w:r>
        <w:rPr>
          <w:rFonts w:hint="eastAsia"/>
        </w:rPr>
        <w:t xml:space="preserve"> </w:t>
      </w:r>
      <w:r>
        <w:t>支护结构在进行截面承载力计算时，结构内力标准值转换为内力设计值的荷载综合分项系数不应小于1.25；</w:t>
      </w:r>
    </w:p>
    <w:p w14:paraId="5B4FFBD8">
      <w:pPr>
        <w:ind w:firstLine="422" w:firstLineChars="200"/>
      </w:pPr>
      <w:r>
        <w:rPr>
          <w:b/>
        </w:rPr>
        <w:t>3</w:t>
      </w:r>
      <w:r>
        <w:rPr>
          <w:rFonts w:hint="eastAsia"/>
          <w:b/>
        </w:rPr>
        <w:t xml:space="preserve"> </w:t>
      </w:r>
      <w:r>
        <w:rPr>
          <w:rFonts w:hint="eastAsia"/>
        </w:rPr>
        <w:t xml:space="preserve"> </w:t>
      </w:r>
      <w:r>
        <w:t>桩墙支护结构入土深度应根据支护结构的承载力、变形及基坑稳定性计算确定。当计算确定的悬臂式支护结构入土深度设计值小于0.8H时(H为基坑开挖深度)，宜取0.8H；单支点支护结构入土深度设计值小于0.3H时，宜取0.3H；多支点支护结构入土深度设计值小于0.2H时，宜取0.2H。基底处于中风化岩时，入岩深度不宜小于1.5~2.0m；基底处于微风化岩时，入岩深度不宜小于1.0m；</w:t>
      </w:r>
    </w:p>
    <w:p w14:paraId="267D8475">
      <w:pPr>
        <w:ind w:firstLine="422" w:firstLineChars="200"/>
      </w:pPr>
      <w:r>
        <w:rPr>
          <w:b/>
        </w:rPr>
        <w:t>4</w:t>
      </w:r>
      <w:r>
        <w:rPr>
          <w:rFonts w:hint="eastAsia"/>
          <w:b/>
        </w:rPr>
        <w:t xml:space="preserve"> </w:t>
      </w:r>
      <w:r>
        <w:rPr>
          <w:rFonts w:hint="eastAsia"/>
        </w:rPr>
        <w:t xml:space="preserve"> </w:t>
      </w:r>
      <w:r>
        <w:t>兼作主体结构抗浮作用的桩墙支护结构，应进行抗拔承载力、裂缝宽度验算，并满足耐久性及相关构造要求，构件最大裂缝宽度限值宜取0.3mm；</w:t>
      </w:r>
    </w:p>
    <w:p w14:paraId="384F4110">
      <w:pPr>
        <w:ind w:firstLine="422" w:firstLineChars="200"/>
      </w:pPr>
      <w:r>
        <w:rPr>
          <w:b/>
        </w:rPr>
        <w:t>5</w:t>
      </w:r>
      <w:r>
        <w:rPr>
          <w:rFonts w:hint="eastAsia"/>
          <w:b/>
        </w:rPr>
        <w:t xml:space="preserve"> </w:t>
      </w:r>
      <w:r>
        <w:rPr>
          <w:rFonts w:hint="eastAsia"/>
        </w:rPr>
        <w:t xml:space="preserve"> </w:t>
      </w:r>
      <w:r>
        <w:t>桩墙支护与主体结构之间应考虑桩墙定位偏差、垂直度偏差、桩墙变形、防水层施作厚度等因素留有一定的空隙，其值不宜小于50mm；</w:t>
      </w:r>
    </w:p>
    <w:p w14:paraId="537FE45E">
      <w:pPr>
        <w:ind w:firstLine="422" w:firstLineChars="200"/>
      </w:pPr>
      <w:r>
        <w:rPr>
          <w:b/>
        </w:rPr>
        <w:t>6</w:t>
      </w:r>
      <w:r>
        <w:rPr>
          <w:rFonts w:hint="eastAsia"/>
          <w:b/>
        </w:rPr>
        <w:t xml:space="preserve"> </w:t>
      </w:r>
      <w:r>
        <w:rPr>
          <w:rFonts w:hint="eastAsia"/>
        </w:rPr>
        <w:t xml:space="preserve"> </w:t>
      </w:r>
      <w:r>
        <w:t>灌注桩设计应符合下列规定：</w:t>
      </w:r>
    </w:p>
    <w:p w14:paraId="6C68D704">
      <w:pPr>
        <w:ind w:firstLine="420" w:firstLineChars="200"/>
      </w:pPr>
      <w:r>
        <w:t>1)</w:t>
      </w:r>
      <w:r>
        <w:rPr>
          <w:rFonts w:hint="eastAsia"/>
        </w:rPr>
        <w:t xml:space="preserve">  </w:t>
      </w:r>
      <w:r>
        <w:t>灌注桩直径、间距应根据地质条件、施工方法、桩体受力及桩间土的稳定条件等因素确定。钻孔灌注桩桩径宜为600~1200mm，人工挖孔桩桩径不宜小于1000mm，桩间净距宜取150~1000mm；</w:t>
      </w:r>
    </w:p>
    <w:p w14:paraId="0D0DB1BD">
      <w:pPr>
        <w:ind w:firstLine="420" w:firstLineChars="200"/>
      </w:pPr>
      <w:r>
        <w:t>2)</w:t>
      </w:r>
      <w:r>
        <w:rPr>
          <w:rFonts w:hint="eastAsia"/>
        </w:rPr>
        <w:t xml:space="preserve">  </w:t>
      </w:r>
      <w:r>
        <w:t>灌注桩纵向受力钢筋可均匀配置，纵筋直径宜采用20~28mm，净距不宜小于60mm。箍筋宜采用螺旋箍，也可采用封闭焊接箍，箍筋直径及间距应按抗剪计算确定，直径宜为8~14mm，间距宜为100~200mm；钢筋笼纵向每隔2.0m设一道封闭加强箍筋，加强箍筋直径宜采用16~22mm；</w:t>
      </w:r>
    </w:p>
    <w:p w14:paraId="616847BF">
      <w:pPr>
        <w:ind w:firstLine="420" w:firstLineChars="200"/>
      </w:pPr>
      <w:r>
        <w:t>3)</w:t>
      </w:r>
      <w:r>
        <w:rPr>
          <w:rFonts w:hint="eastAsia"/>
        </w:rPr>
        <w:t xml:space="preserve">  </w:t>
      </w:r>
      <w:r>
        <w:t>灌注桩桩间土应根据地质情况采用喷射混凝土护壁，喷射混凝土面层厚度宜取50~100mm，必</w:t>
      </w:r>
    </w:p>
    <w:p w14:paraId="78954B0B">
      <w:pPr>
        <w:ind w:firstLine="420" w:firstLineChars="200"/>
      </w:pPr>
      <w:r>
        <w:t>要时可设钢筋网或钢筋钉；</w:t>
      </w:r>
    </w:p>
    <w:p w14:paraId="126CCAFA">
      <w:pPr>
        <w:ind w:firstLine="420" w:firstLineChars="200"/>
      </w:pPr>
      <w:r>
        <w:t>4)</w:t>
      </w:r>
      <w:r>
        <w:rPr>
          <w:rFonts w:hint="eastAsia"/>
        </w:rPr>
        <w:t xml:space="preserve">  </w:t>
      </w:r>
      <w:r>
        <w:t>当灌注桩支护需设置防渗帷幕时，应根据地质条件选择合适的施工工艺和帷幕形式，防渗帷幕底部宜进入不透水层，进入不透水层长度通过计算确定，且不小于1.5m。</w:t>
      </w:r>
    </w:p>
    <w:p w14:paraId="72B39489">
      <w:pPr>
        <w:ind w:firstLine="422" w:firstLineChars="200"/>
      </w:pPr>
      <w:r>
        <w:rPr>
          <w:b/>
        </w:rPr>
        <w:t>7</w:t>
      </w:r>
      <w:r>
        <w:rPr>
          <w:rFonts w:hint="eastAsia"/>
          <w:b/>
        </w:rPr>
        <w:t xml:space="preserve"> </w:t>
      </w:r>
      <w:r>
        <w:rPr>
          <w:rFonts w:hint="eastAsia"/>
        </w:rPr>
        <w:t xml:space="preserve"> </w:t>
      </w:r>
      <w:r>
        <w:t>钻孔咬合桩设计应符合下列规定：</w:t>
      </w:r>
    </w:p>
    <w:p w14:paraId="6E56430E">
      <w:pPr>
        <w:ind w:firstLine="420" w:firstLineChars="200"/>
      </w:pPr>
      <w:r>
        <w:t>1)</w:t>
      </w:r>
      <w:r>
        <w:rPr>
          <w:rFonts w:hint="eastAsia"/>
        </w:rPr>
        <w:t xml:space="preserve">  </w:t>
      </w:r>
      <w:r>
        <w:t>钻孔咬合桩宜为钢筋混凝土灌注桩+素混凝土灌注桩组合形式；</w:t>
      </w:r>
    </w:p>
    <w:p w14:paraId="7E575084">
      <w:pPr>
        <w:ind w:firstLine="420" w:firstLineChars="200"/>
      </w:pPr>
      <w:r>
        <w:t>2)</w:t>
      </w:r>
      <w:r>
        <w:rPr>
          <w:rFonts w:hint="eastAsia"/>
        </w:rPr>
        <w:t xml:space="preserve">  </w:t>
      </w:r>
      <w:r>
        <w:t>钻孔咬合桩桩径宜为600~1000mm，桩间咬合量宜为150~300mm，桩垂直度偏差不应大于0.3%；</w:t>
      </w:r>
    </w:p>
    <w:p w14:paraId="76B8CF76">
      <w:pPr>
        <w:ind w:firstLine="420" w:firstLineChars="200"/>
      </w:pPr>
      <w:r>
        <w:t>3)</w:t>
      </w:r>
      <w:r>
        <w:rPr>
          <w:rFonts w:hint="eastAsia"/>
        </w:rPr>
        <w:t xml:space="preserve">  </w:t>
      </w:r>
      <w:r>
        <w:t>咬合桩施工前，应沿咬合桩墙面两侧构筑平板式导墙。导墙采用现浇钢筋混凝土结构，厚度不宜小于300mm，导墙上预留孔径应大于咬合桩设计直径15~25mm，导墙预留孔两侧宽度应不小于1.5m；导墙混凝土强度等级宜为C25，配筋应满足构造要求。</w:t>
      </w:r>
    </w:p>
    <w:p w14:paraId="2AFBD748">
      <w:pPr>
        <w:ind w:firstLine="422" w:firstLineChars="200"/>
      </w:pPr>
      <w:r>
        <w:rPr>
          <w:b/>
        </w:rPr>
        <w:t>8</w:t>
      </w:r>
      <w:r>
        <w:rPr>
          <w:rFonts w:hint="eastAsia"/>
          <w:b/>
        </w:rPr>
        <w:t xml:space="preserve"> </w:t>
      </w:r>
      <w:r>
        <w:rPr>
          <w:rFonts w:hint="eastAsia"/>
        </w:rPr>
        <w:t xml:space="preserve"> </w:t>
      </w:r>
      <w:r>
        <w:t>地下连续墙设计应符合下列规定：</w:t>
      </w:r>
    </w:p>
    <w:p w14:paraId="1A7EB0E9">
      <w:pPr>
        <w:ind w:firstLine="420" w:firstLineChars="200"/>
      </w:pPr>
      <w:r>
        <w:t>1)</w:t>
      </w:r>
      <w:r>
        <w:rPr>
          <w:rFonts w:hint="eastAsia"/>
        </w:rPr>
        <w:t xml:space="preserve">  </w:t>
      </w:r>
      <w:r>
        <w:t>地下连续墙单元槽段的平面形状可采用一字形、L型、T型和Z型等。单元槽段长度应根据墙段的受力特性、槽壁稳定性、施工工艺要求和环境条件等因素综合确定，一字形槽段的成槽长度宜为4.0~6.0m，墙厚宜为600~1000mm；</w:t>
      </w:r>
    </w:p>
    <w:p w14:paraId="0955A6A0">
      <w:pPr>
        <w:ind w:firstLine="420" w:firstLineChars="200"/>
      </w:pPr>
      <w:r>
        <w:t>2)</w:t>
      </w:r>
      <w:r>
        <w:rPr>
          <w:rFonts w:hint="eastAsia"/>
        </w:rPr>
        <w:t xml:space="preserve">  </w:t>
      </w:r>
      <w:r>
        <w:t>地下连续墙槽段之间的接头宜采用锁口管柔性接头形式，对地下连续墙槽段间防水或连接刚度有特殊要求时，也可采用防水接头或刚性接头；</w:t>
      </w:r>
    </w:p>
    <w:p w14:paraId="35E602A5">
      <w:pPr>
        <w:ind w:firstLine="420" w:firstLineChars="200"/>
      </w:pPr>
      <w:r>
        <w:t>3)</w:t>
      </w:r>
      <w:r>
        <w:rPr>
          <w:rFonts w:hint="eastAsia"/>
        </w:rPr>
        <w:t xml:space="preserve">  </w:t>
      </w:r>
      <w:r>
        <w:t>地下连续墙受力钢筋直径不宜小于20mm，净距不宜小于75mm；构造钢筋直径不宜小于14mm，间距不应大于300mm；</w:t>
      </w:r>
    </w:p>
    <w:p w14:paraId="54004876">
      <w:pPr>
        <w:ind w:firstLine="420" w:firstLineChars="200"/>
      </w:pPr>
      <w:r>
        <w:t>4)</w:t>
      </w:r>
      <w:r>
        <w:rPr>
          <w:rFonts w:hint="eastAsia"/>
        </w:rPr>
        <w:t xml:space="preserve">  </w:t>
      </w:r>
      <w:r>
        <w:t>地下连续墙横向配筋在设置支撑处应加强，其与支撑接触部位应满足抗冲切要求；</w:t>
      </w:r>
    </w:p>
    <w:p w14:paraId="29E8AC83">
      <w:pPr>
        <w:ind w:firstLine="420" w:firstLineChars="200"/>
      </w:pPr>
      <w:r>
        <w:t>5)</w:t>
      </w:r>
      <w:r>
        <w:rPr>
          <w:rFonts w:hint="eastAsia"/>
        </w:rPr>
        <w:t xml:space="preserve">  </w:t>
      </w:r>
      <w:r>
        <w:t>钢筋笼端部与接头管或相邻槽段混凝土接触面之间应留有间隙，宜不大于150mm；钢筋笼下端500mm长度范围内宜按1:10的斜度向内收口；钢筋笼下端与槽底之间宜留有不小于500mm的间隙；</w:t>
      </w:r>
    </w:p>
    <w:p w14:paraId="5E2EE8AB">
      <w:pPr>
        <w:ind w:firstLine="420" w:firstLineChars="200"/>
      </w:pPr>
      <w:r>
        <w:t>6)</w:t>
      </w:r>
      <w:r>
        <w:rPr>
          <w:rFonts w:hint="eastAsia"/>
        </w:rPr>
        <w:t xml:space="preserve">  </w:t>
      </w:r>
      <w:r>
        <w:t>单元槽段钢筋笼宜整幅成型，竖向必须分段时，宜采用焊接或机械连接，接头位置宜选在受力较小处，并相互错开。钢筋笼应采用保护层垫块、纵向钢筋桁架及主筋斜向拉条等构造措施，钢筋交叉点宜采用焊接连接；</w:t>
      </w:r>
    </w:p>
    <w:p w14:paraId="48A0C21C">
      <w:pPr>
        <w:ind w:firstLine="420" w:firstLineChars="200"/>
      </w:pPr>
      <w:r>
        <w:t>7)</w:t>
      </w:r>
      <w:r>
        <w:rPr>
          <w:rFonts w:hint="eastAsia"/>
        </w:rPr>
        <w:t xml:space="preserve">  </w:t>
      </w:r>
      <w:r>
        <w:t>地下连续墙导墙宜采用现浇钢筋混凝土结构。导墙宜为倒L形，厚度宜为300mm、水平宽度宜为0.5m、深度宜为1.0~1.2m；临近道路一侧的导墙深度可采用1.5m以上；对于成槽机设备有特殊要求的，导墙水平宽度和厚度应另行确定；临近建(构)筑物侧的导墙厚度、宽度和深度应根据要求专门设计。导墙之间的净距宜大于地下墙厚度50mm，并宜设置适当的横撑。</w:t>
      </w:r>
    </w:p>
    <w:p w14:paraId="5A438BC7">
      <w:pPr>
        <w:ind w:firstLine="422" w:firstLineChars="200"/>
      </w:pPr>
      <w:r>
        <w:rPr>
          <w:b/>
        </w:rPr>
        <w:t>9</w:t>
      </w:r>
      <w:r>
        <w:rPr>
          <w:rFonts w:hint="eastAsia"/>
          <w:b/>
        </w:rPr>
        <w:t xml:space="preserve"> </w:t>
      </w:r>
      <w:r>
        <w:rPr>
          <w:rFonts w:hint="eastAsia"/>
        </w:rPr>
        <w:t xml:space="preserve"> </w:t>
      </w:r>
      <w:r>
        <w:t>冠梁设计应符合下列规定：</w:t>
      </w:r>
    </w:p>
    <w:p w14:paraId="6C5648CD">
      <w:pPr>
        <w:ind w:firstLine="420" w:firstLineChars="200"/>
      </w:pPr>
      <w:r>
        <w:t>1)</w:t>
      </w:r>
      <w:r>
        <w:rPr>
          <w:rFonts w:hint="eastAsia"/>
        </w:rPr>
        <w:t xml:space="preserve">  </w:t>
      </w:r>
      <w:r>
        <w:t>桩墙顶部应设置钢筋混凝土冠梁。冠梁宽度不宜小于桩径或地下墙厚度；冠梁高度不宜小于桩径或地下墙厚度的0.6倍，且不宜小于600mm；</w:t>
      </w:r>
    </w:p>
    <w:p w14:paraId="4533D5CF">
      <w:pPr>
        <w:ind w:firstLine="420" w:firstLineChars="200"/>
      </w:pPr>
      <w:r>
        <w:t>2)</w:t>
      </w:r>
      <w:r>
        <w:rPr>
          <w:rFonts w:hint="eastAsia"/>
        </w:rPr>
        <w:t xml:space="preserve">  </w:t>
      </w:r>
      <w:r>
        <w:t>冠梁应按实际受力配筋，且两侧纵向钢筋最小配筋率应不小于构造配筋率。当冠梁兼做抗浮压顶梁时应进行强度验算，并应满足裂缝宽度及耐久性要求，构件最大裂缝宽度限值宜取0.3mm。</w:t>
      </w:r>
    </w:p>
    <w:p w14:paraId="709E516B">
      <w:pPr>
        <w:numPr>
          <w:ilvl w:val="2"/>
          <w:numId w:val="1"/>
        </w:numPr>
        <w:tabs>
          <w:tab w:val="left" w:pos="709"/>
          <w:tab w:val="left" w:pos="794"/>
        </w:tabs>
        <w:jc w:val="left"/>
        <w:outlineLvl w:val="2"/>
        <w:rPr>
          <w:bCs/>
        </w:rPr>
      </w:pPr>
      <w:r>
        <w:rPr>
          <w:bCs/>
        </w:rPr>
        <w:t>支撑体系设计应满足下列要求：</w:t>
      </w:r>
    </w:p>
    <w:p w14:paraId="04A6734E">
      <w:pPr>
        <w:ind w:firstLine="422" w:firstLineChars="200"/>
      </w:pPr>
      <w:r>
        <w:rPr>
          <w:b/>
        </w:rPr>
        <w:t>1</w:t>
      </w:r>
      <w:r>
        <w:rPr>
          <w:rFonts w:hint="eastAsia"/>
          <w:b/>
        </w:rPr>
        <w:t xml:space="preserve">  </w:t>
      </w:r>
      <w:r>
        <w:t>桩墙支护结构支撑构件可选择钢支撑、预应力锚索、钢筋混凝土支撑等。支撑的选择应做好技术经济方案论证，狭长形基坑宜采用钢支撑，对于形状复杂、基坑宽度较大的基坑，可采用预应力锚索或钢筋混凝土支撑；</w:t>
      </w:r>
    </w:p>
    <w:p w14:paraId="00A22D83">
      <w:pPr>
        <w:ind w:firstLine="422" w:firstLineChars="200"/>
      </w:pPr>
      <w:r>
        <w:rPr>
          <w:b/>
        </w:rPr>
        <w:t>2</w:t>
      </w:r>
      <w:r>
        <w:rPr>
          <w:rFonts w:hint="eastAsia"/>
          <w:b/>
        </w:rPr>
        <w:t xml:space="preserve">  </w:t>
      </w:r>
      <w:r>
        <w:t>钢支撑或钢筋混凝土支撑结构上的竖向荷载宜仅计结构自重，而不宜计及施工等其他荷载；</w:t>
      </w:r>
    </w:p>
    <w:p w14:paraId="68B8BA94">
      <w:pPr>
        <w:ind w:firstLine="422" w:firstLineChars="200"/>
      </w:pPr>
      <w:r>
        <w:rPr>
          <w:b/>
        </w:rPr>
        <w:t>3</w:t>
      </w:r>
      <w:r>
        <w:rPr>
          <w:rFonts w:hint="eastAsia"/>
          <w:b/>
        </w:rPr>
        <w:t xml:space="preserve"> </w:t>
      </w:r>
      <w:r>
        <w:rPr>
          <w:rFonts w:hint="eastAsia"/>
        </w:rPr>
        <w:t xml:space="preserve"> </w:t>
      </w:r>
      <w:r>
        <w:t>钢支撑或钢筋混凝土支撑的内力和变形应按偏心受压构件计算，截面的偏心弯矩除竖向荷载产生的弯矩外，尚应考虑轴力对构件初始偏心距的附加弯矩，初始偏心距不宜小于支撑计算长度的0.2%，钢支撑不宜小于40mm，混凝土支撑不宜小于20mm；</w:t>
      </w:r>
    </w:p>
    <w:p w14:paraId="11DA9E41">
      <w:pPr>
        <w:ind w:firstLine="422" w:firstLineChars="200"/>
      </w:pPr>
      <w:r>
        <w:rPr>
          <w:b/>
        </w:rPr>
        <w:t>4</w:t>
      </w:r>
      <w:r>
        <w:rPr>
          <w:rFonts w:hint="eastAsia"/>
          <w:b/>
        </w:rPr>
        <w:t xml:space="preserve">  </w:t>
      </w:r>
      <w:r>
        <w:t>钢支撑长细比不宜大于120，应根据中间立柱及联系梁与钢支撑的连接形式确定钢支撑竖向平面和水平面内的受压计算长度。当钢支撑计算长度大于25.0m时宜设置中间立柱。钢支撑预加轴力宜取设计轴力标准值的30%~70%；</w:t>
      </w:r>
    </w:p>
    <w:p w14:paraId="0AF5E46E">
      <w:pPr>
        <w:ind w:firstLine="422" w:firstLineChars="200"/>
      </w:pPr>
      <w:r>
        <w:rPr>
          <w:b/>
        </w:rPr>
        <w:t>5</w:t>
      </w:r>
      <w:r>
        <w:rPr>
          <w:rFonts w:hint="eastAsia"/>
          <w:b/>
        </w:rPr>
        <w:t xml:space="preserve"> </w:t>
      </w:r>
      <w:r>
        <w:rPr>
          <w:rFonts w:hint="eastAsia"/>
        </w:rPr>
        <w:t xml:space="preserve"> </w:t>
      </w:r>
      <w:r>
        <w:t>钢筋混凝土支撑长细比不宜大于75；当混凝土支撑纵横向水平支撑相交处未设置立柱时，支撑计算长度竖向平面内应取支撑全长，水平面内应取与支撑相交的相邻横向水平支撑中心距的1.0倍~1.2倍；</w:t>
      </w:r>
    </w:p>
    <w:p w14:paraId="16490803">
      <w:pPr>
        <w:ind w:firstLine="422" w:firstLineChars="200"/>
      </w:pPr>
      <w:r>
        <w:rPr>
          <w:b/>
        </w:rPr>
        <w:t>6</w:t>
      </w:r>
      <w:r>
        <w:rPr>
          <w:rFonts w:hint="eastAsia"/>
          <w:b/>
        </w:rPr>
        <w:t xml:space="preserve"> </w:t>
      </w:r>
      <w:r>
        <w:rPr>
          <w:rFonts w:hint="eastAsia"/>
        </w:rPr>
        <w:t xml:space="preserve"> </w:t>
      </w:r>
      <w:r>
        <w:t>腰梁可采用钢腰梁或现浇钢筋混凝土腰梁。腰梁在水平荷载作用下的内力和变形可根据受力条件按单跨简支梁或多跨连续梁计算；钢筋混凝土腰梁的支座弯矩，可乘以0.8~0.9的调幅系数，跨中弯矩应相应增加；</w:t>
      </w:r>
    </w:p>
    <w:p w14:paraId="0AC50979">
      <w:pPr>
        <w:ind w:firstLine="422" w:firstLineChars="200"/>
      </w:pPr>
      <w:r>
        <w:rPr>
          <w:b/>
        </w:rPr>
        <w:t>7</w:t>
      </w:r>
      <w:r>
        <w:rPr>
          <w:rFonts w:hint="eastAsia"/>
          <w:b/>
        </w:rPr>
        <w:t xml:space="preserve"> </w:t>
      </w:r>
      <w:r>
        <w:rPr>
          <w:rFonts w:hint="eastAsia"/>
        </w:rPr>
        <w:t xml:space="preserve"> </w:t>
      </w:r>
      <w:r>
        <w:t>钢腰梁与支护结构之间宜采用不低于C25的细石混凝土填充；</w:t>
      </w:r>
    </w:p>
    <w:p w14:paraId="44092B24">
      <w:pPr>
        <w:ind w:firstLine="422" w:firstLineChars="200"/>
      </w:pPr>
      <w:r>
        <w:rPr>
          <w:b/>
        </w:rPr>
        <w:t>8</w:t>
      </w:r>
      <w:r>
        <w:rPr>
          <w:rFonts w:hint="eastAsia"/>
        </w:rPr>
        <w:t xml:space="preserve">  </w:t>
      </w:r>
      <w:r>
        <w:t>临时立柱应按偏心受压构件计算，立柱截面上的弯矩应包括竖向荷载对立柱截面形心的偏心弯矩。立柱的受压计算长度应取各层支撑竖向间距，立柱与支撑的节点可为绞接，立柱下端伸入桩基础可为刚接。开挖过程中立柱的受压计算长度应取上一道支撑中心线至开挖面以下5倍立柱截面高度；</w:t>
      </w:r>
    </w:p>
    <w:p w14:paraId="2EC8E928">
      <w:pPr>
        <w:ind w:firstLine="422" w:firstLineChars="200"/>
      </w:pPr>
      <w:r>
        <w:rPr>
          <w:b/>
        </w:rPr>
        <w:t>9</w:t>
      </w:r>
      <w:r>
        <w:rPr>
          <w:rFonts w:hint="eastAsia"/>
          <w:b/>
        </w:rPr>
        <w:t xml:space="preserve"> </w:t>
      </w:r>
      <w:r>
        <w:rPr>
          <w:rFonts w:hint="eastAsia"/>
        </w:rPr>
        <w:t xml:space="preserve"> </w:t>
      </w:r>
      <w:r>
        <w:t>临时立柱的长细比不宜大于25；</w:t>
      </w:r>
    </w:p>
    <w:p w14:paraId="6CA57EA4">
      <w:pPr>
        <w:ind w:firstLine="422" w:firstLineChars="200"/>
      </w:pPr>
      <w:r>
        <w:rPr>
          <w:b/>
        </w:rPr>
        <w:t>10</w:t>
      </w:r>
      <w:r>
        <w:rPr>
          <w:rFonts w:hint="eastAsia"/>
        </w:rPr>
        <w:t xml:space="preserve">  </w:t>
      </w:r>
      <w:r>
        <w:t>临时立柱柱列间宜设置剪刀撑等稳定构件；</w:t>
      </w:r>
    </w:p>
    <w:p w14:paraId="23F854FD">
      <w:pPr>
        <w:ind w:firstLine="422" w:firstLineChars="200"/>
      </w:pPr>
      <w:r>
        <w:rPr>
          <w:b/>
        </w:rPr>
        <w:t>11</w:t>
      </w:r>
      <w:r>
        <w:rPr>
          <w:rFonts w:hint="eastAsia"/>
        </w:rPr>
        <w:t xml:space="preserve">  </w:t>
      </w:r>
      <w:r>
        <w:t>临时立柱基础宜采用钻孔灌注桩，灌注桩桩径及桩长应满足承载力要求，且桩长不应小于3.0m；</w:t>
      </w:r>
    </w:p>
    <w:p w14:paraId="08E127AF">
      <w:pPr>
        <w:ind w:firstLine="422" w:firstLineChars="200"/>
      </w:pPr>
      <w:r>
        <w:rPr>
          <w:rFonts w:hint="eastAsia"/>
          <w:b/>
        </w:rPr>
        <w:t xml:space="preserve">12 </w:t>
      </w:r>
      <w:r>
        <w:t>立柱宜采用钢格构或型钢结构，插入桩基的长度应根据计算确定，插入长度不宜小于4倍立柱截面高度。</w:t>
      </w:r>
    </w:p>
    <w:p w14:paraId="40BC19C6">
      <w:pPr>
        <w:numPr>
          <w:ilvl w:val="2"/>
          <w:numId w:val="1"/>
        </w:numPr>
        <w:tabs>
          <w:tab w:val="left" w:pos="709"/>
          <w:tab w:val="left" w:pos="794"/>
        </w:tabs>
        <w:jc w:val="left"/>
        <w:outlineLvl w:val="2"/>
        <w:rPr>
          <w:bCs/>
        </w:rPr>
      </w:pPr>
      <w:r>
        <w:rPr>
          <w:bCs/>
        </w:rPr>
        <w:t>锚杆设计应满足下列要求：</w:t>
      </w:r>
    </w:p>
    <w:p w14:paraId="0B35996C">
      <w:pPr>
        <w:ind w:firstLine="422" w:firstLineChars="200"/>
      </w:pPr>
      <w:r>
        <w:rPr>
          <w:b/>
        </w:rPr>
        <w:t>1</w:t>
      </w:r>
      <w:r>
        <w:rPr>
          <w:rFonts w:hint="eastAsia"/>
        </w:rPr>
        <w:t xml:space="preserve">  </w:t>
      </w:r>
      <w:r>
        <w:t>锚杆宜按临时承载构件设计，设计</w:t>
      </w:r>
      <w:r>
        <w:rPr>
          <w:rFonts w:hint="eastAsia"/>
        </w:rPr>
        <w:t>工作</w:t>
      </w:r>
      <w:r>
        <w:t>年限不宜大于5年；</w:t>
      </w:r>
    </w:p>
    <w:p w14:paraId="224B8B91">
      <w:pPr>
        <w:ind w:firstLine="422" w:firstLineChars="200"/>
      </w:pPr>
      <w:r>
        <w:rPr>
          <w:b/>
        </w:rPr>
        <w:t>2</w:t>
      </w:r>
      <w:r>
        <w:rPr>
          <w:rFonts w:hint="eastAsia"/>
        </w:rPr>
        <w:t xml:space="preserve">  </w:t>
      </w:r>
      <w:r>
        <w:t>锚杆设计、施工与检测宜按现行行业标准《建筑基坑支护技术规程》JGJ120的相关规定执行；</w:t>
      </w:r>
    </w:p>
    <w:p w14:paraId="47361084">
      <w:pPr>
        <w:ind w:firstLine="422" w:firstLineChars="200"/>
      </w:pPr>
      <w:r>
        <w:rPr>
          <w:b/>
        </w:rPr>
        <w:t>3</w:t>
      </w:r>
      <w:r>
        <w:rPr>
          <w:rFonts w:hint="eastAsia"/>
          <w:b/>
        </w:rPr>
        <w:t xml:space="preserve"> </w:t>
      </w:r>
      <w:r>
        <w:rPr>
          <w:rFonts w:hint="eastAsia"/>
        </w:rPr>
        <w:t xml:space="preserve"> </w:t>
      </w:r>
      <w:r>
        <w:t>锚杆极限承载力计算时抗拔承载力安全系数不应小于1.6，锚杆的极限抗拔承载力标准值应通过抗拔试验确定，也可按公式估算，但应通过抗拔试验进行验证；</w:t>
      </w:r>
    </w:p>
    <w:p w14:paraId="002485CD">
      <w:pPr>
        <w:ind w:firstLine="422" w:firstLineChars="200"/>
      </w:pPr>
      <w:r>
        <w:rPr>
          <w:b/>
        </w:rPr>
        <w:t>4</w:t>
      </w:r>
      <w:r>
        <w:rPr>
          <w:rFonts w:hint="eastAsia"/>
          <w:b/>
        </w:rPr>
        <w:t xml:space="preserve"> </w:t>
      </w:r>
      <w:r>
        <w:rPr>
          <w:rFonts w:hint="eastAsia"/>
        </w:rPr>
        <w:t xml:space="preserve"> </w:t>
      </w:r>
      <w:r>
        <w:t>锚杆抗拔承载力检测值与轴向拉力标准值的比值不应小于1.3。</w:t>
      </w:r>
    </w:p>
    <w:p w14:paraId="142DC7E4">
      <w:pPr>
        <w:ind w:firstLine="422" w:firstLineChars="200"/>
      </w:pPr>
      <w:r>
        <w:rPr>
          <w:b/>
        </w:rPr>
        <w:t>5</w:t>
      </w:r>
      <w:r>
        <w:rPr>
          <w:rFonts w:hint="eastAsia"/>
          <w:b/>
        </w:rPr>
        <w:t xml:space="preserve"> </w:t>
      </w:r>
      <w:r>
        <w:rPr>
          <w:rFonts w:hint="eastAsia"/>
        </w:rPr>
        <w:t xml:space="preserve"> </w:t>
      </w:r>
      <w:r>
        <w:t>锚杆自由段的长度不应小于5.0m，且穿过潜在滑动面进入稳定土层的长度不应小于1.5m；土层锚杆锚固段不应设置在未经处理的软弱土层、不稳定土层和不良地质作用地段。</w:t>
      </w:r>
    </w:p>
    <w:p w14:paraId="3B5A3512">
      <w:pPr>
        <w:numPr>
          <w:ilvl w:val="2"/>
          <w:numId w:val="1"/>
        </w:numPr>
        <w:tabs>
          <w:tab w:val="left" w:pos="709"/>
          <w:tab w:val="left" w:pos="794"/>
        </w:tabs>
        <w:jc w:val="left"/>
        <w:outlineLvl w:val="2"/>
        <w:rPr>
          <w:bCs/>
        </w:rPr>
      </w:pPr>
      <w:r>
        <w:rPr>
          <w:bCs/>
        </w:rPr>
        <w:t>明挖法结构设计应符合下列规定：</w:t>
      </w:r>
    </w:p>
    <w:p w14:paraId="0EB2C113">
      <w:pPr>
        <w:ind w:firstLine="422" w:firstLineChars="200"/>
      </w:pPr>
      <w:r>
        <w:rPr>
          <w:b/>
        </w:rPr>
        <w:t>1</w:t>
      </w:r>
      <w:r>
        <w:rPr>
          <w:rFonts w:hint="eastAsia"/>
          <w:b/>
        </w:rPr>
        <w:t xml:space="preserve"> </w:t>
      </w:r>
      <w:r>
        <w:rPr>
          <w:rFonts w:hint="eastAsia"/>
        </w:rPr>
        <w:t xml:space="preserve"> </w:t>
      </w:r>
      <w:r>
        <w:t>明挖结构宜按底板支承在弹性地基上的结构计算，应根据不同支护形式、主体与支护结构的结合情况、底板下设置抗拔桩情况及施工要求确定相应的计算模型，并计入立柱和楼板的压缩变形、斜托和支座宽度的影响；</w:t>
      </w:r>
    </w:p>
    <w:p w14:paraId="7AA5B12B">
      <w:pPr>
        <w:ind w:firstLine="422" w:firstLineChars="200"/>
      </w:pPr>
      <w:r>
        <w:rPr>
          <w:b/>
        </w:rPr>
        <w:t>2</w:t>
      </w:r>
      <w:r>
        <w:rPr>
          <w:rFonts w:hint="eastAsia"/>
          <w:b/>
        </w:rPr>
        <w:t xml:space="preserve"> </w:t>
      </w:r>
      <w:r>
        <w:rPr>
          <w:rFonts w:hint="eastAsia"/>
        </w:rPr>
        <w:t xml:space="preserve"> </w:t>
      </w:r>
      <w:r>
        <w:t>桩墙支护结构与主体侧墙之间宜按复合结构设计。在使用阶段，主体结构计算应考虑支护结构的作用，水压力应作用在主体结构上，土压力应由支护和主体结构共同承担，并应考虑侧墙承受最大、最小侧压力两种荷载组合，支护结构应按100%和50%的刚度做包络设计；</w:t>
      </w:r>
    </w:p>
    <w:p w14:paraId="418AB276">
      <w:pPr>
        <w:ind w:firstLine="422" w:firstLineChars="200"/>
      </w:pPr>
      <w:r>
        <w:rPr>
          <w:b/>
        </w:rPr>
        <w:t>3</w:t>
      </w:r>
      <w:r>
        <w:rPr>
          <w:rFonts w:hint="eastAsia"/>
          <w:b/>
        </w:rPr>
        <w:t xml:space="preserve"> </w:t>
      </w:r>
      <w:r>
        <w:rPr>
          <w:rFonts w:hint="eastAsia"/>
        </w:rPr>
        <w:t xml:space="preserve"> </w:t>
      </w:r>
      <w:r>
        <w:t>顶板可按纯弯构件设计，底板、楼板及侧墙应按压弯构件设计，在内力计算中应考虑施工和使用期间竖向及水平向的最不利荷载工况进行包络设计；</w:t>
      </w:r>
    </w:p>
    <w:p w14:paraId="00ED2BD1">
      <w:pPr>
        <w:ind w:firstLine="422" w:firstLineChars="200"/>
      </w:pPr>
      <w:r>
        <w:rPr>
          <w:b/>
        </w:rPr>
        <w:t>4</w:t>
      </w:r>
      <w:r>
        <w:rPr>
          <w:rFonts w:hint="eastAsia"/>
        </w:rPr>
        <w:t xml:space="preserve">  </w:t>
      </w:r>
      <w:r>
        <w:t>明挖结构顶、底板宜避免设置反梁，反梁设计应按《轨道交通工程人民防空设计规范》RFJ02—2009附录C执行；</w:t>
      </w:r>
    </w:p>
    <w:p w14:paraId="25B6A753">
      <w:pPr>
        <w:ind w:firstLine="422" w:firstLineChars="200"/>
      </w:pPr>
      <w:r>
        <w:rPr>
          <w:b/>
        </w:rPr>
        <w:t>5</w:t>
      </w:r>
      <w:r>
        <w:rPr>
          <w:rFonts w:hint="eastAsia"/>
          <w:b/>
        </w:rPr>
        <w:t xml:space="preserve"> </w:t>
      </w:r>
      <w:r>
        <w:rPr>
          <w:rFonts w:hint="eastAsia"/>
        </w:rPr>
        <w:t xml:space="preserve"> </w:t>
      </w:r>
      <w:r>
        <w:t>抗拔桩应根据地层情况、受力大小等进行直桩、扩底桩等多种形式的技术经济比选，并应进行抗拔承载力、裂缝宽度验算，同时应满足耐久性要求。应</w:t>
      </w:r>
      <w:r>
        <w:rPr>
          <w:rFonts w:hint="eastAsia"/>
        </w:rPr>
        <w:t>符合</w:t>
      </w:r>
      <w:r>
        <w:t>现行</w:t>
      </w:r>
      <w:r>
        <w:rPr>
          <w:rFonts w:hint="eastAsia"/>
        </w:rPr>
        <w:t>行业标准</w:t>
      </w:r>
      <w:r>
        <w:t>《建筑基桩检测技术规范》JGJ106的相关规定，进行现场原位单桩竖向抗拔静载试验及桩身完整性检测。</w:t>
      </w:r>
    </w:p>
    <w:p w14:paraId="6B3DF00C">
      <w:pPr>
        <w:numPr>
          <w:ilvl w:val="2"/>
          <w:numId w:val="1"/>
        </w:numPr>
        <w:tabs>
          <w:tab w:val="left" w:pos="709"/>
          <w:tab w:val="left" w:pos="794"/>
        </w:tabs>
        <w:jc w:val="left"/>
        <w:outlineLvl w:val="2"/>
        <w:rPr>
          <w:bCs/>
        </w:rPr>
      </w:pPr>
      <w:r>
        <w:rPr>
          <w:rFonts w:hint="eastAsia"/>
          <w:bCs/>
        </w:rPr>
        <w:t>预制装配式结构设计应符合下列规定：</w:t>
      </w:r>
    </w:p>
    <w:p w14:paraId="422ED9FC">
      <w:pPr>
        <w:spacing w:before="86" w:line="299" w:lineRule="auto"/>
        <w:ind w:left="8" w:right="74" w:firstLine="432"/>
        <w:rPr>
          <w:rFonts w:ascii="宋体" w:hAnsi="宋体" w:cs="宋体"/>
          <w:spacing w:val="-1"/>
          <w:szCs w:val="20"/>
        </w:rPr>
      </w:pPr>
      <w:r>
        <w:rPr>
          <w:rFonts w:hint="eastAsia" w:ascii="宋体" w:hAnsi="宋体" w:cs="宋体"/>
          <w:b/>
          <w:spacing w:val="-1"/>
          <w:szCs w:val="20"/>
        </w:rPr>
        <w:t>1</w:t>
      </w:r>
      <w:r>
        <w:rPr>
          <w:rFonts w:hint="eastAsia" w:ascii="宋体" w:hAnsi="宋体" w:cs="宋体"/>
          <w:spacing w:val="-1"/>
          <w:szCs w:val="20"/>
        </w:rPr>
        <w:t xml:space="preserve">  预制装配式结构设计应遵循通用化、模数化及标准化原则；</w:t>
      </w:r>
    </w:p>
    <w:p w14:paraId="1A6D5DB5">
      <w:pPr>
        <w:spacing w:before="86" w:line="299" w:lineRule="auto"/>
        <w:ind w:left="8" w:right="74" w:firstLine="432"/>
        <w:rPr>
          <w:rFonts w:ascii="宋体" w:hAnsi="宋体" w:cs="宋体"/>
          <w:spacing w:val="-1"/>
          <w:szCs w:val="20"/>
        </w:rPr>
      </w:pPr>
      <w:r>
        <w:rPr>
          <w:rFonts w:hint="eastAsia" w:ascii="宋体" w:hAnsi="宋体" w:cs="宋体"/>
          <w:b/>
          <w:spacing w:val="-1"/>
          <w:szCs w:val="20"/>
        </w:rPr>
        <w:t>2</w:t>
      </w:r>
      <w:r>
        <w:rPr>
          <w:rFonts w:hint="eastAsia" w:ascii="宋体" w:hAnsi="宋体" w:cs="宋体"/>
          <w:spacing w:val="-1"/>
          <w:szCs w:val="20"/>
        </w:rPr>
        <w:t xml:space="preserve">  </w:t>
      </w:r>
      <w:r>
        <w:rPr>
          <w:rFonts w:ascii="宋体" w:hAnsi="宋体" w:cs="宋体"/>
          <w:spacing w:val="-1"/>
          <w:szCs w:val="20"/>
        </w:rPr>
        <w:t>装配式衬砌结构宜采用钢筋混凝土结构，</w:t>
      </w:r>
      <w:r>
        <w:rPr>
          <w:rFonts w:hint="eastAsia" w:ascii="宋体" w:hAnsi="宋体" w:cs="宋体"/>
          <w:spacing w:val="-1"/>
          <w:szCs w:val="20"/>
        </w:rPr>
        <w:t>特殊部位如侧墙出入口开洞、楼板楼扶梯开洞等部位</w:t>
      </w:r>
      <w:r>
        <w:rPr>
          <w:rFonts w:ascii="宋体" w:hAnsi="宋体" w:cs="宋体"/>
          <w:spacing w:val="-1"/>
          <w:szCs w:val="20"/>
        </w:rPr>
        <w:t>可采用钢筋混凝土结构或型钢混凝土组合结构</w:t>
      </w:r>
      <w:r>
        <w:rPr>
          <w:rFonts w:hint="eastAsia" w:ascii="宋体" w:hAnsi="宋体" w:cs="宋体"/>
          <w:spacing w:val="-1"/>
          <w:szCs w:val="20"/>
        </w:rPr>
        <w:t>；</w:t>
      </w:r>
    </w:p>
    <w:p w14:paraId="70B0B554">
      <w:pPr>
        <w:spacing w:before="86" w:line="299" w:lineRule="auto"/>
        <w:ind w:left="8" w:right="74" w:firstLine="432"/>
        <w:rPr>
          <w:rFonts w:ascii="宋体" w:hAnsi="宋体" w:cs="宋体"/>
          <w:spacing w:val="16"/>
          <w:szCs w:val="20"/>
        </w:rPr>
      </w:pPr>
      <w:r>
        <w:rPr>
          <w:rFonts w:hint="eastAsia" w:eastAsia="等线"/>
          <w:b/>
          <w:spacing w:val="16"/>
          <w:szCs w:val="20"/>
        </w:rPr>
        <w:t>3</w:t>
      </w:r>
      <w:r>
        <w:rPr>
          <w:rFonts w:hint="eastAsia" w:eastAsia="Arial"/>
          <w:spacing w:val="16"/>
          <w:szCs w:val="20"/>
        </w:rPr>
        <w:t xml:space="preserve"> </w:t>
      </w:r>
      <w:r>
        <w:rPr>
          <w:rFonts w:hint="eastAsia" w:eastAsiaTheme="minorEastAsia"/>
          <w:spacing w:val="16"/>
          <w:szCs w:val="20"/>
        </w:rPr>
        <w:t xml:space="preserve"> </w:t>
      </w:r>
      <w:r>
        <w:rPr>
          <w:rFonts w:hint="eastAsia" w:ascii="宋体" w:hAnsi="宋体" w:cs="宋体"/>
          <w:spacing w:val="16"/>
          <w:szCs w:val="20"/>
        </w:rPr>
        <w:t>装配式衬砌结构分块尺寸及接头位置应结合结构受力特性、构件生产、运输、吊运及拼装等要求确定。接头可采用</w:t>
      </w:r>
      <w:r>
        <w:rPr>
          <w:rFonts w:hint="eastAsia" w:ascii="宋体" w:hAnsi="宋体" w:cs="宋体"/>
          <w:spacing w:val="-1"/>
          <w:szCs w:val="20"/>
        </w:rPr>
        <w:t>柔性接头或刚性接头，接头工艺可采用干式连接或湿式连接，满足结构承载力、变形、防水性能和耐久性要求；</w:t>
      </w:r>
    </w:p>
    <w:p w14:paraId="462949C8">
      <w:pPr>
        <w:spacing w:before="86" w:line="299" w:lineRule="auto"/>
        <w:ind w:left="8" w:right="74" w:firstLine="432"/>
        <w:rPr>
          <w:rFonts w:ascii="宋体" w:hAnsi="宋体" w:cs="宋体"/>
          <w:spacing w:val="-1"/>
          <w:szCs w:val="20"/>
        </w:rPr>
      </w:pPr>
      <w:r>
        <w:rPr>
          <w:rFonts w:hint="eastAsia" w:eastAsia="等线"/>
          <w:b/>
          <w:spacing w:val="16"/>
          <w:szCs w:val="20"/>
        </w:rPr>
        <w:t>4</w:t>
      </w:r>
      <w:r>
        <w:rPr>
          <w:rFonts w:hint="eastAsia" w:ascii="宋体" w:hAnsi="宋体" w:cs="宋体"/>
          <w:b/>
          <w:spacing w:val="-1"/>
          <w:szCs w:val="20"/>
        </w:rPr>
        <w:t xml:space="preserve"> </w:t>
      </w:r>
      <w:r>
        <w:rPr>
          <w:rFonts w:hint="eastAsia" w:ascii="宋体" w:hAnsi="宋体" w:cs="宋体"/>
          <w:spacing w:val="-1"/>
          <w:szCs w:val="20"/>
        </w:rPr>
        <w:t xml:space="preserve"> 预制装配式结构的受力分析应满足全过程施工和使用期间各工况作用下的承载能力极限状态和正常使用极限状态计算，并根据实际受力状况及接头刚度确定合理的计算模型；</w:t>
      </w:r>
    </w:p>
    <w:p w14:paraId="390057A5">
      <w:pPr>
        <w:spacing w:before="86" w:line="299" w:lineRule="auto"/>
        <w:ind w:left="8" w:right="74" w:firstLine="432"/>
        <w:rPr>
          <w:rFonts w:ascii="宋体" w:hAnsi="宋体" w:cs="宋体"/>
          <w:spacing w:val="16"/>
          <w:szCs w:val="20"/>
        </w:rPr>
      </w:pPr>
      <w:r>
        <w:rPr>
          <w:rFonts w:hint="eastAsia" w:eastAsia="等线"/>
          <w:b/>
          <w:spacing w:val="16"/>
          <w:szCs w:val="20"/>
        </w:rPr>
        <w:t xml:space="preserve">5 </w:t>
      </w:r>
      <w:r>
        <w:rPr>
          <w:rFonts w:hint="eastAsia" w:eastAsia="Arial"/>
          <w:spacing w:val="16"/>
          <w:szCs w:val="20"/>
        </w:rPr>
        <w:t xml:space="preserve"> </w:t>
      </w:r>
      <w:r>
        <w:rPr>
          <w:rFonts w:hint="eastAsia" w:ascii="宋体" w:hAnsi="宋体" w:cs="宋体"/>
          <w:spacing w:val="16"/>
          <w:szCs w:val="20"/>
        </w:rPr>
        <w:t>基坑内净空尺寸及支撑体系应满足预制装配式结构施工工艺要求；</w:t>
      </w:r>
    </w:p>
    <w:p w14:paraId="5D2F348C">
      <w:pPr>
        <w:numPr>
          <w:ilvl w:val="2"/>
          <w:numId w:val="1"/>
        </w:numPr>
        <w:tabs>
          <w:tab w:val="left" w:pos="709"/>
          <w:tab w:val="left" w:pos="794"/>
        </w:tabs>
        <w:jc w:val="left"/>
        <w:outlineLvl w:val="2"/>
        <w:rPr>
          <w:bCs/>
        </w:rPr>
      </w:pPr>
      <w:r>
        <w:rPr>
          <w:bCs/>
        </w:rPr>
        <w:t>盖挖逆作法结构设计除应满足第1</w:t>
      </w:r>
      <w:r>
        <w:rPr>
          <w:rFonts w:hint="eastAsia"/>
          <w:bCs/>
        </w:rPr>
        <w:t>2</w:t>
      </w:r>
      <w:r>
        <w:rPr>
          <w:bCs/>
        </w:rPr>
        <w:t>.4.7条的有关要求外，尚应符合下列规定：</w:t>
      </w:r>
    </w:p>
    <w:p w14:paraId="76FFD65E">
      <w:pPr>
        <w:ind w:firstLine="422" w:firstLineChars="200"/>
      </w:pPr>
      <w:r>
        <w:rPr>
          <w:b/>
        </w:rPr>
        <w:t>1</w:t>
      </w:r>
      <w:r>
        <w:rPr>
          <w:rFonts w:hint="eastAsia"/>
          <w:b/>
        </w:rPr>
        <w:t xml:space="preserve"> </w:t>
      </w:r>
      <w:r>
        <w:rPr>
          <w:rFonts w:hint="eastAsia"/>
        </w:rPr>
        <w:t xml:space="preserve"> </w:t>
      </w:r>
      <w:r>
        <w:t>盖挖逆作法结构及基坑支护结构应根据各施工步序按增量法进行内力计算，基坑桩墙支护应按压弯构件设计；</w:t>
      </w:r>
    </w:p>
    <w:p w14:paraId="4FCFC97C">
      <w:pPr>
        <w:ind w:firstLine="422" w:firstLineChars="200"/>
      </w:pPr>
      <w:r>
        <w:rPr>
          <w:b/>
        </w:rPr>
        <w:t>2</w:t>
      </w:r>
      <w:r>
        <w:rPr>
          <w:rFonts w:hint="eastAsia"/>
          <w:b/>
        </w:rPr>
        <w:t xml:space="preserve"> </w:t>
      </w:r>
      <w:r>
        <w:rPr>
          <w:rFonts w:hint="eastAsia"/>
        </w:rPr>
        <w:t xml:space="preserve"> </w:t>
      </w:r>
      <w:r>
        <w:t>宜采用永久结构柱作为中间竖向支撑构件，中间立柱可采用钢管混凝土柱或型钢柱；柱下基础宜采用桩基础，桩基础的形式应根据地层特性、受力大小进行技术经济比选后确定，可采用直桩、扩底桩等形式</w:t>
      </w:r>
      <w:r>
        <w:rPr>
          <w:rFonts w:hint="eastAsia"/>
        </w:rPr>
        <w:t>，桩基础宜采用后注浆技术，扩底桩优先采用全液压可视可控技术</w:t>
      </w:r>
      <w:r>
        <w:t>。确有技术、经济依据时，柱下基础也可采用条形基础；</w:t>
      </w:r>
    </w:p>
    <w:p w14:paraId="71718544">
      <w:pPr>
        <w:ind w:firstLine="422" w:firstLineChars="200"/>
      </w:pPr>
      <w:r>
        <w:rPr>
          <w:b/>
        </w:rPr>
        <w:t>3</w:t>
      </w:r>
      <w:r>
        <w:rPr>
          <w:rFonts w:hint="eastAsia"/>
          <w:b/>
        </w:rPr>
        <w:t xml:space="preserve"> </w:t>
      </w:r>
      <w:r>
        <w:rPr>
          <w:rFonts w:hint="eastAsia"/>
        </w:rPr>
        <w:t xml:space="preserve"> </w:t>
      </w:r>
      <w:r>
        <w:t>应采取严格控制施工过程中基坑支护结构与中间桩基的相对升沉的措施。施作结构底板前，相</w:t>
      </w:r>
    </w:p>
    <w:p w14:paraId="2B127F22">
      <w:r>
        <w:t>对升沉的累计值不得大于0.003L(L为边墙和立柱轴线间的距离)，同时也不宜大于20mm，并在结构分析中计入其影响；</w:t>
      </w:r>
    </w:p>
    <w:p w14:paraId="7FA417E2">
      <w:pPr>
        <w:ind w:firstLine="422" w:firstLineChars="200"/>
      </w:pPr>
      <w:r>
        <w:rPr>
          <w:b/>
        </w:rPr>
        <w:t>4</w:t>
      </w:r>
      <w:r>
        <w:rPr>
          <w:rFonts w:hint="eastAsia"/>
          <w:b/>
        </w:rPr>
        <w:t xml:space="preserve">  </w:t>
      </w:r>
      <w:r>
        <w:t>作为永久结构使用的中间立柱的设计，应严格控制立柱的就位精度，允许定位偏差不应大于20mm，垂直度偏差不宜大于1/500；在立柱的设计中应根据施工允许偏差计入偏心对承载能力的影响。立柱定位应采用施工安全快捷、技术成熟的机械定位方法。立柱就位后应及时将钻孔与柱子之间的孔隙填实；</w:t>
      </w:r>
    </w:p>
    <w:p w14:paraId="553545D1">
      <w:pPr>
        <w:ind w:firstLine="422" w:firstLineChars="200"/>
      </w:pPr>
      <w:r>
        <w:rPr>
          <w:b/>
        </w:rPr>
        <w:t>5</w:t>
      </w:r>
      <w:r>
        <w:rPr>
          <w:rFonts w:hint="eastAsia"/>
          <w:b/>
        </w:rPr>
        <w:t xml:space="preserve"> </w:t>
      </w:r>
      <w:r>
        <w:rPr>
          <w:rFonts w:hint="eastAsia"/>
        </w:rPr>
        <w:t xml:space="preserve"> </w:t>
      </w:r>
      <w:r>
        <w:t>钢管柱或型钢柱上柱脚与顶梁的连接宜采用端承式形式，立柱与顶梁之间的约束作用应为铰接，并应验算顶梁与立柱连接处的局部受压强度，必要时用钢筋网对局部受压区进行加固；</w:t>
      </w:r>
    </w:p>
    <w:p w14:paraId="77C4418F">
      <w:pPr>
        <w:ind w:firstLine="422" w:firstLineChars="200"/>
      </w:pPr>
      <w:r>
        <w:rPr>
          <w:b/>
        </w:rPr>
        <w:t>6</w:t>
      </w:r>
      <w:r>
        <w:rPr>
          <w:rFonts w:hint="eastAsia"/>
          <w:b/>
        </w:rPr>
        <w:t xml:space="preserve"> </w:t>
      </w:r>
      <w:r>
        <w:rPr>
          <w:rFonts w:hint="eastAsia"/>
        </w:rPr>
        <w:t xml:space="preserve"> </w:t>
      </w:r>
      <w:r>
        <w:t>钢管柱或型钢柱下柱脚与桩基础的连接应采用插入式形式，立柱插入桩基的长度应根据计算确定，并应采取一定的构造措施，插入长度不宜小于2倍立柱截面高度或直径。立柱与桩基础之间的约束作用应为刚接；</w:t>
      </w:r>
    </w:p>
    <w:p w14:paraId="3F13F499">
      <w:pPr>
        <w:ind w:firstLine="422" w:firstLineChars="200"/>
      </w:pPr>
      <w:r>
        <w:rPr>
          <w:b/>
        </w:rPr>
        <w:t>7</w:t>
      </w:r>
      <w:r>
        <w:rPr>
          <w:rFonts w:hint="eastAsia"/>
          <w:b/>
        </w:rPr>
        <w:t xml:space="preserve"> </w:t>
      </w:r>
      <w:r>
        <w:rPr>
          <w:rFonts w:hint="eastAsia"/>
        </w:rPr>
        <w:t xml:space="preserve"> </w:t>
      </w:r>
      <w:r>
        <w:t>端承式柱脚宜在钢管混凝土内配置竖向短钢筋笼，分别锚入钢管混凝土及纵梁结构内，锚固长度不宜小于35d，并按配有竖向钢筋笼的钢管混凝土进行局部受压承载力计算，钢筋笼配筋率不宜小于构造配筋率；</w:t>
      </w:r>
    </w:p>
    <w:p w14:paraId="7B9B6FEA">
      <w:pPr>
        <w:ind w:firstLine="422" w:firstLineChars="200"/>
      </w:pPr>
      <w:r>
        <w:rPr>
          <w:b/>
        </w:rPr>
        <w:t>8</w:t>
      </w:r>
      <w:r>
        <w:rPr>
          <w:rFonts w:hint="eastAsia"/>
          <w:b/>
        </w:rPr>
        <w:t xml:space="preserve"> </w:t>
      </w:r>
      <w:r>
        <w:rPr>
          <w:rFonts w:hint="eastAsia"/>
        </w:rPr>
        <w:t xml:space="preserve"> </w:t>
      </w:r>
      <w:r>
        <w:t>钢管柱或型钢柱与中楼板梁的连接节点设计应满足梁端的剪力传递和弯矩传递要求，连接形式宜采用环形牛腿+双梁的结构形式；</w:t>
      </w:r>
    </w:p>
    <w:p w14:paraId="15215826">
      <w:pPr>
        <w:ind w:firstLine="422" w:firstLineChars="200"/>
      </w:pPr>
      <w:r>
        <w:rPr>
          <w:b/>
        </w:rPr>
        <w:t>9</w:t>
      </w:r>
      <w:r>
        <w:rPr>
          <w:rFonts w:hint="eastAsia"/>
        </w:rPr>
        <w:t xml:space="preserve">  </w:t>
      </w:r>
      <w:r>
        <w:t>立柱计算长度应根据施工过程和使用阶段各层结构对柱子的约束情况及柱身的实际工作状态确定，并应按无侧限框架及上、下柱脚的约束条件确定各项长度系数；</w:t>
      </w:r>
    </w:p>
    <w:p w14:paraId="3B3F7243">
      <w:pPr>
        <w:ind w:firstLine="422" w:firstLineChars="200"/>
      </w:pPr>
      <w:r>
        <w:rPr>
          <w:rFonts w:hint="eastAsia"/>
          <w:b/>
        </w:rPr>
        <w:t xml:space="preserve">10 </w:t>
      </w:r>
      <w:r>
        <w:rPr>
          <w:rFonts w:hint="eastAsia"/>
        </w:rPr>
        <w:t xml:space="preserve"> 临时立柱安装宜采用机械插入法施工。</w:t>
      </w:r>
    </w:p>
    <w:p w14:paraId="0C0F409F">
      <w:pPr>
        <w:ind w:firstLine="422" w:firstLineChars="200"/>
      </w:pPr>
      <w:r>
        <w:rPr>
          <w:b/>
        </w:rPr>
        <w:t>1</w:t>
      </w:r>
      <w:r>
        <w:rPr>
          <w:rFonts w:hint="eastAsia"/>
          <w:b/>
        </w:rPr>
        <w:t xml:space="preserve">1  </w:t>
      </w:r>
      <w:r>
        <w:rPr>
          <w:rFonts w:hint="eastAsia"/>
        </w:rPr>
        <w:t>中间立柱</w:t>
      </w:r>
      <w:r>
        <w:t>桩基础应</w:t>
      </w:r>
      <w:r>
        <w:rPr>
          <w:rFonts w:hint="eastAsia"/>
        </w:rPr>
        <w:t>符合</w:t>
      </w:r>
      <w:r>
        <w:t>现行</w:t>
      </w:r>
      <w:r>
        <w:rPr>
          <w:rFonts w:hint="eastAsia"/>
        </w:rPr>
        <w:t>行业标准</w:t>
      </w:r>
      <w:r>
        <w:t>《建筑基桩检测技术规范》JGJ106的</w:t>
      </w:r>
      <w:r>
        <w:rPr>
          <w:rFonts w:hint="eastAsia"/>
        </w:rPr>
        <w:t>规定</w:t>
      </w:r>
      <w:r>
        <w:t>，进行现场原位单桩竖向抗压静载试验，并应对桩身完整性逐根进行检查。桩基础的垂直承载能力宜根据理论计算和现场原位静载试验结果按变形要求进行修正。</w:t>
      </w:r>
    </w:p>
    <w:p w14:paraId="402EC3CB">
      <w:pPr>
        <w:numPr>
          <w:ilvl w:val="1"/>
          <w:numId w:val="1"/>
        </w:numPr>
        <w:snapToGrid w:val="0"/>
        <w:spacing w:before="156" w:after="156" w:line="240" w:lineRule="auto"/>
        <w:jc w:val="center"/>
        <w:outlineLvl w:val="1"/>
        <w:rPr>
          <w:rFonts w:eastAsia="黑体"/>
          <w:bCs/>
          <w:szCs w:val="28"/>
        </w:rPr>
      </w:pPr>
      <w:bookmarkStart w:id="778" w:name="_Toc183790548"/>
      <w:bookmarkStart w:id="779" w:name="_Toc183882471"/>
      <w:bookmarkStart w:id="780" w:name="_Toc183765118"/>
      <w:bookmarkStart w:id="781" w:name="_Toc183888161"/>
      <w:bookmarkStart w:id="782" w:name="_Toc183888523"/>
      <w:bookmarkStart w:id="783" w:name="_Toc183882109"/>
      <w:r>
        <w:rPr>
          <w:rFonts w:eastAsia="黑体"/>
          <w:bCs/>
          <w:szCs w:val="28"/>
        </w:rPr>
        <w:t>矿山法结构设计</w:t>
      </w:r>
      <w:bookmarkEnd w:id="778"/>
      <w:bookmarkEnd w:id="779"/>
      <w:bookmarkEnd w:id="780"/>
      <w:bookmarkEnd w:id="781"/>
      <w:bookmarkEnd w:id="782"/>
      <w:bookmarkEnd w:id="783"/>
    </w:p>
    <w:p w14:paraId="5D1A06C8">
      <w:pPr>
        <w:numPr>
          <w:ilvl w:val="2"/>
          <w:numId w:val="1"/>
        </w:numPr>
        <w:tabs>
          <w:tab w:val="left" w:pos="709"/>
          <w:tab w:val="left" w:pos="794"/>
        </w:tabs>
        <w:jc w:val="left"/>
        <w:outlineLvl w:val="2"/>
        <w:rPr>
          <w:bCs/>
        </w:rPr>
      </w:pPr>
      <w:r>
        <w:rPr>
          <w:bCs/>
        </w:rPr>
        <w:t>矿山法结构选型应符合下列规定：</w:t>
      </w:r>
    </w:p>
    <w:p w14:paraId="4A82FDCC">
      <w:pPr>
        <w:ind w:firstLine="422" w:firstLineChars="200"/>
      </w:pPr>
      <w:r>
        <w:rPr>
          <w:b/>
        </w:rPr>
        <w:t>1</w:t>
      </w:r>
      <w:r>
        <w:rPr>
          <w:rFonts w:hint="eastAsia"/>
          <w:b/>
        </w:rPr>
        <w:t xml:space="preserve"> </w:t>
      </w:r>
      <w:r>
        <w:rPr>
          <w:rFonts w:hint="eastAsia"/>
        </w:rPr>
        <w:t xml:space="preserve"> </w:t>
      </w:r>
      <w:r>
        <w:t>矿山法结构宜采用封闭的圆顺曲线形结构型式，侧墙可采用曲墙或直墙型式，底板可采用平底板或仰拱型式，在无条件起拱等特殊情况下也可采用平顶结构；</w:t>
      </w:r>
    </w:p>
    <w:p w14:paraId="1E4F5E77">
      <w:pPr>
        <w:ind w:firstLine="422" w:firstLineChars="200"/>
      </w:pPr>
      <w:r>
        <w:rPr>
          <w:b/>
        </w:rPr>
        <w:t>2</w:t>
      </w:r>
      <w:r>
        <w:rPr>
          <w:rFonts w:hint="eastAsia"/>
        </w:rPr>
        <w:t xml:space="preserve">  </w:t>
      </w:r>
      <w:r>
        <w:t>矿山法结构应采用复合式衬砌型式，并应在内外层衬砌之间铺设全包防水层。初期支护宜采用钢拱架喷射混凝土，二次衬砌宜采用模筑钢筋混凝土。</w:t>
      </w:r>
    </w:p>
    <w:p w14:paraId="65E7CF86">
      <w:pPr>
        <w:numPr>
          <w:ilvl w:val="2"/>
          <w:numId w:val="1"/>
        </w:numPr>
        <w:tabs>
          <w:tab w:val="left" w:pos="709"/>
          <w:tab w:val="left" w:pos="794"/>
        </w:tabs>
        <w:jc w:val="left"/>
        <w:outlineLvl w:val="2"/>
        <w:rPr>
          <w:bCs/>
        </w:rPr>
      </w:pPr>
      <w:r>
        <w:rPr>
          <w:bCs/>
        </w:rPr>
        <w:t>矿山法隧道施工方法的确定应遵循下列原则：</w:t>
      </w:r>
    </w:p>
    <w:p w14:paraId="09112EC9">
      <w:pPr>
        <w:pStyle w:val="7"/>
        <w:ind w:firstLine="420"/>
      </w:pPr>
      <w:r>
        <w:t>应根据工程地质及水文地质条件、断面大小、埋置深度、环境条件等，并考虑安全、工期、经济等因素选择合适的隧道施工方法，遵循“管超前、严注浆、短开挖、强支护、快封闭、勤量测”的基本原则；</w:t>
      </w:r>
    </w:p>
    <w:p w14:paraId="733C8618">
      <w:pPr>
        <w:ind w:firstLine="422" w:firstLineChars="200"/>
      </w:pPr>
      <w:r>
        <w:rPr>
          <w:b/>
        </w:rPr>
        <w:t>2</w:t>
      </w:r>
      <w:r>
        <w:rPr>
          <w:rFonts w:hint="eastAsia"/>
          <w:b/>
        </w:rPr>
        <w:t xml:space="preserve"> </w:t>
      </w:r>
      <w:r>
        <w:rPr>
          <w:rFonts w:hint="eastAsia"/>
        </w:rPr>
        <w:t xml:space="preserve"> </w:t>
      </w:r>
      <w:r>
        <w:t>单洞隧道宜采用全断面法、台阶法、预留核心土法、中隔壁法、交叉中隔壁法、双侧壁导坑法施工；单层多跨结构宜采用中洞法、侧洞法、柱洞法施工；多层结构宜采用洞桩(柱)逆作法</w:t>
      </w:r>
      <w:r>
        <w:rPr>
          <w:rFonts w:hint="eastAsia"/>
        </w:rPr>
        <w:t>、</w:t>
      </w:r>
      <w:r>
        <w:t>一次扣拱法，当周边环境对施工引起的地层沉降要求不高时也可采用中洞法、侧洞法、柱洞法施工；</w:t>
      </w:r>
    </w:p>
    <w:p w14:paraId="73F145F2">
      <w:pPr>
        <w:ind w:firstLine="422" w:firstLineChars="200"/>
      </w:pPr>
      <w:r>
        <w:rPr>
          <w:b/>
        </w:rPr>
        <w:t>3</w:t>
      </w:r>
      <w:r>
        <w:rPr>
          <w:rFonts w:hint="eastAsia"/>
          <w:b/>
        </w:rPr>
        <w:t xml:space="preserve"> </w:t>
      </w:r>
      <w:r>
        <w:rPr>
          <w:rFonts w:hint="eastAsia"/>
        </w:rPr>
        <w:t xml:space="preserve"> </w:t>
      </w:r>
      <w:r>
        <w:t>矿山法隧道施工应在无地下水的条件下进行，当地下水位较高且缺少降水实施条件时，应采取对地层进行止水处理的措施；</w:t>
      </w:r>
    </w:p>
    <w:p w14:paraId="0A153F3E">
      <w:pPr>
        <w:ind w:firstLine="422" w:firstLineChars="200"/>
      </w:pPr>
      <w:r>
        <w:rPr>
          <w:b/>
        </w:rPr>
        <w:t>4</w:t>
      </w:r>
      <w:r>
        <w:rPr>
          <w:rFonts w:hint="eastAsia"/>
          <w:b/>
        </w:rPr>
        <w:t xml:space="preserve"> </w:t>
      </w:r>
      <w:r>
        <w:rPr>
          <w:rFonts w:hint="eastAsia"/>
        </w:rPr>
        <w:t xml:space="preserve"> </w:t>
      </w:r>
      <w:r>
        <w:t>矿山法隧道施工应根据具体情况采用一种或几种施工辅助措施，可选择的辅助措施有超前小导管支护、管棚支护、锁脚锚管、临时仰拱、掌子面喷射混凝土封闭、地层注浆加固等。</w:t>
      </w:r>
    </w:p>
    <w:p w14:paraId="6C27D768">
      <w:pPr>
        <w:numPr>
          <w:ilvl w:val="2"/>
          <w:numId w:val="1"/>
        </w:numPr>
        <w:tabs>
          <w:tab w:val="left" w:pos="709"/>
          <w:tab w:val="left" w:pos="794"/>
        </w:tabs>
        <w:jc w:val="left"/>
        <w:outlineLvl w:val="2"/>
        <w:rPr>
          <w:bCs/>
        </w:rPr>
      </w:pPr>
      <w:r>
        <w:rPr>
          <w:bCs/>
        </w:rPr>
        <w:t>矿山法结构设计计算应遵循下列原则：</w:t>
      </w:r>
    </w:p>
    <w:p w14:paraId="4F7F9F3A">
      <w:pPr>
        <w:ind w:firstLine="422" w:firstLineChars="200"/>
      </w:pPr>
      <w:r>
        <w:rPr>
          <w:b/>
        </w:rPr>
        <w:t>1</w:t>
      </w:r>
      <w:r>
        <w:rPr>
          <w:rFonts w:hint="eastAsia"/>
          <w:b/>
        </w:rPr>
        <w:t xml:space="preserve"> </w:t>
      </w:r>
      <w:r>
        <w:rPr>
          <w:rFonts w:hint="eastAsia"/>
        </w:rPr>
        <w:t xml:space="preserve"> </w:t>
      </w:r>
      <w:r>
        <w:t>矿山法结构设计应以理论计算为基础，结合工程类比法确定结构设计参数，并采用信息化设计，根据现场监控量测反馈信息，经分析及时调整设计参数；</w:t>
      </w:r>
    </w:p>
    <w:p w14:paraId="6E0C4404">
      <w:pPr>
        <w:ind w:firstLine="422" w:firstLineChars="200"/>
      </w:pPr>
      <w:r>
        <w:rPr>
          <w:b/>
        </w:rPr>
        <w:t>2</w:t>
      </w:r>
      <w:r>
        <w:rPr>
          <w:rFonts w:hint="eastAsia"/>
          <w:b/>
        </w:rPr>
        <w:t xml:space="preserve"> </w:t>
      </w:r>
      <w:r>
        <w:rPr>
          <w:rFonts w:hint="eastAsia"/>
        </w:rPr>
        <w:t xml:space="preserve"> </w:t>
      </w:r>
      <w:r>
        <w:t>初期支护应按承受施工期间全部荷载的承载结构设计，有类似成熟经验或成功案例时，其设计参数以工程类比法为主确定；当无经验可以类比及超浅埋、大跨度、围岩或环境条件复杂、形式特殊的结构，宜通过理论计算进行检算；</w:t>
      </w:r>
    </w:p>
    <w:p w14:paraId="679A4663">
      <w:pPr>
        <w:ind w:firstLine="422" w:firstLineChars="200"/>
      </w:pPr>
      <w:r>
        <w:rPr>
          <w:b/>
        </w:rPr>
        <w:t>3</w:t>
      </w:r>
      <w:r>
        <w:rPr>
          <w:rFonts w:hint="eastAsia"/>
          <w:b/>
        </w:rPr>
        <w:t xml:space="preserve"> </w:t>
      </w:r>
      <w:r>
        <w:rPr>
          <w:rFonts w:hint="eastAsia"/>
        </w:rPr>
        <w:t xml:space="preserve"> </w:t>
      </w:r>
      <w:r>
        <w:t>二次衬砌应按承受使用期间全部荷载的承载结构设计，并按“荷载－结构”模型进行结构内力和变形计算分析，根据受力和构造要求配置钢筋，最小配筋率不得小于构造配筋率；</w:t>
      </w:r>
    </w:p>
    <w:p w14:paraId="248B2466">
      <w:pPr>
        <w:ind w:firstLine="422" w:firstLineChars="200"/>
      </w:pPr>
      <w:r>
        <w:rPr>
          <w:b/>
        </w:rPr>
        <w:t>4</w:t>
      </w:r>
      <w:r>
        <w:rPr>
          <w:rFonts w:hint="eastAsia"/>
          <w:b/>
        </w:rPr>
        <w:t xml:space="preserve"> </w:t>
      </w:r>
      <w:r>
        <w:rPr>
          <w:rFonts w:hint="eastAsia"/>
        </w:rPr>
        <w:t xml:space="preserve"> </w:t>
      </w:r>
      <w:r>
        <w:t>初期支护或二次衬砌在施工过程中受力体系、荷载形式等有变化时，应根据构件的施作顺序及受力条件，按结构的实际受载过程进行分析，考虑结构体系变形的连续性；</w:t>
      </w:r>
    </w:p>
    <w:p w14:paraId="09002E21">
      <w:pPr>
        <w:ind w:firstLine="422" w:firstLineChars="200"/>
      </w:pPr>
      <w:r>
        <w:rPr>
          <w:b/>
        </w:rPr>
        <w:t>5</w:t>
      </w:r>
      <w:r>
        <w:rPr>
          <w:rFonts w:hint="eastAsia"/>
          <w:b/>
        </w:rPr>
        <w:t xml:space="preserve">  </w:t>
      </w:r>
      <w:r>
        <w:t>车站结构、复杂大断面区间或风道结构，宜进行必要的数值模拟分析。</w:t>
      </w:r>
    </w:p>
    <w:p w14:paraId="66F66FFE">
      <w:pPr>
        <w:numPr>
          <w:ilvl w:val="2"/>
          <w:numId w:val="1"/>
        </w:numPr>
        <w:tabs>
          <w:tab w:val="left" w:pos="709"/>
          <w:tab w:val="left" w:pos="794"/>
        </w:tabs>
        <w:jc w:val="left"/>
        <w:outlineLvl w:val="2"/>
        <w:rPr>
          <w:bCs/>
        </w:rPr>
      </w:pPr>
      <w:r>
        <w:rPr>
          <w:bCs/>
        </w:rPr>
        <w:t>初期支护的设计应符合下列规定：</w:t>
      </w:r>
    </w:p>
    <w:p w14:paraId="17335278">
      <w:pPr>
        <w:ind w:firstLine="422" w:firstLineChars="200"/>
      </w:pPr>
      <w:r>
        <w:rPr>
          <w:b/>
        </w:rPr>
        <w:t>1</w:t>
      </w:r>
      <w:r>
        <w:rPr>
          <w:rFonts w:hint="eastAsia"/>
          <w:b/>
        </w:rPr>
        <w:t xml:space="preserve"> </w:t>
      </w:r>
      <w:r>
        <w:rPr>
          <w:rFonts w:hint="eastAsia"/>
        </w:rPr>
        <w:t xml:space="preserve"> </w:t>
      </w:r>
      <w:r>
        <w:t>初期支护厚度宜根据隧道分部开挖断面的大小控制在250~350mm之间；</w:t>
      </w:r>
    </w:p>
    <w:p w14:paraId="26EF8E5A">
      <w:pPr>
        <w:ind w:firstLine="422" w:firstLineChars="200"/>
      </w:pPr>
      <w:r>
        <w:rPr>
          <w:b/>
        </w:rPr>
        <w:t>2</w:t>
      </w:r>
      <w:r>
        <w:rPr>
          <w:rFonts w:hint="eastAsia"/>
        </w:rPr>
        <w:t xml:space="preserve">  </w:t>
      </w:r>
      <w:r>
        <w:t>初期支护中的钢拱架宜选用钢筋格栅，临时仰拱或中隔壁也可采用型钢拱架；钢拱架间距可采用0.5~1.0m，钢筋格栅的主筋直径不宜小于18mm，附属钢筋直径宜采用8~14mm；</w:t>
      </w:r>
    </w:p>
    <w:p w14:paraId="4F34D47B">
      <w:pPr>
        <w:spacing w:line="299" w:lineRule="auto"/>
        <w:ind w:left="5" w:right="76" w:firstLine="418"/>
      </w:pPr>
      <w:r>
        <w:rPr>
          <w:b/>
        </w:rPr>
        <w:t>3</w:t>
      </w:r>
      <w:r>
        <w:rPr>
          <w:rFonts w:hint="eastAsia"/>
          <w:b/>
        </w:rPr>
        <w:t xml:space="preserve"> </w:t>
      </w:r>
      <w:r>
        <w:rPr>
          <w:rFonts w:hint="eastAsia"/>
        </w:rPr>
        <w:t xml:space="preserve"> </w:t>
      </w:r>
      <w:r>
        <w:t>初期支护厚度不大于300mm时，宜在其</w:t>
      </w:r>
      <w:r>
        <w:rPr>
          <w:rFonts w:hint="eastAsia"/>
        </w:rPr>
        <w:t>迎土侧</w:t>
      </w:r>
      <w:r>
        <w:t>设置单层钢筋网片；初期支护厚度大于300mm时，可在其内外侧设置双层钢筋网片；钢筋网应采用直径6~8mm的钢筋焊接而成，钢筋间距宜为150~250mm，钢筋网搭接长度宜为1个~2个网眼；</w:t>
      </w:r>
    </w:p>
    <w:p w14:paraId="38C85EF5">
      <w:pPr>
        <w:ind w:firstLine="422" w:firstLineChars="200"/>
      </w:pPr>
      <w:r>
        <w:rPr>
          <w:b/>
        </w:rPr>
        <w:t>4</w:t>
      </w:r>
      <w:r>
        <w:rPr>
          <w:rFonts w:hint="eastAsia"/>
          <w:b/>
        </w:rPr>
        <w:t xml:space="preserve"> </w:t>
      </w:r>
      <w:r>
        <w:rPr>
          <w:rFonts w:hint="eastAsia"/>
        </w:rPr>
        <w:t xml:space="preserve"> </w:t>
      </w:r>
      <w:r>
        <w:t>钢拱架之间内外应设置纵向钢拉杆，钢拉杆钢筋直径宜为20~22mm，环向间距宜为1.0m。考虑隧道纵向刚度和变形影响时，纵向钢拉杆宜适当加强；</w:t>
      </w:r>
    </w:p>
    <w:p w14:paraId="79EFA289">
      <w:pPr>
        <w:ind w:firstLine="422" w:firstLineChars="200"/>
      </w:pPr>
      <w:r>
        <w:rPr>
          <w:b/>
        </w:rPr>
        <w:t>5</w:t>
      </w:r>
      <w:r>
        <w:rPr>
          <w:rFonts w:hint="eastAsia"/>
          <w:b/>
        </w:rPr>
        <w:t xml:space="preserve"> </w:t>
      </w:r>
      <w:r>
        <w:rPr>
          <w:rFonts w:hint="eastAsia"/>
        </w:rPr>
        <w:t xml:space="preserve"> </w:t>
      </w:r>
      <w:r>
        <w:t>初期支护各分段间应采用可靠的连接，连接节点的设置应遵循以下原则：</w:t>
      </w:r>
    </w:p>
    <w:p w14:paraId="793B512F">
      <w:pPr>
        <w:ind w:firstLine="420" w:firstLineChars="200"/>
      </w:pPr>
      <w:r>
        <w:t>1)</w:t>
      </w:r>
      <w:r>
        <w:rPr>
          <w:rFonts w:hint="eastAsia"/>
        </w:rPr>
        <w:t xml:space="preserve">  </w:t>
      </w:r>
      <w:r>
        <w:t>节点位置应与施工开挖方法和步序相结合，先期施工的导洞钢架节点应考虑到与后期施工导洞钢架节点的衔接；</w:t>
      </w:r>
    </w:p>
    <w:p w14:paraId="73A67C2C">
      <w:pPr>
        <w:ind w:firstLine="420" w:firstLineChars="200"/>
      </w:pPr>
      <w:r>
        <w:t>2)</w:t>
      </w:r>
      <w:r>
        <w:rPr>
          <w:rFonts w:hint="eastAsia"/>
        </w:rPr>
        <w:t xml:space="preserve">  </w:t>
      </w:r>
      <w:r>
        <w:t>节点位置宜避开受力较大的部位；</w:t>
      </w:r>
    </w:p>
    <w:p w14:paraId="54F686D0">
      <w:pPr>
        <w:ind w:firstLine="420" w:firstLineChars="200"/>
      </w:pPr>
      <w:r>
        <w:t>3)</w:t>
      </w:r>
      <w:r>
        <w:rPr>
          <w:rFonts w:hint="eastAsia"/>
        </w:rPr>
        <w:t xml:space="preserve">  </w:t>
      </w:r>
      <w:r>
        <w:t>每段钢架长度和重量应方便现场施工，其长度一般宜控制在2.0~4.0m；</w:t>
      </w:r>
    </w:p>
    <w:p w14:paraId="109EC9E2">
      <w:pPr>
        <w:ind w:firstLine="420" w:firstLineChars="200"/>
      </w:pPr>
      <w:r>
        <w:t>4)</w:t>
      </w:r>
      <w:r>
        <w:rPr>
          <w:rFonts w:hint="eastAsia"/>
        </w:rPr>
        <w:t xml:space="preserve">  </w:t>
      </w:r>
      <w:r>
        <w:t>宜将相邻环钢架的节点位置错开布置。</w:t>
      </w:r>
    </w:p>
    <w:p w14:paraId="36B3A14B">
      <w:pPr>
        <w:numPr>
          <w:ilvl w:val="2"/>
          <w:numId w:val="1"/>
        </w:numPr>
        <w:tabs>
          <w:tab w:val="left" w:pos="709"/>
          <w:tab w:val="left" w:pos="794"/>
        </w:tabs>
        <w:jc w:val="left"/>
        <w:outlineLvl w:val="2"/>
        <w:rPr>
          <w:bCs/>
        </w:rPr>
      </w:pPr>
      <w:r>
        <w:rPr>
          <w:bCs/>
        </w:rPr>
        <w:t>初期支护施作完毕后，应及时进行初期支护背后回填注浆，根据地层变形情况，必要时尚应进行二次补强注浆。二次衬砌混凝土达到设计强度的75%后，应对防水层和二衬之间的空隙进行回填注浆。</w:t>
      </w:r>
    </w:p>
    <w:p w14:paraId="243F8AF2">
      <w:pPr>
        <w:numPr>
          <w:ilvl w:val="2"/>
          <w:numId w:val="1"/>
        </w:numPr>
        <w:tabs>
          <w:tab w:val="left" w:pos="709"/>
          <w:tab w:val="left" w:pos="794"/>
        </w:tabs>
        <w:jc w:val="left"/>
        <w:outlineLvl w:val="2"/>
        <w:rPr>
          <w:bCs/>
        </w:rPr>
      </w:pPr>
      <w:r>
        <w:rPr>
          <w:bCs/>
        </w:rPr>
        <w:t>施工辅助措施设计应符合下列规定：</w:t>
      </w:r>
    </w:p>
    <w:p w14:paraId="34C23171">
      <w:pPr>
        <w:ind w:firstLine="422" w:firstLineChars="200"/>
      </w:pPr>
      <w:r>
        <w:rPr>
          <w:b/>
        </w:rPr>
        <w:t>1</w:t>
      </w:r>
      <w:r>
        <w:rPr>
          <w:rFonts w:hint="eastAsia"/>
          <w:b/>
        </w:rPr>
        <w:t xml:space="preserve"> </w:t>
      </w:r>
      <w:r>
        <w:rPr>
          <w:rFonts w:hint="eastAsia"/>
        </w:rPr>
        <w:t xml:space="preserve"> </w:t>
      </w:r>
      <w:r>
        <w:t>超前小导管支护设计应符合下列规定：</w:t>
      </w:r>
    </w:p>
    <w:p w14:paraId="18EF997D">
      <w:pPr>
        <w:ind w:firstLine="420" w:firstLineChars="200"/>
      </w:pPr>
      <w:r>
        <w:t>1)</w:t>
      </w:r>
      <w:r>
        <w:rPr>
          <w:rFonts w:hint="eastAsia"/>
        </w:rPr>
        <w:t xml:space="preserve">  </w:t>
      </w:r>
      <w:r>
        <w:t>一般情况下隧道开挖时拱部宜设置单层超前小导管支；</w:t>
      </w:r>
    </w:p>
    <w:p w14:paraId="3AE0174B">
      <w:pPr>
        <w:ind w:firstLine="420" w:firstLineChars="200"/>
      </w:pPr>
      <w:r>
        <w:t>2)</w:t>
      </w:r>
      <w:r>
        <w:rPr>
          <w:rFonts w:hint="eastAsia"/>
        </w:rPr>
        <w:t xml:space="preserve">  </w:t>
      </w:r>
      <w:r>
        <w:t>小导管环向布设范围应根据地层和环境条件确定，一般宜为拱部120°范围，环向间距宜为200~400mm；每一榀一打时，导管长度宜为1.5~2.0m；每两榀一打时，导管长度宜为2.5~3.0m；打设仰角宜为10°~20°，搭接长度不小于1.0m；</w:t>
      </w:r>
    </w:p>
    <w:p w14:paraId="41EA6BA4">
      <w:pPr>
        <w:ind w:firstLine="420" w:firstLineChars="200"/>
      </w:pPr>
      <w:r>
        <w:t>3)</w:t>
      </w:r>
      <w:r>
        <w:rPr>
          <w:rFonts w:hint="eastAsia"/>
        </w:rPr>
        <w:t xml:space="preserve">  </w:t>
      </w:r>
      <w:r>
        <w:t>小导管钢管直径应根据地层条件选择，宜为φ25~φ42mm；管头宜加工成25°~35°椎体，管壁应有注浆孔，孔径宜为6~10mm，孔距宜为100~200mm，梅花形布置；</w:t>
      </w:r>
    </w:p>
    <w:p w14:paraId="593052C9">
      <w:pPr>
        <w:ind w:firstLine="420" w:firstLineChars="200"/>
      </w:pPr>
      <w:r>
        <w:t>4)</w:t>
      </w:r>
      <w:r>
        <w:rPr>
          <w:rFonts w:hint="eastAsia"/>
        </w:rPr>
        <w:t xml:space="preserve">  </w:t>
      </w:r>
      <w:r>
        <w:t>应根据隧道所处的地层条件确定小导管是否注浆、浆液种类、注浆压力等，并宜通过现场注浆试验验证。</w:t>
      </w:r>
    </w:p>
    <w:p w14:paraId="2DE4CB8D">
      <w:pPr>
        <w:ind w:firstLine="422" w:firstLineChars="200"/>
      </w:pPr>
      <w:r>
        <w:rPr>
          <w:b/>
        </w:rPr>
        <w:t>2</w:t>
      </w:r>
      <w:r>
        <w:rPr>
          <w:rFonts w:hint="eastAsia"/>
          <w:b/>
        </w:rPr>
        <w:t xml:space="preserve"> </w:t>
      </w:r>
      <w:r>
        <w:rPr>
          <w:rFonts w:hint="eastAsia"/>
        </w:rPr>
        <w:t xml:space="preserve"> </w:t>
      </w:r>
      <w:r>
        <w:t>超前管棚支护设计应符合下列规定：</w:t>
      </w:r>
    </w:p>
    <w:p w14:paraId="3D61B498">
      <w:pPr>
        <w:ind w:firstLine="420" w:firstLineChars="200"/>
      </w:pPr>
      <w:r>
        <w:t>1)</w:t>
      </w:r>
      <w:r>
        <w:rPr>
          <w:rFonts w:hint="eastAsia"/>
        </w:rPr>
        <w:t xml:space="preserve">  </w:t>
      </w:r>
      <w:r>
        <w:t>在隧道开挖断面较大、埋深浅，且所处地层软弱、自稳能力差；下穿重要建(构)筑物；大断面暗挖转体进洞开挖等情况下，宜在隧道拱部设置超前管棚支护；</w:t>
      </w:r>
    </w:p>
    <w:p w14:paraId="6859F2EC">
      <w:pPr>
        <w:ind w:firstLine="420" w:firstLineChars="200"/>
      </w:pPr>
      <w:r>
        <w:t>2)</w:t>
      </w:r>
      <w:r>
        <w:rPr>
          <w:rFonts w:hint="eastAsia"/>
        </w:rPr>
        <w:t xml:space="preserve">  </w:t>
      </w:r>
      <w:r>
        <w:t>管棚宜采用φ108~159mm的钢管，环向间距不宜大于500mm，管内灌注水泥砂浆；3)超前管棚施作应采用非开挖技术，在设备精度、施工条件允许时，宜采用一次性打设技术。</w:t>
      </w:r>
    </w:p>
    <w:p w14:paraId="5DC9416B">
      <w:pPr>
        <w:ind w:firstLine="422" w:firstLineChars="200"/>
      </w:pPr>
      <w:r>
        <w:rPr>
          <w:b/>
        </w:rPr>
        <w:t>3</w:t>
      </w:r>
      <w:r>
        <w:rPr>
          <w:rFonts w:hint="eastAsia"/>
          <w:b/>
        </w:rPr>
        <w:t xml:space="preserve"> </w:t>
      </w:r>
      <w:r>
        <w:rPr>
          <w:rFonts w:hint="eastAsia"/>
        </w:rPr>
        <w:t xml:space="preserve"> </w:t>
      </w:r>
      <w:r>
        <w:t>锁脚锚管设计应符合下列规定：</w:t>
      </w:r>
    </w:p>
    <w:p w14:paraId="0CDF7F1D">
      <w:pPr>
        <w:ind w:firstLine="420" w:firstLineChars="200"/>
      </w:pPr>
      <w:r>
        <w:t>1)</w:t>
      </w:r>
      <w:r>
        <w:rPr>
          <w:rFonts w:hint="eastAsia"/>
        </w:rPr>
        <w:t xml:space="preserve">  </w:t>
      </w:r>
      <w:r>
        <w:t>隧道开挖过程中，为控制初支钢拱架下沉，宜在钢拱架两侧各打设一根锁脚锚管，锚管构造可与超前小导管一致；</w:t>
      </w:r>
    </w:p>
    <w:p w14:paraId="751C3BD2">
      <w:pPr>
        <w:ind w:firstLine="420" w:firstLineChars="200"/>
      </w:pPr>
      <w:r>
        <w:t>2)</w:t>
      </w:r>
      <w:r>
        <w:rPr>
          <w:rFonts w:hint="eastAsia"/>
        </w:rPr>
        <w:t xml:space="preserve">  </w:t>
      </w:r>
      <w:r>
        <w:t>锁脚锚管长度宜为2.0~3.0m，打设水平夹角宜为40°~50°。</w:t>
      </w:r>
    </w:p>
    <w:p w14:paraId="572FE1A5">
      <w:pPr>
        <w:ind w:firstLine="420" w:firstLineChars="200"/>
      </w:pPr>
      <w:r>
        <w:t>4</w:t>
      </w:r>
      <w:r>
        <w:rPr>
          <w:rFonts w:hint="eastAsia"/>
        </w:rPr>
        <w:t xml:space="preserve">  </w:t>
      </w:r>
      <w:r>
        <w:t>位于卵砾石地层中的隧道，不宜设置超前管棚，超前小导管长度也不宜超过2.0m。当超前小导管打设有困难时，宜减小隧道开挖步距，加密格栅间距。</w:t>
      </w:r>
    </w:p>
    <w:p w14:paraId="62F0689B">
      <w:pPr>
        <w:numPr>
          <w:ilvl w:val="2"/>
          <w:numId w:val="1"/>
        </w:numPr>
        <w:tabs>
          <w:tab w:val="left" w:pos="709"/>
          <w:tab w:val="left" w:pos="794"/>
        </w:tabs>
        <w:jc w:val="left"/>
        <w:outlineLvl w:val="2"/>
        <w:rPr>
          <w:bCs/>
        </w:rPr>
      </w:pPr>
      <w:r>
        <w:rPr>
          <w:bCs/>
        </w:rPr>
        <w:t>洞桩(柱)逆作法结构设计及受力分析、施工技术要求等除应满足本规范第1</w:t>
      </w:r>
      <w:r>
        <w:rPr>
          <w:rFonts w:hint="eastAsia"/>
          <w:bCs/>
        </w:rPr>
        <w:t>2</w:t>
      </w:r>
      <w:r>
        <w:rPr>
          <w:bCs/>
        </w:rPr>
        <w:t>.4.</w:t>
      </w:r>
      <w:r>
        <w:rPr>
          <w:rFonts w:hint="eastAsia"/>
          <w:bCs/>
        </w:rPr>
        <w:t>9</w:t>
      </w:r>
      <w:r>
        <w:rPr>
          <w:bCs/>
        </w:rPr>
        <w:t>条盖挖逆作法结构设计的基本原则和相关技术要求外，尚应符合下列基本规定：</w:t>
      </w:r>
    </w:p>
    <w:p w14:paraId="3BE9F134">
      <w:pPr>
        <w:ind w:firstLine="422" w:firstLineChars="200"/>
      </w:pPr>
      <w:r>
        <w:rPr>
          <w:b/>
        </w:rPr>
        <w:t>1</w:t>
      </w:r>
      <w:r>
        <w:rPr>
          <w:rFonts w:hint="eastAsia"/>
          <w:b/>
        </w:rPr>
        <w:t xml:space="preserve"> </w:t>
      </w:r>
      <w:r>
        <w:rPr>
          <w:rFonts w:hint="eastAsia"/>
        </w:rPr>
        <w:t xml:space="preserve"> </w:t>
      </w:r>
      <w:r>
        <w:t>洞桩(柱)逆作法的边桩宜为钻孔灌注桩，中间立柱宜采用钢管混凝土柱，边桩和中间立柱基础可采用桩基础或条形基础；</w:t>
      </w:r>
    </w:p>
    <w:p w14:paraId="18D72B24">
      <w:pPr>
        <w:ind w:firstLine="422" w:firstLineChars="200"/>
      </w:pPr>
      <w:r>
        <w:rPr>
          <w:b/>
        </w:rPr>
        <w:t>2</w:t>
      </w:r>
      <w:r>
        <w:rPr>
          <w:rFonts w:hint="eastAsia"/>
          <w:b/>
        </w:rPr>
        <w:t xml:space="preserve"> </w:t>
      </w:r>
      <w:r>
        <w:rPr>
          <w:rFonts w:hint="eastAsia"/>
        </w:rPr>
        <w:t xml:space="preserve"> </w:t>
      </w:r>
      <w:r>
        <w:t>上导洞净空尺寸应根据边桩、中间钢管柱和顶纵梁的作业空间要求确定；下导洞的净空尺寸应根据施工期间导洞内条形基础的承载力和竖向变形要求、通过计算确定，一般情况下导洞净宽不宜大于5.0m；</w:t>
      </w:r>
    </w:p>
    <w:p w14:paraId="119EAFFD">
      <w:pPr>
        <w:ind w:firstLine="422" w:firstLineChars="200"/>
      </w:pPr>
      <w:r>
        <w:rPr>
          <w:b/>
        </w:rPr>
        <w:t>3</w:t>
      </w:r>
      <w:r>
        <w:rPr>
          <w:rFonts w:hint="eastAsia"/>
        </w:rPr>
        <w:t xml:space="preserve">  </w:t>
      </w:r>
      <w:r>
        <w:t>在满足隧道开挖引起的地面沉降要求的情况下，洞桩(柱)逆作法结构宜浅埋；</w:t>
      </w:r>
    </w:p>
    <w:p w14:paraId="0FD24153">
      <w:pPr>
        <w:ind w:firstLine="422" w:firstLineChars="200"/>
      </w:pPr>
      <w:r>
        <w:rPr>
          <w:b/>
        </w:rPr>
        <w:t>4</w:t>
      </w:r>
      <w:r>
        <w:rPr>
          <w:rFonts w:hint="eastAsia"/>
          <w:b/>
        </w:rPr>
        <w:t xml:space="preserve"> </w:t>
      </w:r>
      <w:r>
        <w:rPr>
          <w:rFonts w:hint="eastAsia"/>
        </w:rPr>
        <w:t xml:space="preserve"> </w:t>
      </w:r>
      <w:r>
        <w:t>中间立柱下采用桩基础时，桩基础的设计应按本规范第1</w:t>
      </w:r>
      <w:r>
        <w:rPr>
          <w:rFonts w:hint="eastAsia"/>
        </w:rPr>
        <w:t>2</w:t>
      </w:r>
      <w:r>
        <w:t>.4.</w:t>
      </w:r>
      <w:r>
        <w:rPr>
          <w:rFonts w:hint="eastAsia"/>
        </w:rPr>
        <w:t>9</w:t>
      </w:r>
      <w:r>
        <w:t>条的相关规定执行；</w:t>
      </w:r>
    </w:p>
    <w:p w14:paraId="1020BA6A">
      <w:pPr>
        <w:ind w:firstLine="422" w:firstLineChars="200"/>
      </w:pPr>
      <w:r>
        <w:rPr>
          <w:b/>
        </w:rPr>
        <w:t>5</w:t>
      </w:r>
      <w:r>
        <w:rPr>
          <w:rFonts w:hint="eastAsia"/>
          <w:b/>
        </w:rPr>
        <w:t xml:space="preserve"> </w:t>
      </w:r>
      <w:r>
        <w:rPr>
          <w:rFonts w:hint="eastAsia"/>
        </w:rPr>
        <w:t xml:space="preserve"> </w:t>
      </w:r>
      <w:r>
        <w:t>桩、柱下条形基础设计应符合下列规定：</w:t>
      </w:r>
    </w:p>
    <w:p w14:paraId="529C1CE5">
      <w:pPr>
        <w:ind w:firstLine="420" w:firstLineChars="200"/>
      </w:pPr>
      <w:r>
        <w:t>1)</w:t>
      </w:r>
      <w:r>
        <w:rPr>
          <w:rFonts w:hint="eastAsia"/>
        </w:rPr>
        <w:t xml:space="preserve">  </w:t>
      </w:r>
      <w:r>
        <w:t>下导洞内条形基础设计应符合现行《北京地区建筑地基基础勘察设计规范》DBJ11—501的相关规定进行地基承载力和变形计算，地基承载力深度修正时应考虑土体开挖的卸载影响，同时条形基础还应满足抗弯、抗剪和抗冲切等承载力设计要求；</w:t>
      </w:r>
    </w:p>
    <w:p w14:paraId="4A0D535C">
      <w:pPr>
        <w:ind w:firstLine="420" w:firstLineChars="200"/>
      </w:pPr>
      <w:r>
        <w:t>2)</w:t>
      </w:r>
      <w:r>
        <w:rPr>
          <w:rFonts w:hint="eastAsia"/>
        </w:rPr>
        <w:t xml:space="preserve">  </w:t>
      </w:r>
      <w:r>
        <w:t>边桩下的条形基础除应进行竖向地基承载力和变形验算外，尚应进行抗侧移稳定性验算，可采用在底层边桩设置锚索或增大基底与地层间的摩擦力等措施来提高其抗侧移稳定性；当边桩条基和中柱条基之间设置横向导洞、采用桩柱下十字条形基础时，应将桩下条基视为以横向条基作为水平支点、承受侧向荷载的连续梁进行承载能力计算；</w:t>
      </w:r>
    </w:p>
    <w:p w14:paraId="7C43C5E9">
      <w:pPr>
        <w:ind w:firstLine="420" w:firstLineChars="200"/>
      </w:pPr>
      <w:r>
        <w:t>3)</w:t>
      </w:r>
      <w:r>
        <w:rPr>
          <w:rFonts w:hint="eastAsia"/>
        </w:rPr>
        <w:t xml:space="preserve">  </w:t>
      </w:r>
      <w:r>
        <w:t>当条形基础作为永久结构的底纵梁及部分底板结构使用时，应与永久结构的整体框架结构进行包络设计。</w:t>
      </w:r>
    </w:p>
    <w:p w14:paraId="4F0C8583">
      <w:pPr>
        <w:ind w:firstLine="422" w:firstLineChars="200"/>
      </w:pPr>
      <w:r>
        <w:rPr>
          <w:b/>
        </w:rPr>
        <w:t>6</w:t>
      </w:r>
      <w:r>
        <w:rPr>
          <w:rFonts w:hint="eastAsia"/>
          <w:b/>
        </w:rPr>
        <w:t xml:space="preserve"> </w:t>
      </w:r>
      <w:r>
        <w:rPr>
          <w:rFonts w:hint="eastAsia"/>
        </w:rPr>
        <w:t xml:space="preserve"> </w:t>
      </w:r>
      <w:r>
        <w:t>边桩应按临时构件设计，满足施工过程的承载力和变形要求。当其直接嵌入土中时，尚应通过竖向承载力和稳定性计算确定其入土深度。稳定性验算内容及安全系数取值应按本章表1</w:t>
      </w:r>
      <w:r>
        <w:rPr>
          <w:rFonts w:hint="eastAsia"/>
        </w:rPr>
        <w:t>2</w:t>
      </w:r>
      <w:r>
        <w:t>.4.1-3的规定执行；</w:t>
      </w:r>
    </w:p>
    <w:p w14:paraId="2E6AD4D2">
      <w:pPr>
        <w:ind w:firstLine="422" w:firstLineChars="200"/>
      </w:pPr>
      <w:r>
        <w:rPr>
          <w:b/>
        </w:rPr>
        <w:t>7</w:t>
      </w:r>
      <w:r>
        <w:rPr>
          <w:rFonts w:hint="eastAsia"/>
          <w:b/>
        </w:rPr>
        <w:t xml:space="preserve"> </w:t>
      </w:r>
      <w:r>
        <w:rPr>
          <w:rFonts w:hint="eastAsia"/>
        </w:rPr>
        <w:t xml:space="preserve"> </w:t>
      </w:r>
      <w:r>
        <w:t>应采取可靠措施控制边跨拱部初期支护架设过程中的稳定性，在不破坏小导洞初期支护的情况下，导洞内外初支的对接应连续且措施可靠，确保拱部初支一端稳定支承于边桩冠梁上、另一端稳定支承于中柱顶纵梁上；</w:t>
      </w:r>
    </w:p>
    <w:p w14:paraId="53735B26">
      <w:pPr>
        <w:ind w:firstLine="422" w:firstLineChars="200"/>
      </w:pPr>
      <w:r>
        <w:rPr>
          <w:b/>
        </w:rPr>
        <w:t>8</w:t>
      </w:r>
      <w:r>
        <w:rPr>
          <w:rFonts w:hint="eastAsia"/>
          <w:b/>
        </w:rPr>
        <w:t xml:space="preserve"> </w:t>
      </w:r>
      <w:r>
        <w:rPr>
          <w:rFonts w:hint="eastAsia"/>
        </w:rPr>
        <w:t xml:space="preserve"> </w:t>
      </w:r>
      <w:r>
        <w:t>应在各跨拱部初期支护架设完成后，方可破除上导洞初期支护及浇筑各跨拱部二次衬砌，并应采取可靠措施确保拱部二次衬砌形成前结构体系整体的稳定性。</w:t>
      </w:r>
    </w:p>
    <w:p w14:paraId="0B7C9900">
      <w:pPr>
        <w:numPr>
          <w:ilvl w:val="2"/>
          <w:numId w:val="1"/>
        </w:numPr>
        <w:tabs>
          <w:tab w:val="left" w:pos="709"/>
          <w:tab w:val="left" w:pos="794"/>
        </w:tabs>
        <w:jc w:val="left"/>
        <w:outlineLvl w:val="2"/>
        <w:rPr>
          <w:bCs/>
        </w:rPr>
      </w:pPr>
      <w:r>
        <w:rPr>
          <w:bCs/>
        </w:rPr>
        <w:t>一次扣拱法结构设计应符合下列规定：</w:t>
      </w:r>
    </w:p>
    <w:p w14:paraId="46064075">
      <w:pPr>
        <w:ind w:firstLine="422" w:firstLineChars="200"/>
      </w:pPr>
      <w:r>
        <w:rPr>
          <w:b/>
        </w:rPr>
        <w:t>1</w:t>
      </w:r>
      <w:r>
        <w:rPr>
          <w:rFonts w:hint="eastAsia"/>
        </w:rPr>
        <w:t xml:space="preserve">  </w:t>
      </w:r>
      <w:r>
        <w:t>应根据框架结构边跨的形式和跨度确定上、下导洞的形式和大小，上导洞的拱部应与边跨结构的拱部相拟合，下导洞的底部应与边跨结构的底部相拟合，导洞高度应满足洞内施工作业的要求；</w:t>
      </w:r>
    </w:p>
    <w:p w14:paraId="78E3AFD4">
      <w:pPr>
        <w:ind w:firstLine="422" w:firstLineChars="200"/>
      </w:pPr>
      <w:r>
        <w:rPr>
          <w:b/>
        </w:rPr>
        <w:t>2</w:t>
      </w:r>
      <w:r>
        <w:rPr>
          <w:rFonts w:hint="eastAsia"/>
        </w:rPr>
        <w:t xml:space="preserve">  </w:t>
      </w:r>
      <w:r>
        <w:t>上、下导洞应根据地层条件、埋深、断面大小及地面沉降要求，结合一次扣拱法施工工艺等因素确定施工方法，宜采用中隔壁法或双侧壁导坑法施工；</w:t>
      </w:r>
    </w:p>
    <w:p w14:paraId="51DD445C">
      <w:pPr>
        <w:ind w:firstLine="422" w:firstLineChars="200"/>
      </w:pPr>
      <w:r>
        <w:rPr>
          <w:b/>
        </w:rPr>
        <w:t>3</w:t>
      </w:r>
      <w:r>
        <w:rPr>
          <w:rFonts w:hint="eastAsia"/>
        </w:rPr>
        <w:t xml:space="preserve">  </w:t>
      </w:r>
      <w:r>
        <w:t>边桩宜为人工挖孔桩，应按临时构件设计，满足施工过程的极限承载力要求；</w:t>
      </w:r>
    </w:p>
    <w:p w14:paraId="30947070">
      <w:pPr>
        <w:ind w:firstLine="422" w:firstLineChars="200"/>
      </w:pPr>
      <w:r>
        <w:rPr>
          <w:rFonts w:hint="eastAsia"/>
          <w:b/>
        </w:rPr>
        <w:t xml:space="preserve">4  </w:t>
      </w:r>
      <w:r>
        <w:t>边桩与顶拱和底板结构之间的连接宜采用铰接型式。</w:t>
      </w:r>
    </w:p>
    <w:p w14:paraId="49AA4B8F">
      <w:pPr>
        <w:numPr>
          <w:ilvl w:val="2"/>
          <w:numId w:val="1"/>
        </w:numPr>
        <w:tabs>
          <w:tab w:val="left" w:pos="709"/>
          <w:tab w:val="left" w:pos="794"/>
        </w:tabs>
        <w:jc w:val="left"/>
        <w:outlineLvl w:val="2"/>
        <w:rPr>
          <w:bCs/>
        </w:rPr>
      </w:pPr>
      <w:r>
        <w:rPr>
          <w:bCs/>
        </w:rPr>
        <w:t>矿山法车站钢管混凝土柱设计应符合下列基本规定：</w:t>
      </w:r>
    </w:p>
    <w:p w14:paraId="252182BE">
      <w:pPr>
        <w:ind w:firstLine="422" w:firstLineChars="200"/>
      </w:pPr>
      <w:r>
        <w:rPr>
          <w:b/>
        </w:rPr>
        <w:t>1</w:t>
      </w:r>
      <w:r>
        <w:rPr>
          <w:rFonts w:hint="eastAsia"/>
          <w:b/>
        </w:rPr>
        <w:t xml:space="preserve"> </w:t>
      </w:r>
      <w:r>
        <w:rPr>
          <w:rFonts w:hint="eastAsia"/>
        </w:rPr>
        <w:t xml:space="preserve"> </w:t>
      </w:r>
      <w:r>
        <w:t>钢管柱上柱脚与顶纵梁的连接、下柱脚与底纵梁或条形基础的连接均宜采用端承式形式，柱与结构之间的约束作用应为铰接；钢管柱下柱脚与桩基础的连接应采用插入式形式，柱与桩基础之间的约束作用应为刚接；</w:t>
      </w:r>
    </w:p>
    <w:p w14:paraId="11A18C0B">
      <w:pPr>
        <w:ind w:firstLine="422" w:firstLineChars="200"/>
      </w:pPr>
      <w:r>
        <w:rPr>
          <w:b/>
        </w:rPr>
        <w:t>2</w:t>
      </w:r>
      <w:r>
        <w:rPr>
          <w:rFonts w:hint="eastAsia"/>
        </w:rPr>
        <w:t xml:space="preserve">  </w:t>
      </w:r>
      <w:r>
        <w:t>钢管混凝土柱上、下柱脚及与中楼板梁的连接节点设计应符合本章第1</w:t>
      </w:r>
      <w:r>
        <w:rPr>
          <w:rFonts w:hint="eastAsia"/>
        </w:rPr>
        <w:t>2</w:t>
      </w:r>
      <w:r>
        <w:t>.4.</w:t>
      </w:r>
      <w:r>
        <w:rPr>
          <w:rFonts w:hint="eastAsia"/>
        </w:rPr>
        <w:t>9</w:t>
      </w:r>
      <w:r>
        <w:t>条的相关规定；</w:t>
      </w:r>
    </w:p>
    <w:p w14:paraId="7D862D60">
      <w:pPr>
        <w:ind w:firstLine="422" w:firstLineChars="200"/>
      </w:pPr>
      <w:r>
        <w:rPr>
          <w:b/>
        </w:rPr>
        <w:t>3</w:t>
      </w:r>
      <w:r>
        <w:rPr>
          <w:rFonts w:hint="eastAsia"/>
          <w:b/>
        </w:rPr>
        <w:t xml:space="preserve"> </w:t>
      </w:r>
      <w:r>
        <w:rPr>
          <w:rFonts w:hint="eastAsia"/>
        </w:rPr>
        <w:t xml:space="preserve"> </w:t>
      </w:r>
      <w:r>
        <w:t>应严格控制钢管柱的就位精度，允许偏差标准及设计计算应满足本章第1</w:t>
      </w:r>
      <w:r>
        <w:rPr>
          <w:rFonts w:hint="eastAsia"/>
        </w:rPr>
        <w:t>2</w:t>
      </w:r>
      <w:r>
        <w:t>.4.</w:t>
      </w:r>
      <w:r>
        <w:rPr>
          <w:rFonts w:hint="eastAsia"/>
        </w:rPr>
        <w:t>9</w:t>
      </w:r>
      <w:r>
        <w:t>条第4款的要求；</w:t>
      </w:r>
    </w:p>
    <w:p w14:paraId="1F87C299">
      <w:pPr>
        <w:ind w:firstLine="422" w:firstLineChars="200"/>
      </w:pPr>
      <w:r>
        <w:rPr>
          <w:b/>
        </w:rPr>
        <w:t>4</w:t>
      </w:r>
      <w:r>
        <w:rPr>
          <w:rFonts w:hint="eastAsia"/>
        </w:rPr>
        <w:t xml:space="preserve">  </w:t>
      </w:r>
      <w:r>
        <w:t>矿山法车站钢管混凝土柱计算长度的确定应符合下列基本原则：</w:t>
      </w:r>
    </w:p>
    <w:p w14:paraId="364131D6">
      <w:pPr>
        <w:ind w:firstLine="420" w:firstLineChars="200"/>
      </w:pPr>
      <w:r>
        <w:t>1)</w:t>
      </w:r>
      <w:r>
        <w:rPr>
          <w:rFonts w:hint="eastAsia"/>
        </w:rPr>
        <w:t xml:space="preserve">  </w:t>
      </w:r>
      <w:r>
        <w:t>中洞法、侧洞法、柱洞法钢管混凝土柱计算长度应根据施工过程楼板施作的情况，取施工过程和使用期间最不利工况下的计算长度；</w:t>
      </w:r>
    </w:p>
    <w:p w14:paraId="7E21B8CD">
      <w:pPr>
        <w:ind w:firstLine="420" w:firstLineChars="200"/>
      </w:pPr>
      <w:r>
        <w:t>2)</w:t>
      </w:r>
      <w:r>
        <w:rPr>
          <w:rFonts w:hint="eastAsia"/>
        </w:rPr>
        <w:t xml:space="preserve">  </w:t>
      </w:r>
      <w:r>
        <w:t>洞桩(柱)逆作法钢管混凝土柱计算长度应取顶纵梁底至基础顶之间的距离；</w:t>
      </w:r>
    </w:p>
    <w:p w14:paraId="6EBB9D69">
      <w:pPr>
        <w:ind w:firstLine="420" w:firstLineChars="200"/>
      </w:pPr>
      <w:r>
        <w:t>3)</w:t>
      </w:r>
      <w:r>
        <w:rPr>
          <w:rFonts w:hint="eastAsia"/>
        </w:rPr>
        <w:t xml:space="preserve">  </w:t>
      </w:r>
      <w:r>
        <w:t>一次扣拱法钢管混凝土柱计算长度应取顶纵梁底至底纵梁顶之间的距离。</w:t>
      </w:r>
    </w:p>
    <w:p w14:paraId="2E92B89C">
      <w:pPr>
        <w:ind w:firstLine="422" w:firstLineChars="200"/>
      </w:pPr>
      <w:r>
        <w:rPr>
          <w:b/>
        </w:rPr>
        <w:t>5</w:t>
      </w:r>
      <w:r>
        <w:rPr>
          <w:rFonts w:hint="eastAsia"/>
          <w:b/>
        </w:rPr>
        <w:t xml:space="preserve"> </w:t>
      </w:r>
      <w:r>
        <w:rPr>
          <w:rFonts w:hint="eastAsia"/>
        </w:rPr>
        <w:t xml:space="preserve"> </w:t>
      </w:r>
      <w:r>
        <w:t>钢管柱的接长宜采用法兰连接，钢管混凝土内宜设置通长的构造钢筋，钢筋数量可取柱脚与纵梁结构连接钢筋的1/2。</w:t>
      </w:r>
    </w:p>
    <w:p w14:paraId="4DC10F10">
      <w:pPr>
        <w:numPr>
          <w:ilvl w:val="1"/>
          <w:numId w:val="1"/>
        </w:numPr>
        <w:snapToGrid w:val="0"/>
        <w:spacing w:before="156" w:after="156" w:line="240" w:lineRule="auto"/>
        <w:jc w:val="center"/>
        <w:outlineLvl w:val="1"/>
        <w:rPr>
          <w:rFonts w:eastAsia="黑体"/>
          <w:bCs/>
          <w:szCs w:val="28"/>
        </w:rPr>
      </w:pPr>
      <w:bookmarkStart w:id="784" w:name="_Toc183882472"/>
      <w:bookmarkStart w:id="785" w:name="_Toc183765119"/>
      <w:bookmarkStart w:id="786" w:name="_Toc183888162"/>
      <w:bookmarkStart w:id="787" w:name="_Toc183790549"/>
      <w:bookmarkStart w:id="788" w:name="_Toc183888524"/>
      <w:bookmarkStart w:id="789" w:name="_Toc183882110"/>
      <w:r>
        <w:rPr>
          <w:rFonts w:eastAsia="黑体"/>
          <w:bCs/>
          <w:szCs w:val="28"/>
        </w:rPr>
        <w:t>盾构法结构设计</w:t>
      </w:r>
      <w:bookmarkEnd w:id="784"/>
      <w:bookmarkEnd w:id="785"/>
      <w:bookmarkEnd w:id="786"/>
      <w:bookmarkEnd w:id="787"/>
      <w:bookmarkEnd w:id="788"/>
      <w:bookmarkEnd w:id="789"/>
    </w:p>
    <w:p w14:paraId="026BC337">
      <w:pPr>
        <w:numPr>
          <w:ilvl w:val="2"/>
          <w:numId w:val="1"/>
        </w:numPr>
        <w:tabs>
          <w:tab w:val="left" w:pos="709"/>
          <w:tab w:val="left" w:pos="794"/>
        </w:tabs>
        <w:jc w:val="left"/>
        <w:outlineLvl w:val="2"/>
        <w:rPr>
          <w:bCs/>
        </w:rPr>
      </w:pPr>
      <w:r>
        <w:rPr>
          <w:bCs/>
        </w:rPr>
        <w:t>盾构法隧道设计应符合以下基本原则：</w:t>
      </w:r>
    </w:p>
    <w:p w14:paraId="7B2CC5C1">
      <w:pPr>
        <w:ind w:firstLine="422" w:firstLineChars="200"/>
      </w:pPr>
      <w:r>
        <w:rPr>
          <w:b/>
        </w:rPr>
        <w:t>1</w:t>
      </w:r>
      <w:r>
        <w:rPr>
          <w:rFonts w:hint="eastAsia"/>
        </w:rPr>
        <w:t xml:space="preserve">  </w:t>
      </w:r>
      <w:r>
        <w:t>隧道应选择适宜盾构掘进的地层，应避免穿越含有较大漂石的卵砾石地层，当必须穿越时，应有充分的理由和可靠的工程措施。在连续分布的大漂石地层中不宜采用盾构法施工；</w:t>
      </w:r>
    </w:p>
    <w:p w14:paraId="7FAB86D5">
      <w:pPr>
        <w:ind w:firstLine="422" w:firstLineChars="200"/>
      </w:pPr>
      <w:r>
        <w:rPr>
          <w:b/>
        </w:rPr>
        <w:t>2</w:t>
      </w:r>
      <w:r>
        <w:rPr>
          <w:rFonts w:hint="eastAsia"/>
          <w:b/>
        </w:rPr>
        <w:t xml:space="preserve"> </w:t>
      </w:r>
      <w:r>
        <w:rPr>
          <w:rFonts w:hint="eastAsia"/>
        </w:rPr>
        <w:t xml:space="preserve"> </w:t>
      </w:r>
      <w:r>
        <w:t>隧道覆土厚度及近距离隧道之间的间距等设计参数应综合考虑地质和环境条件等因素后确定，并应满足下列要求。当受条件限制不能满足时，应采取相应的措施减小不利影响；</w:t>
      </w:r>
    </w:p>
    <w:p w14:paraId="726084C0">
      <w:pPr>
        <w:ind w:firstLine="420" w:firstLineChars="200"/>
      </w:pPr>
      <w:r>
        <w:t>1)</w:t>
      </w:r>
      <w:r>
        <w:rPr>
          <w:rFonts w:hint="eastAsia"/>
        </w:rPr>
        <w:t xml:space="preserve">  </w:t>
      </w:r>
      <w:r>
        <w:t>隧道覆土厚度不宜小于1.5D(D为隧道的外径)，困难情况下</w:t>
      </w:r>
      <w:r>
        <w:rPr>
          <w:rFonts w:hint="eastAsia"/>
        </w:rPr>
        <w:t>单线隧道</w:t>
      </w:r>
      <w:r>
        <w:t>不宜小于1.0D</w:t>
      </w:r>
      <w:r>
        <w:rPr>
          <w:rFonts w:hint="eastAsia"/>
        </w:rPr>
        <w:t>，双线隧道不宜小于10 m</w:t>
      </w:r>
      <w:r>
        <w:t>；</w:t>
      </w:r>
    </w:p>
    <w:p w14:paraId="7BD19ED3">
      <w:pPr>
        <w:ind w:firstLine="420" w:firstLineChars="200"/>
      </w:pPr>
      <w:r>
        <w:t>2)</w:t>
      </w:r>
      <w:r>
        <w:rPr>
          <w:rFonts w:hint="eastAsia"/>
        </w:rPr>
        <w:t xml:space="preserve">  </w:t>
      </w:r>
      <w:r>
        <w:t>下穿水域的盾构法隧道在考虑冲刷深度等不利因素后的最小覆土厚度不宜小于1.0D；</w:t>
      </w:r>
    </w:p>
    <w:p w14:paraId="33C70634">
      <w:pPr>
        <w:ind w:firstLine="420" w:firstLineChars="200"/>
      </w:pPr>
      <w:r>
        <w:t>3)</w:t>
      </w:r>
      <w:r>
        <w:rPr>
          <w:rFonts w:hint="eastAsia"/>
        </w:rPr>
        <w:t xml:space="preserve">  </w:t>
      </w:r>
      <w:r>
        <w:t>并行隧道间的净距以及隧道与地下障碍物的净距不宜小于1.0D。</w:t>
      </w:r>
    </w:p>
    <w:p w14:paraId="7545D4F9">
      <w:pPr>
        <w:ind w:firstLine="422" w:firstLineChars="200"/>
      </w:pPr>
      <w:r>
        <w:rPr>
          <w:b/>
        </w:rPr>
        <w:t>3</w:t>
      </w:r>
      <w:r>
        <w:rPr>
          <w:rFonts w:hint="eastAsia"/>
          <w:b/>
        </w:rPr>
        <w:t xml:space="preserve"> </w:t>
      </w:r>
      <w:r>
        <w:rPr>
          <w:rFonts w:hint="eastAsia"/>
        </w:rPr>
        <w:t xml:space="preserve"> </w:t>
      </w:r>
      <w:r>
        <w:t>盾构掘进时应对管片背后进行同步注浆，并应及时填充管片结构与围岩之间的空隙。同步注浆材料宜选择缓凝无机材料，且注浆材料凝结固化时具有低收缩特性；</w:t>
      </w:r>
    </w:p>
    <w:p w14:paraId="13085DBB">
      <w:pPr>
        <w:ind w:firstLine="422" w:firstLineChars="200"/>
      </w:pPr>
      <w:r>
        <w:rPr>
          <w:b/>
        </w:rPr>
        <w:t>4</w:t>
      </w:r>
      <w:r>
        <w:rPr>
          <w:rFonts w:hint="eastAsia"/>
        </w:rPr>
        <w:t xml:space="preserve">  </w:t>
      </w:r>
      <w:r>
        <w:t>盾构区间联络通道的设计除应满足防灾安全疏散的要求外，还应根据工程地质和水位地质条件、周边环境情况合理确定通道的位置，并应选择适宜的地层加固措施和隧道开挖方法，必要时应采取地层降水、洞内支撑等辅助措施；联络通道两侧的正洞隧道应设置加强衬砌段。</w:t>
      </w:r>
    </w:p>
    <w:p w14:paraId="4300796B">
      <w:pPr>
        <w:numPr>
          <w:ilvl w:val="2"/>
          <w:numId w:val="1"/>
        </w:numPr>
        <w:tabs>
          <w:tab w:val="left" w:pos="709"/>
          <w:tab w:val="left" w:pos="794"/>
        </w:tabs>
        <w:jc w:val="left"/>
        <w:outlineLvl w:val="2"/>
        <w:rPr>
          <w:bCs/>
        </w:rPr>
      </w:pPr>
      <w:r>
        <w:rPr>
          <w:bCs/>
        </w:rPr>
        <w:t>隧道管片设计应符合以下规定：</w:t>
      </w:r>
    </w:p>
    <w:p w14:paraId="043ED757">
      <w:pPr>
        <w:ind w:firstLine="422" w:firstLineChars="200"/>
      </w:pPr>
      <w:r>
        <w:rPr>
          <w:b/>
        </w:rPr>
        <w:t>1</w:t>
      </w:r>
      <w:r>
        <w:rPr>
          <w:rFonts w:hint="eastAsia"/>
        </w:rPr>
        <w:t xml:space="preserve">  </w:t>
      </w:r>
      <w:r>
        <w:t>在满足工程使用、结构受力及防水要求的前提下，隧道宜采用单层装配式钢筋混凝土衬砌，并宜错缝拼装；</w:t>
      </w:r>
    </w:p>
    <w:p w14:paraId="79D7D36F">
      <w:pPr>
        <w:ind w:firstLine="422" w:firstLineChars="200"/>
      </w:pPr>
      <w:r>
        <w:rPr>
          <w:b/>
        </w:rPr>
        <w:t>2</w:t>
      </w:r>
      <w:r>
        <w:rPr>
          <w:rFonts w:hint="eastAsia"/>
        </w:rPr>
        <w:t xml:space="preserve">  </w:t>
      </w:r>
      <w:r>
        <w:t>联络通道等区段的特殊环管片，宜采用钢筋混凝土管片，特殊环钢筋混凝土管片应进行专门的加强设计。特殊环管片也可采用钢管片或钢−钢筋混凝土复合管片，钢管片及钢−钢筋混凝土复合管片应采取防腐蚀和防火措施；</w:t>
      </w:r>
    </w:p>
    <w:p w14:paraId="67D73751">
      <w:pPr>
        <w:ind w:firstLine="422" w:firstLineChars="200"/>
      </w:pPr>
      <w:r>
        <w:rPr>
          <w:b/>
        </w:rPr>
        <w:t>3</w:t>
      </w:r>
      <w:r>
        <w:rPr>
          <w:rFonts w:hint="eastAsia"/>
          <w:b/>
        </w:rPr>
        <w:t xml:space="preserve"> </w:t>
      </w:r>
      <w:r>
        <w:rPr>
          <w:rFonts w:hint="eastAsia"/>
        </w:rPr>
        <w:t xml:space="preserve"> </w:t>
      </w:r>
      <w:r>
        <w:t>隧道管片衬砌可采用标准环与楔形环不同组合下的普通环衬砌形式，也可采用单一楔形环的通用环衬砌形式</w:t>
      </w:r>
      <w:r>
        <w:rPr>
          <w:rFonts w:hint="eastAsia"/>
        </w:rPr>
        <w:t>；</w:t>
      </w:r>
    </w:p>
    <w:p w14:paraId="46721124">
      <w:pPr>
        <w:ind w:firstLine="422" w:firstLineChars="200"/>
      </w:pPr>
      <w:r>
        <w:rPr>
          <w:b/>
        </w:rPr>
        <w:t>4</w:t>
      </w:r>
      <w:r>
        <w:rPr>
          <w:rFonts w:hint="eastAsia"/>
          <w:b/>
        </w:rPr>
        <w:t xml:space="preserve"> </w:t>
      </w:r>
      <w:r>
        <w:rPr>
          <w:rFonts w:hint="eastAsia"/>
        </w:rPr>
        <w:t xml:space="preserve"> </w:t>
      </w:r>
      <w:r>
        <w:t>确定衬砌环楔形量时应考虑线路最小曲线半径、衬砌环类型、衬砌环排版方式、曲线拟合误差等因素，并留有一定的裕量；</w:t>
      </w:r>
    </w:p>
    <w:p w14:paraId="21086F71">
      <w:pPr>
        <w:ind w:firstLine="422" w:firstLineChars="200"/>
        <w:rPr>
          <w:rFonts w:ascii="宋体" w:hAnsi="宋体" w:cs="宋体"/>
          <w:spacing w:val="7"/>
          <w:szCs w:val="20"/>
        </w:rPr>
      </w:pPr>
      <w:r>
        <w:rPr>
          <w:b/>
        </w:rPr>
        <w:t>5</w:t>
      </w:r>
      <w:r>
        <w:rPr>
          <w:rFonts w:hint="eastAsia"/>
          <w:b/>
        </w:rPr>
        <w:t xml:space="preserve"> </w:t>
      </w:r>
      <w:r>
        <w:rPr>
          <w:rFonts w:hint="eastAsia"/>
        </w:rPr>
        <w:t xml:space="preserve"> </w:t>
      </w:r>
      <w:r>
        <w:rPr>
          <w:rFonts w:ascii="宋体" w:hAnsi="宋体" w:cs="宋体"/>
          <w:spacing w:val="8"/>
          <w:szCs w:val="20"/>
        </w:rPr>
        <w:t>管片衬砌环宜采用板式结构，其厚度应根据隧道的埋深情况、隧道直径大小、正常使用受力情</w:t>
      </w:r>
      <w:r>
        <w:rPr>
          <w:rFonts w:ascii="宋体" w:hAnsi="宋体" w:cs="宋体"/>
          <w:spacing w:val="14"/>
          <w:szCs w:val="20"/>
        </w:rPr>
        <w:t>况以及</w:t>
      </w:r>
      <w:r>
        <w:rPr>
          <w:rFonts w:ascii="宋体" w:hAnsi="宋体" w:cs="宋体"/>
          <w:spacing w:val="10"/>
          <w:szCs w:val="20"/>
        </w:rPr>
        <w:t>施</w:t>
      </w:r>
      <w:r>
        <w:rPr>
          <w:rFonts w:ascii="宋体" w:hAnsi="宋体" w:cs="宋体"/>
          <w:spacing w:val="7"/>
          <w:szCs w:val="20"/>
        </w:rPr>
        <w:t>工期间的荷载作用等因素确定，宜控制在</w:t>
      </w:r>
      <w:r>
        <w:rPr>
          <w:rFonts w:eastAsia="Times New Roman"/>
          <w:spacing w:val="7"/>
          <w:szCs w:val="20"/>
        </w:rPr>
        <w:t>0.05</w:t>
      </w:r>
      <w:r>
        <w:rPr>
          <w:rFonts w:eastAsia="Times New Roman"/>
          <w:i/>
          <w:iCs/>
          <w:szCs w:val="20"/>
        </w:rPr>
        <w:t>D</w:t>
      </w:r>
      <w:r>
        <w:rPr>
          <w:rFonts w:ascii="宋体" w:hAnsi="宋体" w:cs="宋体"/>
          <w:spacing w:val="7"/>
          <w:szCs w:val="20"/>
        </w:rPr>
        <w:t>~</w:t>
      </w:r>
      <w:r>
        <w:rPr>
          <w:rFonts w:eastAsia="Times New Roman"/>
          <w:spacing w:val="7"/>
          <w:szCs w:val="20"/>
        </w:rPr>
        <w:t>0.06</w:t>
      </w:r>
      <w:r>
        <w:rPr>
          <w:rFonts w:eastAsia="Times New Roman"/>
          <w:i/>
          <w:iCs/>
          <w:szCs w:val="20"/>
        </w:rPr>
        <w:t>D</w:t>
      </w:r>
      <w:r>
        <w:rPr>
          <w:rFonts w:ascii="宋体" w:hAnsi="宋体" w:cs="宋体"/>
          <w:spacing w:val="7"/>
          <w:szCs w:val="20"/>
        </w:rPr>
        <w:t>；</w:t>
      </w:r>
    </w:p>
    <w:p w14:paraId="5BA801F7">
      <w:pPr>
        <w:ind w:firstLine="422" w:firstLineChars="200"/>
      </w:pPr>
      <w:r>
        <w:rPr>
          <w:b/>
        </w:rPr>
        <w:t>6</w:t>
      </w:r>
      <w:r>
        <w:rPr>
          <w:rFonts w:hint="eastAsia"/>
        </w:rPr>
        <w:t xml:space="preserve">  </w:t>
      </w:r>
      <w:r>
        <w:t>管片衬砌环宽度应根据隧道最小曲线半径、隧道直径、管片制作、运输、拼装工艺以及盾构推进千斤顶行程等因素综合确定，单线隧道环宽可采用1.2~1.5m，双线隧道环宽可采用1.5~</w:t>
      </w:r>
      <w:r>
        <w:rPr>
          <w:rFonts w:hint="eastAsia"/>
        </w:rPr>
        <w:t>2.0</w:t>
      </w:r>
      <w:r>
        <w:t>m；</w:t>
      </w:r>
    </w:p>
    <w:p w14:paraId="5760383F">
      <w:pPr>
        <w:ind w:firstLine="422" w:firstLineChars="200"/>
      </w:pPr>
      <w:r>
        <w:rPr>
          <w:b/>
        </w:rPr>
        <w:t>7</w:t>
      </w:r>
      <w:r>
        <w:rPr>
          <w:rFonts w:hint="eastAsia"/>
          <w:b/>
        </w:rPr>
        <w:t xml:space="preserve"> </w:t>
      </w:r>
      <w:r>
        <w:rPr>
          <w:rFonts w:hint="eastAsia"/>
        </w:rPr>
        <w:t xml:space="preserve"> </w:t>
      </w:r>
      <w:r>
        <w:t>衬砌环可由数块标准块、两块邻接块和一块封顶块组成，分块方式应根据管片制作、运输、盾构设备、施工方法和受力等要求确定。单线隧道宜采用6块，双线隧道宜采用8块或9块；</w:t>
      </w:r>
    </w:p>
    <w:p w14:paraId="215AA8B9">
      <w:pPr>
        <w:ind w:firstLine="422" w:firstLineChars="200"/>
      </w:pPr>
      <w:r>
        <w:rPr>
          <w:b/>
        </w:rPr>
        <w:t>8</w:t>
      </w:r>
      <w:r>
        <w:rPr>
          <w:rFonts w:hint="eastAsia"/>
        </w:rPr>
        <w:t xml:space="preserve">  </w:t>
      </w:r>
      <w:r>
        <w:t>封顶块宜采用先环向顶入并搭接部分环宽、后纵向插入的拼装方式，纵向搭接长度应根据管片衬砌几何尺寸和分块、封顶块接头角度和插入角度、盾构机千斤顶行程等因素确定，宜取1/3~2/3倍环宽尺寸。封顶块接头角度和插入角度应根据衬砌环受力、管片拼装方式、盾构设备及管片生产条件等因素综合确定；</w:t>
      </w:r>
    </w:p>
    <w:p w14:paraId="2E0780E6">
      <w:pPr>
        <w:ind w:firstLine="422" w:firstLineChars="200"/>
      </w:pPr>
      <w:r>
        <w:rPr>
          <w:b/>
        </w:rPr>
        <w:t>9</w:t>
      </w:r>
      <w:r>
        <w:rPr>
          <w:rFonts w:hint="eastAsia"/>
          <w:b/>
        </w:rPr>
        <w:t xml:space="preserve"> </w:t>
      </w:r>
      <w:r>
        <w:rPr>
          <w:rFonts w:hint="eastAsia"/>
        </w:rPr>
        <w:t xml:space="preserve"> </w:t>
      </w:r>
      <w:r>
        <w:t>管片内弧面中心位置应预埋壁后注浆预埋件，注浆预埋件应带逆止阀装置，其迎土面应保留不小于40mm的素混凝土。注浆前凿穿注浆孔时不得影响邻近钢筋的保护层厚度；</w:t>
      </w:r>
    </w:p>
    <w:p w14:paraId="70E8BA2A">
      <w:pPr>
        <w:ind w:firstLine="422" w:firstLineChars="200"/>
      </w:pPr>
      <w:r>
        <w:rPr>
          <w:b/>
        </w:rPr>
        <w:t>10</w:t>
      </w:r>
      <w:r>
        <w:rPr>
          <w:rFonts w:hint="eastAsia"/>
          <w:b/>
        </w:rPr>
        <w:t xml:space="preserve"> </w:t>
      </w:r>
      <w:r>
        <w:rPr>
          <w:rFonts w:hint="eastAsia"/>
        </w:rPr>
        <w:t xml:space="preserve"> </w:t>
      </w:r>
      <w:r>
        <w:t>管片上各种预留孔洞的形状、尺寸与角度应满足制作、后续施工作业的要求，应避免造成脱模时损坏管片或螺栓安装困难；</w:t>
      </w:r>
    </w:p>
    <w:p w14:paraId="2B3AC975">
      <w:pPr>
        <w:ind w:firstLine="422" w:firstLineChars="200"/>
      </w:pPr>
      <w:r>
        <w:rPr>
          <w:b/>
        </w:rPr>
        <w:t>11</w:t>
      </w:r>
      <w:r>
        <w:rPr>
          <w:rFonts w:hint="eastAsia"/>
        </w:rPr>
        <w:t xml:space="preserve">  </w:t>
      </w:r>
      <w:r>
        <w:t>管片配筋应符合以下规定：</w:t>
      </w:r>
    </w:p>
    <w:p w14:paraId="094F4C13">
      <w:pPr>
        <w:ind w:firstLine="420" w:firstLineChars="200"/>
      </w:pPr>
      <w:r>
        <w:t>1)</w:t>
      </w:r>
      <w:r>
        <w:rPr>
          <w:rFonts w:hint="eastAsia"/>
        </w:rPr>
        <w:t xml:space="preserve">  </w:t>
      </w:r>
      <w:r>
        <w:t>管片主筋及分布筋最大间距不宜大于200mm，管片内外层钢筋之间应设置拉筋，拉筋直径不宜小于8mm，间距不宜大于300mm；</w:t>
      </w:r>
    </w:p>
    <w:p w14:paraId="42261BB7">
      <w:pPr>
        <w:ind w:firstLine="420" w:firstLineChars="200"/>
      </w:pPr>
      <w:r>
        <w:t>2)</w:t>
      </w:r>
      <w:r>
        <w:rPr>
          <w:rFonts w:hint="eastAsia"/>
        </w:rPr>
        <w:t xml:space="preserve">  </w:t>
      </w:r>
      <w:r>
        <w:t>在管片手孔周围应设置加强筋，在螺栓孔、预留孔洞、吊装孔预埋件等部位宜设置螺旋加强筋。吊装孔预埋件抗拔承载力应不小于5倍的管片自重。</w:t>
      </w:r>
    </w:p>
    <w:p w14:paraId="4B0218C4">
      <w:pPr>
        <w:ind w:firstLine="422" w:firstLineChars="200"/>
      </w:pPr>
      <w:r>
        <w:rPr>
          <w:b/>
        </w:rPr>
        <w:t>12</w:t>
      </w:r>
      <w:r>
        <w:rPr>
          <w:rFonts w:hint="eastAsia"/>
          <w:b/>
        </w:rPr>
        <w:t xml:space="preserve"> </w:t>
      </w:r>
      <w:r>
        <w:rPr>
          <w:rFonts w:hint="eastAsia"/>
        </w:rPr>
        <w:t xml:space="preserve"> </w:t>
      </w:r>
      <w:r>
        <w:t>钢筋混凝土管片应采用高精度钢模制作，管片制作和拼装精度应</w:t>
      </w:r>
      <w:r>
        <w:rPr>
          <w:rFonts w:hint="eastAsia"/>
        </w:rPr>
        <w:t>符合</w:t>
      </w:r>
      <w:r>
        <w:t>现行</w:t>
      </w:r>
      <w:r>
        <w:rPr>
          <w:rFonts w:hint="eastAsia"/>
        </w:rPr>
        <w:t>国家标准</w:t>
      </w:r>
      <w:r>
        <w:t>《盾构法隧道施工及验收规范》GB50446的相关</w:t>
      </w:r>
      <w:r>
        <w:rPr>
          <w:rFonts w:hint="eastAsia"/>
        </w:rPr>
        <w:t>规定</w:t>
      </w:r>
      <w:r>
        <w:t>。</w:t>
      </w:r>
    </w:p>
    <w:p w14:paraId="2A7CF683">
      <w:pPr>
        <w:numPr>
          <w:ilvl w:val="2"/>
          <w:numId w:val="1"/>
        </w:numPr>
        <w:tabs>
          <w:tab w:val="left" w:pos="709"/>
          <w:tab w:val="left" w:pos="794"/>
        </w:tabs>
        <w:jc w:val="left"/>
        <w:outlineLvl w:val="2"/>
        <w:rPr>
          <w:bCs/>
        </w:rPr>
      </w:pPr>
      <w:r>
        <w:rPr>
          <w:bCs/>
        </w:rPr>
        <w:t>管片接头设计应符合以下规定：</w:t>
      </w:r>
    </w:p>
    <w:p w14:paraId="1709DB3B">
      <w:pPr>
        <w:numPr>
          <w:ilvl w:val="4"/>
          <w:numId w:val="1"/>
        </w:numPr>
        <w:tabs>
          <w:tab w:val="clear" w:pos="567"/>
        </w:tabs>
        <w:ind w:firstLine="420"/>
      </w:pPr>
      <w:r>
        <w:t>管片接头设计应满足结构受力、接头防水、耐久性及管片拼装施工工艺的要求；</w:t>
      </w:r>
    </w:p>
    <w:p w14:paraId="702C1F87">
      <w:pPr>
        <w:ind w:firstLine="422" w:firstLineChars="200"/>
      </w:pPr>
      <w:r>
        <w:rPr>
          <w:b/>
        </w:rPr>
        <w:t>2</w:t>
      </w:r>
      <w:r>
        <w:rPr>
          <w:rFonts w:hint="eastAsia"/>
          <w:b/>
        </w:rPr>
        <w:t xml:space="preserve"> </w:t>
      </w:r>
      <w:r>
        <w:rPr>
          <w:rFonts w:hint="eastAsia"/>
        </w:rPr>
        <w:t xml:space="preserve"> </w:t>
      </w:r>
      <w:r>
        <w:rPr>
          <w:rFonts w:ascii="宋体" w:hAnsi="宋体" w:cs="宋体"/>
          <w:spacing w:val="8"/>
          <w:szCs w:val="20"/>
        </w:rPr>
        <w:t>管片接头应采用螺栓连接。螺栓宜采用弯螺栓型式，当管片厚度较大时亦可采用直螺栓或斜螺</w:t>
      </w:r>
      <w:r>
        <w:rPr>
          <w:rFonts w:ascii="宋体" w:hAnsi="宋体" w:cs="宋体"/>
          <w:spacing w:val="7"/>
          <w:szCs w:val="20"/>
        </w:rPr>
        <w:t>栓</w:t>
      </w:r>
      <w:r>
        <w:rPr>
          <w:rFonts w:ascii="宋体" w:hAnsi="宋体" w:cs="宋体"/>
          <w:spacing w:val="5"/>
          <w:szCs w:val="20"/>
        </w:rPr>
        <w:t>型式。螺栓、螺母和垫圈等钢构件应采取防腐蚀措施；</w:t>
      </w:r>
    </w:p>
    <w:p w14:paraId="67C2679D">
      <w:pPr>
        <w:ind w:firstLine="422" w:firstLineChars="200"/>
      </w:pPr>
      <w:r>
        <w:rPr>
          <w:b/>
        </w:rPr>
        <w:t>3</w:t>
      </w:r>
      <w:r>
        <w:rPr>
          <w:rFonts w:hint="eastAsia"/>
        </w:rPr>
        <w:t xml:space="preserve">  </w:t>
      </w:r>
      <w:r>
        <w:t>管片接头边缘应采取倒角、退缩等构造措施，应避免因应力集中造成损坏；</w:t>
      </w:r>
    </w:p>
    <w:p w14:paraId="280DEFB1">
      <w:pPr>
        <w:ind w:firstLine="422" w:firstLineChars="200"/>
      </w:pPr>
      <w:r>
        <w:rPr>
          <w:b/>
        </w:rPr>
        <w:t>4</w:t>
      </w:r>
      <w:r>
        <w:rPr>
          <w:rFonts w:hint="eastAsia"/>
          <w:b/>
        </w:rPr>
        <w:t xml:space="preserve"> </w:t>
      </w:r>
      <w:r>
        <w:rPr>
          <w:rFonts w:hint="eastAsia"/>
        </w:rPr>
        <w:t xml:space="preserve"> </w:t>
      </w:r>
      <w:bookmarkStart w:id="790" w:name="_Hlk181127472"/>
      <w:r>
        <w:t>管片厚度较大时可在接头面设置凹凸榫槽提高接头的抗剪强度及刚度。</w:t>
      </w:r>
      <w:bookmarkEnd w:id="790"/>
    </w:p>
    <w:p w14:paraId="39B1243B">
      <w:pPr>
        <w:numPr>
          <w:ilvl w:val="2"/>
          <w:numId w:val="1"/>
        </w:numPr>
        <w:tabs>
          <w:tab w:val="left" w:pos="709"/>
          <w:tab w:val="left" w:pos="794"/>
        </w:tabs>
        <w:jc w:val="left"/>
        <w:outlineLvl w:val="2"/>
        <w:rPr>
          <w:bCs/>
        </w:rPr>
      </w:pPr>
      <w:r>
        <w:rPr>
          <w:bCs/>
        </w:rPr>
        <w:t>盾构法隧道计算应符合以下规定：</w:t>
      </w:r>
    </w:p>
    <w:p w14:paraId="5BC7B77C">
      <w:pPr>
        <w:ind w:firstLine="422" w:firstLineChars="200"/>
      </w:pPr>
      <w:r>
        <w:rPr>
          <w:b/>
        </w:rPr>
        <w:t>1</w:t>
      </w:r>
      <w:r>
        <w:rPr>
          <w:rFonts w:hint="eastAsia"/>
        </w:rPr>
        <w:t xml:space="preserve">  </w:t>
      </w:r>
      <w:r>
        <w:t>结构计算时应分别选取隧道顶覆土最厚(薄)、水压力最大(小)、存在超载或偏压等不利工况进行横断面内力计算，并按各荷载工况的内力包络图或分区段进行截面设计；</w:t>
      </w:r>
    </w:p>
    <w:p w14:paraId="17D6F7E6">
      <w:pPr>
        <w:ind w:firstLine="422" w:firstLineChars="200"/>
      </w:pPr>
      <w:r>
        <w:rPr>
          <w:b/>
        </w:rPr>
        <w:t>2</w:t>
      </w:r>
      <w:r>
        <w:rPr>
          <w:rFonts w:hint="eastAsia"/>
          <w:b/>
        </w:rPr>
        <w:t xml:space="preserve"> </w:t>
      </w:r>
      <w:r>
        <w:rPr>
          <w:rFonts w:hint="eastAsia"/>
        </w:rPr>
        <w:t xml:space="preserve"> </w:t>
      </w:r>
      <w:r>
        <w:t>盾构隧道的计算模型应根据地层情况，衬砌的构造特点以及施工工艺等确定，并应考虑管片与地层之间的共同作用以及管片接头刚度的影响；</w:t>
      </w:r>
    </w:p>
    <w:p w14:paraId="2CF102F4">
      <w:pPr>
        <w:ind w:firstLine="422" w:firstLineChars="200"/>
      </w:pPr>
      <w:r>
        <w:rPr>
          <w:b/>
        </w:rPr>
        <w:t>3</w:t>
      </w:r>
      <w:r>
        <w:rPr>
          <w:rFonts w:hint="eastAsia"/>
          <w:b/>
        </w:rPr>
        <w:t xml:space="preserve"> </w:t>
      </w:r>
      <w:r>
        <w:rPr>
          <w:rFonts w:hint="eastAsia"/>
        </w:rPr>
        <w:t xml:space="preserve"> </w:t>
      </w:r>
      <w:r>
        <w:t>横断面方向管片结构计算模型可采用等效匀质圆环模型和梁-弹簧模型。错缝拼装管片衬砌计算，宜考虑衬砌环间剪力传递作用的影响；</w:t>
      </w:r>
    </w:p>
    <w:p w14:paraId="350B20A9">
      <w:pPr>
        <w:ind w:firstLine="422" w:firstLineChars="200"/>
      </w:pPr>
      <w:r>
        <w:rPr>
          <w:b/>
        </w:rPr>
        <w:t>4</w:t>
      </w:r>
      <w:r>
        <w:rPr>
          <w:rFonts w:hint="eastAsia"/>
          <w:b/>
        </w:rPr>
        <w:t xml:space="preserve"> </w:t>
      </w:r>
      <w:r>
        <w:rPr>
          <w:rFonts w:hint="eastAsia"/>
        </w:rPr>
        <w:t xml:space="preserve"> </w:t>
      </w:r>
      <w:r>
        <w:t>当采用等效匀质圆环模型进行管片衬砌计算时，应考虑管片接头影响对衬砌环整体刚度进行适当折减；错缝拼装衬砌环应考虑管片接头弯矩向两侧管片的传递效应。根据管片接头数量及构造的不同，衬砌环整体刚度折减系数η和接头弯矩传递系数ξ可分别取0.8~1.0和0.2~0.4；</w:t>
      </w:r>
    </w:p>
    <w:p w14:paraId="06F0BAF4">
      <w:pPr>
        <w:ind w:firstLine="422" w:firstLineChars="200"/>
      </w:pPr>
      <w:r>
        <w:rPr>
          <w:b/>
        </w:rPr>
        <w:t>5</w:t>
      </w:r>
      <w:r>
        <w:rPr>
          <w:rFonts w:hint="eastAsia"/>
          <w:b/>
        </w:rPr>
        <w:t xml:space="preserve"> </w:t>
      </w:r>
      <w:r>
        <w:rPr>
          <w:rFonts w:hint="eastAsia"/>
        </w:rPr>
        <w:t xml:space="preserve"> </w:t>
      </w:r>
      <w:r>
        <w:t>采用梁−弹簧模型时，环向接头可采用回转弹簧模拟，环间接头可采用剪切弹簧模拟，弹簧的刚度一般由试验或经验确定；</w:t>
      </w:r>
    </w:p>
    <w:p w14:paraId="5C40E806">
      <w:pPr>
        <w:ind w:firstLine="422" w:firstLineChars="200"/>
      </w:pPr>
      <w:r>
        <w:rPr>
          <w:b/>
        </w:rPr>
        <w:t>6</w:t>
      </w:r>
      <w:r>
        <w:rPr>
          <w:rFonts w:hint="eastAsia"/>
          <w:b/>
        </w:rPr>
        <w:t xml:space="preserve"> </w:t>
      </w:r>
      <w:r>
        <w:rPr>
          <w:rFonts w:hint="eastAsia"/>
        </w:rPr>
        <w:t xml:space="preserve"> </w:t>
      </w:r>
      <w:r>
        <w:t>管片结构与地层间的相互作用可采用假定抗力法或地基弹簧法进行模拟；</w:t>
      </w:r>
    </w:p>
    <w:p w14:paraId="41120FA9">
      <w:pPr>
        <w:ind w:firstLine="420" w:firstLineChars="200"/>
      </w:pPr>
      <w:r>
        <w:t>1)</w:t>
      </w:r>
      <w:r>
        <w:rPr>
          <w:rFonts w:hint="eastAsia"/>
        </w:rPr>
        <w:t xml:space="preserve">  </w:t>
      </w:r>
      <w:r>
        <w:t>假定抗力法：假定地层水平抗力在衬砌环水平直径处达到最大，并在上下45°中心角范围内呈三角形分布，地层水平抗力与衬砌向地层内的水平位移成正比；</w:t>
      </w:r>
    </w:p>
    <w:p w14:paraId="6CEFAC4B">
      <w:pPr>
        <w:ind w:firstLine="420" w:firstLineChars="200"/>
      </w:pPr>
      <w:r>
        <w:t>2)</w:t>
      </w:r>
      <w:r>
        <w:rPr>
          <w:rFonts w:hint="eastAsia"/>
        </w:rPr>
        <w:t xml:space="preserve">  </w:t>
      </w:r>
      <w:r>
        <w:t>地基弹簧法：一般情况下宜采用局部弹簧模式，即在隧道拱顶90°范围以外设置地层弹簧，地层弹簧不允许受拉，弹簧刚度依据地层基床系数和弹簧所代表的地基面积确定。</w:t>
      </w:r>
    </w:p>
    <w:p w14:paraId="41B1BAA6">
      <w:pPr>
        <w:ind w:firstLine="422" w:firstLineChars="200"/>
      </w:pPr>
      <w:r>
        <w:rPr>
          <w:b/>
        </w:rPr>
        <w:t>7</w:t>
      </w:r>
      <w:r>
        <w:rPr>
          <w:rFonts w:hint="eastAsia"/>
        </w:rPr>
        <w:t xml:space="preserve">  </w:t>
      </w:r>
      <w:r>
        <w:t>遇下列情况时，还应对隧道纵向强度和变形进行计算；</w:t>
      </w:r>
    </w:p>
    <w:p w14:paraId="5A524074">
      <w:pPr>
        <w:ind w:firstLine="420" w:firstLineChars="200"/>
      </w:pPr>
      <w:r>
        <w:t>1)</w:t>
      </w:r>
      <w:r>
        <w:rPr>
          <w:rFonts w:hint="eastAsia"/>
        </w:rPr>
        <w:t xml:space="preserve">  </w:t>
      </w:r>
      <w:r>
        <w:t>覆土厚度或地层沿隧道纵向有较大变化时；</w:t>
      </w:r>
    </w:p>
    <w:p w14:paraId="207F8D4A">
      <w:pPr>
        <w:ind w:firstLine="420" w:firstLineChars="200"/>
      </w:pPr>
      <w:r>
        <w:t>2)</w:t>
      </w:r>
      <w:r>
        <w:rPr>
          <w:rFonts w:hint="eastAsia"/>
        </w:rPr>
        <w:t xml:space="preserve">  </w:t>
      </w:r>
      <w:r>
        <w:t>穿越重要建、构筑物或直接承受较大局部荷载时；</w:t>
      </w:r>
    </w:p>
    <w:p w14:paraId="585C1FFB">
      <w:pPr>
        <w:ind w:firstLine="420" w:firstLineChars="200"/>
      </w:pPr>
      <w:r>
        <w:t>3)</w:t>
      </w:r>
      <w:r>
        <w:rPr>
          <w:rFonts w:hint="eastAsia"/>
        </w:rPr>
        <w:t xml:space="preserve">  </w:t>
      </w:r>
      <w:r>
        <w:t>地基沿纵向产生不均匀沉降时；</w:t>
      </w:r>
    </w:p>
    <w:p w14:paraId="6143C0B1">
      <w:pPr>
        <w:ind w:firstLine="420" w:firstLineChars="200"/>
      </w:pPr>
      <w:r>
        <w:t>4)</w:t>
      </w:r>
      <w:r>
        <w:rPr>
          <w:rFonts w:hint="eastAsia"/>
        </w:rPr>
        <w:t xml:space="preserve">  </w:t>
      </w:r>
      <w:r>
        <w:t>位于不利地层中的隧道承受地震作用时。</w:t>
      </w:r>
    </w:p>
    <w:p w14:paraId="7F441E57">
      <w:pPr>
        <w:ind w:firstLine="420" w:firstLineChars="200"/>
      </w:pPr>
      <w:r>
        <w:t>8</w:t>
      </w:r>
      <w:r>
        <w:rPr>
          <w:rFonts w:hint="eastAsia"/>
        </w:rPr>
        <w:t xml:space="preserve">  </w:t>
      </w:r>
      <w:r>
        <w:t>盾构法隧道衬砌结构应按荷载效应准永久组合进行变形验算，其直径变形量应不大于2‰D，接缝张开量应不大于管片接头密封垫允许张开值。</w:t>
      </w:r>
    </w:p>
    <w:p w14:paraId="734CD9DA">
      <w:pPr>
        <w:numPr>
          <w:ilvl w:val="2"/>
          <w:numId w:val="1"/>
        </w:numPr>
        <w:tabs>
          <w:tab w:val="left" w:pos="709"/>
          <w:tab w:val="left" w:pos="794"/>
        </w:tabs>
        <w:jc w:val="left"/>
        <w:outlineLvl w:val="2"/>
        <w:rPr>
          <w:bCs/>
        </w:rPr>
      </w:pPr>
      <w:r>
        <w:rPr>
          <w:bCs/>
        </w:rPr>
        <w:t>管片接头计算应符合下列规定：</w:t>
      </w:r>
    </w:p>
    <w:p w14:paraId="664E6FE9">
      <w:pPr>
        <w:ind w:firstLine="422" w:firstLineChars="200"/>
      </w:pPr>
      <w:r>
        <w:rPr>
          <w:b/>
        </w:rPr>
        <w:t>1</w:t>
      </w:r>
      <w:r>
        <w:rPr>
          <w:rFonts w:hint="eastAsia"/>
          <w:b/>
        </w:rPr>
        <w:t xml:space="preserve"> </w:t>
      </w:r>
      <w:r>
        <w:rPr>
          <w:rFonts w:hint="eastAsia"/>
        </w:rPr>
        <w:t xml:space="preserve"> </w:t>
      </w:r>
      <w:r>
        <w:t>管片接头计算内容应包括接头张开量计算及连接件强度检算等内容；</w:t>
      </w:r>
    </w:p>
    <w:p w14:paraId="6A283740">
      <w:pPr>
        <w:ind w:firstLine="422" w:firstLineChars="200"/>
      </w:pPr>
      <w:r>
        <w:rPr>
          <w:b/>
        </w:rPr>
        <w:t>2</w:t>
      </w:r>
      <w:r>
        <w:rPr>
          <w:rFonts w:hint="eastAsia"/>
          <w:b/>
        </w:rPr>
        <w:t xml:space="preserve">  </w:t>
      </w:r>
      <w:r>
        <w:t>钢筋混凝土管片的环向螺栓应按照现行《混凝土结构设计</w:t>
      </w:r>
      <w:r>
        <w:rPr>
          <w:rFonts w:hint="eastAsia"/>
        </w:rPr>
        <w:t>标准</w:t>
      </w:r>
      <w:r>
        <w:t>》GB50010矩形截面偏心受压构件的承载能力极限状态计算。钢管片的环向螺栓可采用以管片边缘为回转中心的模型计算螺栓应力；</w:t>
      </w:r>
    </w:p>
    <w:p w14:paraId="23DC8AE3">
      <w:pPr>
        <w:ind w:firstLine="422" w:firstLineChars="200"/>
      </w:pPr>
      <w:r>
        <w:rPr>
          <w:b/>
        </w:rPr>
        <w:t>3</w:t>
      </w:r>
      <w:r>
        <w:rPr>
          <w:rFonts w:hint="eastAsia"/>
          <w:b/>
        </w:rPr>
        <w:t xml:space="preserve">  </w:t>
      </w:r>
      <w:r>
        <w:t>钢筋混凝土管片应检算纵向螺栓的抗拉及抗剪强度；</w:t>
      </w:r>
    </w:p>
    <w:p w14:paraId="5EC8EADF">
      <w:pPr>
        <w:ind w:firstLine="422" w:firstLineChars="200"/>
      </w:pPr>
      <w:r>
        <w:rPr>
          <w:b/>
        </w:rPr>
        <w:t>4</w:t>
      </w:r>
      <w:r>
        <w:rPr>
          <w:rFonts w:hint="eastAsia"/>
          <w:b/>
        </w:rPr>
        <w:t xml:space="preserve"> </w:t>
      </w:r>
      <w:r>
        <w:rPr>
          <w:rFonts w:hint="eastAsia"/>
        </w:rPr>
        <w:t xml:space="preserve"> </w:t>
      </w:r>
      <w:r>
        <w:t>在进行管片螺栓连接处手孔形式设计时，对螺栓连接处混凝土环肋、端肋结构，应按照《混凝土结构设计</w:t>
      </w:r>
      <w:r>
        <w:rPr>
          <w:rFonts w:hint="eastAsia"/>
        </w:rPr>
        <w:t>标准</w:t>
      </w:r>
      <w:r>
        <w:t>》GB50010进行抗剪和抗冲切承载力计算。</w:t>
      </w:r>
    </w:p>
    <w:p w14:paraId="5CE766FE">
      <w:pPr>
        <w:numPr>
          <w:ilvl w:val="2"/>
          <w:numId w:val="1"/>
        </w:numPr>
        <w:tabs>
          <w:tab w:val="left" w:pos="709"/>
          <w:tab w:val="left" w:pos="794"/>
        </w:tabs>
        <w:jc w:val="left"/>
        <w:outlineLvl w:val="2"/>
        <w:rPr>
          <w:bCs/>
        </w:rPr>
      </w:pPr>
      <w:r>
        <w:rPr>
          <w:bCs/>
        </w:rPr>
        <w:t>钢管片设计应符合下列要求：</w:t>
      </w:r>
    </w:p>
    <w:p w14:paraId="34671363">
      <w:pPr>
        <w:ind w:firstLine="422" w:firstLineChars="200"/>
      </w:pPr>
      <w:r>
        <w:rPr>
          <w:b/>
        </w:rPr>
        <w:t>1</w:t>
      </w:r>
      <w:r>
        <w:rPr>
          <w:rFonts w:hint="eastAsia"/>
          <w:b/>
        </w:rPr>
        <w:t xml:space="preserve">  </w:t>
      </w:r>
      <w:r>
        <w:t>钢管片可用于隧道联络通道、地层变化、上部荷载超载等结构荷载变化较大位置。钢管片应按永久钢结构构件进行设计，并符合《钢结构设计标准》GB50017的相关规定；</w:t>
      </w:r>
    </w:p>
    <w:p w14:paraId="715F9321">
      <w:pPr>
        <w:ind w:firstLine="422" w:firstLineChars="200"/>
      </w:pPr>
      <w:r>
        <w:rPr>
          <w:b/>
        </w:rPr>
        <w:t>2</w:t>
      </w:r>
      <w:r>
        <w:rPr>
          <w:rFonts w:hint="eastAsia"/>
          <w:b/>
        </w:rPr>
        <w:t xml:space="preserve"> </w:t>
      </w:r>
      <w:r>
        <w:rPr>
          <w:rFonts w:hint="eastAsia"/>
        </w:rPr>
        <w:t xml:space="preserve"> </w:t>
      </w:r>
      <w:r>
        <w:t>钢管片各钢构件厚度及焊缝高度等参数应通过计算确定；</w:t>
      </w:r>
    </w:p>
    <w:p w14:paraId="7A9C54D7">
      <w:pPr>
        <w:ind w:firstLine="422" w:firstLineChars="200"/>
      </w:pPr>
      <w:r>
        <w:rPr>
          <w:b/>
        </w:rPr>
        <w:t>3</w:t>
      </w:r>
      <w:r>
        <w:rPr>
          <w:rFonts w:hint="eastAsia"/>
          <w:b/>
        </w:rPr>
        <w:t xml:space="preserve"> </w:t>
      </w:r>
      <w:r>
        <w:rPr>
          <w:rFonts w:hint="eastAsia"/>
        </w:rPr>
        <w:t xml:space="preserve"> </w:t>
      </w:r>
      <w:r>
        <w:t>钢管片接头宜采用高强度螺栓连接，设计应通过接头计算确定合适的螺栓、配套螺母和垫圈；</w:t>
      </w:r>
    </w:p>
    <w:p w14:paraId="5A6FC60C">
      <w:pPr>
        <w:ind w:firstLine="422" w:firstLineChars="200"/>
      </w:pPr>
      <w:r>
        <w:rPr>
          <w:b/>
        </w:rPr>
        <w:t>4</w:t>
      </w:r>
      <w:r>
        <w:rPr>
          <w:rFonts w:hint="eastAsia"/>
          <w:b/>
        </w:rPr>
        <w:t xml:space="preserve"> </w:t>
      </w:r>
      <w:r>
        <w:rPr>
          <w:rFonts w:hint="eastAsia"/>
        </w:rPr>
        <w:t xml:space="preserve"> </w:t>
      </w:r>
      <w:r>
        <w:t>应对钢管片接头面板(包括环板和端板)的抗压强度、抗剪强度、局部稳定性进行检算；</w:t>
      </w:r>
    </w:p>
    <w:p w14:paraId="0D0DA3A3">
      <w:pPr>
        <w:ind w:firstLine="422" w:firstLineChars="200"/>
      </w:pPr>
      <w:r>
        <w:rPr>
          <w:b/>
        </w:rPr>
        <w:t>5</w:t>
      </w:r>
      <w:r>
        <w:rPr>
          <w:rFonts w:hint="eastAsia"/>
          <w:b/>
        </w:rPr>
        <w:t xml:space="preserve"> </w:t>
      </w:r>
      <w:r>
        <w:rPr>
          <w:rFonts w:hint="eastAsia"/>
        </w:rPr>
        <w:t xml:space="preserve"> </w:t>
      </w:r>
      <w:r>
        <w:t>钢管片表面应除锈并涂刷防腐涂料。施工完成前宜在钢管片格腔内灌注混凝土，钢管片外露部分应作加强防腐蚀及防火处理；</w:t>
      </w:r>
    </w:p>
    <w:p w14:paraId="5F4B5F8E">
      <w:pPr>
        <w:ind w:firstLine="422" w:firstLineChars="200"/>
      </w:pPr>
      <w:r>
        <w:rPr>
          <w:b/>
        </w:rPr>
        <w:t>6</w:t>
      </w:r>
      <w:r>
        <w:rPr>
          <w:rFonts w:hint="eastAsia"/>
          <w:b/>
        </w:rPr>
        <w:t xml:space="preserve">  </w:t>
      </w:r>
      <w:r>
        <w:t>钢管片尺寸及加工精度应与混凝土管片相同。</w:t>
      </w:r>
    </w:p>
    <w:p w14:paraId="699DC564">
      <w:pPr>
        <w:numPr>
          <w:ilvl w:val="2"/>
          <w:numId w:val="1"/>
        </w:numPr>
        <w:tabs>
          <w:tab w:val="left" w:pos="709"/>
          <w:tab w:val="left" w:pos="794"/>
        </w:tabs>
        <w:jc w:val="left"/>
        <w:outlineLvl w:val="2"/>
        <w:rPr>
          <w:bCs/>
        </w:rPr>
      </w:pPr>
      <w:r>
        <w:rPr>
          <w:bCs/>
        </w:rPr>
        <w:t>盾构工作井(竖井)设计应满足下列要求：</w:t>
      </w:r>
    </w:p>
    <w:p w14:paraId="64AA825D">
      <w:pPr>
        <w:ind w:firstLine="422" w:firstLineChars="200"/>
      </w:pPr>
      <w:r>
        <w:rPr>
          <w:b/>
        </w:rPr>
        <w:t>1</w:t>
      </w:r>
      <w:r>
        <w:rPr>
          <w:rFonts w:hint="eastAsia"/>
          <w:b/>
        </w:rPr>
        <w:t xml:space="preserve"> </w:t>
      </w:r>
      <w:r>
        <w:rPr>
          <w:rFonts w:hint="eastAsia"/>
        </w:rPr>
        <w:t xml:space="preserve"> </w:t>
      </w:r>
      <w:r>
        <w:t>盾构隧道宜利用车站端头作为盾构工作井，工作井结构设计时应满足盾构始发、到达或调头的作业空间要求及工作井本身受力的要求。当受场地或其他条件限制时，盾构工作井也可在区间正线隧道之上或在区间隧道一侧设置；</w:t>
      </w:r>
    </w:p>
    <w:p w14:paraId="7C581F58">
      <w:pPr>
        <w:ind w:firstLine="422" w:firstLineChars="200"/>
      </w:pPr>
      <w:r>
        <w:rPr>
          <w:b/>
        </w:rPr>
        <w:t>2</w:t>
      </w:r>
      <w:r>
        <w:rPr>
          <w:rFonts w:hint="eastAsia"/>
          <w:b/>
        </w:rPr>
        <w:t xml:space="preserve"> </w:t>
      </w:r>
      <w:r>
        <w:rPr>
          <w:rFonts w:hint="eastAsia"/>
        </w:rPr>
        <w:t xml:space="preserve"> </w:t>
      </w:r>
      <w:r>
        <w:t>盾构进出工作井洞口处，应设置洞口密封止水环，在管片与工作井井壁间应设置现浇钢筋混凝土环梁，在井壁应预埋与后浇环梁连接的钢筋或钢板；</w:t>
      </w:r>
    </w:p>
    <w:p w14:paraId="5BB772F2">
      <w:pPr>
        <w:ind w:firstLine="422" w:firstLineChars="200"/>
      </w:pPr>
      <w:r>
        <w:rPr>
          <w:b/>
        </w:rPr>
        <w:t>3</w:t>
      </w:r>
      <w:r>
        <w:rPr>
          <w:rFonts w:hint="eastAsia"/>
          <w:b/>
        </w:rPr>
        <w:t xml:space="preserve"> </w:t>
      </w:r>
      <w:r>
        <w:rPr>
          <w:rFonts w:hint="eastAsia"/>
        </w:rPr>
        <w:t xml:space="preserve"> </w:t>
      </w:r>
      <w:r>
        <w:t>盾构工作井结构尚应考虑盾构始发时的反力对井壁及内部构件的影响。</w:t>
      </w:r>
    </w:p>
    <w:p w14:paraId="27C1910C">
      <w:pPr>
        <w:numPr>
          <w:ilvl w:val="2"/>
          <w:numId w:val="1"/>
        </w:numPr>
        <w:tabs>
          <w:tab w:val="left" w:pos="709"/>
          <w:tab w:val="left" w:pos="794"/>
        </w:tabs>
        <w:jc w:val="left"/>
        <w:outlineLvl w:val="2"/>
        <w:rPr>
          <w:bCs/>
        </w:rPr>
      </w:pPr>
      <w:r>
        <w:rPr>
          <w:bCs/>
        </w:rPr>
        <w:t>盾构始发、接收设计应符合下列规定：</w:t>
      </w:r>
    </w:p>
    <w:p w14:paraId="47E638C0">
      <w:pPr>
        <w:ind w:firstLine="422" w:firstLineChars="200"/>
      </w:pPr>
      <w:r>
        <w:rPr>
          <w:b/>
        </w:rPr>
        <w:t>1</w:t>
      </w:r>
      <w:r>
        <w:rPr>
          <w:rFonts w:hint="eastAsia"/>
        </w:rPr>
        <w:t xml:space="preserve">  </w:t>
      </w:r>
      <w:r>
        <w:t>盾构始发或接收前，应对洞门外土体进行预加固，土体加固方法、加固范围和加固体物理力学参数等应根据工程地质和水文地质条件、盾构机类型、覆土厚度、周围环境等因素确定；</w:t>
      </w:r>
    </w:p>
    <w:p w14:paraId="661BEAD9">
      <w:pPr>
        <w:ind w:firstLine="422" w:firstLineChars="200"/>
      </w:pPr>
      <w:r>
        <w:rPr>
          <w:b/>
        </w:rPr>
        <w:t>2</w:t>
      </w:r>
      <w:r>
        <w:rPr>
          <w:rFonts w:hint="eastAsia"/>
          <w:b/>
        </w:rPr>
        <w:t xml:space="preserve"> </w:t>
      </w:r>
      <w:r>
        <w:rPr>
          <w:rFonts w:hint="eastAsia"/>
        </w:rPr>
        <w:t xml:space="preserve"> </w:t>
      </w:r>
      <w:r>
        <w:t>土体加固措施应通过技术经济分析，因地制宜的选择加固方法，可采用高压旋喷、深层搅拌、混凝土素桩、注浆等方法；</w:t>
      </w:r>
    </w:p>
    <w:p w14:paraId="580D8383">
      <w:pPr>
        <w:ind w:firstLine="422" w:firstLineChars="200"/>
      </w:pPr>
      <w:r>
        <w:rPr>
          <w:b/>
        </w:rPr>
        <w:t>3</w:t>
      </w:r>
      <w:r>
        <w:rPr>
          <w:rFonts w:hint="eastAsia"/>
        </w:rPr>
        <w:t xml:space="preserve">  </w:t>
      </w:r>
      <w:r>
        <w:t>通常情况下，加固体宽度宜为隧道周围上、下、左、右各3.0m；在含水地层，盾构始发区加固体长度宜为1.0倍的盾构机长度，接收区宜为1.0倍的盾构机长度加2.0m；在无水地层(砂卵石地层除外)，盾构始发和接收区加固体长度宜为0.5~1.0倍的盾构机长度。</w:t>
      </w:r>
      <w:r>
        <w:rPr>
          <w:rFonts w:hint="eastAsia"/>
        </w:rPr>
        <w:t>高水压地层宜采用钢套筒始发接收，土体纵向加固长度3m。</w:t>
      </w:r>
      <w:r>
        <w:t>加固体强度应到达0.5~0.8MPa，有止水要求时渗透系数应不大于</w:t>
      </w:r>
      <w:r>
        <w:rPr>
          <w:rFonts w:hint="eastAsia"/>
        </w:rPr>
        <w:t>1.0x10-6cm/s。</w:t>
      </w:r>
    </w:p>
    <w:p w14:paraId="197B1C06">
      <w:pPr>
        <w:ind w:firstLine="422" w:firstLineChars="200"/>
      </w:pPr>
      <w:r>
        <w:rPr>
          <w:b/>
        </w:rPr>
        <w:t>4</w:t>
      </w:r>
      <w:r>
        <w:rPr>
          <w:rFonts w:hint="eastAsia"/>
          <w:b/>
        </w:rPr>
        <w:t xml:space="preserve"> </w:t>
      </w:r>
      <w:r>
        <w:rPr>
          <w:rFonts w:hint="eastAsia"/>
        </w:rPr>
        <w:t xml:space="preserve"> </w:t>
      </w:r>
      <w:r>
        <w:t>在地层无水情况下，基坑支护结构钢筋采用玻璃纤维筋时，土压平衡盾构的始发区和接收区均可不进行地层加固；但当地层强度较弱，在接收区的盾构机下方一定范围，地层可适当加固处理。</w:t>
      </w:r>
    </w:p>
    <w:p w14:paraId="22EEC715">
      <w:pPr>
        <w:numPr>
          <w:ilvl w:val="2"/>
          <w:numId w:val="1"/>
        </w:numPr>
        <w:tabs>
          <w:tab w:val="left" w:pos="709"/>
          <w:tab w:val="left" w:pos="794"/>
        </w:tabs>
        <w:jc w:val="left"/>
        <w:outlineLvl w:val="2"/>
        <w:rPr>
          <w:bCs/>
        </w:rPr>
      </w:pPr>
      <w:r>
        <w:rPr>
          <w:bCs/>
        </w:rPr>
        <w:t>两条平行隧道之间净距小于1.0D或上下叠落等小净距隧道设计应符合下列基本原则：</w:t>
      </w:r>
    </w:p>
    <w:p w14:paraId="3D582D3F">
      <w:pPr>
        <w:ind w:firstLine="422" w:firstLineChars="200"/>
      </w:pPr>
      <w:r>
        <w:rPr>
          <w:b/>
        </w:rPr>
        <w:t>1</w:t>
      </w:r>
      <w:r>
        <w:rPr>
          <w:rFonts w:hint="eastAsia"/>
          <w:b/>
        </w:rPr>
        <w:t xml:space="preserve"> </w:t>
      </w:r>
      <w:r>
        <w:rPr>
          <w:rFonts w:hint="eastAsia"/>
        </w:rPr>
        <w:t xml:space="preserve"> </w:t>
      </w:r>
      <w:r>
        <w:t>应综合考虑工程地质及水文地质条件、周围环境情况、隧道净距、施工顺序、工程造价等因素，对因近距离盾构掘进产生的相互影响应采取适当的保护措施；</w:t>
      </w:r>
    </w:p>
    <w:p w14:paraId="7ACCA1B3">
      <w:pPr>
        <w:ind w:firstLine="422" w:firstLineChars="200"/>
      </w:pPr>
      <w:r>
        <w:rPr>
          <w:b/>
        </w:rPr>
        <w:t>2</w:t>
      </w:r>
      <w:r>
        <w:rPr>
          <w:rFonts w:hint="eastAsia"/>
          <w:b/>
        </w:rPr>
        <w:t xml:space="preserve"> </w:t>
      </w:r>
      <w:r>
        <w:rPr>
          <w:rFonts w:hint="eastAsia"/>
        </w:rPr>
        <w:t xml:space="preserve"> </w:t>
      </w:r>
      <w:r>
        <w:t>小净距隧道衬砌设计时，应对相邻隧道的施工影响进行计算分析，必要时可对管片配筋、接头螺栓等设计参数作适当加强；</w:t>
      </w:r>
    </w:p>
    <w:p w14:paraId="17644BBD">
      <w:pPr>
        <w:ind w:firstLine="422" w:firstLineChars="200"/>
      </w:pPr>
      <w:r>
        <w:rPr>
          <w:b/>
        </w:rPr>
        <w:t>3</w:t>
      </w:r>
      <w:r>
        <w:rPr>
          <w:rFonts w:hint="eastAsia"/>
        </w:rPr>
        <w:t xml:space="preserve">  </w:t>
      </w:r>
      <w:r>
        <w:t>当两条平行隧道为近距离上下叠落时，应对上下两条隧道的先后掘进顺序及相应的技术措施进行专项论证。</w:t>
      </w:r>
    </w:p>
    <w:p w14:paraId="7DBA40F0">
      <w:pPr>
        <w:numPr>
          <w:ilvl w:val="2"/>
          <w:numId w:val="1"/>
        </w:numPr>
        <w:tabs>
          <w:tab w:val="left" w:pos="709"/>
          <w:tab w:val="left" w:pos="794"/>
        </w:tabs>
        <w:jc w:val="left"/>
        <w:outlineLvl w:val="2"/>
        <w:rPr>
          <w:bCs/>
        </w:rPr>
      </w:pPr>
      <w:r>
        <w:rPr>
          <w:bCs/>
        </w:rPr>
        <w:t>盾构机选型应符合以下基本规定：</w:t>
      </w:r>
    </w:p>
    <w:p w14:paraId="6D5A28A0">
      <w:pPr>
        <w:ind w:firstLine="422" w:firstLineChars="200"/>
      </w:pPr>
      <w:r>
        <w:rPr>
          <w:b/>
        </w:rPr>
        <w:t>1</w:t>
      </w:r>
      <w:r>
        <w:rPr>
          <w:rFonts w:hint="eastAsia"/>
          <w:b/>
        </w:rPr>
        <w:t xml:space="preserve"> </w:t>
      </w:r>
      <w:r>
        <w:rPr>
          <w:rFonts w:hint="eastAsia"/>
        </w:rPr>
        <w:t xml:space="preserve"> </w:t>
      </w:r>
      <w:r>
        <w:t>当盾构机掘进区段内不存在大漂石、高水压等不良地质时，应选用土压平衡盾构，可通过向开挖面添加泥浆或泡沫等措施改善碴土的流动性；</w:t>
      </w:r>
    </w:p>
    <w:p w14:paraId="36D582A1">
      <w:pPr>
        <w:ind w:firstLine="422" w:firstLineChars="200"/>
      </w:pPr>
      <w:r>
        <w:rPr>
          <w:b/>
        </w:rPr>
        <w:t>2</w:t>
      </w:r>
      <w:r>
        <w:rPr>
          <w:rFonts w:hint="eastAsia"/>
        </w:rPr>
        <w:t xml:space="preserve">  </w:t>
      </w:r>
      <w:r>
        <w:t>当盾构机掘进区段为厚度较大的砂、卵石层且地下水压力大</w:t>
      </w:r>
      <w:r>
        <w:rPr>
          <w:rFonts w:hint="eastAsia"/>
        </w:rPr>
        <w:t>于250KPa</w:t>
      </w:r>
      <w:r>
        <w:t>或需要精确控制开挖面压力时，可采用泥水平衡盾构；</w:t>
      </w:r>
    </w:p>
    <w:p w14:paraId="380121BF">
      <w:pPr>
        <w:ind w:firstLine="422" w:firstLineChars="200"/>
      </w:pPr>
      <w:r>
        <w:rPr>
          <w:b/>
        </w:rPr>
        <w:t>3</w:t>
      </w:r>
      <w:r>
        <w:rPr>
          <w:rFonts w:hint="eastAsia"/>
          <w:b/>
        </w:rPr>
        <w:t xml:space="preserve"> </w:t>
      </w:r>
      <w:r>
        <w:rPr>
          <w:rFonts w:hint="eastAsia"/>
        </w:rPr>
        <w:t xml:space="preserve"> </w:t>
      </w:r>
      <w:r>
        <w:t>当盾构机掘进区段内地层强度或开挖面稳定性差异较大，如长距离的岩土混合地层时，宜采用复合式盾构；</w:t>
      </w:r>
    </w:p>
    <w:p w14:paraId="1E786C43">
      <w:pPr>
        <w:ind w:firstLine="422" w:firstLineChars="200"/>
      </w:pPr>
      <w:r>
        <w:rPr>
          <w:b/>
        </w:rPr>
        <w:t>4</w:t>
      </w:r>
      <w:r>
        <w:rPr>
          <w:rFonts w:hint="eastAsia"/>
          <w:b/>
        </w:rPr>
        <w:t xml:space="preserve"> </w:t>
      </w:r>
      <w:r>
        <w:rPr>
          <w:rFonts w:hint="eastAsia"/>
        </w:rPr>
        <w:t xml:space="preserve"> </w:t>
      </w:r>
      <w:r>
        <w:t>盾构机刀盘或刀具应综合考虑隧道断面、地层岩性、地下水及掘进长度等因素后确定，并应允许掘进过程中进行刀盘或刀具的检修和更换。</w:t>
      </w:r>
    </w:p>
    <w:p w14:paraId="0CDE11F2">
      <w:pPr>
        <w:numPr>
          <w:ilvl w:val="1"/>
          <w:numId w:val="1"/>
        </w:numPr>
        <w:snapToGrid w:val="0"/>
        <w:spacing w:before="156" w:after="156" w:line="240" w:lineRule="auto"/>
        <w:jc w:val="center"/>
        <w:outlineLvl w:val="1"/>
        <w:rPr>
          <w:rFonts w:eastAsia="黑体"/>
          <w:bCs/>
          <w:szCs w:val="28"/>
        </w:rPr>
      </w:pPr>
      <w:bookmarkStart w:id="791" w:name="_Toc183882473"/>
      <w:bookmarkStart w:id="792" w:name="_Toc183765120"/>
      <w:bookmarkStart w:id="793" w:name="_Toc183888163"/>
      <w:bookmarkStart w:id="794" w:name="_Toc183888525"/>
      <w:bookmarkStart w:id="795" w:name="_Toc183882111"/>
      <w:bookmarkStart w:id="796" w:name="_Toc183790550"/>
      <w:r>
        <w:rPr>
          <w:rFonts w:eastAsia="黑体"/>
          <w:bCs/>
          <w:szCs w:val="28"/>
        </w:rPr>
        <w:t>顶管法结构设计</w:t>
      </w:r>
      <w:bookmarkEnd w:id="791"/>
      <w:bookmarkEnd w:id="792"/>
      <w:bookmarkEnd w:id="793"/>
      <w:bookmarkEnd w:id="794"/>
      <w:bookmarkEnd w:id="795"/>
      <w:bookmarkEnd w:id="796"/>
    </w:p>
    <w:p w14:paraId="3E632EF5">
      <w:pPr>
        <w:numPr>
          <w:ilvl w:val="2"/>
          <w:numId w:val="1"/>
        </w:numPr>
        <w:tabs>
          <w:tab w:val="left" w:pos="709"/>
          <w:tab w:val="left" w:pos="794"/>
        </w:tabs>
        <w:jc w:val="left"/>
        <w:outlineLvl w:val="2"/>
        <w:rPr>
          <w:bCs/>
        </w:rPr>
      </w:pPr>
      <w:r>
        <w:rPr>
          <w:rFonts w:hint="eastAsia"/>
          <w:bCs/>
        </w:rPr>
        <w:t>顶管</w:t>
      </w:r>
      <w:r>
        <w:rPr>
          <w:bCs/>
        </w:rPr>
        <w:t>法隧道设计应符合以下基本原则</w:t>
      </w:r>
      <w:r>
        <w:rPr>
          <w:rFonts w:hint="eastAsia"/>
          <w:bCs/>
        </w:rPr>
        <w:t>：</w:t>
      </w:r>
    </w:p>
    <w:p w14:paraId="7E0D2FC3">
      <w:pPr>
        <w:ind w:firstLine="422" w:firstLineChars="200"/>
        <w:rPr>
          <w:bCs/>
        </w:rPr>
      </w:pPr>
      <w:r>
        <w:rPr>
          <w:b/>
          <w:bCs/>
        </w:rPr>
        <w:t>1</w:t>
      </w:r>
      <w:r>
        <w:rPr>
          <w:rFonts w:hint="eastAsia"/>
          <w:bCs/>
        </w:rPr>
        <w:t xml:space="preserve">  </w:t>
      </w:r>
      <w:r>
        <w:rPr>
          <w:bCs/>
        </w:rPr>
        <w:t>隧道应选择适宜</w:t>
      </w:r>
      <w:r>
        <w:rPr>
          <w:rFonts w:hint="eastAsia"/>
          <w:bCs/>
        </w:rPr>
        <w:t>顶管顶进</w:t>
      </w:r>
      <w:r>
        <w:rPr>
          <w:bCs/>
        </w:rPr>
        <w:t>的</w:t>
      </w:r>
      <w:r>
        <w:rPr>
          <w:rFonts w:hint="eastAsia"/>
          <w:bCs/>
        </w:rPr>
        <w:t>粘土、粉土、砂土及小粒径卵石</w:t>
      </w:r>
      <w:r>
        <w:rPr>
          <w:bCs/>
        </w:rPr>
        <w:t>地层</w:t>
      </w:r>
      <w:r>
        <w:rPr>
          <w:rFonts w:hint="eastAsia"/>
          <w:bCs/>
        </w:rPr>
        <w:t>；</w:t>
      </w:r>
      <w:r>
        <w:rPr>
          <w:bCs/>
        </w:rPr>
        <w:t xml:space="preserve"> </w:t>
      </w:r>
    </w:p>
    <w:p w14:paraId="5AEE45F9">
      <w:pPr>
        <w:ind w:firstLine="422" w:firstLineChars="200"/>
        <w:rPr>
          <w:bCs/>
        </w:rPr>
      </w:pPr>
      <w:r>
        <w:rPr>
          <w:b/>
          <w:bCs/>
        </w:rPr>
        <w:t>2</w:t>
      </w:r>
      <w:r>
        <w:rPr>
          <w:rFonts w:hint="eastAsia"/>
          <w:bCs/>
        </w:rPr>
        <w:t xml:space="preserve">  </w:t>
      </w:r>
      <w:r>
        <w:rPr>
          <w:bCs/>
        </w:rPr>
        <w:t>隧道覆土厚度及近距离隧道之间的间距等设计参数应综合考虑结构尺寸</w:t>
      </w:r>
      <w:r>
        <w:rPr>
          <w:rFonts w:hint="eastAsia"/>
          <w:bCs/>
        </w:rPr>
        <w:t>、</w:t>
      </w:r>
      <w:r>
        <w:rPr>
          <w:bCs/>
        </w:rPr>
        <w:t>地质和环境条件等因素后确定</w:t>
      </w:r>
      <w:r>
        <w:rPr>
          <w:rFonts w:hint="eastAsia"/>
          <w:bCs/>
        </w:rPr>
        <w:t>；</w:t>
      </w:r>
    </w:p>
    <w:p w14:paraId="01FF3E4C">
      <w:pPr>
        <w:ind w:firstLine="422" w:firstLineChars="200"/>
        <w:rPr>
          <w:bCs/>
        </w:rPr>
      </w:pPr>
      <w:r>
        <w:rPr>
          <w:rFonts w:hint="eastAsia"/>
          <w:b/>
          <w:bCs/>
        </w:rPr>
        <w:t>3</w:t>
      </w:r>
      <w:r>
        <w:rPr>
          <w:b/>
          <w:bCs/>
        </w:rPr>
        <w:t xml:space="preserve"> </w:t>
      </w:r>
      <w:r>
        <w:rPr>
          <w:rFonts w:hint="eastAsia"/>
          <w:bCs/>
        </w:rPr>
        <w:t xml:space="preserve"> 隧道</w:t>
      </w:r>
      <w:r>
        <w:rPr>
          <w:bCs/>
        </w:rPr>
        <w:t>外壁与既有地下管线等地下建（构）筑物的净距不宜小于1.0m，并宜避让地下管线的窨井、接头等位置。</w:t>
      </w:r>
    </w:p>
    <w:p w14:paraId="38059F1C">
      <w:pPr>
        <w:numPr>
          <w:ilvl w:val="2"/>
          <w:numId w:val="1"/>
        </w:numPr>
        <w:tabs>
          <w:tab w:val="left" w:pos="709"/>
          <w:tab w:val="left" w:pos="794"/>
        </w:tabs>
        <w:jc w:val="left"/>
        <w:outlineLvl w:val="2"/>
        <w:rPr>
          <w:bCs/>
        </w:rPr>
      </w:pPr>
      <w:r>
        <w:rPr>
          <w:bCs/>
        </w:rPr>
        <w:t>顶管</w:t>
      </w:r>
      <w:r>
        <w:rPr>
          <w:rFonts w:hint="eastAsia"/>
          <w:bCs/>
        </w:rPr>
        <w:t>法管片设计</w:t>
      </w:r>
      <w:r>
        <w:rPr>
          <w:bCs/>
        </w:rPr>
        <w:t>应符合下列规定：</w:t>
      </w:r>
    </w:p>
    <w:p w14:paraId="4AB5C32D">
      <w:pPr>
        <w:ind w:firstLine="422" w:firstLineChars="200"/>
        <w:rPr>
          <w:bCs/>
        </w:rPr>
      </w:pPr>
      <w:r>
        <w:rPr>
          <w:b/>
          <w:bCs/>
        </w:rPr>
        <w:t>1</w:t>
      </w:r>
      <w:r>
        <w:rPr>
          <w:bCs/>
        </w:rPr>
        <w:t xml:space="preserve"> </w:t>
      </w:r>
      <w:r>
        <w:rPr>
          <w:rFonts w:hint="eastAsia"/>
          <w:bCs/>
        </w:rPr>
        <w:t xml:space="preserve"> </w:t>
      </w:r>
      <w:r>
        <w:rPr>
          <w:bCs/>
        </w:rPr>
        <w:t>顶管结构</w:t>
      </w:r>
      <w:r>
        <w:rPr>
          <w:rFonts w:hint="eastAsia"/>
          <w:bCs/>
        </w:rPr>
        <w:t>宜</w:t>
      </w:r>
      <w:r>
        <w:rPr>
          <w:bCs/>
        </w:rPr>
        <w:t>采用整体预制的钢筋混凝土单层衬砌，</w:t>
      </w:r>
      <w:r>
        <w:rPr>
          <w:rFonts w:hint="eastAsia"/>
          <w:bCs/>
        </w:rPr>
        <w:t>大断面顶管结构可采用分块预制拼装的</w:t>
      </w:r>
      <w:r>
        <w:rPr>
          <w:bCs/>
        </w:rPr>
        <w:t>钢筋混凝土</w:t>
      </w:r>
      <w:r>
        <w:rPr>
          <w:rFonts w:hint="eastAsia"/>
          <w:bCs/>
        </w:rPr>
        <w:t>单层</w:t>
      </w:r>
      <w:r>
        <w:rPr>
          <w:bCs/>
        </w:rPr>
        <w:t>衬砌并宜错缝拼装</w:t>
      </w:r>
      <w:r>
        <w:rPr>
          <w:rFonts w:hint="eastAsia"/>
          <w:bCs/>
        </w:rPr>
        <w:t>，</w:t>
      </w:r>
      <w:r>
        <w:rPr>
          <w:bCs/>
        </w:rPr>
        <w:t>结构断面型式可为矩形</w:t>
      </w:r>
      <w:r>
        <w:rPr>
          <w:rFonts w:hint="eastAsia"/>
          <w:bCs/>
        </w:rPr>
        <w:t>、类矩形</w:t>
      </w:r>
      <w:r>
        <w:rPr>
          <w:bCs/>
        </w:rPr>
        <w:t>或圆形。</w:t>
      </w:r>
    </w:p>
    <w:p w14:paraId="3A0D6333">
      <w:pPr>
        <w:ind w:firstLine="422" w:firstLineChars="200"/>
        <w:rPr>
          <w:bCs/>
        </w:rPr>
      </w:pPr>
      <w:r>
        <w:rPr>
          <w:b/>
          <w:bCs/>
        </w:rPr>
        <w:t>2</w:t>
      </w:r>
      <w:r>
        <w:rPr>
          <w:bCs/>
        </w:rPr>
        <w:t xml:space="preserve"> </w:t>
      </w:r>
      <w:r>
        <w:rPr>
          <w:rFonts w:hint="eastAsia"/>
          <w:bCs/>
        </w:rPr>
        <w:t xml:space="preserve"> </w:t>
      </w:r>
      <w:r>
        <w:rPr>
          <w:bCs/>
        </w:rPr>
        <w:t>顶管结构衬砌应分节顶进，分节长度应根据</w:t>
      </w:r>
      <w:r>
        <w:rPr>
          <w:rFonts w:hint="eastAsia"/>
          <w:bCs/>
        </w:rPr>
        <w:t>地层</w:t>
      </w:r>
      <w:r>
        <w:rPr>
          <w:bCs/>
        </w:rPr>
        <w:t>、结构断面</w:t>
      </w:r>
      <w:r>
        <w:rPr>
          <w:rFonts w:hint="eastAsia"/>
          <w:bCs/>
        </w:rPr>
        <w:t>尺寸</w:t>
      </w:r>
      <w:r>
        <w:rPr>
          <w:bCs/>
        </w:rPr>
        <w:t>、顶进要求</w:t>
      </w:r>
      <w:r>
        <w:rPr>
          <w:rFonts w:hint="eastAsia"/>
          <w:bCs/>
        </w:rPr>
        <w:t>、吊装及运输</w:t>
      </w:r>
      <w:r>
        <w:rPr>
          <w:bCs/>
        </w:rPr>
        <w:t>能力等因素确定，中间节长度宜控制在1.0m～2.0m，首节长度宜为中间节长度的1/2。</w:t>
      </w:r>
    </w:p>
    <w:p w14:paraId="2EA36ACE">
      <w:pPr>
        <w:numPr>
          <w:ilvl w:val="2"/>
          <w:numId w:val="1"/>
        </w:numPr>
        <w:tabs>
          <w:tab w:val="left" w:pos="709"/>
          <w:tab w:val="left" w:pos="794"/>
        </w:tabs>
        <w:jc w:val="left"/>
        <w:outlineLvl w:val="2"/>
        <w:rPr>
          <w:bCs/>
        </w:rPr>
      </w:pPr>
      <w:r>
        <w:rPr>
          <w:bCs/>
        </w:rPr>
        <w:t>顶管法结构计算应符合下列规定：</w:t>
      </w:r>
    </w:p>
    <w:p w14:paraId="4E451B0E">
      <w:pPr>
        <w:ind w:firstLine="422" w:firstLineChars="200"/>
        <w:rPr>
          <w:bCs/>
        </w:rPr>
      </w:pPr>
      <w:r>
        <w:rPr>
          <w:rFonts w:hint="eastAsia"/>
          <w:b/>
          <w:bCs/>
        </w:rPr>
        <w:t xml:space="preserve">1 </w:t>
      </w:r>
      <w:r>
        <w:rPr>
          <w:rFonts w:hint="eastAsia"/>
          <w:bCs/>
        </w:rPr>
        <w:t xml:space="preserve"> </w:t>
      </w:r>
      <w:r>
        <w:rPr>
          <w:bCs/>
        </w:rPr>
        <w:t>应根据结构所处工程地质和水文地质、埋深和环境等条件，对结构横断面</w:t>
      </w:r>
      <w:r>
        <w:rPr>
          <w:rFonts w:hint="eastAsia"/>
          <w:bCs/>
        </w:rPr>
        <w:t>进行承载能力极限状态和正常使用极限状态计算，并根据实际受力状况及接头刚度确定合理的计算模型；</w:t>
      </w:r>
    </w:p>
    <w:p w14:paraId="4C2BC718">
      <w:pPr>
        <w:ind w:firstLine="422" w:firstLineChars="200"/>
        <w:rPr>
          <w:bCs/>
        </w:rPr>
      </w:pPr>
      <w:r>
        <w:rPr>
          <w:b/>
          <w:bCs/>
        </w:rPr>
        <w:t>2</w:t>
      </w:r>
      <w:r>
        <w:rPr>
          <w:bCs/>
        </w:rPr>
        <w:t xml:space="preserve"> </w:t>
      </w:r>
      <w:r>
        <w:rPr>
          <w:rFonts w:hint="eastAsia"/>
          <w:bCs/>
        </w:rPr>
        <w:t xml:space="preserve"> </w:t>
      </w:r>
      <w:r>
        <w:rPr>
          <w:bCs/>
        </w:rPr>
        <w:t>应根据工程地质和水文地质、埋深和顶进长度等条件计算顶力，</w:t>
      </w:r>
      <w:r>
        <w:rPr>
          <w:rFonts w:hint="eastAsia"/>
          <w:bCs/>
        </w:rPr>
        <w:t>并</w:t>
      </w:r>
      <w:r>
        <w:rPr>
          <w:bCs/>
        </w:rPr>
        <w:t>对顶管传力面最大允许顶力进行验算，满足结构承载力和稳定性要求；</w:t>
      </w:r>
    </w:p>
    <w:p w14:paraId="4681C9D9">
      <w:pPr>
        <w:ind w:firstLine="422" w:firstLineChars="200"/>
        <w:rPr>
          <w:bCs/>
        </w:rPr>
      </w:pPr>
      <w:r>
        <w:rPr>
          <w:b/>
          <w:bCs/>
        </w:rPr>
        <w:t xml:space="preserve">3 </w:t>
      </w:r>
      <w:r>
        <w:rPr>
          <w:rFonts w:hint="eastAsia"/>
          <w:bCs/>
        </w:rPr>
        <w:t xml:space="preserve"> </w:t>
      </w:r>
      <w:r>
        <w:rPr>
          <w:bCs/>
        </w:rPr>
        <w:t>应根据顶管施工阶段最大顶力要求，对顶管工作井后靠结构的承载力和土体稳定进行分析计算。</w:t>
      </w:r>
    </w:p>
    <w:p w14:paraId="7C295369">
      <w:pPr>
        <w:ind w:firstLine="422" w:firstLineChars="200"/>
        <w:rPr>
          <w:bCs/>
        </w:rPr>
      </w:pPr>
      <w:r>
        <w:rPr>
          <w:rFonts w:hint="eastAsia"/>
          <w:b/>
          <w:bCs/>
        </w:rPr>
        <w:t xml:space="preserve">4 </w:t>
      </w:r>
      <w:r>
        <w:rPr>
          <w:rFonts w:hint="eastAsia"/>
          <w:bCs/>
        </w:rPr>
        <w:t xml:space="preserve"> 管片采用分块预制拼装型式时，应进行包含</w:t>
      </w:r>
      <w:r>
        <w:rPr>
          <w:bCs/>
        </w:rPr>
        <w:t>接头张开量及连接件强度等</w:t>
      </w:r>
      <w:r>
        <w:rPr>
          <w:rFonts w:hint="eastAsia"/>
          <w:bCs/>
        </w:rPr>
        <w:t>在内的接头计算；</w:t>
      </w:r>
    </w:p>
    <w:p w14:paraId="5871CB38">
      <w:pPr>
        <w:ind w:firstLine="422" w:firstLineChars="200"/>
        <w:rPr>
          <w:bCs/>
        </w:rPr>
      </w:pPr>
      <w:r>
        <w:rPr>
          <w:rFonts w:hint="eastAsia"/>
          <w:b/>
          <w:bCs/>
        </w:rPr>
        <w:t>5</w:t>
      </w:r>
      <w:r>
        <w:rPr>
          <w:rFonts w:hint="eastAsia"/>
          <w:bCs/>
        </w:rPr>
        <w:t xml:space="preserve">  隧道覆土、地层情况及局部受力有较大变化时，</w:t>
      </w:r>
      <w:r>
        <w:rPr>
          <w:bCs/>
        </w:rPr>
        <w:t>还应对隧道纵向强度和变形进行计算；</w:t>
      </w:r>
    </w:p>
    <w:p w14:paraId="208E08B9">
      <w:pPr>
        <w:numPr>
          <w:ilvl w:val="2"/>
          <w:numId w:val="1"/>
        </w:numPr>
        <w:tabs>
          <w:tab w:val="left" w:pos="709"/>
          <w:tab w:val="left" w:pos="794"/>
        </w:tabs>
        <w:jc w:val="left"/>
        <w:outlineLvl w:val="2"/>
        <w:rPr>
          <w:bCs/>
        </w:rPr>
      </w:pPr>
      <w:r>
        <w:rPr>
          <w:bCs/>
        </w:rPr>
        <w:t>顶管法结构衬砌构造应符合下列规定：</w:t>
      </w:r>
    </w:p>
    <w:p w14:paraId="03F171D5">
      <w:pPr>
        <w:ind w:firstLine="422" w:firstLineChars="200"/>
        <w:rPr>
          <w:bCs/>
        </w:rPr>
      </w:pPr>
      <w:r>
        <w:rPr>
          <w:b/>
          <w:bCs/>
        </w:rPr>
        <w:t xml:space="preserve">1 </w:t>
      </w:r>
      <w:r>
        <w:rPr>
          <w:rFonts w:hint="eastAsia"/>
          <w:bCs/>
        </w:rPr>
        <w:t xml:space="preserve"> </w:t>
      </w:r>
      <w:r>
        <w:rPr>
          <w:bCs/>
        </w:rPr>
        <w:t>管节间</w:t>
      </w:r>
      <w:r>
        <w:rPr>
          <w:rFonts w:hint="eastAsia"/>
          <w:bCs/>
        </w:rPr>
        <w:t>应</w:t>
      </w:r>
      <w:r>
        <w:rPr>
          <w:bCs/>
        </w:rPr>
        <w:t>采用柔性接头，并应满足接缝防水和端面纵向力的传递要求</w:t>
      </w:r>
      <w:r>
        <w:rPr>
          <w:rFonts w:hint="eastAsia"/>
          <w:bCs/>
        </w:rPr>
        <w:t>；</w:t>
      </w:r>
    </w:p>
    <w:p w14:paraId="60A8BCF0">
      <w:pPr>
        <w:ind w:firstLine="422" w:firstLineChars="200"/>
        <w:rPr>
          <w:bCs/>
        </w:rPr>
      </w:pPr>
      <w:r>
        <w:rPr>
          <w:b/>
          <w:bCs/>
        </w:rPr>
        <w:t xml:space="preserve">2 </w:t>
      </w:r>
      <w:r>
        <w:rPr>
          <w:rFonts w:hint="eastAsia"/>
          <w:bCs/>
        </w:rPr>
        <w:t xml:space="preserve"> 管片分块接头可采用柔性接头或刚性接头；</w:t>
      </w:r>
    </w:p>
    <w:p w14:paraId="446524BF">
      <w:pPr>
        <w:ind w:firstLine="422" w:firstLineChars="200"/>
        <w:rPr>
          <w:bCs/>
        </w:rPr>
      </w:pPr>
      <w:r>
        <w:rPr>
          <w:b/>
          <w:bCs/>
        </w:rPr>
        <w:t xml:space="preserve">3 </w:t>
      </w:r>
      <w:r>
        <w:rPr>
          <w:rFonts w:hint="eastAsia"/>
          <w:bCs/>
        </w:rPr>
        <w:t xml:space="preserve"> </w:t>
      </w:r>
      <w:r>
        <w:rPr>
          <w:bCs/>
        </w:rPr>
        <w:t>管节上应根据施工工艺和沉降控制要求预留注浆孔和吊装孔。</w:t>
      </w:r>
    </w:p>
    <w:p w14:paraId="773F79E4">
      <w:pPr>
        <w:ind w:firstLine="422" w:firstLineChars="200"/>
        <w:rPr>
          <w:bCs/>
        </w:rPr>
      </w:pPr>
      <w:r>
        <w:rPr>
          <w:b/>
          <w:bCs/>
        </w:rPr>
        <w:t xml:space="preserve">4 </w:t>
      </w:r>
      <w:r>
        <w:rPr>
          <w:rFonts w:hint="eastAsia"/>
          <w:bCs/>
        </w:rPr>
        <w:t xml:space="preserve"> </w:t>
      </w:r>
      <w:r>
        <w:rPr>
          <w:bCs/>
        </w:rPr>
        <w:t>顶进施工期间结构外壁应注入减阻泥浆，顶进结束后应置换减阻泥浆，置换泥浆可选用水泥单液浆或双液浆。</w:t>
      </w:r>
    </w:p>
    <w:p w14:paraId="59341D1B">
      <w:pPr>
        <w:numPr>
          <w:ilvl w:val="2"/>
          <w:numId w:val="1"/>
        </w:numPr>
        <w:tabs>
          <w:tab w:val="left" w:pos="709"/>
          <w:tab w:val="left" w:pos="794"/>
        </w:tabs>
        <w:jc w:val="left"/>
        <w:outlineLvl w:val="2"/>
        <w:rPr>
          <w:bCs/>
        </w:rPr>
      </w:pPr>
      <w:r>
        <w:rPr>
          <w:bCs/>
        </w:rPr>
        <w:t>应根据施工工艺设置顶管始发和接收工作井，</w:t>
      </w:r>
      <w:r>
        <w:rPr>
          <w:rFonts w:hint="eastAsia"/>
          <w:bCs/>
        </w:rPr>
        <w:t>并根据地层情况及受力要求采取端头及后背土体加固措施。</w:t>
      </w:r>
    </w:p>
    <w:p w14:paraId="3F4D899F">
      <w:pPr>
        <w:numPr>
          <w:ilvl w:val="1"/>
          <w:numId w:val="1"/>
        </w:numPr>
        <w:snapToGrid w:val="0"/>
        <w:spacing w:before="156" w:after="156" w:line="240" w:lineRule="auto"/>
        <w:jc w:val="center"/>
        <w:outlineLvl w:val="1"/>
        <w:rPr>
          <w:rFonts w:eastAsia="黑体"/>
          <w:bCs/>
          <w:szCs w:val="28"/>
        </w:rPr>
      </w:pPr>
      <w:bookmarkStart w:id="797" w:name="_Toc183882474"/>
      <w:bookmarkStart w:id="798" w:name="_Toc183888164"/>
      <w:bookmarkStart w:id="799" w:name="_Toc183888526"/>
      <w:bookmarkStart w:id="800" w:name="_Toc183765121"/>
      <w:bookmarkStart w:id="801" w:name="_Toc183790551"/>
      <w:bookmarkStart w:id="802" w:name="_Toc183882112"/>
      <w:r>
        <w:rPr>
          <w:rFonts w:eastAsia="黑体"/>
          <w:bCs/>
          <w:szCs w:val="28"/>
        </w:rPr>
        <w:t>地下结构抗震设计</w:t>
      </w:r>
      <w:bookmarkEnd w:id="797"/>
      <w:bookmarkEnd w:id="798"/>
      <w:bookmarkEnd w:id="799"/>
      <w:bookmarkEnd w:id="800"/>
      <w:bookmarkEnd w:id="801"/>
      <w:bookmarkEnd w:id="802"/>
    </w:p>
    <w:p w14:paraId="1CA5796C">
      <w:pPr>
        <w:numPr>
          <w:ilvl w:val="2"/>
          <w:numId w:val="1"/>
        </w:numPr>
        <w:tabs>
          <w:tab w:val="left" w:pos="709"/>
          <w:tab w:val="left" w:pos="794"/>
        </w:tabs>
        <w:jc w:val="left"/>
        <w:outlineLvl w:val="2"/>
        <w:rPr>
          <w:bCs/>
        </w:rPr>
      </w:pPr>
      <w:r>
        <w:rPr>
          <w:bCs/>
        </w:rPr>
        <w:t>本节适用于北京市(抗震设防烈度为7度和8度地区)城市轨道交通地下结构工程的抗震设计。</w:t>
      </w:r>
    </w:p>
    <w:p w14:paraId="132FE3DA">
      <w:pPr>
        <w:numPr>
          <w:ilvl w:val="2"/>
          <w:numId w:val="1"/>
        </w:numPr>
        <w:tabs>
          <w:tab w:val="left" w:pos="709"/>
          <w:tab w:val="left" w:pos="794"/>
        </w:tabs>
        <w:jc w:val="left"/>
        <w:outlineLvl w:val="2"/>
        <w:rPr>
          <w:bCs/>
        </w:rPr>
      </w:pPr>
      <w:r>
        <w:rPr>
          <w:bCs/>
        </w:rPr>
        <w:t>轨道交通工程地下结构应进行抗震设计。</w:t>
      </w:r>
    </w:p>
    <w:p w14:paraId="2F44DDD7">
      <w:pPr>
        <w:numPr>
          <w:ilvl w:val="2"/>
          <w:numId w:val="1"/>
        </w:numPr>
        <w:tabs>
          <w:tab w:val="left" w:pos="709"/>
          <w:tab w:val="left" w:pos="794"/>
        </w:tabs>
        <w:jc w:val="left"/>
        <w:outlineLvl w:val="2"/>
        <w:rPr>
          <w:bCs/>
        </w:rPr>
      </w:pPr>
      <w:r>
        <w:rPr>
          <w:bCs/>
        </w:rPr>
        <w:t>轨道交通工程地下结构抗震设计应符合以下规定：</w:t>
      </w:r>
    </w:p>
    <w:p w14:paraId="7FFF4B0E">
      <w:pPr>
        <w:ind w:firstLine="422" w:firstLineChars="200"/>
      </w:pPr>
      <w:r>
        <w:rPr>
          <w:b/>
        </w:rPr>
        <w:t>1</w:t>
      </w:r>
      <w:r>
        <w:rPr>
          <w:rFonts w:hint="eastAsia"/>
          <w:b/>
        </w:rPr>
        <w:t xml:space="preserve"> </w:t>
      </w:r>
      <w:r>
        <w:rPr>
          <w:rFonts w:hint="eastAsia"/>
        </w:rPr>
        <w:t xml:space="preserve"> </w:t>
      </w:r>
      <w:r>
        <w:t>抗震设防类别的划分应符合现行《建筑工程抗震设防分类标准》GB50223的规定，除个别重要工程外，轨道交通地下结构应划为重点设防类(乙类建筑)；</w:t>
      </w:r>
    </w:p>
    <w:p w14:paraId="7FEF6300">
      <w:pPr>
        <w:ind w:firstLine="422" w:firstLineChars="200"/>
      </w:pPr>
      <w:r>
        <w:rPr>
          <w:b/>
        </w:rPr>
        <w:t>2</w:t>
      </w:r>
      <w:r>
        <w:rPr>
          <w:rFonts w:hint="eastAsia"/>
          <w:b/>
        </w:rPr>
        <w:t xml:space="preserve"> </w:t>
      </w:r>
      <w:r>
        <w:rPr>
          <w:rFonts w:hint="eastAsia"/>
        </w:rPr>
        <w:t xml:space="preserve"> </w:t>
      </w:r>
      <w:r>
        <w:t>地下结构抗震设计应达到以下抗震设防目标：</w:t>
      </w:r>
    </w:p>
    <w:p w14:paraId="1DB5EE37">
      <w:pPr>
        <w:ind w:firstLine="420" w:firstLineChars="200"/>
      </w:pPr>
      <w:r>
        <w:t>1)</w:t>
      </w:r>
      <w:r>
        <w:rPr>
          <w:rFonts w:hint="eastAsia"/>
        </w:rPr>
        <w:t xml:space="preserve">  </w:t>
      </w:r>
      <w:r>
        <w:t>当遭受低于本工程抗震设防烈度的多遇地震E1影响时，地下结构不损坏，对周围环境和轨道交通运营无影响；</w:t>
      </w:r>
    </w:p>
    <w:p w14:paraId="67806728">
      <w:pPr>
        <w:ind w:firstLine="420" w:firstLineChars="200"/>
      </w:pPr>
      <w:r>
        <w:t>2)</w:t>
      </w:r>
      <w:r>
        <w:rPr>
          <w:rFonts w:hint="eastAsia"/>
        </w:rPr>
        <w:t xml:space="preserve">  </w:t>
      </w:r>
      <w:r>
        <w:t>当遭受相当于本工程抗震设防烈度的设计地震E2影响时，地下结构不损坏或仅需对非重要结构部位进行一般修理，对周围环境影响轻微，不影响正常运营；</w:t>
      </w:r>
    </w:p>
    <w:p w14:paraId="440245B1">
      <w:pPr>
        <w:ind w:firstLine="420" w:firstLineChars="200"/>
      </w:pPr>
      <w:r>
        <w:t>3)</w:t>
      </w:r>
      <w:r>
        <w:rPr>
          <w:rFonts w:hint="eastAsia"/>
        </w:rPr>
        <w:t xml:space="preserve">  </w:t>
      </w:r>
      <w:r>
        <w:t>当遭受高于本工程抗震设防烈度的罕遇地震E3(高于设防烈度1度)影响时，地下结构主要结构体系不发生严重破坏且便于修复，无重大人员伤亡，对周围环境不产生严重影响，修复后可正常运营。</w:t>
      </w:r>
    </w:p>
    <w:p w14:paraId="2638812D">
      <w:pPr>
        <w:ind w:firstLine="422" w:firstLineChars="200"/>
      </w:pPr>
      <w:r>
        <w:rPr>
          <w:b/>
        </w:rPr>
        <w:t>3</w:t>
      </w:r>
      <w:r>
        <w:rPr>
          <w:rFonts w:hint="eastAsia"/>
        </w:rPr>
        <w:t xml:space="preserve">  </w:t>
      </w:r>
      <w:r>
        <w:t>地下结构应采用经北京市政府主管部门批准的工程地震安全性评价报告建议的地震动参数进行抗震设计。同时，地表水平峰值加速度应不小于表1</w:t>
      </w:r>
      <w:r>
        <w:rPr>
          <w:rFonts w:hint="eastAsia"/>
        </w:rPr>
        <w:t>2</w:t>
      </w:r>
      <w:r>
        <w:t>.</w:t>
      </w:r>
      <w:r>
        <w:rPr>
          <w:rFonts w:hint="eastAsia"/>
        </w:rPr>
        <w:t>8</w:t>
      </w:r>
      <w:r>
        <w:t>.3-1中的数值，地表水平峰值位移应不小于表1</w:t>
      </w:r>
      <w:r>
        <w:rPr>
          <w:rFonts w:hint="eastAsia"/>
        </w:rPr>
        <w:t>2</w:t>
      </w:r>
      <w:r>
        <w:t>.</w:t>
      </w:r>
      <w:r>
        <w:rPr>
          <w:rFonts w:hint="eastAsia"/>
        </w:rPr>
        <w:t>8</w:t>
      </w:r>
      <w:r>
        <w:t>.3-2的数值；</w:t>
      </w:r>
    </w:p>
    <w:p w14:paraId="60C06813">
      <w:pPr>
        <w:pStyle w:val="198"/>
      </w:pPr>
      <w:r>
        <w:t>表1</w:t>
      </w:r>
      <w:r>
        <w:rPr>
          <w:rFonts w:hint="eastAsia"/>
        </w:rPr>
        <w:t>2</w:t>
      </w:r>
      <w:r>
        <w:t>.8.3-1</w:t>
      </w:r>
      <w:r>
        <w:rPr>
          <w:rFonts w:hint="eastAsia"/>
        </w:rPr>
        <w:t xml:space="preserve">  </w:t>
      </w:r>
      <w:r>
        <w:t>地表水平峰值加速度表(m/s2)</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15"/>
        <w:gridCol w:w="2109"/>
        <w:gridCol w:w="2116"/>
      </w:tblGrid>
      <w:tr w14:paraId="42A71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7" w:hRule="atLeast"/>
          <w:jc w:val="center"/>
        </w:trPr>
        <w:tc>
          <w:tcPr>
            <w:tcW w:w="2115" w:type="dxa"/>
            <w:tcBorders>
              <w:left w:val="single" w:color="000000" w:sz="6" w:space="0"/>
            </w:tcBorders>
            <w:vAlign w:val="center"/>
          </w:tcPr>
          <w:p w14:paraId="50657ABE">
            <w:pPr>
              <w:pStyle w:val="235"/>
              <w:rPr>
                <w:color w:val="auto"/>
              </w:rPr>
            </w:pPr>
            <w:r>
              <w:rPr>
                <w:color w:val="auto"/>
              </w:rPr>
              <w:t>抗震设防烈度</w:t>
            </w:r>
          </w:p>
        </w:tc>
        <w:tc>
          <w:tcPr>
            <w:tcW w:w="2109" w:type="dxa"/>
            <w:vAlign w:val="center"/>
          </w:tcPr>
          <w:p w14:paraId="60229CB2">
            <w:pPr>
              <w:pStyle w:val="235"/>
              <w:rPr>
                <w:color w:val="auto"/>
              </w:rPr>
            </w:pPr>
            <w:r>
              <w:rPr>
                <w:color w:val="auto"/>
              </w:rPr>
              <w:t>7度</w:t>
            </w:r>
          </w:p>
        </w:tc>
        <w:tc>
          <w:tcPr>
            <w:tcW w:w="2116" w:type="dxa"/>
            <w:tcBorders>
              <w:right w:val="single" w:color="000000" w:sz="6" w:space="0"/>
            </w:tcBorders>
            <w:vAlign w:val="center"/>
          </w:tcPr>
          <w:p w14:paraId="2AE2320E">
            <w:pPr>
              <w:pStyle w:val="235"/>
              <w:rPr>
                <w:color w:val="auto"/>
              </w:rPr>
            </w:pPr>
            <w:r>
              <w:rPr>
                <w:color w:val="auto"/>
              </w:rPr>
              <w:t>8度</w:t>
            </w:r>
          </w:p>
        </w:tc>
      </w:tr>
      <w:tr w14:paraId="1023E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2" w:hRule="atLeast"/>
          <w:jc w:val="center"/>
        </w:trPr>
        <w:tc>
          <w:tcPr>
            <w:tcW w:w="2115" w:type="dxa"/>
            <w:tcBorders>
              <w:left w:val="single" w:color="000000" w:sz="6" w:space="0"/>
            </w:tcBorders>
            <w:vAlign w:val="center"/>
          </w:tcPr>
          <w:p w14:paraId="1E4FF5D1">
            <w:pPr>
              <w:pStyle w:val="235"/>
              <w:rPr>
                <w:color w:val="auto"/>
              </w:rPr>
            </w:pPr>
            <w:r>
              <w:rPr>
                <w:color w:val="auto"/>
              </w:rPr>
              <w:t>设计地震E2</w:t>
            </w:r>
          </w:p>
        </w:tc>
        <w:tc>
          <w:tcPr>
            <w:tcW w:w="2109" w:type="dxa"/>
            <w:vAlign w:val="center"/>
          </w:tcPr>
          <w:p w14:paraId="7C961EE6">
            <w:pPr>
              <w:pStyle w:val="235"/>
              <w:rPr>
                <w:color w:val="auto"/>
              </w:rPr>
            </w:pPr>
            <w:r>
              <w:rPr>
                <w:color w:val="auto"/>
              </w:rPr>
              <w:t>0.15g</w:t>
            </w:r>
          </w:p>
        </w:tc>
        <w:tc>
          <w:tcPr>
            <w:tcW w:w="2116" w:type="dxa"/>
            <w:tcBorders>
              <w:right w:val="single" w:color="000000" w:sz="6" w:space="0"/>
            </w:tcBorders>
            <w:vAlign w:val="center"/>
          </w:tcPr>
          <w:p w14:paraId="262C64CD">
            <w:pPr>
              <w:pStyle w:val="235"/>
              <w:rPr>
                <w:color w:val="auto"/>
              </w:rPr>
            </w:pPr>
            <w:r>
              <w:rPr>
                <w:color w:val="auto"/>
              </w:rPr>
              <w:t>0.20g</w:t>
            </w:r>
          </w:p>
        </w:tc>
      </w:tr>
      <w:tr w14:paraId="6152A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1" w:hRule="atLeast"/>
          <w:jc w:val="center"/>
        </w:trPr>
        <w:tc>
          <w:tcPr>
            <w:tcW w:w="2115" w:type="dxa"/>
            <w:tcBorders>
              <w:left w:val="single" w:color="000000" w:sz="6" w:space="0"/>
            </w:tcBorders>
            <w:vAlign w:val="center"/>
          </w:tcPr>
          <w:p w14:paraId="4B7E25C9">
            <w:pPr>
              <w:pStyle w:val="235"/>
              <w:rPr>
                <w:color w:val="auto"/>
              </w:rPr>
            </w:pPr>
            <w:r>
              <w:rPr>
                <w:color w:val="auto"/>
              </w:rPr>
              <w:t>罕遇地震E3</w:t>
            </w:r>
          </w:p>
        </w:tc>
        <w:tc>
          <w:tcPr>
            <w:tcW w:w="2109" w:type="dxa"/>
            <w:vAlign w:val="center"/>
          </w:tcPr>
          <w:p w14:paraId="417C7D57">
            <w:pPr>
              <w:pStyle w:val="235"/>
              <w:rPr>
                <w:color w:val="auto"/>
              </w:rPr>
            </w:pPr>
            <w:r>
              <w:rPr>
                <w:color w:val="auto"/>
              </w:rPr>
              <w:t>0.32g</w:t>
            </w:r>
          </w:p>
        </w:tc>
        <w:tc>
          <w:tcPr>
            <w:tcW w:w="2116" w:type="dxa"/>
            <w:tcBorders>
              <w:right w:val="single" w:color="000000" w:sz="6" w:space="0"/>
            </w:tcBorders>
            <w:vAlign w:val="center"/>
          </w:tcPr>
          <w:p w14:paraId="5FE14CF8">
            <w:pPr>
              <w:pStyle w:val="235"/>
              <w:rPr>
                <w:color w:val="auto"/>
              </w:rPr>
            </w:pPr>
            <w:r>
              <w:rPr>
                <w:color w:val="auto"/>
              </w:rPr>
              <w:t>0.40g</w:t>
            </w:r>
          </w:p>
        </w:tc>
      </w:tr>
    </w:tbl>
    <w:p w14:paraId="3A24A19E">
      <w:pPr>
        <w:pStyle w:val="198"/>
      </w:pPr>
      <w:r>
        <w:t>表1</w:t>
      </w:r>
      <w:r>
        <w:rPr>
          <w:rFonts w:hint="eastAsia"/>
        </w:rPr>
        <w:t>2</w:t>
      </w:r>
      <w:r>
        <w:t>.8.3-2</w:t>
      </w:r>
      <w:r>
        <w:rPr>
          <w:rFonts w:hint="eastAsia"/>
        </w:rPr>
        <w:t xml:space="preserve">  </w:t>
      </w:r>
      <w:r>
        <w:t>地表水平峰值位移表(m)</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15"/>
        <w:gridCol w:w="2109"/>
        <w:gridCol w:w="2116"/>
      </w:tblGrid>
      <w:tr w14:paraId="03BB6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6" w:hRule="atLeast"/>
        </w:trPr>
        <w:tc>
          <w:tcPr>
            <w:tcW w:w="2115" w:type="dxa"/>
            <w:tcBorders>
              <w:left w:val="single" w:color="000000" w:sz="6" w:space="0"/>
            </w:tcBorders>
            <w:vAlign w:val="center"/>
          </w:tcPr>
          <w:p w14:paraId="2A58FB3F">
            <w:pPr>
              <w:autoSpaceDE w:val="0"/>
              <w:autoSpaceDN w:val="0"/>
              <w:spacing w:line="240" w:lineRule="auto"/>
              <w:jc w:val="center"/>
              <w:rPr>
                <w:kern w:val="0"/>
                <w:sz w:val="15"/>
                <w:szCs w:val="15"/>
              </w:rPr>
            </w:pPr>
            <w:r>
              <w:rPr>
                <w:kern w:val="0"/>
                <w:sz w:val="15"/>
                <w:szCs w:val="15"/>
              </w:rPr>
              <w:t>抗震设防烈度</w:t>
            </w:r>
          </w:p>
        </w:tc>
        <w:tc>
          <w:tcPr>
            <w:tcW w:w="2109" w:type="dxa"/>
            <w:vAlign w:val="center"/>
          </w:tcPr>
          <w:p w14:paraId="32AB795A">
            <w:pPr>
              <w:autoSpaceDE w:val="0"/>
              <w:autoSpaceDN w:val="0"/>
              <w:spacing w:line="240" w:lineRule="auto"/>
              <w:jc w:val="center"/>
              <w:rPr>
                <w:kern w:val="0"/>
                <w:sz w:val="15"/>
                <w:szCs w:val="15"/>
              </w:rPr>
            </w:pPr>
            <w:r>
              <w:rPr>
                <w:kern w:val="0"/>
                <w:sz w:val="15"/>
                <w:szCs w:val="15"/>
              </w:rPr>
              <w:t>7度</w:t>
            </w:r>
          </w:p>
        </w:tc>
        <w:tc>
          <w:tcPr>
            <w:tcW w:w="2116" w:type="dxa"/>
            <w:tcBorders>
              <w:right w:val="single" w:color="000000" w:sz="6" w:space="0"/>
            </w:tcBorders>
            <w:vAlign w:val="center"/>
          </w:tcPr>
          <w:p w14:paraId="775B46E3">
            <w:pPr>
              <w:autoSpaceDE w:val="0"/>
              <w:autoSpaceDN w:val="0"/>
              <w:spacing w:line="240" w:lineRule="auto"/>
              <w:jc w:val="center"/>
              <w:rPr>
                <w:kern w:val="0"/>
                <w:sz w:val="15"/>
                <w:szCs w:val="15"/>
              </w:rPr>
            </w:pPr>
            <w:r>
              <w:rPr>
                <w:kern w:val="0"/>
                <w:sz w:val="15"/>
                <w:szCs w:val="15"/>
              </w:rPr>
              <w:t>8度</w:t>
            </w:r>
          </w:p>
        </w:tc>
      </w:tr>
      <w:tr w14:paraId="7FB34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3" w:hRule="atLeast"/>
        </w:trPr>
        <w:tc>
          <w:tcPr>
            <w:tcW w:w="2115" w:type="dxa"/>
            <w:tcBorders>
              <w:left w:val="single" w:color="000000" w:sz="6" w:space="0"/>
            </w:tcBorders>
            <w:vAlign w:val="center"/>
          </w:tcPr>
          <w:p w14:paraId="46705B38">
            <w:pPr>
              <w:autoSpaceDE w:val="0"/>
              <w:autoSpaceDN w:val="0"/>
              <w:spacing w:line="240" w:lineRule="auto"/>
              <w:jc w:val="center"/>
              <w:rPr>
                <w:kern w:val="0"/>
                <w:sz w:val="15"/>
                <w:szCs w:val="15"/>
              </w:rPr>
            </w:pPr>
            <w:r>
              <w:rPr>
                <w:kern w:val="0"/>
                <w:sz w:val="15"/>
                <w:szCs w:val="15"/>
              </w:rPr>
              <w:t>设计地震E2</w:t>
            </w:r>
          </w:p>
        </w:tc>
        <w:tc>
          <w:tcPr>
            <w:tcW w:w="2109" w:type="dxa"/>
            <w:vAlign w:val="center"/>
          </w:tcPr>
          <w:p w14:paraId="5F6850B4">
            <w:pPr>
              <w:autoSpaceDE w:val="0"/>
              <w:autoSpaceDN w:val="0"/>
              <w:spacing w:line="240" w:lineRule="auto"/>
              <w:jc w:val="center"/>
              <w:rPr>
                <w:kern w:val="0"/>
                <w:sz w:val="15"/>
                <w:szCs w:val="15"/>
              </w:rPr>
            </w:pPr>
            <w:r>
              <w:rPr>
                <w:kern w:val="0"/>
                <w:sz w:val="15"/>
                <w:szCs w:val="15"/>
              </w:rPr>
              <w:t>0.10</w:t>
            </w:r>
          </w:p>
        </w:tc>
        <w:tc>
          <w:tcPr>
            <w:tcW w:w="2116" w:type="dxa"/>
            <w:tcBorders>
              <w:right w:val="single" w:color="000000" w:sz="6" w:space="0"/>
            </w:tcBorders>
            <w:vAlign w:val="center"/>
          </w:tcPr>
          <w:p w14:paraId="3FECEFAB">
            <w:pPr>
              <w:autoSpaceDE w:val="0"/>
              <w:autoSpaceDN w:val="0"/>
              <w:spacing w:line="240" w:lineRule="auto"/>
              <w:jc w:val="center"/>
              <w:rPr>
                <w:kern w:val="0"/>
                <w:sz w:val="15"/>
                <w:szCs w:val="15"/>
              </w:rPr>
            </w:pPr>
            <w:r>
              <w:rPr>
                <w:kern w:val="0"/>
                <w:sz w:val="15"/>
                <w:szCs w:val="15"/>
              </w:rPr>
              <w:t>0.13</w:t>
            </w:r>
          </w:p>
        </w:tc>
      </w:tr>
      <w:tr w14:paraId="50397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1" w:hRule="atLeast"/>
        </w:trPr>
        <w:tc>
          <w:tcPr>
            <w:tcW w:w="2115" w:type="dxa"/>
            <w:tcBorders>
              <w:left w:val="single" w:color="000000" w:sz="6" w:space="0"/>
            </w:tcBorders>
            <w:vAlign w:val="center"/>
          </w:tcPr>
          <w:p w14:paraId="1C432F0D">
            <w:pPr>
              <w:autoSpaceDE w:val="0"/>
              <w:autoSpaceDN w:val="0"/>
              <w:spacing w:line="240" w:lineRule="auto"/>
              <w:jc w:val="center"/>
              <w:rPr>
                <w:kern w:val="0"/>
                <w:sz w:val="15"/>
                <w:szCs w:val="15"/>
              </w:rPr>
            </w:pPr>
            <w:r>
              <w:rPr>
                <w:kern w:val="0"/>
                <w:sz w:val="15"/>
                <w:szCs w:val="15"/>
              </w:rPr>
              <w:t>罕遇地震E3</w:t>
            </w:r>
          </w:p>
        </w:tc>
        <w:tc>
          <w:tcPr>
            <w:tcW w:w="2109" w:type="dxa"/>
            <w:vAlign w:val="center"/>
          </w:tcPr>
          <w:p w14:paraId="5870C57C">
            <w:pPr>
              <w:autoSpaceDE w:val="0"/>
              <w:autoSpaceDN w:val="0"/>
              <w:spacing w:line="240" w:lineRule="auto"/>
              <w:jc w:val="center"/>
              <w:rPr>
                <w:kern w:val="0"/>
                <w:sz w:val="15"/>
                <w:szCs w:val="15"/>
              </w:rPr>
            </w:pPr>
            <w:r>
              <w:rPr>
                <w:kern w:val="0"/>
                <w:sz w:val="15"/>
                <w:szCs w:val="15"/>
              </w:rPr>
              <w:t>0.21</w:t>
            </w:r>
          </w:p>
        </w:tc>
        <w:tc>
          <w:tcPr>
            <w:tcW w:w="2116" w:type="dxa"/>
            <w:tcBorders>
              <w:right w:val="single" w:color="000000" w:sz="6" w:space="0"/>
            </w:tcBorders>
            <w:vAlign w:val="center"/>
          </w:tcPr>
          <w:p w14:paraId="795515FD">
            <w:pPr>
              <w:autoSpaceDE w:val="0"/>
              <w:autoSpaceDN w:val="0"/>
              <w:spacing w:line="240" w:lineRule="auto"/>
              <w:jc w:val="center"/>
              <w:rPr>
                <w:kern w:val="0"/>
                <w:sz w:val="15"/>
                <w:szCs w:val="15"/>
              </w:rPr>
            </w:pPr>
            <w:r>
              <w:rPr>
                <w:kern w:val="0"/>
                <w:sz w:val="15"/>
                <w:szCs w:val="15"/>
              </w:rPr>
              <w:t>0.27</w:t>
            </w:r>
          </w:p>
        </w:tc>
      </w:tr>
    </w:tbl>
    <w:p w14:paraId="46FD12ED">
      <w:pPr>
        <w:ind w:firstLine="422" w:firstLineChars="200"/>
      </w:pPr>
      <w:r>
        <w:rPr>
          <w:b/>
        </w:rPr>
        <w:t>4</w:t>
      </w:r>
      <w:r>
        <w:rPr>
          <w:rFonts w:hint="eastAsia"/>
          <w:b/>
        </w:rPr>
        <w:t xml:space="preserve"> </w:t>
      </w:r>
      <w:r>
        <w:rPr>
          <w:rFonts w:hint="eastAsia"/>
        </w:rPr>
        <w:t xml:space="preserve"> </w:t>
      </w:r>
      <w:r>
        <w:t>地下车站主体结构的抗震等级，设防烈度7度时应为三级，设防烈度8度时应为二级；地下车站出入口通道、风道等附属结构及区间隧道的抗震等级应为三级；当地下结构与地面建筑物合建时，其抗震等级应与上部建筑物的抗震等级一致，且应符合本条上述规定。</w:t>
      </w:r>
    </w:p>
    <w:p w14:paraId="75CBDEB8">
      <w:pPr>
        <w:numPr>
          <w:ilvl w:val="2"/>
          <w:numId w:val="1"/>
        </w:numPr>
        <w:tabs>
          <w:tab w:val="left" w:pos="709"/>
          <w:tab w:val="left" w:pos="794"/>
        </w:tabs>
        <w:jc w:val="left"/>
        <w:outlineLvl w:val="2"/>
        <w:rPr>
          <w:bCs/>
        </w:rPr>
      </w:pPr>
      <w:r>
        <w:rPr>
          <w:bCs/>
        </w:rPr>
        <w:t>地下结构所处的场地和地基应符合下列规定：</w:t>
      </w:r>
    </w:p>
    <w:p w14:paraId="292C23C5">
      <w:pPr>
        <w:ind w:firstLine="422" w:firstLineChars="200"/>
      </w:pPr>
      <w:r>
        <w:rPr>
          <w:b/>
        </w:rPr>
        <w:t>1</w:t>
      </w:r>
      <w:r>
        <w:rPr>
          <w:rFonts w:hint="eastAsia"/>
          <w:b/>
        </w:rPr>
        <w:t xml:space="preserve"> </w:t>
      </w:r>
      <w:r>
        <w:rPr>
          <w:rFonts w:hint="eastAsia"/>
        </w:rPr>
        <w:t xml:space="preserve"> </w:t>
      </w:r>
      <w:r>
        <w:t>选线时应结合工程的特点并根据地震安全性评价报告，对沿线场地做出对抗震有利、不利地段的划分和综合评价；</w:t>
      </w:r>
    </w:p>
    <w:p w14:paraId="1D64F7D6">
      <w:pPr>
        <w:ind w:firstLine="422" w:firstLineChars="200"/>
      </w:pPr>
      <w:r>
        <w:rPr>
          <w:b/>
        </w:rPr>
        <w:t>2</w:t>
      </w:r>
      <w:r>
        <w:rPr>
          <w:rFonts w:hint="eastAsia"/>
          <w:b/>
        </w:rPr>
        <w:t xml:space="preserve"> </w:t>
      </w:r>
      <w:r>
        <w:rPr>
          <w:rFonts w:hint="eastAsia"/>
        </w:rPr>
        <w:t xml:space="preserve"> </w:t>
      </w:r>
      <w:r>
        <w:t>线位、站位的选择应避开不利地段，当无法避开时应采取有效的抗震措施；</w:t>
      </w:r>
    </w:p>
    <w:p w14:paraId="45849A38">
      <w:pPr>
        <w:ind w:firstLine="422" w:firstLineChars="200"/>
      </w:pPr>
      <w:r>
        <w:rPr>
          <w:b/>
        </w:rPr>
        <w:t>3</w:t>
      </w:r>
      <w:r>
        <w:rPr>
          <w:rFonts w:hint="eastAsia"/>
        </w:rPr>
        <w:t xml:space="preserve">  </w:t>
      </w:r>
      <w:r>
        <w:t>同一结构单元的基础不宜设置在性质截然不同或差异显著的地基上；</w:t>
      </w:r>
    </w:p>
    <w:p w14:paraId="0B1D2925">
      <w:pPr>
        <w:ind w:firstLine="422" w:firstLineChars="200"/>
      </w:pPr>
      <w:r>
        <w:rPr>
          <w:b/>
        </w:rPr>
        <w:t>4</w:t>
      </w:r>
      <w:r>
        <w:rPr>
          <w:rFonts w:hint="eastAsia"/>
          <w:b/>
        </w:rPr>
        <w:t xml:space="preserve"> </w:t>
      </w:r>
      <w:r>
        <w:rPr>
          <w:rFonts w:hint="eastAsia"/>
        </w:rPr>
        <w:t xml:space="preserve"> </w:t>
      </w:r>
      <w:r>
        <w:t>地基为软弱粘性土、液化土、新近填土或严重不均匀土时，应估计地震时地基不均匀变形产生的不利影响，并应采取相应的措施。</w:t>
      </w:r>
    </w:p>
    <w:p w14:paraId="78C018E6">
      <w:pPr>
        <w:numPr>
          <w:ilvl w:val="2"/>
          <w:numId w:val="1"/>
        </w:numPr>
        <w:tabs>
          <w:tab w:val="left" w:pos="709"/>
          <w:tab w:val="left" w:pos="794"/>
        </w:tabs>
        <w:jc w:val="left"/>
        <w:outlineLvl w:val="2"/>
        <w:rPr>
          <w:bCs/>
        </w:rPr>
      </w:pPr>
      <w:r>
        <w:rPr>
          <w:bCs/>
        </w:rPr>
        <w:t>地下结构的结构体系应满足下列各项要求：</w:t>
      </w:r>
    </w:p>
    <w:p w14:paraId="7C88330D">
      <w:pPr>
        <w:ind w:firstLine="422" w:firstLineChars="200"/>
      </w:pPr>
      <w:r>
        <w:rPr>
          <w:b/>
        </w:rPr>
        <w:t>1</w:t>
      </w:r>
      <w:r>
        <w:rPr>
          <w:rFonts w:hint="eastAsia"/>
          <w:b/>
        </w:rPr>
        <w:t xml:space="preserve">  </w:t>
      </w:r>
      <w:r>
        <w:t>地下结构的体形及结构布置宜规则、对称，结构质量及刚度宜均匀分布、避免突变；</w:t>
      </w:r>
    </w:p>
    <w:p w14:paraId="101B7189">
      <w:pPr>
        <w:ind w:firstLine="422" w:firstLineChars="200"/>
      </w:pPr>
      <w:r>
        <w:rPr>
          <w:b/>
        </w:rPr>
        <w:t>2</w:t>
      </w:r>
      <w:r>
        <w:rPr>
          <w:rFonts w:hint="eastAsia"/>
          <w:b/>
        </w:rPr>
        <w:t xml:space="preserve"> </w:t>
      </w:r>
      <w:r>
        <w:rPr>
          <w:rFonts w:hint="eastAsia"/>
        </w:rPr>
        <w:t xml:space="preserve"> </w:t>
      </w:r>
      <w:r>
        <w:t>体形不规则的地下结构，宜结合使用功能要求合理设置结构变形缝，形成较规则的结构单元；</w:t>
      </w:r>
    </w:p>
    <w:p w14:paraId="07DF5955">
      <w:pPr>
        <w:ind w:firstLine="422" w:firstLineChars="200"/>
      </w:pPr>
      <w:r>
        <w:rPr>
          <w:b/>
        </w:rPr>
        <w:t>3</w:t>
      </w:r>
      <w:r>
        <w:rPr>
          <w:rFonts w:hint="eastAsia"/>
          <w:b/>
        </w:rPr>
        <w:t xml:space="preserve"> </w:t>
      </w:r>
      <w:r>
        <w:rPr>
          <w:rFonts w:hint="eastAsia"/>
        </w:rPr>
        <w:t xml:space="preserve"> </w:t>
      </w:r>
      <w:r>
        <w:t>结构体系及结构构件应具备良好的延性和变形能力；</w:t>
      </w:r>
    </w:p>
    <w:p w14:paraId="1E72CD13">
      <w:pPr>
        <w:ind w:firstLine="422" w:firstLineChars="200"/>
      </w:pPr>
      <w:r>
        <w:rPr>
          <w:b/>
        </w:rPr>
        <w:t>4</w:t>
      </w:r>
      <w:r>
        <w:rPr>
          <w:rFonts w:hint="eastAsia"/>
          <w:b/>
        </w:rPr>
        <w:t xml:space="preserve"> </w:t>
      </w:r>
      <w:r>
        <w:rPr>
          <w:rFonts w:hint="eastAsia"/>
        </w:rPr>
        <w:t xml:space="preserve"> </w:t>
      </w:r>
      <w:r>
        <w:t>对重要的结构节点及可能出现的薄弱部位应采取针对性措施提高其抗震能力。</w:t>
      </w:r>
    </w:p>
    <w:p w14:paraId="35321869">
      <w:pPr>
        <w:numPr>
          <w:ilvl w:val="2"/>
          <w:numId w:val="1"/>
        </w:numPr>
        <w:tabs>
          <w:tab w:val="left" w:pos="709"/>
          <w:tab w:val="left" w:pos="794"/>
        </w:tabs>
        <w:jc w:val="left"/>
        <w:outlineLvl w:val="2"/>
        <w:rPr>
          <w:bCs/>
        </w:rPr>
      </w:pPr>
      <w:r>
        <w:rPr>
          <w:bCs/>
        </w:rPr>
        <w:t>地下结构的抗震计算分析应符合以下规定：</w:t>
      </w:r>
    </w:p>
    <w:p w14:paraId="5DDF4B0F">
      <w:pPr>
        <w:ind w:firstLine="422" w:firstLineChars="200"/>
      </w:pPr>
      <w:r>
        <w:rPr>
          <w:b/>
        </w:rPr>
        <w:t>1</w:t>
      </w:r>
      <w:r>
        <w:rPr>
          <w:rFonts w:hint="eastAsia"/>
          <w:b/>
        </w:rPr>
        <w:t xml:space="preserve"> </w:t>
      </w:r>
      <w:r>
        <w:rPr>
          <w:rFonts w:hint="eastAsia"/>
        </w:rPr>
        <w:t xml:space="preserve"> </w:t>
      </w:r>
      <w:r>
        <w:t>地下结构应进行设计地震E2作用下的内力和变形分析，此时可假定结构与构件处于弹性工作状态，内力和变形分析可采用反应位移法、惯性力法或时程分析法。采用惯性力法计算地下结构地震反应时，应符合现行国家标准《铁路工程抗震设计规范》GB50111中关于静力法的规定；</w:t>
      </w:r>
    </w:p>
    <w:p w14:paraId="5A4F7343">
      <w:pPr>
        <w:ind w:firstLine="422" w:firstLineChars="200"/>
      </w:pPr>
      <w:r>
        <w:rPr>
          <w:b/>
        </w:rPr>
        <w:t>2</w:t>
      </w:r>
      <w:r>
        <w:rPr>
          <w:rFonts w:hint="eastAsia"/>
        </w:rPr>
        <w:t xml:space="preserve">  </w:t>
      </w:r>
      <w:r>
        <w:t>位于地层软硬显著变化区域或体形不规则且有明显薄弱部位的地下结构尚应进行罕遇地震E3作用下的变形分析，此时应假定结构与构件处于弹塑性工作状态；</w:t>
      </w:r>
    </w:p>
    <w:p w14:paraId="3505B200">
      <w:pPr>
        <w:ind w:firstLine="422" w:firstLineChars="200"/>
      </w:pPr>
      <w:r>
        <w:rPr>
          <w:b/>
        </w:rPr>
        <w:t>3</w:t>
      </w:r>
      <w:r>
        <w:rPr>
          <w:rFonts w:hint="eastAsia"/>
        </w:rPr>
        <w:t xml:space="preserve">  </w:t>
      </w:r>
      <w:r>
        <w:t>地下结构的抗震计算模型应能较客观地反映结构的实际受力状况以及结构与周边地层的相互作用，计算方法应与地下结构的型式、体量和特点相适宜；</w:t>
      </w:r>
    </w:p>
    <w:p w14:paraId="368A699D">
      <w:pPr>
        <w:ind w:firstLine="422" w:firstLineChars="200"/>
      </w:pPr>
      <w:r>
        <w:rPr>
          <w:b/>
        </w:rPr>
        <w:t>4</w:t>
      </w:r>
      <w:r>
        <w:rPr>
          <w:rFonts w:hint="eastAsia"/>
          <w:b/>
        </w:rPr>
        <w:t xml:space="preserve">  </w:t>
      </w:r>
      <w:r>
        <w:t>沿纵向结构型式连续、规则、横断面构造变化不大的地下结构应按平面荷载结构模型进行横向水平地震反应计算，计算方法可采用反应位移法或惯性力法；</w:t>
      </w:r>
    </w:p>
    <w:p w14:paraId="77028E0A">
      <w:pPr>
        <w:ind w:firstLine="422" w:firstLineChars="200"/>
      </w:pPr>
      <w:r>
        <w:rPr>
          <w:b/>
        </w:rPr>
        <w:t>5</w:t>
      </w:r>
      <w:r>
        <w:rPr>
          <w:rFonts w:hint="eastAsia"/>
          <w:b/>
        </w:rPr>
        <w:t xml:space="preserve"> </w:t>
      </w:r>
      <w:r>
        <w:rPr>
          <w:rFonts w:hint="eastAsia"/>
        </w:rPr>
        <w:t xml:space="preserve"> </w:t>
      </w:r>
      <w:r>
        <w:t>遇到下列情况时，地下结构应按空间地层结构模型进行地震反应计算，计算方法应采用时程分析法：</w:t>
      </w:r>
    </w:p>
    <w:p w14:paraId="381005F3">
      <w:pPr>
        <w:ind w:firstLine="420" w:firstLineChars="200"/>
      </w:pPr>
      <w:r>
        <w:t>1)</w:t>
      </w:r>
      <w:r>
        <w:rPr>
          <w:rFonts w:hint="eastAsia"/>
        </w:rPr>
        <w:t xml:space="preserve">  </w:t>
      </w:r>
      <w:r>
        <w:t>地下结构与地面建(构)筑物合建或结构上部局部有建(构)筑物；</w:t>
      </w:r>
    </w:p>
    <w:p w14:paraId="59C11FE8">
      <w:pPr>
        <w:ind w:firstLine="420" w:firstLineChars="200"/>
      </w:pPr>
      <w:r>
        <w:t>2)</w:t>
      </w:r>
      <w:r>
        <w:rPr>
          <w:rFonts w:hint="eastAsia"/>
        </w:rPr>
        <w:t xml:space="preserve">  </w:t>
      </w:r>
      <w:r>
        <w:t>沿结构纵向土层分布有显著差异；</w:t>
      </w:r>
    </w:p>
    <w:p w14:paraId="60F1DEF2">
      <w:pPr>
        <w:ind w:firstLine="420" w:firstLineChars="200"/>
      </w:pPr>
      <w:r>
        <w:t>3)</w:t>
      </w:r>
      <w:r>
        <w:rPr>
          <w:rFonts w:hint="eastAsia"/>
        </w:rPr>
        <w:t xml:space="preserve">  </w:t>
      </w:r>
      <w:r>
        <w:t>结构体系复杂、体形不规则以及结构断面变化较大；</w:t>
      </w:r>
    </w:p>
    <w:p w14:paraId="3A02D7AF">
      <w:pPr>
        <w:ind w:firstLine="420" w:firstLineChars="200"/>
      </w:pPr>
      <w:r>
        <w:t>4)</w:t>
      </w:r>
      <w:r>
        <w:rPr>
          <w:rFonts w:hint="eastAsia"/>
        </w:rPr>
        <w:t xml:space="preserve">  </w:t>
      </w:r>
      <w:r>
        <w:t>地下结构紧贴或近距离下穿既有轨道交通建筑物；</w:t>
      </w:r>
    </w:p>
    <w:p w14:paraId="1A193263">
      <w:pPr>
        <w:ind w:firstLine="420" w:firstLineChars="200"/>
      </w:pPr>
      <w:r>
        <w:t>5)</w:t>
      </w:r>
      <w:r>
        <w:rPr>
          <w:rFonts w:hint="eastAsia"/>
        </w:rPr>
        <w:t xml:space="preserve">  </w:t>
      </w:r>
      <w:r>
        <w:t>地下结构与其他建(构)筑物结构相连且未设变形缝。</w:t>
      </w:r>
    </w:p>
    <w:p w14:paraId="53AEC353">
      <w:pPr>
        <w:ind w:firstLine="422" w:firstLineChars="200"/>
      </w:pPr>
      <w:r>
        <w:rPr>
          <w:b/>
        </w:rPr>
        <w:t>6</w:t>
      </w:r>
      <w:r>
        <w:rPr>
          <w:rFonts w:hint="eastAsia"/>
          <w:b/>
        </w:rPr>
        <w:t xml:space="preserve">  </w:t>
      </w:r>
      <w:r>
        <w:t>除小净距隧道、断面或地层条件复杂的隧道外，其他区间隧道宜采用反应位移法计算纵向地震反应；</w:t>
      </w:r>
    </w:p>
    <w:p w14:paraId="72882C4E">
      <w:pPr>
        <w:ind w:firstLine="422" w:firstLineChars="200"/>
      </w:pPr>
      <w:r>
        <w:rPr>
          <w:b/>
        </w:rPr>
        <w:t>7</w:t>
      </w:r>
      <w:r>
        <w:rPr>
          <w:rFonts w:hint="eastAsia"/>
          <w:b/>
        </w:rPr>
        <w:t xml:space="preserve"> </w:t>
      </w:r>
      <w:r>
        <w:rPr>
          <w:rFonts w:hint="eastAsia"/>
        </w:rPr>
        <w:t xml:space="preserve"> </w:t>
      </w:r>
      <w:r>
        <w:t>地下车站除应进行水平地震作用计算外，设防烈度为8度且存在以下情形时尚宜计及竖向地震作用；</w:t>
      </w:r>
    </w:p>
    <w:p w14:paraId="6D188E6A">
      <w:pPr>
        <w:ind w:firstLine="420" w:firstLineChars="200"/>
      </w:pPr>
      <w:r>
        <w:t>1)</w:t>
      </w:r>
      <w:r>
        <w:rPr>
          <w:rFonts w:hint="eastAsia"/>
        </w:rPr>
        <w:t xml:space="preserve">  </w:t>
      </w:r>
      <w:r>
        <w:t>体形不规则的大型车站；</w:t>
      </w:r>
    </w:p>
    <w:p w14:paraId="621C6FDE">
      <w:pPr>
        <w:ind w:firstLine="420" w:firstLineChars="200"/>
      </w:pPr>
      <w:r>
        <w:t>2)</w:t>
      </w:r>
      <w:r>
        <w:rPr>
          <w:rFonts w:hint="eastAsia"/>
        </w:rPr>
        <w:t xml:space="preserve">  </w:t>
      </w:r>
      <w:r>
        <w:t>车站为大跨度结构或浅埋大断面隧道；</w:t>
      </w:r>
    </w:p>
    <w:p w14:paraId="77FC7F1F">
      <w:pPr>
        <w:ind w:firstLine="420" w:firstLineChars="200"/>
      </w:pPr>
      <w:r>
        <w:t>3)</w:t>
      </w:r>
      <w:r>
        <w:rPr>
          <w:rFonts w:hint="eastAsia"/>
        </w:rPr>
        <w:t xml:space="preserve">  </w:t>
      </w:r>
      <w:r>
        <w:t>在顶板、楼板上开有较大孔洞，形成大跨悬臂构件；</w:t>
      </w:r>
    </w:p>
    <w:p w14:paraId="2CA5C28C">
      <w:pPr>
        <w:ind w:firstLine="420" w:firstLineChars="200"/>
      </w:pPr>
      <w:r>
        <w:t>4)</w:t>
      </w:r>
      <w:r>
        <w:rPr>
          <w:rFonts w:hint="eastAsia"/>
        </w:rPr>
        <w:t xml:space="preserve">  </w:t>
      </w:r>
      <w:r>
        <w:t>车站横断面为显著不对称结构；</w:t>
      </w:r>
    </w:p>
    <w:p w14:paraId="6E25391E">
      <w:pPr>
        <w:ind w:firstLine="420" w:firstLineChars="200"/>
      </w:pPr>
      <w:r>
        <w:t>5)</w:t>
      </w:r>
      <w:r>
        <w:rPr>
          <w:rFonts w:hint="eastAsia"/>
        </w:rPr>
        <w:t xml:space="preserve">  </w:t>
      </w:r>
      <w:r>
        <w:t>竖向地震作用效应很重要的其他结构。</w:t>
      </w:r>
    </w:p>
    <w:p w14:paraId="250D1FF2">
      <w:pPr>
        <w:numPr>
          <w:ilvl w:val="2"/>
          <w:numId w:val="1"/>
        </w:numPr>
        <w:tabs>
          <w:tab w:val="left" w:pos="709"/>
          <w:tab w:val="left" w:pos="794"/>
        </w:tabs>
        <w:jc w:val="left"/>
        <w:outlineLvl w:val="2"/>
        <w:rPr>
          <w:bCs/>
        </w:rPr>
      </w:pPr>
      <w:r>
        <w:rPr>
          <w:bCs/>
        </w:rPr>
        <w:t>地下车站及区间隧道采用反应位移法计算横向地震反应时，应符合以下规定：</w:t>
      </w:r>
    </w:p>
    <w:p w14:paraId="038F5E0F">
      <w:pPr>
        <w:ind w:firstLine="422" w:firstLineChars="200"/>
      </w:pPr>
      <w:r>
        <w:rPr>
          <w:b/>
        </w:rPr>
        <w:t>1</w:t>
      </w:r>
      <w:r>
        <w:rPr>
          <w:rFonts w:hint="eastAsia"/>
          <w:b/>
        </w:rPr>
        <w:t xml:space="preserve"> </w:t>
      </w:r>
      <w:r>
        <w:rPr>
          <w:rFonts w:hint="eastAsia"/>
        </w:rPr>
        <w:t xml:space="preserve"> </w:t>
      </w:r>
      <w:r>
        <w:t>应采用荷载结构模型，地下车站或区间隧道结构采用梁单元模拟，周边地层对结构的支承及与结构的动态相互作用采用地层弹簧模拟；</w:t>
      </w:r>
    </w:p>
    <w:p w14:paraId="2E182271">
      <w:pPr>
        <w:ind w:firstLine="422" w:firstLineChars="200"/>
      </w:pPr>
      <w:r>
        <w:rPr>
          <w:b/>
        </w:rPr>
        <w:t>2</w:t>
      </w:r>
      <w:r>
        <w:rPr>
          <w:rFonts w:hint="eastAsia"/>
          <w:b/>
        </w:rPr>
        <w:t xml:space="preserve"> </w:t>
      </w:r>
      <w:r>
        <w:rPr>
          <w:rFonts w:hint="eastAsia"/>
        </w:rPr>
        <w:t xml:space="preserve"> </w:t>
      </w:r>
      <w:r>
        <w:t>计算时应考虑的水平地震作用包括地层反应变形、结构惯性力和周边地层剪力。</w:t>
      </w:r>
    </w:p>
    <w:p w14:paraId="6EEE1D58">
      <w:pPr>
        <w:numPr>
          <w:ilvl w:val="0"/>
          <w:numId w:val="37"/>
        </w:numPr>
      </w:pPr>
      <w:r>
        <w:t>地层反应变形可通过假定地层变位法(参见</w:t>
      </w:r>
      <w:r>
        <w:rPr>
          <w:u w:val="single"/>
        </w:rPr>
        <w:t>图1</w:t>
      </w:r>
      <w:r>
        <w:rPr>
          <w:rFonts w:hint="eastAsia"/>
          <w:u w:val="single"/>
        </w:rPr>
        <w:t>2</w:t>
      </w:r>
      <w:r>
        <w:rPr>
          <w:u w:val="single"/>
        </w:rPr>
        <w:t>.</w:t>
      </w:r>
      <w:r>
        <w:rPr>
          <w:rFonts w:hint="eastAsia"/>
          <w:u w:val="single"/>
        </w:rPr>
        <w:t>8</w:t>
      </w:r>
      <w:r>
        <w:rPr>
          <w:u w:val="single"/>
        </w:rPr>
        <w:t>.7-1</w:t>
      </w:r>
      <w:r>
        <w:t>)或一维地层反应分析法求得。已进行场地地震安全性评价的，应采用评价报告得到的地层位移随深度的变化关系；</w:t>
      </w:r>
    </w:p>
    <w:p w14:paraId="3FE8A012">
      <w:pPr>
        <w:spacing w:line="240" w:lineRule="auto"/>
        <w:ind w:firstLine="300" w:firstLineChars="200"/>
        <w:jc w:val="center"/>
        <w:rPr>
          <w:rFonts w:ascii="宋体" w:hAnsi="宋体" w:cs="宋体"/>
          <w:sz w:val="15"/>
          <w:szCs w:val="15"/>
        </w:rPr>
      </w:pPr>
      <w:r>
        <w:rPr>
          <w:rFonts w:ascii="宋体" w:hAnsi="宋体" w:cs="宋体"/>
          <w:sz w:val="15"/>
          <w:szCs w:val="15"/>
        </w:rPr>
        <w:drawing>
          <wp:inline distT="0" distB="0" distL="0" distR="0">
            <wp:extent cx="1828800" cy="1483995"/>
            <wp:effectExtent l="0" t="0" r="0" b="1905"/>
            <wp:docPr id="41" name="图片 14" descr="3f9819d6d50d5840b9f7054761fc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descr="3f9819d6d50d5840b9f7054761fca0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828800" cy="1483995"/>
                    </a:xfrm>
                    <a:prstGeom prst="rect">
                      <a:avLst/>
                    </a:prstGeom>
                    <a:noFill/>
                    <a:ln>
                      <a:noFill/>
                    </a:ln>
                  </pic:spPr>
                </pic:pic>
              </a:graphicData>
            </a:graphic>
          </wp:inline>
        </w:drawing>
      </w:r>
    </w:p>
    <w:p w14:paraId="5A51A9FB">
      <w:pPr>
        <w:adjustRightInd w:val="0"/>
        <w:snapToGrid w:val="0"/>
        <w:jc w:val="center"/>
        <w:rPr>
          <w:rFonts w:eastAsia="黑体"/>
          <w:sz w:val="18"/>
          <w:szCs w:val="18"/>
        </w:rPr>
      </w:pPr>
      <w:r>
        <w:rPr>
          <w:rFonts w:eastAsia="黑体"/>
          <w:sz w:val="18"/>
          <w:szCs w:val="18"/>
        </w:rPr>
        <w:t>图1</w:t>
      </w:r>
      <w:r>
        <w:rPr>
          <w:rFonts w:hint="eastAsia" w:eastAsia="黑体"/>
          <w:sz w:val="18"/>
          <w:szCs w:val="18"/>
        </w:rPr>
        <w:t>2</w:t>
      </w:r>
      <w:r>
        <w:rPr>
          <w:rFonts w:eastAsia="黑体"/>
          <w:sz w:val="18"/>
          <w:szCs w:val="18"/>
        </w:rPr>
        <w:t>.8.7-1</w:t>
      </w:r>
      <w:r>
        <w:rPr>
          <w:rFonts w:hint="eastAsia" w:eastAsia="黑体"/>
          <w:sz w:val="18"/>
          <w:szCs w:val="18"/>
        </w:rPr>
        <w:t xml:space="preserve">  </w:t>
      </w:r>
      <w:r>
        <w:rPr>
          <w:rFonts w:eastAsia="黑体"/>
          <w:sz w:val="18"/>
          <w:szCs w:val="18"/>
        </w:rPr>
        <w:t>假定地层变位法地层沿深度及水平方向的变形模式</w:t>
      </w:r>
    </w:p>
    <w:p w14:paraId="09F2DB0D">
      <w:pPr>
        <w:spacing w:line="240" w:lineRule="auto"/>
        <w:ind w:firstLine="300" w:firstLineChars="200"/>
        <w:jc w:val="left"/>
        <w:rPr>
          <w:rFonts w:ascii="宋体" w:hAnsi="宋体" w:cs="宋体"/>
          <w:sz w:val="15"/>
          <w:szCs w:val="15"/>
        </w:rPr>
      </w:pPr>
      <w:r>
        <w:rPr>
          <w:rFonts w:ascii="宋体" w:hAnsi="宋体" w:cs="宋体"/>
          <w:sz w:val="15"/>
          <w:szCs w:val="15"/>
        </w:rPr>
        <w:t>Ua—地表峰值水平位移；H—覆盖层厚度；Ut—纵向地层水平位移；L—波长</w:t>
      </w:r>
    </w:p>
    <w:p w14:paraId="44CA4588">
      <w:pPr>
        <w:ind w:firstLine="420" w:firstLineChars="200"/>
      </w:pPr>
      <w:r>
        <w:t>2)</w:t>
      </w:r>
      <w:r>
        <w:rPr>
          <w:rFonts w:hint="eastAsia"/>
        </w:rPr>
        <w:t xml:space="preserve">  </w:t>
      </w:r>
      <w:r>
        <w:t>结构顶板相对于底板的相对位移可通过在计算模型中相应地层弹簧上施加强制位移的方式作用于结构上，也可将地层强制位移转化为等效荷载作用于结构上；</w:t>
      </w:r>
    </w:p>
    <w:p w14:paraId="1EDA5B02">
      <w:pPr>
        <w:ind w:firstLine="420" w:firstLineChars="200"/>
      </w:pPr>
      <w:r>
        <w:t>3)</w:t>
      </w:r>
      <w:r>
        <w:rPr>
          <w:rFonts w:hint="eastAsia"/>
        </w:rPr>
        <w:t xml:space="preserve">  </w:t>
      </w:r>
      <w:r>
        <w:t>结构惯性力可通过将结构构件的质量乘以最大水平加速度求得，惯性力的作用点为各构件的形心；</w:t>
      </w:r>
    </w:p>
    <w:p w14:paraId="39E22515">
      <w:pPr>
        <w:ind w:firstLine="420" w:firstLineChars="200"/>
      </w:pPr>
      <w:r>
        <w:t>4)</w:t>
      </w:r>
      <w:r>
        <w:rPr>
          <w:rFonts w:hint="eastAsia"/>
        </w:rPr>
        <w:t xml:space="preserve">  </w:t>
      </w:r>
      <w:r>
        <w:t>周边地层剪力可通过假定地层变位法或一维地层反应分析法求得。</w:t>
      </w:r>
    </w:p>
    <w:p w14:paraId="33B569CD">
      <w:pPr>
        <w:ind w:firstLine="422" w:firstLineChars="200"/>
      </w:pPr>
      <w:r>
        <w:rPr>
          <w:b/>
        </w:rPr>
        <w:t>3</w:t>
      </w:r>
      <w:r>
        <w:rPr>
          <w:rFonts w:hint="eastAsia"/>
          <w:b/>
        </w:rPr>
        <w:t xml:space="preserve"> </w:t>
      </w:r>
      <w:r>
        <w:rPr>
          <w:rFonts w:hint="eastAsia"/>
        </w:rPr>
        <w:t xml:space="preserve"> </w:t>
      </w:r>
      <w:r>
        <w:t>采用纵梁-柱体系的地下结构应按等代框架法进行地震反应分析，即中柱应按真实截面尺寸建模，其他构件截面宽度应取纵梁相邻跨度各一半之和；</w:t>
      </w:r>
    </w:p>
    <w:p w14:paraId="51A8A8C6">
      <w:pPr>
        <w:ind w:firstLine="422" w:firstLineChars="200"/>
      </w:pPr>
      <w:r>
        <w:rPr>
          <w:b/>
        </w:rPr>
        <w:t>4</w:t>
      </w:r>
      <w:r>
        <w:rPr>
          <w:rFonts w:hint="eastAsia"/>
          <w:b/>
        </w:rPr>
        <w:t xml:space="preserve"> </w:t>
      </w:r>
      <w:r>
        <w:rPr>
          <w:rFonts w:hint="eastAsia"/>
        </w:rPr>
        <w:t xml:space="preserve"> </w:t>
      </w:r>
      <w:r>
        <w:t>竖向地震作用可通过将覆土产生的竖向惯性力作用于结构顶板考虑，竖向地震峰值加速度可取为水平峰值加速度的2/3。</w:t>
      </w:r>
    </w:p>
    <w:p w14:paraId="4E5FA2D3">
      <w:pPr>
        <w:numPr>
          <w:ilvl w:val="2"/>
          <w:numId w:val="1"/>
        </w:numPr>
        <w:tabs>
          <w:tab w:val="left" w:pos="709"/>
          <w:tab w:val="left" w:pos="794"/>
        </w:tabs>
        <w:jc w:val="left"/>
        <w:outlineLvl w:val="2"/>
        <w:rPr>
          <w:bCs/>
        </w:rPr>
      </w:pPr>
      <w:r>
        <w:rPr>
          <w:bCs/>
        </w:rPr>
        <w:t>区间隧道采用反应位移法计算纵向地震反应时，应符合以下规定：</w:t>
      </w:r>
    </w:p>
    <w:p w14:paraId="45F64BE6">
      <w:pPr>
        <w:ind w:firstLine="422" w:firstLineChars="200"/>
      </w:pPr>
      <w:r>
        <w:rPr>
          <w:b/>
        </w:rPr>
        <w:t>1</w:t>
      </w:r>
      <w:r>
        <w:rPr>
          <w:rFonts w:hint="eastAsia"/>
          <w:b/>
        </w:rPr>
        <w:t xml:space="preserve">  </w:t>
      </w:r>
      <w:r>
        <w:t>区间隧道结构宜简化为梁单元，周边地层对隧道的支承及与隧道的动态相互作用宜采用地层弹簧模拟，地层沿隧道纵向的反应变形可采用强制变形的方式施加于地层弹簧上；</w:t>
      </w:r>
    </w:p>
    <w:p w14:paraId="14CA88D4">
      <w:pPr>
        <w:ind w:firstLine="422" w:firstLineChars="200"/>
      </w:pPr>
      <w:r>
        <w:rPr>
          <w:b/>
        </w:rPr>
        <w:t>2</w:t>
      </w:r>
      <w:r>
        <w:rPr>
          <w:rFonts w:hint="eastAsia"/>
          <w:b/>
        </w:rPr>
        <w:t xml:space="preserve">  </w:t>
      </w:r>
      <w:r>
        <w:t>可假定地层沿隧道纵向的反应变形按正弦规律变化，见图1</w:t>
      </w:r>
      <w:r>
        <w:rPr>
          <w:rFonts w:hint="eastAsia"/>
        </w:rPr>
        <w:t>2</w:t>
      </w:r>
      <w:r>
        <w:t>.8.7-1。</w:t>
      </w:r>
    </w:p>
    <w:p w14:paraId="38EFF16D">
      <w:pPr>
        <w:numPr>
          <w:ilvl w:val="2"/>
          <w:numId w:val="1"/>
        </w:numPr>
        <w:tabs>
          <w:tab w:val="left" w:pos="709"/>
          <w:tab w:val="left" w:pos="794"/>
        </w:tabs>
        <w:jc w:val="left"/>
        <w:outlineLvl w:val="2"/>
        <w:rPr>
          <w:bCs/>
        </w:rPr>
      </w:pPr>
      <w:r>
        <w:rPr>
          <w:bCs/>
        </w:rPr>
        <w:t>地下结构采用时程分析法计算地震反应时，应符合以下规定：</w:t>
      </w:r>
    </w:p>
    <w:p w14:paraId="680DB637">
      <w:pPr>
        <w:ind w:firstLine="422" w:firstLineChars="200"/>
      </w:pPr>
      <w:r>
        <w:rPr>
          <w:b/>
        </w:rPr>
        <w:t>1</w:t>
      </w:r>
      <w:r>
        <w:rPr>
          <w:rFonts w:hint="eastAsia"/>
          <w:b/>
        </w:rPr>
        <w:t xml:space="preserve"> </w:t>
      </w:r>
      <w:r>
        <w:rPr>
          <w:rFonts w:hint="eastAsia"/>
        </w:rPr>
        <w:t xml:space="preserve"> </w:t>
      </w:r>
      <w:r>
        <w:t>宜采用地层-结构模型按平面应变问题计算分析，当需要考虑地下结构空间动力效应时，宜采用三维模型计算分析；</w:t>
      </w:r>
    </w:p>
    <w:p w14:paraId="71145117">
      <w:pPr>
        <w:ind w:firstLine="422" w:firstLineChars="200"/>
      </w:pPr>
      <w:r>
        <w:rPr>
          <w:b/>
        </w:rPr>
        <w:t>2</w:t>
      </w:r>
      <w:r>
        <w:rPr>
          <w:rFonts w:hint="eastAsia"/>
          <w:b/>
        </w:rPr>
        <w:t xml:space="preserve"> </w:t>
      </w:r>
      <w:r>
        <w:rPr>
          <w:rFonts w:hint="eastAsia"/>
        </w:rPr>
        <w:t xml:space="preserve"> </w:t>
      </w:r>
      <w:r>
        <w:rPr>
          <w:rFonts w:ascii="宋体" w:hAnsi="宋体" w:cs="宋体"/>
          <w:spacing w:val="4"/>
          <w:szCs w:val="20"/>
        </w:rPr>
        <w:t>计</w:t>
      </w:r>
      <w:r>
        <w:t>算模型上面边界取至地表，侧面人工边界距地下结构水平距离不宜小于3倍结构宽度，底面人工边界宜取至震动基准面。震动基准面可取基岩面；当基岩面较深时，应按现行《建筑抗震设计</w:t>
      </w:r>
      <w:r>
        <w:rPr>
          <w:rFonts w:hint="eastAsia"/>
        </w:rPr>
        <w:t>标准</w:t>
      </w:r>
      <w:r>
        <w:t>》GB50011第4.1.4条及本规范第1</w:t>
      </w:r>
      <w:r>
        <w:rPr>
          <w:rFonts w:hint="eastAsia"/>
        </w:rPr>
        <w:t>2</w:t>
      </w:r>
      <w:r>
        <w:t>.</w:t>
      </w:r>
      <w:r>
        <w:rPr>
          <w:rFonts w:hint="eastAsia"/>
        </w:rPr>
        <w:t>8</w:t>
      </w:r>
      <w:r>
        <w:t>.7条的规定确定覆盖层厚度。震动基准面距地下结构底板竖向距离不宜小于结构高度；</w:t>
      </w:r>
    </w:p>
    <w:p w14:paraId="3377DBE3">
      <w:pPr>
        <w:ind w:firstLine="422" w:firstLineChars="200"/>
      </w:pPr>
      <w:r>
        <w:rPr>
          <w:b/>
        </w:rPr>
        <w:t>3</w:t>
      </w:r>
      <w:r>
        <w:rPr>
          <w:rFonts w:hint="eastAsia"/>
          <w:b/>
        </w:rPr>
        <w:t xml:space="preserve"> </w:t>
      </w:r>
      <w:r>
        <w:rPr>
          <w:rFonts w:hint="eastAsia"/>
        </w:rPr>
        <w:t xml:space="preserve"> </w:t>
      </w:r>
      <w:r>
        <w:t>侧面人工边界宜模拟为粘弹性边界或自由场边界，底面人工边界宜模拟为可输入地震波的固定边界；</w:t>
      </w:r>
    </w:p>
    <w:p w14:paraId="183B691C">
      <w:pPr>
        <w:ind w:firstLine="422" w:firstLineChars="200"/>
      </w:pPr>
      <w:r>
        <w:rPr>
          <w:b/>
        </w:rPr>
        <w:t>4</w:t>
      </w:r>
      <w:r>
        <w:rPr>
          <w:rFonts w:hint="eastAsia"/>
          <w:b/>
        </w:rPr>
        <w:t xml:space="preserve"> </w:t>
      </w:r>
      <w:r>
        <w:rPr>
          <w:rFonts w:hint="eastAsia"/>
        </w:rPr>
        <w:t xml:space="preserve"> </w:t>
      </w:r>
      <w:r>
        <w:t>地震动输入宜采用地震加速度时程输入。地震动输入时，应按场地类别和设计地震分组选用不少于两组实际强震记录和一组由地震安全性评价报告提供的加速度时程曲线。</w:t>
      </w:r>
    </w:p>
    <w:p w14:paraId="3A3C2240">
      <w:pPr>
        <w:numPr>
          <w:ilvl w:val="2"/>
          <w:numId w:val="1"/>
        </w:numPr>
        <w:tabs>
          <w:tab w:val="left" w:pos="709"/>
          <w:tab w:val="left" w:pos="794"/>
        </w:tabs>
        <w:jc w:val="left"/>
        <w:outlineLvl w:val="2"/>
        <w:rPr>
          <w:bCs/>
        </w:rPr>
      </w:pPr>
      <w:r>
        <w:rPr>
          <w:bCs/>
        </w:rPr>
        <w:t>地震作用效应与其他荷载效应的组合，结构构件抗震承载力调整应</w:t>
      </w:r>
      <w:r>
        <w:rPr>
          <w:rFonts w:hint="eastAsia"/>
          <w:bCs/>
        </w:rPr>
        <w:t>符合</w:t>
      </w:r>
      <w:r>
        <w:rPr>
          <w:bCs/>
        </w:rPr>
        <w:t>现行《建筑抗震设计</w:t>
      </w:r>
      <w:r>
        <w:rPr>
          <w:rFonts w:hint="eastAsia"/>
          <w:bCs/>
        </w:rPr>
        <w:t>标准</w:t>
      </w:r>
      <w:r>
        <w:rPr>
          <w:bCs/>
        </w:rPr>
        <w:t>》GB50011第5.4节的规定。</w:t>
      </w:r>
    </w:p>
    <w:p w14:paraId="2FFACB3D">
      <w:pPr>
        <w:numPr>
          <w:ilvl w:val="2"/>
          <w:numId w:val="1"/>
        </w:numPr>
        <w:tabs>
          <w:tab w:val="left" w:pos="709"/>
          <w:tab w:val="left" w:pos="794"/>
        </w:tabs>
        <w:jc w:val="left"/>
        <w:outlineLvl w:val="2"/>
        <w:rPr>
          <w:bCs/>
        </w:rPr>
      </w:pPr>
      <w:r>
        <w:rPr>
          <w:bCs/>
        </w:rPr>
        <w:t>地下结构的抗震构造应符合下列要求：</w:t>
      </w:r>
    </w:p>
    <w:p w14:paraId="4353C2C5">
      <w:pPr>
        <w:ind w:firstLine="422" w:firstLineChars="200"/>
      </w:pPr>
      <w:r>
        <w:rPr>
          <w:b/>
        </w:rPr>
        <w:t>1</w:t>
      </w:r>
      <w:r>
        <w:rPr>
          <w:rFonts w:hint="eastAsia"/>
          <w:b/>
        </w:rPr>
        <w:t xml:space="preserve">  </w:t>
      </w:r>
      <w:r>
        <w:t>地下结构宜采用现浇钢筋混凝土结构。需要设置装配式构件时，应使其与周围构件有可靠的连接；</w:t>
      </w:r>
    </w:p>
    <w:p w14:paraId="7F63D0B6">
      <w:pPr>
        <w:ind w:firstLine="422" w:firstLineChars="200"/>
      </w:pPr>
      <w:r>
        <w:rPr>
          <w:b/>
        </w:rPr>
        <w:t>2</w:t>
      </w:r>
      <w:r>
        <w:rPr>
          <w:rFonts w:hint="eastAsia"/>
          <w:b/>
        </w:rPr>
        <w:t xml:space="preserve">  </w:t>
      </w:r>
      <w:r>
        <w:t>框架梁、框架柱应根据抗震等级的不同按现行《建筑抗震设计</w:t>
      </w:r>
      <w:r>
        <w:rPr>
          <w:rFonts w:hint="eastAsia"/>
        </w:rPr>
        <w:t>标准</w:t>
      </w:r>
      <w:r>
        <w:t>》GB50011第6.3节采用抗震构造措施；</w:t>
      </w:r>
    </w:p>
    <w:p w14:paraId="334ACB75">
      <w:pPr>
        <w:ind w:firstLine="422" w:firstLineChars="200"/>
      </w:pPr>
      <w:r>
        <w:rPr>
          <w:b/>
        </w:rPr>
        <w:t>3</w:t>
      </w:r>
      <w:r>
        <w:rPr>
          <w:rFonts w:hint="eastAsia"/>
        </w:rPr>
        <w:t xml:space="preserve">  </w:t>
      </w:r>
      <w:r>
        <w:t>框架柱设计尚应符合下列要求：</w:t>
      </w:r>
    </w:p>
    <w:p w14:paraId="576C0C5D">
      <w:pPr>
        <w:ind w:firstLine="420" w:firstLineChars="200"/>
      </w:pPr>
      <w:r>
        <w:t>1)</w:t>
      </w:r>
      <w:r>
        <w:rPr>
          <w:rFonts w:hint="eastAsia"/>
        </w:rPr>
        <w:t xml:space="preserve">  </w:t>
      </w:r>
      <w:r>
        <w:t>柱截面宜采用对称配筋型式，柱主筋间距不宜大于200mm；</w:t>
      </w:r>
    </w:p>
    <w:p w14:paraId="672322DA">
      <w:pPr>
        <w:ind w:firstLine="420" w:firstLineChars="200"/>
      </w:pPr>
      <w:r>
        <w:t>2)</w:t>
      </w:r>
      <w:r>
        <w:rPr>
          <w:rFonts w:hint="eastAsia"/>
        </w:rPr>
        <w:t xml:space="preserve">  </w:t>
      </w:r>
      <w:r>
        <w:t>柱截面最小总配筋率，抗震等级一级时不宜小于1.2%，二级时不宜小于1.0%，三级时不宜小于0.8%；</w:t>
      </w:r>
    </w:p>
    <w:p w14:paraId="49FCE195">
      <w:pPr>
        <w:ind w:firstLine="420" w:firstLineChars="200"/>
      </w:pPr>
      <w:r>
        <w:t>3)</w:t>
      </w:r>
      <w:r>
        <w:rPr>
          <w:rFonts w:hint="eastAsia"/>
        </w:rPr>
        <w:t xml:space="preserve">  </w:t>
      </w:r>
      <w:r>
        <w:t>框架柱轴压比，抗震等级一级时不宜大于0.65，二级时不宜大于0.75，三级时不宜大于0.85；对于单柱车站，轴压比分别减小0.</w:t>
      </w:r>
      <w:r>
        <w:rPr>
          <w:rFonts w:hint="eastAsia"/>
        </w:rPr>
        <w:t>0</w:t>
      </w:r>
      <w:r>
        <w:t>5</w:t>
      </w:r>
      <w:r>
        <w:rPr>
          <w:rFonts w:hint="eastAsia"/>
        </w:rPr>
        <w:t>；</w:t>
      </w:r>
    </w:p>
    <w:p w14:paraId="0566E98C">
      <w:pPr>
        <w:ind w:firstLine="420" w:firstLineChars="200"/>
      </w:pPr>
      <w:r>
        <w:t>4)</w:t>
      </w:r>
      <w:r>
        <w:rPr>
          <w:rFonts w:hint="eastAsia"/>
        </w:rPr>
        <w:t xml:space="preserve">  </w:t>
      </w:r>
      <w:r>
        <w:t>中墙与顶板、中间楼板及底板连接处的箍筋应加密，其范围和构造与框架柱相同；</w:t>
      </w:r>
    </w:p>
    <w:p w14:paraId="581A6039">
      <w:pPr>
        <w:ind w:firstLine="420" w:firstLineChars="200"/>
      </w:pPr>
      <w:r>
        <w:t>5)</w:t>
      </w:r>
      <w:r>
        <w:rPr>
          <w:rFonts w:hint="eastAsia"/>
        </w:rPr>
        <w:t xml:space="preserve">  </w:t>
      </w:r>
      <w:r>
        <w:t>对于柱净高与截面短边长度(或直径)之比不大于4的柱，柱全高范围内均应加密箍筋且箍筋间距不应大于100mm。</w:t>
      </w:r>
    </w:p>
    <w:p w14:paraId="06EA45AC">
      <w:pPr>
        <w:ind w:firstLine="422" w:firstLineChars="200"/>
      </w:pPr>
      <w:r>
        <w:rPr>
          <w:b/>
        </w:rPr>
        <w:t>4</w:t>
      </w:r>
      <w:r>
        <w:rPr>
          <w:rFonts w:hint="eastAsia"/>
          <w:b/>
        </w:rPr>
        <w:t xml:space="preserve">  </w:t>
      </w:r>
      <w:r>
        <w:t>框架梁宽度大于框架柱宽度时，梁柱节点区柱宽以外部分应设梁箍筋；</w:t>
      </w:r>
    </w:p>
    <w:p w14:paraId="647F9E97">
      <w:pPr>
        <w:ind w:firstLine="422" w:firstLineChars="200"/>
      </w:pPr>
      <w:r>
        <w:rPr>
          <w:b/>
        </w:rPr>
        <w:t>5</w:t>
      </w:r>
      <w:r>
        <w:rPr>
          <w:rFonts w:hint="eastAsia"/>
          <w:b/>
        </w:rPr>
        <w:t xml:space="preserve">  </w:t>
      </w:r>
      <w:r>
        <w:t>当框架柱混凝土强度等级高于框架梁两级以上，且梁柱节点区混凝土强度等级与框架梁相同时，应对核心区承载力进行验算，必要时应设芯柱加强；</w:t>
      </w:r>
    </w:p>
    <w:p w14:paraId="0EF3EF29">
      <w:pPr>
        <w:ind w:firstLine="422" w:firstLineChars="200"/>
      </w:pPr>
      <w:r>
        <w:rPr>
          <w:b/>
        </w:rPr>
        <w:t>6</w:t>
      </w:r>
      <w:r>
        <w:rPr>
          <w:rFonts w:hint="eastAsia"/>
          <w:b/>
        </w:rPr>
        <w:t xml:space="preserve">  </w:t>
      </w:r>
      <w:r>
        <w:t>当地下结构采用纵梁体系时，结构板及侧墙端部应设箍筋加密区，箍筋加密区构造要求应与框架梁相同；</w:t>
      </w:r>
    </w:p>
    <w:p w14:paraId="3F2AA560">
      <w:pPr>
        <w:ind w:firstLine="422" w:firstLineChars="200"/>
      </w:pPr>
      <w:r>
        <w:rPr>
          <w:b/>
        </w:rPr>
        <w:t>7</w:t>
      </w:r>
      <w:r>
        <w:rPr>
          <w:rFonts w:hint="eastAsia"/>
          <w:b/>
        </w:rPr>
        <w:t xml:space="preserve"> </w:t>
      </w:r>
      <w:r>
        <w:rPr>
          <w:rFonts w:hint="eastAsia"/>
        </w:rPr>
        <w:t xml:space="preserve"> </w:t>
      </w:r>
      <w:r>
        <w:t>车站楼板洞口的布置宜使结构质量和刚度的分布较均匀、对称，宜避免局部突变，较大孔洞周围应设置满足构造要求的边梁或暗梁；</w:t>
      </w:r>
    </w:p>
    <w:p w14:paraId="62173787">
      <w:pPr>
        <w:ind w:firstLine="422" w:firstLineChars="200"/>
      </w:pPr>
      <w:r>
        <w:rPr>
          <w:b/>
        </w:rPr>
        <w:t>8</w:t>
      </w:r>
      <w:r>
        <w:rPr>
          <w:rFonts w:hint="eastAsia"/>
          <w:b/>
        </w:rPr>
        <w:t xml:space="preserve">  </w:t>
      </w:r>
      <w:r>
        <w:t>内部结构的抗震构造可按现行国家标准《建筑抗震设计</w:t>
      </w:r>
      <w:r>
        <w:rPr>
          <w:rFonts w:hint="eastAsia"/>
        </w:rPr>
        <w:t>标准</w:t>
      </w:r>
      <w:r>
        <w:t>》GB50011的有关规定执行。</w:t>
      </w:r>
    </w:p>
    <w:p w14:paraId="2FBA2636">
      <w:pPr>
        <w:numPr>
          <w:ilvl w:val="1"/>
          <w:numId w:val="1"/>
        </w:numPr>
        <w:snapToGrid w:val="0"/>
        <w:spacing w:before="156" w:after="156" w:line="240" w:lineRule="auto"/>
        <w:jc w:val="center"/>
        <w:outlineLvl w:val="1"/>
        <w:rPr>
          <w:rFonts w:eastAsia="黑体"/>
          <w:bCs/>
          <w:szCs w:val="28"/>
        </w:rPr>
      </w:pPr>
      <w:bookmarkStart w:id="803" w:name="_Toc183765122"/>
      <w:bookmarkStart w:id="804" w:name="_Toc183882113"/>
      <w:bookmarkStart w:id="805" w:name="_Toc183888165"/>
      <w:bookmarkStart w:id="806" w:name="_Toc183790552"/>
      <w:bookmarkStart w:id="807" w:name="_Toc183888527"/>
      <w:bookmarkStart w:id="808" w:name="_Toc183882475"/>
      <w:r>
        <w:rPr>
          <w:rFonts w:eastAsia="黑体"/>
          <w:bCs/>
          <w:szCs w:val="28"/>
        </w:rPr>
        <w:t>地下结构的耐久性要求</w:t>
      </w:r>
      <w:bookmarkEnd w:id="803"/>
      <w:bookmarkEnd w:id="804"/>
      <w:bookmarkEnd w:id="805"/>
      <w:bookmarkEnd w:id="806"/>
      <w:bookmarkEnd w:id="807"/>
      <w:bookmarkEnd w:id="808"/>
    </w:p>
    <w:p w14:paraId="1358BC3D">
      <w:pPr>
        <w:numPr>
          <w:ilvl w:val="2"/>
          <w:numId w:val="1"/>
        </w:numPr>
        <w:tabs>
          <w:tab w:val="left" w:pos="709"/>
          <w:tab w:val="left" w:pos="794"/>
        </w:tabs>
        <w:jc w:val="left"/>
        <w:outlineLvl w:val="2"/>
        <w:rPr>
          <w:bCs/>
        </w:rPr>
      </w:pPr>
      <w:r>
        <w:rPr>
          <w:bCs/>
        </w:rPr>
        <w:t>地下结构耐久性设计应执行国家标准《混凝土结构耐久性设计标准》GB/T50476的相关要求。</w:t>
      </w:r>
    </w:p>
    <w:p w14:paraId="4E3A22BC">
      <w:pPr>
        <w:numPr>
          <w:ilvl w:val="2"/>
          <w:numId w:val="1"/>
        </w:numPr>
        <w:tabs>
          <w:tab w:val="left" w:pos="709"/>
          <w:tab w:val="left" w:pos="794"/>
        </w:tabs>
        <w:jc w:val="left"/>
        <w:outlineLvl w:val="2"/>
        <w:rPr>
          <w:bCs/>
        </w:rPr>
      </w:pPr>
      <w:r>
        <w:rPr>
          <w:bCs/>
        </w:rPr>
        <w:t>北京地区环境对地下钢筋混凝土构件的作用应包括混凝土碳化引起内部钢筋的锈蚀(Ⅰ：一般环境)、寒冷环境对混凝土的冻融损伤(Ⅱ：冻融环境)、氯离子引起的钢筋锈蚀(Ⅳ：除冰盐等其他氯化物环境)及地下水、土对混凝土的化学腐蚀作用(Ⅴ：化学侵蚀环境)。具体的环境作用分类和作用等级可按表1</w:t>
      </w:r>
      <w:r>
        <w:rPr>
          <w:rFonts w:hint="eastAsia"/>
          <w:bCs/>
        </w:rPr>
        <w:t>2</w:t>
      </w:r>
      <w:r>
        <w:rPr>
          <w:bCs/>
        </w:rPr>
        <w:t>.</w:t>
      </w:r>
      <w:r>
        <w:rPr>
          <w:rFonts w:hint="eastAsia"/>
          <w:bCs/>
        </w:rPr>
        <w:t>9</w:t>
      </w:r>
      <w:r>
        <w:rPr>
          <w:bCs/>
        </w:rPr>
        <w:t>.2确定。</w:t>
      </w:r>
    </w:p>
    <w:p w14:paraId="27537771">
      <w:pPr>
        <w:pStyle w:val="198"/>
      </w:pPr>
      <w:r>
        <w:t>表1</w:t>
      </w:r>
      <w:r>
        <w:rPr>
          <w:rFonts w:hint="eastAsia"/>
        </w:rPr>
        <w:t>2</w:t>
      </w:r>
      <w:r>
        <w:t>.</w:t>
      </w:r>
      <w:r>
        <w:rPr>
          <w:rFonts w:hint="eastAsia"/>
        </w:rPr>
        <w:t>9</w:t>
      </w:r>
      <w:r>
        <w:t>.2</w:t>
      </w:r>
      <w:r>
        <w:rPr>
          <w:rFonts w:hint="eastAsia"/>
        </w:rPr>
        <w:t xml:space="preserve">  </w:t>
      </w:r>
      <w:r>
        <w:t>地下钢筋混凝土结构的环境分类及作用等级</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42"/>
        <w:gridCol w:w="592"/>
        <w:gridCol w:w="616"/>
        <w:gridCol w:w="1760"/>
        <w:gridCol w:w="2830"/>
      </w:tblGrid>
      <w:tr w14:paraId="1D784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9" w:hRule="atLeast"/>
          <w:jc w:val="center"/>
        </w:trPr>
        <w:tc>
          <w:tcPr>
            <w:tcW w:w="542" w:type="dxa"/>
            <w:tcBorders>
              <w:left w:val="single" w:color="000000" w:sz="6" w:space="0"/>
            </w:tcBorders>
            <w:vAlign w:val="center"/>
          </w:tcPr>
          <w:p w14:paraId="4819E82B">
            <w:pPr>
              <w:snapToGrid w:val="0"/>
              <w:spacing w:before="20" w:after="20" w:line="240" w:lineRule="auto"/>
              <w:jc w:val="center"/>
              <w:rPr>
                <w:rFonts w:cs="宋体"/>
                <w:sz w:val="15"/>
                <w:szCs w:val="20"/>
              </w:rPr>
            </w:pPr>
            <w:r>
              <w:rPr>
                <w:rFonts w:cs="宋体"/>
                <w:sz w:val="15"/>
                <w:szCs w:val="20"/>
              </w:rPr>
              <w:t>环境类别</w:t>
            </w:r>
          </w:p>
        </w:tc>
        <w:tc>
          <w:tcPr>
            <w:tcW w:w="592" w:type="dxa"/>
            <w:vAlign w:val="center"/>
          </w:tcPr>
          <w:p w14:paraId="24EC835A">
            <w:pPr>
              <w:snapToGrid w:val="0"/>
              <w:spacing w:before="20" w:after="20" w:line="240" w:lineRule="auto"/>
              <w:jc w:val="center"/>
              <w:rPr>
                <w:rFonts w:cs="宋体"/>
                <w:sz w:val="15"/>
                <w:szCs w:val="20"/>
              </w:rPr>
            </w:pPr>
            <w:r>
              <w:rPr>
                <w:rFonts w:cs="宋体"/>
                <w:sz w:val="15"/>
                <w:szCs w:val="20"/>
              </w:rPr>
              <w:t>名称</w:t>
            </w:r>
          </w:p>
        </w:tc>
        <w:tc>
          <w:tcPr>
            <w:tcW w:w="616" w:type="dxa"/>
            <w:vAlign w:val="center"/>
          </w:tcPr>
          <w:p w14:paraId="2077E359">
            <w:pPr>
              <w:snapToGrid w:val="0"/>
              <w:spacing w:before="20" w:after="20" w:line="240" w:lineRule="auto"/>
              <w:jc w:val="center"/>
              <w:rPr>
                <w:rFonts w:cs="宋体"/>
                <w:sz w:val="15"/>
                <w:szCs w:val="20"/>
              </w:rPr>
            </w:pPr>
            <w:r>
              <w:rPr>
                <w:rFonts w:cs="宋体"/>
                <w:sz w:val="15"/>
                <w:szCs w:val="20"/>
              </w:rPr>
              <w:t>作用等级</w:t>
            </w:r>
          </w:p>
        </w:tc>
        <w:tc>
          <w:tcPr>
            <w:tcW w:w="1760" w:type="dxa"/>
            <w:vAlign w:val="center"/>
          </w:tcPr>
          <w:p w14:paraId="32598408">
            <w:pPr>
              <w:snapToGrid w:val="0"/>
              <w:spacing w:before="20" w:after="20" w:line="240" w:lineRule="auto"/>
              <w:jc w:val="center"/>
              <w:rPr>
                <w:rFonts w:cs="宋体"/>
                <w:sz w:val="15"/>
                <w:szCs w:val="20"/>
              </w:rPr>
            </w:pPr>
            <w:r>
              <w:rPr>
                <w:rFonts w:cs="宋体"/>
                <w:sz w:val="15"/>
                <w:szCs w:val="20"/>
              </w:rPr>
              <w:t>环境条件</w:t>
            </w:r>
          </w:p>
        </w:tc>
        <w:tc>
          <w:tcPr>
            <w:tcW w:w="2830" w:type="dxa"/>
            <w:tcBorders>
              <w:right w:val="single" w:color="000000" w:sz="6" w:space="0"/>
            </w:tcBorders>
            <w:vAlign w:val="center"/>
          </w:tcPr>
          <w:p w14:paraId="2F2AF150">
            <w:pPr>
              <w:snapToGrid w:val="0"/>
              <w:spacing w:before="20" w:after="20" w:line="240" w:lineRule="auto"/>
              <w:jc w:val="center"/>
              <w:rPr>
                <w:rFonts w:cs="宋体"/>
                <w:sz w:val="15"/>
                <w:szCs w:val="20"/>
              </w:rPr>
            </w:pPr>
            <w:r>
              <w:rPr>
                <w:rFonts w:cs="宋体"/>
                <w:sz w:val="15"/>
                <w:szCs w:val="20"/>
              </w:rPr>
              <w:t>结构构件示例</w:t>
            </w:r>
          </w:p>
        </w:tc>
      </w:tr>
      <w:tr w14:paraId="0D950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42" w:hRule="atLeast"/>
          <w:jc w:val="center"/>
        </w:trPr>
        <w:tc>
          <w:tcPr>
            <w:tcW w:w="542" w:type="dxa"/>
            <w:vMerge w:val="restart"/>
            <w:tcBorders>
              <w:left w:val="single" w:color="000000" w:sz="6" w:space="0"/>
              <w:bottom w:val="nil"/>
            </w:tcBorders>
            <w:vAlign w:val="center"/>
          </w:tcPr>
          <w:p w14:paraId="2AFCF05D">
            <w:pPr>
              <w:snapToGrid w:val="0"/>
              <w:spacing w:before="20" w:after="20" w:line="240" w:lineRule="auto"/>
              <w:jc w:val="center"/>
              <w:rPr>
                <w:rFonts w:cs="宋体"/>
                <w:sz w:val="15"/>
                <w:szCs w:val="20"/>
              </w:rPr>
            </w:pPr>
            <w:r>
              <w:rPr>
                <w:rFonts w:cs="宋体"/>
                <w:sz w:val="15"/>
                <w:szCs w:val="20"/>
              </w:rPr>
              <w:t>Ⅰ</w:t>
            </w:r>
          </w:p>
        </w:tc>
        <w:tc>
          <w:tcPr>
            <w:tcW w:w="592" w:type="dxa"/>
            <w:vMerge w:val="restart"/>
            <w:tcBorders>
              <w:bottom w:val="nil"/>
            </w:tcBorders>
            <w:vAlign w:val="center"/>
          </w:tcPr>
          <w:p w14:paraId="449DED90">
            <w:pPr>
              <w:snapToGrid w:val="0"/>
              <w:spacing w:before="20" w:after="20" w:line="240" w:lineRule="auto"/>
              <w:jc w:val="center"/>
              <w:rPr>
                <w:rFonts w:cs="宋体"/>
                <w:sz w:val="15"/>
                <w:szCs w:val="20"/>
              </w:rPr>
            </w:pPr>
            <w:r>
              <w:rPr>
                <w:rFonts w:cs="宋体"/>
                <w:sz w:val="15"/>
                <w:szCs w:val="20"/>
              </w:rPr>
              <w:t>一般环境</w:t>
            </w:r>
          </w:p>
        </w:tc>
        <w:tc>
          <w:tcPr>
            <w:tcW w:w="616" w:type="dxa"/>
            <w:vAlign w:val="center"/>
          </w:tcPr>
          <w:p w14:paraId="79AF759D">
            <w:pPr>
              <w:snapToGrid w:val="0"/>
              <w:spacing w:before="20" w:after="20" w:line="240" w:lineRule="auto"/>
              <w:jc w:val="center"/>
              <w:rPr>
                <w:rFonts w:cs="宋体"/>
                <w:sz w:val="15"/>
                <w:szCs w:val="20"/>
              </w:rPr>
            </w:pPr>
            <w:r>
              <w:rPr>
                <w:rFonts w:cs="宋体"/>
                <w:sz w:val="15"/>
                <w:szCs w:val="20"/>
              </w:rPr>
              <w:t>Ⅰ−A</w:t>
            </w:r>
          </w:p>
        </w:tc>
        <w:tc>
          <w:tcPr>
            <w:tcW w:w="1760" w:type="dxa"/>
            <w:vAlign w:val="center"/>
          </w:tcPr>
          <w:p w14:paraId="5B40131A">
            <w:pPr>
              <w:snapToGrid w:val="0"/>
              <w:spacing w:before="20" w:after="20" w:line="240" w:lineRule="auto"/>
              <w:jc w:val="center"/>
              <w:rPr>
                <w:rFonts w:cs="宋体"/>
                <w:sz w:val="15"/>
                <w:szCs w:val="20"/>
              </w:rPr>
            </w:pPr>
            <w:r>
              <w:rPr>
                <w:rFonts w:cs="宋体"/>
                <w:sz w:val="15"/>
                <w:szCs w:val="20"/>
              </w:rPr>
              <w:t>洞内干燥环境</w:t>
            </w:r>
          </w:p>
        </w:tc>
        <w:tc>
          <w:tcPr>
            <w:tcW w:w="2830" w:type="dxa"/>
            <w:tcBorders>
              <w:right w:val="single" w:color="000000" w:sz="6" w:space="0"/>
            </w:tcBorders>
            <w:vAlign w:val="center"/>
          </w:tcPr>
          <w:p w14:paraId="4429AB14">
            <w:pPr>
              <w:snapToGrid w:val="0"/>
              <w:spacing w:before="20" w:after="20" w:line="240" w:lineRule="auto"/>
              <w:jc w:val="center"/>
              <w:rPr>
                <w:rFonts w:cs="宋体"/>
                <w:sz w:val="15"/>
                <w:szCs w:val="20"/>
              </w:rPr>
            </w:pPr>
            <w:r>
              <w:rPr>
                <w:rFonts w:cs="宋体"/>
                <w:sz w:val="15"/>
                <w:szCs w:val="20"/>
              </w:rPr>
              <w:t>常年干燥、低湿度环境中室内构件，包括中楼板、中间立柱、中间隔墙、站台板、内部楼梯等</w:t>
            </w:r>
          </w:p>
        </w:tc>
      </w:tr>
      <w:tr w14:paraId="5ADBC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8" w:hRule="atLeast"/>
          <w:jc w:val="center"/>
        </w:trPr>
        <w:tc>
          <w:tcPr>
            <w:tcW w:w="542" w:type="dxa"/>
            <w:vMerge w:val="continue"/>
            <w:tcBorders>
              <w:top w:val="nil"/>
              <w:left w:val="single" w:color="000000" w:sz="6" w:space="0"/>
              <w:bottom w:val="nil"/>
            </w:tcBorders>
            <w:vAlign w:val="center"/>
          </w:tcPr>
          <w:p w14:paraId="295D7A32">
            <w:pPr>
              <w:snapToGrid w:val="0"/>
              <w:spacing w:before="20" w:after="20" w:line="240" w:lineRule="auto"/>
              <w:jc w:val="center"/>
              <w:rPr>
                <w:rFonts w:cs="宋体"/>
                <w:sz w:val="15"/>
                <w:szCs w:val="20"/>
              </w:rPr>
            </w:pPr>
          </w:p>
        </w:tc>
        <w:tc>
          <w:tcPr>
            <w:tcW w:w="592" w:type="dxa"/>
            <w:vMerge w:val="continue"/>
            <w:tcBorders>
              <w:top w:val="nil"/>
              <w:bottom w:val="nil"/>
            </w:tcBorders>
            <w:vAlign w:val="center"/>
          </w:tcPr>
          <w:p w14:paraId="02259002">
            <w:pPr>
              <w:snapToGrid w:val="0"/>
              <w:spacing w:before="20" w:after="20" w:line="240" w:lineRule="auto"/>
              <w:jc w:val="center"/>
              <w:rPr>
                <w:rFonts w:cs="宋体"/>
                <w:sz w:val="15"/>
                <w:szCs w:val="20"/>
              </w:rPr>
            </w:pPr>
          </w:p>
        </w:tc>
        <w:tc>
          <w:tcPr>
            <w:tcW w:w="616" w:type="dxa"/>
            <w:vMerge w:val="restart"/>
            <w:tcBorders>
              <w:bottom w:val="nil"/>
            </w:tcBorders>
            <w:vAlign w:val="center"/>
          </w:tcPr>
          <w:p w14:paraId="761246E9">
            <w:pPr>
              <w:snapToGrid w:val="0"/>
              <w:spacing w:before="20" w:after="20" w:line="240" w:lineRule="auto"/>
              <w:jc w:val="center"/>
              <w:rPr>
                <w:rFonts w:cs="宋体"/>
                <w:sz w:val="15"/>
                <w:szCs w:val="20"/>
              </w:rPr>
            </w:pPr>
          </w:p>
          <w:p w14:paraId="36373C9A">
            <w:pPr>
              <w:snapToGrid w:val="0"/>
              <w:spacing w:before="20" w:after="20" w:line="240" w:lineRule="auto"/>
              <w:jc w:val="center"/>
              <w:rPr>
                <w:rFonts w:cs="宋体"/>
                <w:sz w:val="15"/>
                <w:szCs w:val="20"/>
              </w:rPr>
            </w:pPr>
            <w:r>
              <w:rPr>
                <w:rFonts w:cs="宋体"/>
                <w:sz w:val="15"/>
                <w:szCs w:val="20"/>
              </w:rPr>
              <w:t>Ⅰ−B</w:t>
            </w:r>
          </w:p>
        </w:tc>
        <w:tc>
          <w:tcPr>
            <w:tcW w:w="1760" w:type="dxa"/>
            <w:vAlign w:val="center"/>
          </w:tcPr>
          <w:p w14:paraId="001CB658">
            <w:pPr>
              <w:snapToGrid w:val="0"/>
              <w:spacing w:before="20" w:after="20" w:line="240" w:lineRule="auto"/>
              <w:jc w:val="center"/>
              <w:rPr>
                <w:rFonts w:cs="宋体"/>
                <w:sz w:val="15"/>
                <w:szCs w:val="20"/>
              </w:rPr>
            </w:pPr>
            <w:r>
              <w:rPr>
                <w:rFonts w:cs="宋体"/>
                <w:sz w:val="15"/>
                <w:szCs w:val="20"/>
              </w:rPr>
              <w:t>洞内潮湿环境</w:t>
            </w:r>
          </w:p>
        </w:tc>
        <w:tc>
          <w:tcPr>
            <w:tcW w:w="2830" w:type="dxa"/>
            <w:tcBorders>
              <w:right w:val="single" w:color="000000" w:sz="6" w:space="0"/>
            </w:tcBorders>
            <w:vAlign w:val="center"/>
          </w:tcPr>
          <w:p w14:paraId="688BEBA3">
            <w:pPr>
              <w:snapToGrid w:val="0"/>
              <w:spacing w:before="20" w:after="20" w:line="240" w:lineRule="auto"/>
              <w:jc w:val="center"/>
              <w:rPr>
                <w:rFonts w:cs="宋体"/>
                <w:sz w:val="15"/>
                <w:szCs w:val="20"/>
              </w:rPr>
            </w:pPr>
            <w:r>
              <w:rPr>
                <w:rFonts w:cs="宋体"/>
                <w:sz w:val="15"/>
                <w:szCs w:val="20"/>
              </w:rPr>
              <w:t>顶板、底板、侧墙等构件的背土侧</w:t>
            </w:r>
          </w:p>
        </w:tc>
      </w:tr>
      <w:tr w14:paraId="16BF1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9" w:hRule="atLeast"/>
          <w:jc w:val="center"/>
        </w:trPr>
        <w:tc>
          <w:tcPr>
            <w:tcW w:w="542" w:type="dxa"/>
            <w:vMerge w:val="continue"/>
            <w:tcBorders>
              <w:top w:val="nil"/>
              <w:left w:val="single" w:color="000000" w:sz="6" w:space="0"/>
              <w:bottom w:val="nil"/>
            </w:tcBorders>
            <w:vAlign w:val="center"/>
          </w:tcPr>
          <w:p w14:paraId="3CD68996">
            <w:pPr>
              <w:snapToGrid w:val="0"/>
              <w:spacing w:before="20" w:after="20" w:line="240" w:lineRule="auto"/>
              <w:jc w:val="center"/>
              <w:rPr>
                <w:rFonts w:cs="宋体"/>
                <w:sz w:val="15"/>
                <w:szCs w:val="20"/>
              </w:rPr>
            </w:pPr>
          </w:p>
        </w:tc>
        <w:tc>
          <w:tcPr>
            <w:tcW w:w="592" w:type="dxa"/>
            <w:vMerge w:val="continue"/>
            <w:tcBorders>
              <w:top w:val="nil"/>
              <w:bottom w:val="nil"/>
            </w:tcBorders>
            <w:vAlign w:val="center"/>
          </w:tcPr>
          <w:p w14:paraId="0D690EFF">
            <w:pPr>
              <w:snapToGrid w:val="0"/>
              <w:spacing w:before="20" w:after="20" w:line="240" w:lineRule="auto"/>
              <w:jc w:val="center"/>
              <w:rPr>
                <w:rFonts w:cs="宋体"/>
                <w:sz w:val="15"/>
                <w:szCs w:val="20"/>
              </w:rPr>
            </w:pPr>
          </w:p>
        </w:tc>
        <w:tc>
          <w:tcPr>
            <w:tcW w:w="616" w:type="dxa"/>
            <w:vMerge w:val="continue"/>
            <w:tcBorders>
              <w:top w:val="nil"/>
            </w:tcBorders>
            <w:vAlign w:val="center"/>
          </w:tcPr>
          <w:p w14:paraId="1270F567">
            <w:pPr>
              <w:snapToGrid w:val="0"/>
              <w:spacing w:before="20" w:after="20" w:line="240" w:lineRule="auto"/>
              <w:jc w:val="center"/>
              <w:rPr>
                <w:rFonts w:cs="宋体"/>
                <w:sz w:val="15"/>
                <w:szCs w:val="20"/>
              </w:rPr>
            </w:pPr>
          </w:p>
        </w:tc>
        <w:tc>
          <w:tcPr>
            <w:tcW w:w="1760" w:type="dxa"/>
            <w:vAlign w:val="center"/>
          </w:tcPr>
          <w:p w14:paraId="12831CB4">
            <w:pPr>
              <w:snapToGrid w:val="0"/>
              <w:spacing w:before="20" w:after="20" w:line="240" w:lineRule="auto"/>
              <w:jc w:val="center"/>
              <w:rPr>
                <w:rFonts w:cs="宋体"/>
                <w:sz w:val="15"/>
                <w:szCs w:val="20"/>
              </w:rPr>
            </w:pPr>
            <w:r>
              <w:rPr>
                <w:rFonts w:cs="宋体"/>
                <w:sz w:val="15"/>
                <w:szCs w:val="20"/>
              </w:rPr>
              <w:t>长期湿润环境</w:t>
            </w:r>
          </w:p>
        </w:tc>
        <w:tc>
          <w:tcPr>
            <w:tcW w:w="2830" w:type="dxa"/>
            <w:tcBorders>
              <w:right w:val="single" w:color="000000" w:sz="6" w:space="0"/>
            </w:tcBorders>
            <w:vAlign w:val="center"/>
          </w:tcPr>
          <w:p w14:paraId="4AF0E647">
            <w:pPr>
              <w:snapToGrid w:val="0"/>
              <w:spacing w:before="20" w:after="20" w:line="240" w:lineRule="auto"/>
              <w:jc w:val="center"/>
              <w:rPr>
                <w:rFonts w:cs="宋体"/>
                <w:sz w:val="15"/>
                <w:szCs w:val="20"/>
              </w:rPr>
            </w:pPr>
            <w:r>
              <w:rPr>
                <w:rFonts w:cs="宋体"/>
                <w:sz w:val="15"/>
                <w:szCs w:val="20"/>
              </w:rPr>
              <w:t>长期与水或湿润土体接触的构件，指顶板、底板、侧墙等构件的迎土侧</w:t>
            </w:r>
          </w:p>
        </w:tc>
      </w:tr>
      <w:tr w14:paraId="1D39D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29" w:hRule="atLeast"/>
          <w:jc w:val="center"/>
        </w:trPr>
        <w:tc>
          <w:tcPr>
            <w:tcW w:w="542" w:type="dxa"/>
            <w:vMerge w:val="continue"/>
            <w:tcBorders>
              <w:top w:val="nil"/>
              <w:left w:val="single" w:color="000000" w:sz="6" w:space="0"/>
            </w:tcBorders>
            <w:vAlign w:val="center"/>
          </w:tcPr>
          <w:p w14:paraId="3BE8C39C">
            <w:pPr>
              <w:snapToGrid w:val="0"/>
              <w:spacing w:before="20" w:after="20" w:line="240" w:lineRule="auto"/>
              <w:jc w:val="center"/>
              <w:rPr>
                <w:rFonts w:cs="宋体"/>
                <w:sz w:val="15"/>
                <w:szCs w:val="20"/>
              </w:rPr>
            </w:pPr>
          </w:p>
        </w:tc>
        <w:tc>
          <w:tcPr>
            <w:tcW w:w="592" w:type="dxa"/>
            <w:vMerge w:val="continue"/>
            <w:tcBorders>
              <w:top w:val="nil"/>
            </w:tcBorders>
            <w:vAlign w:val="center"/>
          </w:tcPr>
          <w:p w14:paraId="6BA4FC3B">
            <w:pPr>
              <w:snapToGrid w:val="0"/>
              <w:spacing w:before="20" w:after="20" w:line="240" w:lineRule="auto"/>
              <w:jc w:val="center"/>
              <w:rPr>
                <w:rFonts w:cs="宋体"/>
                <w:sz w:val="15"/>
                <w:szCs w:val="20"/>
              </w:rPr>
            </w:pPr>
          </w:p>
        </w:tc>
        <w:tc>
          <w:tcPr>
            <w:tcW w:w="616" w:type="dxa"/>
            <w:vAlign w:val="center"/>
          </w:tcPr>
          <w:p w14:paraId="336D44FE">
            <w:pPr>
              <w:snapToGrid w:val="0"/>
              <w:spacing w:before="20" w:after="20" w:line="240" w:lineRule="auto"/>
              <w:jc w:val="center"/>
              <w:rPr>
                <w:rFonts w:cs="宋体"/>
                <w:sz w:val="15"/>
                <w:szCs w:val="20"/>
              </w:rPr>
            </w:pPr>
            <w:r>
              <w:rPr>
                <w:rFonts w:cs="宋体"/>
                <w:sz w:val="15"/>
                <w:szCs w:val="20"/>
              </w:rPr>
              <w:t>Ⅰ−C</w:t>
            </w:r>
          </w:p>
        </w:tc>
        <w:tc>
          <w:tcPr>
            <w:tcW w:w="1760" w:type="dxa"/>
            <w:vAlign w:val="center"/>
          </w:tcPr>
          <w:p w14:paraId="01FC8AEF">
            <w:pPr>
              <w:snapToGrid w:val="0"/>
              <w:spacing w:before="20" w:after="20" w:line="240" w:lineRule="auto"/>
              <w:jc w:val="center"/>
              <w:rPr>
                <w:rFonts w:cs="宋体"/>
                <w:sz w:val="15"/>
                <w:szCs w:val="20"/>
              </w:rPr>
            </w:pPr>
          </w:p>
          <w:p w14:paraId="506AB150">
            <w:pPr>
              <w:snapToGrid w:val="0"/>
              <w:spacing w:before="20" w:after="20" w:line="240" w:lineRule="auto"/>
              <w:jc w:val="center"/>
              <w:rPr>
                <w:rFonts w:cs="宋体"/>
                <w:sz w:val="15"/>
                <w:szCs w:val="20"/>
              </w:rPr>
            </w:pPr>
            <w:r>
              <w:rPr>
                <w:rFonts w:cs="宋体"/>
                <w:sz w:val="15"/>
                <w:szCs w:val="20"/>
              </w:rPr>
              <w:t>干湿交替环境</w:t>
            </w:r>
          </w:p>
        </w:tc>
        <w:tc>
          <w:tcPr>
            <w:tcW w:w="2830" w:type="dxa"/>
            <w:tcBorders>
              <w:right w:val="single" w:color="000000" w:sz="6" w:space="0"/>
            </w:tcBorders>
            <w:vAlign w:val="center"/>
          </w:tcPr>
          <w:p w14:paraId="282136A3">
            <w:pPr>
              <w:snapToGrid w:val="0"/>
              <w:spacing w:before="20" w:after="20" w:line="240" w:lineRule="auto"/>
              <w:jc w:val="center"/>
              <w:rPr>
                <w:rFonts w:cs="宋体"/>
                <w:sz w:val="15"/>
                <w:szCs w:val="20"/>
              </w:rPr>
            </w:pPr>
            <w:r>
              <w:rPr>
                <w:rFonts w:cs="宋体"/>
                <w:sz w:val="15"/>
                <w:szCs w:val="20"/>
              </w:rPr>
              <w:t>处于地下水位变动区，且壁厚小于300mm的构件。例如：壁厚小于300mm的矿山法隧道，出地面段顶板、侧墙、底板等构件</w:t>
            </w:r>
          </w:p>
        </w:tc>
      </w:tr>
      <w:tr w14:paraId="386DB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4" w:hRule="atLeast"/>
          <w:jc w:val="center"/>
        </w:trPr>
        <w:tc>
          <w:tcPr>
            <w:tcW w:w="542" w:type="dxa"/>
            <w:tcBorders>
              <w:left w:val="single" w:color="000000" w:sz="6" w:space="0"/>
            </w:tcBorders>
            <w:vAlign w:val="center"/>
          </w:tcPr>
          <w:p w14:paraId="4FEA2935">
            <w:pPr>
              <w:snapToGrid w:val="0"/>
              <w:spacing w:before="20" w:after="20" w:line="240" w:lineRule="auto"/>
              <w:jc w:val="center"/>
              <w:rPr>
                <w:rFonts w:cs="宋体"/>
                <w:sz w:val="15"/>
                <w:szCs w:val="20"/>
              </w:rPr>
            </w:pPr>
            <w:r>
              <w:rPr>
                <w:rFonts w:cs="宋体"/>
                <w:sz w:val="15"/>
                <w:szCs w:val="20"/>
              </w:rPr>
              <w:t>Ⅱ</w:t>
            </w:r>
          </w:p>
        </w:tc>
        <w:tc>
          <w:tcPr>
            <w:tcW w:w="592" w:type="dxa"/>
            <w:vAlign w:val="center"/>
          </w:tcPr>
          <w:p w14:paraId="653BB63C">
            <w:pPr>
              <w:snapToGrid w:val="0"/>
              <w:spacing w:before="20" w:after="20" w:line="240" w:lineRule="auto"/>
              <w:jc w:val="center"/>
              <w:rPr>
                <w:rFonts w:cs="宋体"/>
                <w:sz w:val="15"/>
                <w:szCs w:val="20"/>
              </w:rPr>
            </w:pPr>
            <w:r>
              <w:rPr>
                <w:rFonts w:cs="宋体"/>
                <w:sz w:val="15"/>
                <w:szCs w:val="20"/>
              </w:rPr>
              <w:t>冻融环境</w:t>
            </w:r>
          </w:p>
        </w:tc>
        <w:tc>
          <w:tcPr>
            <w:tcW w:w="616" w:type="dxa"/>
            <w:vAlign w:val="center"/>
          </w:tcPr>
          <w:p w14:paraId="3ECB0FC9">
            <w:pPr>
              <w:snapToGrid w:val="0"/>
              <w:spacing w:before="20" w:after="20" w:line="240" w:lineRule="auto"/>
              <w:jc w:val="center"/>
              <w:rPr>
                <w:rFonts w:cs="宋体"/>
                <w:sz w:val="15"/>
                <w:szCs w:val="20"/>
              </w:rPr>
            </w:pPr>
            <w:r>
              <w:rPr>
                <w:rFonts w:cs="宋体"/>
                <w:sz w:val="15"/>
                <w:szCs w:val="20"/>
              </w:rPr>
              <w:t>Ⅱ−C</w:t>
            </w:r>
          </w:p>
        </w:tc>
        <w:tc>
          <w:tcPr>
            <w:tcW w:w="1760" w:type="dxa"/>
            <w:vAlign w:val="center"/>
          </w:tcPr>
          <w:p w14:paraId="0F2972C1">
            <w:pPr>
              <w:snapToGrid w:val="0"/>
              <w:spacing w:before="20" w:after="20" w:line="240" w:lineRule="auto"/>
              <w:jc w:val="center"/>
              <w:rPr>
                <w:rFonts w:cs="宋体"/>
                <w:sz w:val="15"/>
                <w:szCs w:val="20"/>
              </w:rPr>
            </w:pPr>
            <w:r>
              <w:rPr>
                <w:rFonts w:cs="宋体"/>
                <w:sz w:val="15"/>
                <w:szCs w:val="20"/>
              </w:rPr>
              <w:t>无盐环境，混凝土中度饱水</w:t>
            </w:r>
          </w:p>
        </w:tc>
        <w:tc>
          <w:tcPr>
            <w:tcW w:w="2830" w:type="dxa"/>
            <w:tcBorders>
              <w:right w:val="single" w:color="000000" w:sz="6" w:space="0"/>
            </w:tcBorders>
            <w:vAlign w:val="center"/>
          </w:tcPr>
          <w:p w14:paraId="44241CB2">
            <w:pPr>
              <w:snapToGrid w:val="0"/>
              <w:spacing w:before="20" w:after="20" w:line="240" w:lineRule="auto"/>
              <w:jc w:val="center"/>
              <w:rPr>
                <w:rFonts w:cs="宋体"/>
                <w:sz w:val="15"/>
                <w:szCs w:val="20"/>
              </w:rPr>
            </w:pPr>
            <w:r>
              <w:rPr>
                <w:rFonts w:cs="宋体"/>
                <w:sz w:val="15"/>
                <w:szCs w:val="20"/>
              </w:rPr>
              <w:t>处于0.8m冰冻线以上的顶板、侧墙、底板等构件</w:t>
            </w:r>
          </w:p>
        </w:tc>
      </w:tr>
      <w:tr w14:paraId="09875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4" w:hRule="atLeast"/>
          <w:jc w:val="center"/>
        </w:trPr>
        <w:tc>
          <w:tcPr>
            <w:tcW w:w="542" w:type="dxa"/>
            <w:vMerge w:val="restart"/>
            <w:tcBorders>
              <w:left w:val="single" w:color="000000" w:sz="6" w:space="0"/>
              <w:bottom w:val="nil"/>
            </w:tcBorders>
            <w:vAlign w:val="center"/>
          </w:tcPr>
          <w:p w14:paraId="6401098D">
            <w:pPr>
              <w:snapToGrid w:val="0"/>
              <w:spacing w:before="20" w:after="20" w:line="240" w:lineRule="auto"/>
              <w:jc w:val="center"/>
              <w:rPr>
                <w:rFonts w:cs="宋体"/>
                <w:sz w:val="15"/>
                <w:szCs w:val="20"/>
              </w:rPr>
            </w:pPr>
          </w:p>
          <w:p w14:paraId="16D84742">
            <w:pPr>
              <w:snapToGrid w:val="0"/>
              <w:spacing w:before="20" w:after="20" w:line="240" w:lineRule="auto"/>
              <w:jc w:val="center"/>
              <w:rPr>
                <w:rFonts w:cs="宋体"/>
                <w:sz w:val="15"/>
                <w:szCs w:val="20"/>
              </w:rPr>
            </w:pPr>
            <w:r>
              <w:rPr>
                <w:rFonts w:cs="宋体"/>
                <w:sz w:val="15"/>
                <w:szCs w:val="20"/>
              </w:rPr>
              <w:t>Ⅳ</w:t>
            </w:r>
          </w:p>
        </w:tc>
        <w:tc>
          <w:tcPr>
            <w:tcW w:w="592" w:type="dxa"/>
            <w:vMerge w:val="restart"/>
            <w:tcBorders>
              <w:bottom w:val="nil"/>
            </w:tcBorders>
            <w:vAlign w:val="center"/>
          </w:tcPr>
          <w:p w14:paraId="02326B13">
            <w:pPr>
              <w:snapToGrid w:val="0"/>
              <w:spacing w:before="20" w:after="20" w:line="240" w:lineRule="auto"/>
              <w:jc w:val="center"/>
              <w:rPr>
                <w:rFonts w:cs="宋体"/>
                <w:sz w:val="15"/>
                <w:szCs w:val="20"/>
              </w:rPr>
            </w:pPr>
          </w:p>
          <w:p w14:paraId="63425EF0">
            <w:pPr>
              <w:snapToGrid w:val="0"/>
              <w:spacing w:before="20" w:after="20" w:line="240" w:lineRule="auto"/>
              <w:jc w:val="center"/>
              <w:rPr>
                <w:rFonts w:cs="宋体"/>
                <w:sz w:val="15"/>
                <w:szCs w:val="20"/>
              </w:rPr>
            </w:pPr>
            <w:r>
              <w:rPr>
                <w:rFonts w:cs="宋体"/>
                <w:sz w:val="15"/>
                <w:szCs w:val="20"/>
              </w:rPr>
              <w:t>氯化物环境</w:t>
            </w:r>
          </w:p>
        </w:tc>
        <w:tc>
          <w:tcPr>
            <w:tcW w:w="616" w:type="dxa"/>
            <w:vMerge w:val="restart"/>
            <w:tcBorders>
              <w:bottom w:val="nil"/>
            </w:tcBorders>
            <w:vAlign w:val="center"/>
          </w:tcPr>
          <w:p w14:paraId="04410F62">
            <w:pPr>
              <w:snapToGrid w:val="0"/>
              <w:spacing w:before="20" w:after="20" w:line="240" w:lineRule="auto"/>
              <w:jc w:val="center"/>
              <w:rPr>
                <w:rFonts w:cs="宋体"/>
                <w:sz w:val="15"/>
                <w:szCs w:val="20"/>
              </w:rPr>
            </w:pPr>
            <w:r>
              <w:rPr>
                <w:rFonts w:cs="宋体"/>
                <w:sz w:val="15"/>
                <w:szCs w:val="20"/>
              </w:rPr>
              <w:t>Ⅳ−C</w:t>
            </w:r>
          </w:p>
        </w:tc>
        <w:tc>
          <w:tcPr>
            <w:tcW w:w="1760" w:type="dxa"/>
            <w:vAlign w:val="center"/>
          </w:tcPr>
          <w:p w14:paraId="4EF7E630">
            <w:pPr>
              <w:snapToGrid w:val="0"/>
              <w:spacing w:before="20" w:after="20" w:line="240" w:lineRule="auto"/>
              <w:jc w:val="center"/>
              <w:rPr>
                <w:rFonts w:cs="宋体"/>
                <w:sz w:val="15"/>
                <w:szCs w:val="20"/>
              </w:rPr>
            </w:pPr>
            <w:r>
              <w:rPr>
                <w:rFonts w:cs="宋体"/>
                <w:sz w:val="15"/>
                <w:szCs w:val="20"/>
              </w:rPr>
              <w:t>四周浸没于含氯化物的水土</w:t>
            </w:r>
          </w:p>
        </w:tc>
        <w:tc>
          <w:tcPr>
            <w:tcW w:w="2830" w:type="dxa"/>
            <w:tcBorders>
              <w:right w:val="single" w:color="000000" w:sz="6" w:space="0"/>
            </w:tcBorders>
            <w:vAlign w:val="center"/>
          </w:tcPr>
          <w:p w14:paraId="17469323">
            <w:pPr>
              <w:snapToGrid w:val="0"/>
              <w:spacing w:before="20" w:after="20" w:line="240" w:lineRule="auto"/>
              <w:jc w:val="center"/>
              <w:rPr>
                <w:rFonts w:cs="宋体"/>
                <w:sz w:val="15"/>
                <w:szCs w:val="20"/>
              </w:rPr>
            </w:pPr>
            <w:r>
              <w:rPr>
                <w:rFonts w:cs="宋体"/>
                <w:sz w:val="15"/>
                <w:szCs w:val="20"/>
              </w:rPr>
              <w:t>与地下水、土接触的构件</w:t>
            </w:r>
          </w:p>
        </w:tc>
      </w:tr>
      <w:tr w14:paraId="03824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5" w:hRule="atLeast"/>
          <w:jc w:val="center"/>
        </w:trPr>
        <w:tc>
          <w:tcPr>
            <w:tcW w:w="542" w:type="dxa"/>
            <w:vMerge w:val="continue"/>
            <w:tcBorders>
              <w:top w:val="nil"/>
              <w:left w:val="single" w:color="000000" w:sz="6" w:space="0"/>
              <w:bottom w:val="nil"/>
            </w:tcBorders>
            <w:vAlign w:val="center"/>
          </w:tcPr>
          <w:p w14:paraId="27D76596">
            <w:pPr>
              <w:snapToGrid w:val="0"/>
              <w:spacing w:before="20" w:after="20" w:line="240" w:lineRule="auto"/>
              <w:jc w:val="center"/>
              <w:rPr>
                <w:rFonts w:cs="宋体"/>
                <w:sz w:val="15"/>
                <w:szCs w:val="20"/>
              </w:rPr>
            </w:pPr>
          </w:p>
        </w:tc>
        <w:tc>
          <w:tcPr>
            <w:tcW w:w="592" w:type="dxa"/>
            <w:vMerge w:val="continue"/>
            <w:tcBorders>
              <w:top w:val="nil"/>
              <w:bottom w:val="nil"/>
            </w:tcBorders>
            <w:vAlign w:val="center"/>
          </w:tcPr>
          <w:p w14:paraId="0D61015D">
            <w:pPr>
              <w:snapToGrid w:val="0"/>
              <w:spacing w:before="20" w:after="20" w:line="240" w:lineRule="auto"/>
              <w:jc w:val="center"/>
              <w:rPr>
                <w:rFonts w:cs="宋体"/>
                <w:sz w:val="15"/>
                <w:szCs w:val="20"/>
              </w:rPr>
            </w:pPr>
          </w:p>
        </w:tc>
        <w:tc>
          <w:tcPr>
            <w:tcW w:w="616" w:type="dxa"/>
            <w:vMerge w:val="continue"/>
            <w:tcBorders>
              <w:top w:val="nil"/>
            </w:tcBorders>
            <w:vAlign w:val="center"/>
          </w:tcPr>
          <w:p w14:paraId="5D7E0667">
            <w:pPr>
              <w:snapToGrid w:val="0"/>
              <w:spacing w:before="20" w:after="20" w:line="240" w:lineRule="auto"/>
              <w:jc w:val="center"/>
              <w:rPr>
                <w:rFonts w:cs="宋体"/>
                <w:sz w:val="15"/>
                <w:szCs w:val="20"/>
              </w:rPr>
            </w:pPr>
          </w:p>
        </w:tc>
        <w:tc>
          <w:tcPr>
            <w:tcW w:w="1760" w:type="dxa"/>
            <w:vAlign w:val="center"/>
          </w:tcPr>
          <w:p w14:paraId="46C89168">
            <w:pPr>
              <w:snapToGrid w:val="0"/>
              <w:spacing w:before="20" w:after="20" w:line="240" w:lineRule="auto"/>
              <w:jc w:val="center"/>
              <w:rPr>
                <w:rFonts w:cs="宋体"/>
                <w:sz w:val="15"/>
                <w:szCs w:val="20"/>
              </w:rPr>
            </w:pPr>
            <w:r>
              <w:rPr>
                <w:rFonts w:cs="宋体"/>
                <w:sz w:val="15"/>
                <w:szCs w:val="20"/>
              </w:rPr>
              <w:t>接触较低浓度氯离子水体、且有干湿交替</w:t>
            </w:r>
          </w:p>
        </w:tc>
        <w:tc>
          <w:tcPr>
            <w:tcW w:w="2830" w:type="dxa"/>
            <w:tcBorders>
              <w:right w:val="single" w:color="000000" w:sz="6" w:space="0"/>
            </w:tcBorders>
            <w:vAlign w:val="center"/>
          </w:tcPr>
          <w:p w14:paraId="177F2384">
            <w:pPr>
              <w:snapToGrid w:val="0"/>
              <w:spacing w:before="20" w:after="20" w:line="240" w:lineRule="auto"/>
              <w:jc w:val="center"/>
              <w:rPr>
                <w:rFonts w:cs="宋体"/>
                <w:sz w:val="15"/>
                <w:szCs w:val="20"/>
              </w:rPr>
            </w:pPr>
            <w:r>
              <w:rPr>
                <w:rFonts w:cs="宋体"/>
                <w:sz w:val="15"/>
                <w:szCs w:val="20"/>
              </w:rPr>
              <w:t>处于地下水位变动区，与地下水、土接触的构件</w:t>
            </w:r>
          </w:p>
        </w:tc>
      </w:tr>
      <w:tr w14:paraId="4154B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4" w:hRule="atLeast"/>
          <w:jc w:val="center"/>
        </w:trPr>
        <w:tc>
          <w:tcPr>
            <w:tcW w:w="542" w:type="dxa"/>
            <w:vMerge w:val="continue"/>
            <w:tcBorders>
              <w:top w:val="nil"/>
              <w:left w:val="single" w:color="000000" w:sz="6" w:space="0"/>
              <w:bottom w:val="nil"/>
            </w:tcBorders>
            <w:vAlign w:val="center"/>
          </w:tcPr>
          <w:p w14:paraId="37B276A8">
            <w:pPr>
              <w:snapToGrid w:val="0"/>
              <w:spacing w:before="20" w:after="20" w:line="240" w:lineRule="auto"/>
              <w:jc w:val="center"/>
              <w:rPr>
                <w:rFonts w:cs="宋体"/>
                <w:sz w:val="15"/>
                <w:szCs w:val="20"/>
              </w:rPr>
            </w:pPr>
          </w:p>
        </w:tc>
        <w:tc>
          <w:tcPr>
            <w:tcW w:w="592" w:type="dxa"/>
            <w:vMerge w:val="continue"/>
            <w:tcBorders>
              <w:top w:val="nil"/>
              <w:bottom w:val="nil"/>
            </w:tcBorders>
            <w:vAlign w:val="center"/>
          </w:tcPr>
          <w:p w14:paraId="547ED55C">
            <w:pPr>
              <w:snapToGrid w:val="0"/>
              <w:spacing w:before="20" w:after="20" w:line="240" w:lineRule="auto"/>
              <w:jc w:val="center"/>
              <w:rPr>
                <w:rFonts w:cs="宋体"/>
                <w:sz w:val="15"/>
                <w:szCs w:val="20"/>
              </w:rPr>
            </w:pPr>
          </w:p>
        </w:tc>
        <w:tc>
          <w:tcPr>
            <w:tcW w:w="616" w:type="dxa"/>
            <w:vAlign w:val="center"/>
          </w:tcPr>
          <w:p w14:paraId="20CC0B75">
            <w:pPr>
              <w:snapToGrid w:val="0"/>
              <w:spacing w:before="20" w:after="20" w:line="240" w:lineRule="auto"/>
              <w:jc w:val="center"/>
              <w:rPr>
                <w:rFonts w:cs="宋体"/>
                <w:sz w:val="15"/>
                <w:szCs w:val="20"/>
              </w:rPr>
            </w:pPr>
            <w:r>
              <w:rPr>
                <w:rFonts w:cs="宋体"/>
                <w:sz w:val="15"/>
                <w:szCs w:val="20"/>
              </w:rPr>
              <w:t>Ⅳ−D</w:t>
            </w:r>
          </w:p>
        </w:tc>
        <w:tc>
          <w:tcPr>
            <w:tcW w:w="1760" w:type="dxa"/>
            <w:vAlign w:val="center"/>
          </w:tcPr>
          <w:p w14:paraId="4EE04399">
            <w:pPr>
              <w:snapToGrid w:val="0"/>
              <w:spacing w:before="20" w:after="20" w:line="240" w:lineRule="auto"/>
              <w:jc w:val="center"/>
              <w:rPr>
                <w:rFonts w:cs="宋体"/>
                <w:sz w:val="15"/>
                <w:szCs w:val="20"/>
              </w:rPr>
            </w:pPr>
            <w:r>
              <w:rPr>
                <w:rFonts w:cs="宋体"/>
                <w:sz w:val="15"/>
                <w:szCs w:val="20"/>
              </w:rPr>
              <w:t>接触较高浓度氯离子水体、且有干湿交替</w:t>
            </w:r>
          </w:p>
        </w:tc>
        <w:tc>
          <w:tcPr>
            <w:tcW w:w="2830" w:type="dxa"/>
            <w:tcBorders>
              <w:right w:val="single" w:color="000000" w:sz="6" w:space="0"/>
            </w:tcBorders>
            <w:vAlign w:val="center"/>
          </w:tcPr>
          <w:p w14:paraId="0C8E11FD">
            <w:pPr>
              <w:snapToGrid w:val="0"/>
              <w:spacing w:before="20" w:after="20" w:line="240" w:lineRule="auto"/>
              <w:jc w:val="center"/>
              <w:rPr>
                <w:rFonts w:cs="宋体"/>
                <w:sz w:val="15"/>
                <w:szCs w:val="20"/>
              </w:rPr>
            </w:pPr>
            <w:r>
              <w:rPr>
                <w:rFonts w:cs="宋体"/>
                <w:sz w:val="15"/>
                <w:szCs w:val="20"/>
              </w:rPr>
              <w:t>处于地下水位变动区，与地下水、土接触的构件</w:t>
            </w:r>
          </w:p>
        </w:tc>
      </w:tr>
      <w:tr w14:paraId="196A7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4" w:hRule="atLeast"/>
          <w:jc w:val="center"/>
        </w:trPr>
        <w:tc>
          <w:tcPr>
            <w:tcW w:w="542" w:type="dxa"/>
            <w:vMerge w:val="continue"/>
            <w:tcBorders>
              <w:top w:val="nil"/>
              <w:left w:val="single" w:color="000000" w:sz="6" w:space="0"/>
            </w:tcBorders>
            <w:vAlign w:val="center"/>
          </w:tcPr>
          <w:p w14:paraId="6ACB81D1">
            <w:pPr>
              <w:snapToGrid w:val="0"/>
              <w:spacing w:before="20" w:after="20" w:line="240" w:lineRule="auto"/>
              <w:jc w:val="center"/>
              <w:rPr>
                <w:rFonts w:cs="宋体"/>
                <w:sz w:val="15"/>
                <w:szCs w:val="20"/>
              </w:rPr>
            </w:pPr>
          </w:p>
        </w:tc>
        <w:tc>
          <w:tcPr>
            <w:tcW w:w="592" w:type="dxa"/>
            <w:vMerge w:val="continue"/>
            <w:tcBorders>
              <w:top w:val="nil"/>
            </w:tcBorders>
            <w:vAlign w:val="center"/>
          </w:tcPr>
          <w:p w14:paraId="1C40320E">
            <w:pPr>
              <w:snapToGrid w:val="0"/>
              <w:spacing w:before="20" w:after="20" w:line="240" w:lineRule="auto"/>
              <w:jc w:val="center"/>
              <w:rPr>
                <w:rFonts w:cs="宋体"/>
                <w:sz w:val="15"/>
                <w:szCs w:val="20"/>
              </w:rPr>
            </w:pPr>
          </w:p>
        </w:tc>
        <w:tc>
          <w:tcPr>
            <w:tcW w:w="616" w:type="dxa"/>
            <w:vAlign w:val="center"/>
          </w:tcPr>
          <w:p w14:paraId="65CCF1C4">
            <w:pPr>
              <w:snapToGrid w:val="0"/>
              <w:spacing w:before="20" w:after="20" w:line="240" w:lineRule="auto"/>
              <w:jc w:val="center"/>
              <w:rPr>
                <w:rFonts w:cs="宋体"/>
                <w:sz w:val="15"/>
                <w:szCs w:val="20"/>
              </w:rPr>
            </w:pPr>
            <w:r>
              <w:rPr>
                <w:rFonts w:cs="宋体"/>
                <w:sz w:val="15"/>
                <w:szCs w:val="20"/>
              </w:rPr>
              <w:t>Ⅳ−E</w:t>
            </w:r>
          </w:p>
        </w:tc>
        <w:tc>
          <w:tcPr>
            <w:tcW w:w="1760" w:type="dxa"/>
            <w:vAlign w:val="center"/>
          </w:tcPr>
          <w:p w14:paraId="0263CC44">
            <w:pPr>
              <w:snapToGrid w:val="0"/>
              <w:spacing w:before="20" w:after="20" w:line="240" w:lineRule="auto"/>
              <w:jc w:val="center"/>
              <w:rPr>
                <w:rFonts w:cs="宋体"/>
                <w:sz w:val="15"/>
                <w:szCs w:val="20"/>
              </w:rPr>
            </w:pPr>
            <w:r>
              <w:rPr>
                <w:rFonts w:cs="宋体"/>
                <w:sz w:val="15"/>
                <w:szCs w:val="20"/>
              </w:rPr>
              <w:t>接触高浓度氯离子水体、且有干湿交替</w:t>
            </w:r>
          </w:p>
        </w:tc>
        <w:tc>
          <w:tcPr>
            <w:tcW w:w="2830" w:type="dxa"/>
            <w:tcBorders>
              <w:right w:val="single" w:color="000000" w:sz="6" w:space="0"/>
            </w:tcBorders>
            <w:vAlign w:val="center"/>
          </w:tcPr>
          <w:p w14:paraId="499FFAEF">
            <w:pPr>
              <w:snapToGrid w:val="0"/>
              <w:spacing w:before="20" w:after="20" w:line="240" w:lineRule="auto"/>
              <w:jc w:val="center"/>
              <w:rPr>
                <w:rFonts w:cs="宋体"/>
                <w:sz w:val="15"/>
                <w:szCs w:val="20"/>
              </w:rPr>
            </w:pPr>
            <w:r>
              <w:rPr>
                <w:rFonts w:cs="宋体"/>
                <w:sz w:val="15"/>
                <w:szCs w:val="20"/>
              </w:rPr>
              <w:t>处于地下水位变动区，与地下水、土接触的构件</w:t>
            </w:r>
          </w:p>
        </w:tc>
      </w:tr>
      <w:tr w14:paraId="67B42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9" w:hRule="atLeast"/>
          <w:jc w:val="center"/>
        </w:trPr>
        <w:tc>
          <w:tcPr>
            <w:tcW w:w="542" w:type="dxa"/>
            <w:vMerge w:val="continue"/>
            <w:tcBorders>
              <w:top w:val="nil"/>
              <w:left w:val="single" w:color="000000" w:sz="6" w:space="0"/>
            </w:tcBorders>
            <w:vAlign w:val="center"/>
          </w:tcPr>
          <w:p w14:paraId="25A7C9A6">
            <w:pPr>
              <w:snapToGrid w:val="0"/>
              <w:spacing w:before="20" w:after="20" w:line="240" w:lineRule="auto"/>
              <w:jc w:val="center"/>
              <w:rPr>
                <w:rFonts w:cs="宋体"/>
                <w:sz w:val="15"/>
                <w:szCs w:val="20"/>
              </w:rPr>
            </w:pPr>
          </w:p>
        </w:tc>
        <w:tc>
          <w:tcPr>
            <w:tcW w:w="592" w:type="dxa"/>
            <w:vMerge w:val="continue"/>
            <w:tcBorders>
              <w:top w:val="nil"/>
            </w:tcBorders>
            <w:vAlign w:val="center"/>
          </w:tcPr>
          <w:p w14:paraId="30EFB69A">
            <w:pPr>
              <w:snapToGrid w:val="0"/>
              <w:spacing w:before="20" w:after="20" w:line="240" w:lineRule="auto"/>
              <w:jc w:val="center"/>
              <w:rPr>
                <w:rFonts w:cs="宋体"/>
                <w:sz w:val="15"/>
                <w:szCs w:val="20"/>
              </w:rPr>
            </w:pPr>
          </w:p>
        </w:tc>
        <w:tc>
          <w:tcPr>
            <w:tcW w:w="616" w:type="dxa"/>
            <w:vAlign w:val="center"/>
          </w:tcPr>
          <w:p w14:paraId="773D0EDA">
            <w:pPr>
              <w:snapToGrid w:val="0"/>
              <w:spacing w:before="20" w:after="20" w:line="240" w:lineRule="auto"/>
              <w:jc w:val="center"/>
              <w:rPr>
                <w:rFonts w:cs="宋体"/>
                <w:sz w:val="15"/>
                <w:szCs w:val="20"/>
              </w:rPr>
            </w:pPr>
            <w:r>
              <w:rPr>
                <w:rFonts w:cs="宋体"/>
                <w:sz w:val="15"/>
                <w:szCs w:val="20"/>
              </w:rPr>
              <w:t>Ⅴ−E</w:t>
            </w:r>
          </w:p>
        </w:tc>
        <w:tc>
          <w:tcPr>
            <w:tcW w:w="4590" w:type="dxa"/>
            <w:gridSpan w:val="2"/>
            <w:tcBorders>
              <w:top w:val="nil"/>
              <w:right w:val="single" w:color="000000" w:sz="6" w:space="0"/>
            </w:tcBorders>
            <w:vAlign w:val="center"/>
          </w:tcPr>
          <w:p w14:paraId="7C6FCA63">
            <w:pPr>
              <w:snapToGrid w:val="0"/>
              <w:spacing w:before="20" w:after="20" w:line="240" w:lineRule="auto"/>
              <w:jc w:val="center"/>
              <w:rPr>
                <w:rFonts w:cs="宋体"/>
                <w:sz w:val="15"/>
                <w:szCs w:val="20"/>
              </w:rPr>
            </w:pPr>
          </w:p>
        </w:tc>
      </w:tr>
    </w:tbl>
    <w:p w14:paraId="057A36CA">
      <w:pPr>
        <w:pStyle w:val="202"/>
        <w:ind w:firstLine="300"/>
      </w:pPr>
    </w:p>
    <w:p w14:paraId="3C9494B0">
      <w:pPr>
        <w:pStyle w:val="202"/>
        <w:ind w:firstLine="300"/>
      </w:pPr>
    </w:p>
    <w:p w14:paraId="2B18EB59">
      <w:pPr>
        <w:pStyle w:val="198"/>
      </w:pPr>
      <w:r>
        <w:t>表1</w:t>
      </w:r>
      <w:r>
        <w:rPr>
          <w:rFonts w:hint="eastAsia"/>
        </w:rPr>
        <w:t>2</w:t>
      </w:r>
      <w:r>
        <w:t>.</w:t>
      </w:r>
      <w:r>
        <w:rPr>
          <w:rFonts w:hint="eastAsia"/>
        </w:rPr>
        <w:t>9</w:t>
      </w:r>
      <w:r>
        <w:t>.2</w:t>
      </w:r>
      <w:r>
        <w:rPr>
          <w:rFonts w:hint="eastAsia"/>
        </w:rPr>
        <w:t xml:space="preserve">  </w:t>
      </w:r>
      <w:r>
        <w:t>地下钢筋混凝土结构的环境分类及作用等级（续表）</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42"/>
        <w:gridCol w:w="592"/>
        <w:gridCol w:w="616"/>
        <w:gridCol w:w="2129"/>
        <w:gridCol w:w="2461"/>
      </w:tblGrid>
      <w:tr w14:paraId="59342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9" w:hRule="atLeast"/>
          <w:jc w:val="center"/>
        </w:trPr>
        <w:tc>
          <w:tcPr>
            <w:tcW w:w="542" w:type="dxa"/>
            <w:tcBorders>
              <w:left w:val="single" w:color="000000" w:sz="6" w:space="0"/>
            </w:tcBorders>
            <w:vAlign w:val="center"/>
          </w:tcPr>
          <w:p w14:paraId="76096CC7">
            <w:pPr>
              <w:snapToGrid w:val="0"/>
              <w:spacing w:before="20" w:after="20" w:line="240" w:lineRule="auto"/>
              <w:jc w:val="center"/>
              <w:rPr>
                <w:rFonts w:cs="宋体"/>
                <w:sz w:val="15"/>
                <w:szCs w:val="20"/>
              </w:rPr>
            </w:pPr>
            <w:r>
              <w:rPr>
                <w:rFonts w:cs="宋体"/>
                <w:sz w:val="15"/>
                <w:szCs w:val="20"/>
              </w:rPr>
              <w:t>环境类别</w:t>
            </w:r>
          </w:p>
        </w:tc>
        <w:tc>
          <w:tcPr>
            <w:tcW w:w="592" w:type="dxa"/>
            <w:vAlign w:val="center"/>
          </w:tcPr>
          <w:p w14:paraId="629EF804">
            <w:pPr>
              <w:snapToGrid w:val="0"/>
              <w:spacing w:before="20" w:after="20" w:line="240" w:lineRule="auto"/>
              <w:jc w:val="center"/>
              <w:rPr>
                <w:rFonts w:cs="宋体"/>
                <w:sz w:val="15"/>
                <w:szCs w:val="20"/>
              </w:rPr>
            </w:pPr>
            <w:r>
              <w:rPr>
                <w:rFonts w:cs="宋体"/>
                <w:sz w:val="15"/>
                <w:szCs w:val="20"/>
              </w:rPr>
              <w:t>名称</w:t>
            </w:r>
          </w:p>
        </w:tc>
        <w:tc>
          <w:tcPr>
            <w:tcW w:w="616" w:type="dxa"/>
            <w:vAlign w:val="center"/>
          </w:tcPr>
          <w:p w14:paraId="079D96AF">
            <w:pPr>
              <w:snapToGrid w:val="0"/>
              <w:spacing w:before="20" w:after="20" w:line="240" w:lineRule="auto"/>
              <w:jc w:val="center"/>
              <w:rPr>
                <w:rFonts w:cs="宋体"/>
                <w:sz w:val="15"/>
                <w:szCs w:val="20"/>
              </w:rPr>
            </w:pPr>
            <w:r>
              <w:rPr>
                <w:rFonts w:cs="宋体"/>
                <w:sz w:val="15"/>
                <w:szCs w:val="20"/>
              </w:rPr>
              <w:t>作用等级</w:t>
            </w:r>
          </w:p>
        </w:tc>
        <w:tc>
          <w:tcPr>
            <w:tcW w:w="2129" w:type="dxa"/>
            <w:vAlign w:val="center"/>
          </w:tcPr>
          <w:p w14:paraId="43AA7A43">
            <w:pPr>
              <w:snapToGrid w:val="0"/>
              <w:spacing w:before="20" w:after="20" w:line="240" w:lineRule="auto"/>
              <w:jc w:val="center"/>
              <w:rPr>
                <w:rFonts w:cs="宋体"/>
                <w:sz w:val="15"/>
                <w:szCs w:val="20"/>
              </w:rPr>
            </w:pPr>
            <w:r>
              <w:rPr>
                <w:rFonts w:cs="宋体"/>
                <w:sz w:val="15"/>
                <w:szCs w:val="20"/>
              </w:rPr>
              <w:t>环境条件</w:t>
            </w:r>
          </w:p>
        </w:tc>
        <w:tc>
          <w:tcPr>
            <w:tcW w:w="2461" w:type="dxa"/>
            <w:tcBorders>
              <w:right w:val="single" w:color="000000" w:sz="6" w:space="0"/>
            </w:tcBorders>
            <w:vAlign w:val="center"/>
          </w:tcPr>
          <w:p w14:paraId="7E212923">
            <w:pPr>
              <w:snapToGrid w:val="0"/>
              <w:spacing w:before="20" w:after="20" w:line="240" w:lineRule="auto"/>
              <w:jc w:val="center"/>
              <w:rPr>
                <w:rFonts w:cs="宋体"/>
                <w:sz w:val="15"/>
                <w:szCs w:val="20"/>
              </w:rPr>
            </w:pPr>
            <w:r>
              <w:rPr>
                <w:rFonts w:cs="宋体"/>
                <w:sz w:val="15"/>
                <w:szCs w:val="20"/>
              </w:rPr>
              <w:t>结构构件示例</w:t>
            </w:r>
          </w:p>
        </w:tc>
      </w:tr>
      <w:tr w14:paraId="62BA4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5" w:hRule="atLeast"/>
          <w:jc w:val="center"/>
        </w:trPr>
        <w:tc>
          <w:tcPr>
            <w:tcW w:w="542" w:type="dxa"/>
            <w:vMerge w:val="restart"/>
            <w:tcBorders>
              <w:left w:val="single" w:color="000000" w:sz="6" w:space="0"/>
              <w:bottom w:val="nil"/>
            </w:tcBorders>
            <w:vAlign w:val="center"/>
          </w:tcPr>
          <w:p w14:paraId="415E1404">
            <w:pPr>
              <w:snapToGrid w:val="0"/>
              <w:spacing w:before="20" w:after="20" w:line="240" w:lineRule="auto"/>
              <w:jc w:val="center"/>
              <w:rPr>
                <w:rFonts w:cs="宋体"/>
                <w:sz w:val="15"/>
                <w:szCs w:val="20"/>
              </w:rPr>
            </w:pPr>
          </w:p>
          <w:p w14:paraId="5132B737">
            <w:pPr>
              <w:snapToGrid w:val="0"/>
              <w:spacing w:before="20" w:after="20" w:line="240" w:lineRule="auto"/>
              <w:jc w:val="center"/>
              <w:rPr>
                <w:rFonts w:cs="宋体"/>
                <w:sz w:val="15"/>
                <w:szCs w:val="20"/>
              </w:rPr>
            </w:pPr>
            <w:r>
              <w:rPr>
                <w:rFonts w:cs="宋体"/>
                <w:sz w:val="15"/>
                <w:szCs w:val="20"/>
              </w:rPr>
              <w:t>Ⅴ</w:t>
            </w:r>
          </w:p>
        </w:tc>
        <w:tc>
          <w:tcPr>
            <w:tcW w:w="592" w:type="dxa"/>
            <w:vMerge w:val="restart"/>
            <w:tcBorders>
              <w:bottom w:val="nil"/>
            </w:tcBorders>
            <w:vAlign w:val="center"/>
          </w:tcPr>
          <w:p w14:paraId="21ABAA0D">
            <w:pPr>
              <w:snapToGrid w:val="0"/>
              <w:spacing w:before="20" w:after="20" w:line="240" w:lineRule="auto"/>
              <w:jc w:val="center"/>
              <w:rPr>
                <w:rFonts w:cs="宋体"/>
                <w:sz w:val="15"/>
                <w:szCs w:val="20"/>
              </w:rPr>
            </w:pPr>
            <w:r>
              <w:rPr>
                <w:rFonts w:cs="宋体"/>
                <w:sz w:val="15"/>
                <w:szCs w:val="20"/>
              </w:rPr>
              <w:t>化学侵蚀环境</w:t>
            </w:r>
          </w:p>
        </w:tc>
        <w:tc>
          <w:tcPr>
            <w:tcW w:w="616" w:type="dxa"/>
            <w:vAlign w:val="center"/>
          </w:tcPr>
          <w:p w14:paraId="51A76BDE">
            <w:pPr>
              <w:snapToGrid w:val="0"/>
              <w:spacing w:before="20" w:after="20" w:line="240" w:lineRule="auto"/>
              <w:jc w:val="center"/>
              <w:rPr>
                <w:rFonts w:cs="宋体"/>
                <w:sz w:val="15"/>
                <w:szCs w:val="20"/>
              </w:rPr>
            </w:pPr>
            <w:r>
              <w:rPr>
                <w:rFonts w:cs="宋体"/>
                <w:sz w:val="15"/>
                <w:szCs w:val="20"/>
              </w:rPr>
              <w:t>Ⅴ−C</w:t>
            </w:r>
          </w:p>
        </w:tc>
        <w:tc>
          <w:tcPr>
            <w:tcW w:w="4590" w:type="dxa"/>
            <w:gridSpan w:val="2"/>
            <w:vMerge w:val="restart"/>
            <w:tcBorders>
              <w:bottom w:val="nil"/>
              <w:right w:val="single" w:color="000000" w:sz="6" w:space="0"/>
            </w:tcBorders>
            <w:vAlign w:val="center"/>
          </w:tcPr>
          <w:p w14:paraId="1EE217DD">
            <w:pPr>
              <w:snapToGrid w:val="0"/>
              <w:spacing w:before="20" w:after="20" w:line="240" w:lineRule="auto"/>
              <w:jc w:val="center"/>
              <w:rPr>
                <w:rFonts w:cs="宋体"/>
                <w:sz w:val="15"/>
                <w:szCs w:val="20"/>
              </w:rPr>
            </w:pPr>
            <w:r>
              <w:rPr>
                <w:rFonts w:cs="宋体"/>
                <w:sz w:val="15"/>
                <w:szCs w:val="20"/>
              </w:rPr>
              <w:t>与地下水、土接触的构件</w:t>
            </w:r>
          </w:p>
        </w:tc>
      </w:tr>
      <w:tr w14:paraId="58538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4" w:hRule="atLeast"/>
          <w:jc w:val="center"/>
        </w:trPr>
        <w:tc>
          <w:tcPr>
            <w:tcW w:w="542" w:type="dxa"/>
            <w:vMerge w:val="continue"/>
            <w:tcBorders>
              <w:top w:val="nil"/>
              <w:left w:val="single" w:color="000000" w:sz="6" w:space="0"/>
              <w:bottom w:val="nil"/>
            </w:tcBorders>
            <w:vAlign w:val="center"/>
          </w:tcPr>
          <w:p w14:paraId="1F7E7689">
            <w:pPr>
              <w:snapToGrid w:val="0"/>
              <w:spacing w:before="20" w:after="20" w:line="240" w:lineRule="auto"/>
              <w:jc w:val="center"/>
              <w:rPr>
                <w:rFonts w:cs="宋体"/>
                <w:sz w:val="15"/>
                <w:szCs w:val="20"/>
              </w:rPr>
            </w:pPr>
          </w:p>
        </w:tc>
        <w:tc>
          <w:tcPr>
            <w:tcW w:w="592" w:type="dxa"/>
            <w:vMerge w:val="continue"/>
            <w:tcBorders>
              <w:top w:val="nil"/>
              <w:bottom w:val="nil"/>
            </w:tcBorders>
            <w:vAlign w:val="center"/>
          </w:tcPr>
          <w:p w14:paraId="51961E6A">
            <w:pPr>
              <w:snapToGrid w:val="0"/>
              <w:spacing w:before="20" w:after="20" w:line="240" w:lineRule="auto"/>
              <w:jc w:val="center"/>
              <w:rPr>
                <w:rFonts w:cs="宋体"/>
                <w:sz w:val="15"/>
                <w:szCs w:val="20"/>
              </w:rPr>
            </w:pPr>
          </w:p>
        </w:tc>
        <w:tc>
          <w:tcPr>
            <w:tcW w:w="616" w:type="dxa"/>
            <w:vAlign w:val="center"/>
          </w:tcPr>
          <w:p w14:paraId="0719AEA4">
            <w:pPr>
              <w:snapToGrid w:val="0"/>
              <w:spacing w:before="20" w:after="20" w:line="240" w:lineRule="auto"/>
              <w:jc w:val="center"/>
              <w:rPr>
                <w:rFonts w:cs="宋体"/>
                <w:sz w:val="15"/>
                <w:szCs w:val="20"/>
              </w:rPr>
            </w:pPr>
            <w:r>
              <w:rPr>
                <w:rFonts w:cs="宋体"/>
                <w:sz w:val="15"/>
                <w:szCs w:val="20"/>
              </w:rPr>
              <w:t>Ⅴ−D</w:t>
            </w:r>
          </w:p>
        </w:tc>
        <w:tc>
          <w:tcPr>
            <w:tcW w:w="4590" w:type="dxa"/>
            <w:gridSpan w:val="2"/>
            <w:vMerge w:val="continue"/>
            <w:tcBorders>
              <w:top w:val="nil"/>
              <w:bottom w:val="nil"/>
              <w:right w:val="single" w:color="000000" w:sz="6" w:space="0"/>
            </w:tcBorders>
            <w:vAlign w:val="center"/>
          </w:tcPr>
          <w:p w14:paraId="7F4D6CCA">
            <w:pPr>
              <w:snapToGrid w:val="0"/>
              <w:spacing w:before="20" w:after="20" w:line="240" w:lineRule="auto"/>
              <w:jc w:val="center"/>
              <w:rPr>
                <w:rFonts w:cs="宋体"/>
                <w:sz w:val="15"/>
                <w:szCs w:val="20"/>
              </w:rPr>
            </w:pPr>
          </w:p>
        </w:tc>
      </w:tr>
      <w:tr w14:paraId="624F9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9" w:hRule="atLeast"/>
          <w:jc w:val="center"/>
        </w:trPr>
        <w:tc>
          <w:tcPr>
            <w:tcW w:w="542" w:type="dxa"/>
            <w:vMerge w:val="continue"/>
            <w:tcBorders>
              <w:top w:val="nil"/>
              <w:left w:val="single" w:color="000000" w:sz="6" w:space="0"/>
            </w:tcBorders>
            <w:vAlign w:val="center"/>
          </w:tcPr>
          <w:p w14:paraId="18C150AB">
            <w:pPr>
              <w:snapToGrid w:val="0"/>
              <w:spacing w:before="20" w:after="20" w:line="240" w:lineRule="auto"/>
              <w:jc w:val="center"/>
              <w:rPr>
                <w:rFonts w:cs="宋体"/>
                <w:sz w:val="15"/>
                <w:szCs w:val="20"/>
              </w:rPr>
            </w:pPr>
          </w:p>
        </w:tc>
        <w:tc>
          <w:tcPr>
            <w:tcW w:w="592" w:type="dxa"/>
            <w:vMerge w:val="continue"/>
            <w:tcBorders>
              <w:top w:val="nil"/>
            </w:tcBorders>
            <w:vAlign w:val="center"/>
          </w:tcPr>
          <w:p w14:paraId="4B4080BE">
            <w:pPr>
              <w:snapToGrid w:val="0"/>
              <w:spacing w:before="20" w:after="20" w:line="240" w:lineRule="auto"/>
              <w:jc w:val="center"/>
              <w:rPr>
                <w:rFonts w:cs="宋体"/>
                <w:sz w:val="15"/>
                <w:szCs w:val="20"/>
              </w:rPr>
            </w:pPr>
          </w:p>
        </w:tc>
        <w:tc>
          <w:tcPr>
            <w:tcW w:w="616" w:type="dxa"/>
            <w:vAlign w:val="center"/>
          </w:tcPr>
          <w:p w14:paraId="0497E3F3">
            <w:pPr>
              <w:snapToGrid w:val="0"/>
              <w:spacing w:before="20" w:after="20" w:line="240" w:lineRule="auto"/>
              <w:jc w:val="center"/>
              <w:rPr>
                <w:rFonts w:cs="宋体"/>
                <w:sz w:val="15"/>
                <w:szCs w:val="20"/>
              </w:rPr>
            </w:pPr>
            <w:r>
              <w:rPr>
                <w:rFonts w:cs="宋体"/>
                <w:sz w:val="15"/>
                <w:szCs w:val="20"/>
              </w:rPr>
              <w:t>Ⅴ−E</w:t>
            </w:r>
          </w:p>
        </w:tc>
        <w:tc>
          <w:tcPr>
            <w:tcW w:w="4590" w:type="dxa"/>
            <w:gridSpan w:val="2"/>
            <w:vMerge w:val="continue"/>
            <w:tcBorders>
              <w:top w:val="nil"/>
              <w:right w:val="single" w:color="000000" w:sz="6" w:space="0"/>
            </w:tcBorders>
            <w:vAlign w:val="center"/>
          </w:tcPr>
          <w:p w14:paraId="52109C78">
            <w:pPr>
              <w:snapToGrid w:val="0"/>
              <w:spacing w:before="20" w:after="20" w:line="240" w:lineRule="auto"/>
              <w:jc w:val="center"/>
              <w:rPr>
                <w:rFonts w:cs="宋体"/>
                <w:sz w:val="15"/>
                <w:szCs w:val="20"/>
              </w:rPr>
            </w:pPr>
          </w:p>
        </w:tc>
      </w:tr>
    </w:tbl>
    <w:p w14:paraId="21FF7026">
      <w:pPr>
        <w:pStyle w:val="202"/>
        <w:ind w:firstLine="300"/>
      </w:pPr>
      <w:r>
        <w:t>注：1</w:t>
      </w:r>
      <w:r>
        <w:rPr>
          <w:rFonts w:hint="eastAsia"/>
        </w:rPr>
        <w:t xml:space="preserve">  </w:t>
      </w:r>
      <w:r>
        <w:t>环境条件指混凝土表面的局部环境；</w:t>
      </w:r>
    </w:p>
    <w:p w14:paraId="5F7E3041">
      <w:pPr>
        <w:pStyle w:val="202"/>
        <w:ind w:left="851" w:leftChars="278" w:hanging="267" w:hangingChars="178"/>
      </w:pPr>
      <w:r>
        <w:t>2</w:t>
      </w:r>
      <w:r>
        <w:rPr>
          <w:rFonts w:hint="eastAsia"/>
        </w:rPr>
        <w:t xml:space="preserve">  </w:t>
      </w:r>
      <w:r>
        <w:t>干燥、低湿度环境指年平均湿度低于60%；</w:t>
      </w:r>
    </w:p>
    <w:p w14:paraId="070E0E46">
      <w:pPr>
        <w:pStyle w:val="202"/>
        <w:ind w:left="851" w:leftChars="278" w:hanging="267" w:hangingChars="178"/>
      </w:pPr>
      <w:r>
        <w:t>3</w:t>
      </w:r>
      <w:r>
        <w:rPr>
          <w:rFonts w:hint="eastAsia"/>
        </w:rPr>
        <w:t xml:space="preserve">  </w:t>
      </w:r>
      <w:r>
        <w:t>干湿交替指混凝土表面经常交替接触到大气和水的环境条件；</w:t>
      </w:r>
    </w:p>
    <w:p w14:paraId="4146530B">
      <w:pPr>
        <w:pStyle w:val="202"/>
        <w:ind w:left="851" w:leftChars="278" w:hanging="267" w:hangingChars="178"/>
      </w:pPr>
      <w:r>
        <w:t>4</w:t>
      </w:r>
      <w:r>
        <w:rPr>
          <w:rFonts w:hint="eastAsia"/>
        </w:rPr>
        <w:t xml:space="preserve">  </w:t>
      </w:r>
      <w:r>
        <w:t>地下车站出入口、风亭等附属结构的出地面段构件环境作用等级宜取与下部构件一致，不宜单独考虑局部构件的其他环境作用。</w:t>
      </w:r>
    </w:p>
    <w:p w14:paraId="41ECAF01">
      <w:pPr>
        <w:pStyle w:val="4"/>
        <w:tabs>
          <w:tab w:val="left" w:pos="709"/>
          <w:tab w:val="clear" w:pos="462"/>
          <w:tab w:val="clear" w:pos="567"/>
          <w:tab w:val="clear" w:pos="794"/>
        </w:tabs>
        <w:rPr>
          <w:bCs w:val="0"/>
        </w:rPr>
      </w:pPr>
      <w:bookmarkStart w:id="809" w:name="_Toc183765123"/>
      <w:bookmarkStart w:id="810" w:name="_Toc183888528"/>
      <w:bookmarkStart w:id="811" w:name="_Toc183882476"/>
      <w:bookmarkStart w:id="812" w:name="_Toc183882114"/>
      <w:bookmarkStart w:id="813" w:name="_Toc183888166"/>
      <w:bookmarkStart w:id="814" w:name="_Toc183790553"/>
      <w:r>
        <w:rPr>
          <w:bCs w:val="0"/>
        </w:rPr>
        <w:t>构造设计</w:t>
      </w:r>
      <w:bookmarkEnd w:id="809"/>
      <w:bookmarkEnd w:id="810"/>
      <w:bookmarkEnd w:id="811"/>
      <w:bookmarkEnd w:id="812"/>
      <w:bookmarkEnd w:id="813"/>
      <w:bookmarkEnd w:id="814"/>
    </w:p>
    <w:p w14:paraId="30028352">
      <w:pPr>
        <w:numPr>
          <w:ilvl w:val="2"/>
          <w:numId w:val="1"/>
        </w:numPr>
        <w:tabs>
          <w:tab w:val="left" w:pos="709"/>
          <w:tab w:val="left" w:pos="794"/>
        </w:tabs>
        <w:jc w:val="left"/>
        <w:outlineLvl w:val="2"/>
        <w:rPr>
          <w:bCs/>
        </w:rPr>
      </w:pPr>
      <w:r>
        <w:rPr>
          <w:bCs/>
        </w:rPr>
        <w:t>地下结构变形缝的设置应符合以下规定：</w:t>
      </w:r>
    </w:p>
    <w:p w14:paraId="6B749EFA">
      <w:pPr>
        <w:ind w:firstLine="422" w:firstLineChars="200"/>
      </w:pPr>
      <w:r>
        <w:rPr>
          <w:b/>
        </w:rPr>
        <w:t>1</w:t>
      </w:r>
      <w:r>
        <w:rPr>
          <w:rFonts w:hint="eastAsia"/>
          <w:b/>
        </w:rPr>
        <w:t xml:space="preserve">  </w:t>
      </w:r>
      <w:r>
        <w:t>施工工法、结构型式、地基基础或荷载发生较大变化处的不同结构单元之间宜设变形缝。</w:t>
      </w:r>
    </w:p>
    <w:p w14:paraId="7403D3E1">
      <w:pPr>
        <w:ind w:firstLine="422" w:firstLineChars="200"/>
      </w:pPr>
      <w:r>
        <w:rPr>
          <w:b/>
        </w:rPr>
        <w:t>2</w:t>
      </w:r>
      <w:r>
        <w:rPr>
          <w:rFonts w:hint="eastAsia"/>
          <w:b/>
        </w:rPr>
        <w:t xml:space="preserve"> </w:t>
      </w:r>
      <w:r>
        <w:rPr>
          <w:rFonts w:hint="eastAsia"/>
        </w:rPr>
        <w:t xml:space="preserve"> </w:t>
      </w:r>
      <w:r>
        <w:t>在区间隧道、出入口通道、风道等结构与车站主体结构的结合部位应设变形缝。</w:t>
      </w:r>
    </w:p>
    <w:p w14:paraId="51E450B4">
      <w:pPr>
        <w:ind w:firstLine="422" w:firstLineChars="200"/>
      </w:pPr>
      <w:r>
        <w:rPr>
          <w:b/>
        </w:rPr>
        <w:t>3</w:t>
      </w:r>
      <w:r>
        <w:rPr>
          <w:rFonts w:hint="eastAsia"/>
          <w:b/>
        </w:rPr>
        <w:t xml:space="preserve"> </w:t>
      </w:r>
      <w:r>
        <w:rPr>
          <w:rFonts w:hint="eastAsia"/>
        </w:rPr>
        <w:t xml:space="preserve"> </w:t>
      </w:r>
      <w:r>
        <w:t>结构顶板以上无覆土或覆土厚度小于0.8m时应设变形缝，变形缝最大间距不宜大于40.0m。</w:t>
      </w:r>
    </w:p>
    <w:p w14:paraId="3EF8EDDF">
      <w:pPr>
        <w:ind w:firstLine="422" w:firstLineChars="200"/>
      </w:pPr>
      <w:r>
        <w:rPr>
          <w:b/>
        </w:rPr>
        <w:t>4</w:t>
      </w:r>
      <w:r>
        <w:rPr>
          <w:rFonts w:hint="eastAsia"/>
          <w:b/>
        </w:rPr>
        <w:t xml:space="preserve"> </w:t>
      </w:r>
      <w:r>
        <w:rPr>
          <w:rFonts w:hint="eastAsia"/>
        </w:rPr>
        <w:t xml:space="preserve"> </w:t>
      </w:r>
      <w:r>
        <w:t>在充分分析混凝土收缩及温度变化对结构纵向应力的影响，并采取合理的工程措施后，覆土厚度不小于3.0m的同一结构单元范围内可不设变形缝。</w:t>
      </w:r>
    </w:p>
    <w:p w14:paraId="6ECA4DBD">
      <w:pPr>
        <w:ind w:firstLine="422" w:firstLineChars="200"/>
      </w:pPr>
      <w:r>
        <w:rPr>
          <w:b/>
        </w:rPr>
        <w:t>5</w:t>
      </w:r>
      <w:r>
        <w:rPr>
          <w:rFonts w:hint="eastAsia"/>
          <w:b/>
        </w:rPr>
        <w:t xml:space="preserve"> </w:t>
      </w:r>
      <w:r>
        <w:rPr>
          <w:rFonts w:hint="eastAsia"/>
        </w:rPr>
        <w:t xml:space="preserve"> </w:t>
      </w:r>
      <w:r>
        <w:t>结构顶板以上覆土厚度介于0.8m和3.0m之间时，应综合考虑结构体量、结构型式、混凝土收缩及温度变化影响等因素确定变形缝的设计。</w:t>
      </w:r>
    </w:p>
    <w:p w14:paraId="621541AC">
      <w:pPr>
        <w:ind w:firstLine="422" w:firstLineChars="200"/>
      </w:pPr>
      <w:r>
        <w:rPr>
          <w:b/>
        </w:rPr>
        <w:t>6</w:t>
      </w:r>
      <w:r>
        <w:rPr>
          <w:rFonts w:hint="eastAsia"/>
          <w:b/>
        </w:rPr>
        <w:t xml:space="preserve"> </w:t>
      </w:r>
      <w:r>
        <w:rPr>
          <w:rFonts w:hint="eastAsia"/>
        </w:rPr>
        <w:t xml:space="preserve"> </w:t>
      </w:r>
      <w:r>
        <w:t>当因结构、地基、基础或荷载发生变化，可能产生较大的差异沉降时，应通过地基处理、结构加强等方法将结构的纵向沉降曲率和沉降差控制在道床和地下结构的允许变形范围内。无砟轨道路基工后沉降量控制值应满足本规范第8.6节的相关规定。</w:t>
      </w:r>
    </w:p>
    <w:p w14:paraId="6485409E">
      <w:pPr>
        <w:ind w:firstLine="422" w:firstLineChars="200"/>
      </w:pPr>
      <w:r>
        <w:rPr>
          <w:b/>
        </w:rPr>
        <w:t>7</w:t>
      </w:r>
      <w:r>
        <w:rPr>
          <w:rFonts w:hint="eastAsia"/>
          <w:b/>
        </w:rPr>
        <w:t xml:space="preserve"> </w:t>
      </w:r>
      <w:r>
        <w:rPr>
          <w:rFonts w:hint="eastAsia"/>
        </w:rPr>
        <w:t xml:space="preserve"> </w:t>
      </w:r>
      <w:r>
        <w:t>变形缝处结构钢筋的处理应满足变形缝防水设施的设置要求。</w:t>
      </w:r>
    </w:p>
    <w:p w14:paraId="670CE522">
      <w:pPr>
        <w:numPr>
          <w:ilvl w:val="2"/>
          <w:numId w:val="1"/>
        </w:numPr>
        <w:tabs>
          <w:tab w:val="left" w:pos="709"/>
          <w:tab w:val="left" w:pos="794"/>
        </w:tabs>
        <w:jc w:val="left"/>
        <w:outlineLvl w:val="2"/>
        <w:rPr>
          <w:bCs/>
        </w:rPr>
      </w:pPr>
      <w:r>
        <w:rPr>
          <w:bCs/>
        </w:rPr>
        <w:t>施工缝或后浇带的设置应满足以下要求：</w:t>
      </w:r>
    </w:p>
    <w:p w14:paraId="74BF2D3A">
      <w:pPr>
        <w:ind w:firstLine="422" w:firstLineChars="200"/>
      </w:pPr>
      <w:r>
        <w:rPr>
          <w:b/>
        </w:rPr>
        <w:t>1</w:t>
      </w:r>
      <w:r>
        <w:rPr>
          <w:rFonts w:hint="eastAsia"/>
          <w:b/>
        </w:rPr>
        <w:t xml:space="preserve">  </w:t>
      </w:r>
      <w:r>
        <w:t>未设变形缝的明挖法和盖挖逆作法地下结构宜分段跳仓浇筑或设置后浇带，施工缝间距宜为15.0~20.0m，后浇带间距宜为30.0~40.0m，施工缝或后浇带应避开结构孔洞、出入口、风道等部位。</w:t>
      </w:r>
    </w:p>
    <w:p w14:paraId="65370F24">
      <w:pPr>
        <w:ind w:firstLine="422" w:firstLineChars="200"/>
      </w:pPr>
      <w:r>
        <w:rPr>
          <w:b/>
        </w:rPr>
        <w:t>2</w:t>
      </w:r>
      <w:r>
        <w:rPr>
          <w:rFonts w:hint="eastAsia"/>
        </w:rPr>
        <w:t xml:space="preserve">  </w:t>
      </w:r>
      <w:r>
        <w:t>施工缝或后浇带宜沿横向贯通设置在纵向跨度的1/3处附近。</w:t>
      </w:r>
    </w:p>
    <w:p w14:paraId="0C4CC8B3">
      <w:pPr>
        <w:ind w:firstLine="422" w:firstLineChars="200"/>
      </w:pPr>
      <w:r>
        <w:rPr>
          <w:b/>
        </w:rPr>
        <w:t>3</w:t>
      </w:r>
      <w:r>
        <w:rPr>
          <w:rFonts w:hint="eastAsia"/>
        </w:rPr>
        <w:t xml:space="preserve">  </w:t>
      </w:r>
      <w:r>
        <w:t>后浇带应在两侧结构</w:t>
      </w:r>
      <w:r>
        <w:rPr>
          <w:rFonts w:hint="eastAsia"/>
        </w:rPr>
        <w:t>混凝土浇筑</w:t>
      </w:r>
      <w:r>
        <w:t>不短于1个月后、采用高于两侧结构混凝土强度等级一级的微膨胀</w:t>
      </w:r>
      <w:r>
        <w:rPr>
          <w:rFonts w:hint="eastAsia"/>
        </w:rPr>
        <w:t>混凝土浇筑</w:t>
      </w:r>
      <w:r>
        <w:t>。</w:t>
      </w:r>
    </w:p>
    <w:p w14:paraId="78BC2EBA">
      <w:pPr>
        <w:numPr>
          <w:ilvl w:val="2"/>
          <w:numId w:val="1"/>
        </w:numPr>
        <w:tabs>
          <w:tab w:val="left" w:pos="709"/>
          <w:tab w:val="left" w:pos="794"/>
        </w:tabs>
        <w:jc w:val="left"/>
        <w:outlineLvl w:val="2"/>
        <w:rPr>
          <w:bCs/>
        </w:rPr>
      </w:pPr>
      <w:r>
        <w:rPr>
          <w:bCs/>
        </w:rPr>
        <w:t>地下结构的顶板、侧墙、底板及中楼板结构上下侧面分布钢筋的配筋率，当采用HRB335钢筋时不宜低于0.25%，采用HRB400钢筋时不宜低于0.2%，同时分布钢筋的间距不宜大于150mm。</w:t>
      </w:r>
    </w:p>
    <w:p w14:paraId="66597C25">
      <w:pPr>
        <w:numPr>
          <w:ilvl w:val="2"/>
          <w:numId w:val="1"/>
        </w:numPr>
        <w:tabs>
          <w:tab w:val="left" w:pos="709"/>
          <w:tab w:val="left" w:pos="794"/>
        </w:tabs>
        <w:jc w:val="left"/>
        <w:outlineLvl w:val="2"/>
        <w:rPr>
          <w:bCs/>
        </w:rPr>
      </w:pPr>
      <w:r>
        <w:rPr>
          <w:bCs/>
        </w:rPr>
        <w:t>框架结构横向受力主筋间距不应小于100mm，也应不大于200mm。</w:t>
      </w:r>
    </w:p>
    <w:p w14:paraId="11FC8AE9">
      <w:pPr>
        <w:numPr>
          <w:ilvl w:val="2"/>
          <w:numId w:val="1"/>
        </w:numPr>
        <w:tabs>
          <w:tab w:val="left" w:pos="709"/>
          <w:tab w:val="left" w:pos="794"/>
        </w:tabs>
        <w:jc w:val="left"/>
        <w:outlineLvl w:val="2"/>
        <w:rPr>
          <w:bCs/>
        </w:rPr>
      </w:pPr>
      <w:r>
        <w:rPr>
          <w:bCs/>
        </w:rPr>
        <w:t>钢筋的混凝土保护层厚度应根据结构类型、环境条件和耐久性要求等确定，一般环境条件下最外层钢筋的最小净保护层厚度应符合表1</w:t>
      </w:r>
      <w:r>
        <w:rPr>
          <w:rFonts w:hint="eastAsia"/>
          <w:bCs/>
        </w:rPr>
        <w:t>2</w:t>
      </w:r>
      <w:r>
        <w:rPr>
          <w:bCs/>
        </w:rPr>
        <w:t>.</w:t>
      </w:r>
      <w:r>
        <w:rPr>
          <w:rFonts w:hint="eastAsia"/>
          <w:bCs/>
        </w:rPr>
        <w:t>10</w:t>
      </w:r>
      <w:r>
        <w:rPr>
          <w:bCs/>
        </w:rPr>
        <w:t>.5的规定。</w:t>
      </w:r>
    </w:p>
    <w:p w14:paraId="2069BC9A">
      <w:pPr>
        <w:widowControl/>
        <w:spacing w:line="240" w:lineRule="auto"/>
        <w:jc w:val="left"/>
        <w:rPr>
          <w:bCs/>
        </w:rPr>
      </w:pPr>
      <w:r>
        <w:rPr>
          <w:bCs/>
        </w:rPr>
        <w:br w:type="page"/>
      </w:r>
    </w:p>
    <w:p w14:paraId="13751D04">
      <w:pPr>
        <w:pStyle w:val="198"/>
      </w:pPr>
      <w:r>
        <w:t>表1</w:t>
      </w:r>
      <w:r>
        <w:rPr>
          <w:rFonts w:hint="eastAsia"/>
        </w:rPr>
        <w:t>2</w:t>
      </w:r>
      <w:r>
        <w:t>.</w:t>
      </w:r>
      <w:r>
        <w:rPr>
          <w:rFonts w:hint="eastAsia"/>
        </w:rPr>
        <w:t>10</w:t>
      </w:r>
      <w:r>
        <w:t>.5</w:t>
      </w:r>
      <w:r>
        <w:rPr>
          <w:rFonts w:hint="eastAsia"/>
        </w:rPr>
        <w:t xml:space="preserve">  </w:t>
      </w:r>
      <w:r>
        <w:t>一般环境条件下最外层钢筋最小净保护层厚度(mm)</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38"/>
        <w:gridCol w:w="386"/>
        <w:gridCol w:w="387"/>
        <w:gridCol w:w="387"/>
        <w:gridCol w:w="387"/>
        <w:gridCol w:w="339"/>
        <w:gridCol w:w="387"/>
        <w:gridCol w:w="387"/>
        <w:gridCol w:w="387"/>
        <w:gridCol w:w="387"/>
        <w:gridCol w:w="469"/>
        <w:gridCol w:w="401"/>
        <w:gridCol w:w="387"/>
        <w:gridCol w:w="387"/>
        <w:gridCol w:w="462"/>
        <w:gridCol w:w="462"/>
      </w:tblGrid>
      <w:tr w14:paraId="7D53C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7" w:hRule="atLeast"/>
          <w:jc w:val="center"/>
        </w:trPr>
        <w:tc>
          <w:tcPr>
            <w:tcW w:w="338" w:type="dxa"/>
            <w:vMerge w:val="restart"/>
            <w:tcBorders>
              <w:left w:val="single" w:color="000000" w:sz="6" w:space="0"/>
              <w:bottom w:val="nil"/>
            </w:tcBorders>
            <w:vAlign w:val="center"/>
          </w:tcPr>
          <w:p w14:paraId="0EE6D75B">
            <w:pPr>
              <w:snapToGrid w:val="0"/>
              <w:spacing w:line="240" w:lineRule="auto"/>
              <w:jc w:val="center"/>
              <w:rPr>
                <w:rFonts w:cs="宋体"/>
                <w:sz w:val="15"/>
                <w:szCs w:val="20"/>
              </w:rPr>
            </w:pPr>
          </w:p>
          <w:p w14:paraId="48E07AAD">
            <w:pPr>
              <w:snapToGrid w:val="0"/>
              <w:spacing w:line="240" w:lineRule="auto"/>
              <w:jc w:val="center"/>
              <w:rPr>
                <w:rFonts w:cs="宋体"/>
                <w:sz w:val="15"/>
                <w:szCs w:val="20"/>
              </w:rPr>
            </w:pPr>
          </w:p>
          <w:p w14:paraId="66CF16A9">
            <w:pPr>
              <w:snapToGrid w:val="0"/>
              <w:spacing w:line="240" w:lineRule="auto"/>
              <w:jc w:val="center"/>
              <w:rPr>
                <w:rFonts w:cs="宋体"/>
                <w:sz w:val="15"/>
                <w:szCs w:val="20"/>
              </w:rPr>
            </w:pPr>
          </w:p>
          <w:p w14:paraId="31A54D1A">
            <w:pPr>
              <w:snapToGrid w:val="0"/>
              <w:spacing w:line="240" w:lineRule="auto"/>
              <w:jc w:val="center"/>
              <w:rPr>
                <w:rFonts w:cs="宋体"/>
                <w:sz w:val="15"/>
                <w:szCs w:val="20"/>
              </w:rPr>
            </w:pPr>
          </w:p>
          <w:p w14:paraId="2D8BB404">
            <w:pPr>
              <w:snapToGrid w:val="0"/>
              <w:spacing w:line="240" w:lineRule="auto"/>
              <w:jc w:val="center"/>
              <w:rPr>
                <w:rFonts w:cs="宋体"/>
                <w:sz w:val="15"/>
                <w:szCs w:val="20"/>
              </w:rPr>
            </w:pPr>
          </w:p>
          <w:p w14:paraId="6385C190">
            <w:pPr>
              <w:snapToGrid w:val="0"/>
              <w:spacing w:line="240" w:lineRule="auto"/>
              <w:jc w:val="center"/>
              <w:rPr>
                <w:rFonts w:cs="宋体"/>
                <w:sz w:val="15"/>
                <w:szCs w:val="20"/>
              </w:rPr>
            </w:pPr>
            <w:r>
              <w:rPr>
                <w:rFonts w:cs="宋体"/>
                <w:sz w:val="15"/>
                <w:szCs w:val="20"/>
              </w:rPr>
              <mc:AlternateContent>
                <mc:Choice Requires="wps">
                  <w:drawing>
                    <wp:anchor distT="0" distB="0" distL="114300" distR="114300" simplePos="0" relativeHeight="251667456" behindDoc="0" locked="0" layoutInCell="1" allowOverlap="1">
                      <wp:simplePos x="0" y="0"/>
                      <wp:positionH relativeFrom="page">
                        <wp:posOffset>802640</wp:posOffset>
                      </wp:positionH>
                      <wp:positionV relativeFrom="page">
                        <wp:posOffset>2561590</wp:posOffset>
                      </wp:positionV>
                      <wp:extent cx="12700" cy="48895"/>
                      <wp:effectExtent l="0" t="0" r="6350" b="8255"/>
                      <wp:wrapNone/>
                      <wp:docPr id="405067244" name="矩形 6"/>
                      <wp:cNvGraphicFramePr/>
                      <a:graphic xmlns:a="http://schemas.openxmlformats.org/drawingml/2006/main">
                        <a:graphicData uri="http://schemas.microsoft.com/office/word/2010/wordprocessingShape">
                          <wps:wsp>
                            <wps:cNvSpPr>
                              <a:spLocks noChangeArrowheads="1"/>
                            </wps:cNvSpPr>
                            <wps:spPr bwMode="auto">
                              <a:xfrm>
                                <a:off x="0" y="0"/>
                                <a:ext cx="12700" cy="4889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矩形 6" o:spid="_x0000_s1026" o:spt="1" style="position:absolute;left:0pt;margin-left:63.2pt;margin-top:201.7pt;height:3.85pt;width:1pt;mso-position-horizontal-relative:page;mso-position-vertical-relative:page;z-index:251667456;mso-width-relative:page;mso-height-relative:page;" fillcolor="#000000" filled="t" stroked="f" coordsize="21600,21600" o:gfxdata="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mB3c9gA&#10;AAALAQAADwAAAAAAAAABACAAAAAiAAAAZHJzL2Rvd25yZXYueG1sUEsBAhQAFAAAAAgAh07iQNG+&#10;84gfAgAAKwQAAA4AAAAAAAAAAQAgAAAAJwEAAGRycy9lMm9Eb2MueG1sUEsFBgAAAAAGAAYAWQEA&#10;ALgFAAAAAA==&#10;">
                      <v:fill on="t" focussize="0,0"/>
                      <v:stroke on="f"/>
                      <v:imagedata o:title=""/>
                      <o:lock v:ext="edit" aspectratio="f"/>
                    </v:rect>
                  </w:pict>
                </mc:Fallback>
              </mc:AlternateContent>
            </w:r>
            <w:r>
              <w:rPr>
                <w:rFonts w:cs="宋体"/>
                <w:sz w:val="15"/>
                <w:szCs w:val="20"/>
              </w:rPr>
              <mc:AlternateContent>
                <mc:Choice Requires="wps">
                  <w:drawing>
                    <wp:anchor distT="0" distB="0" distL="114300" distR="114300" simplePos="0" relativeHeight="251669504" behindDoc="1" locked="0" layoutInCell="1" allowOverlap="1">
                      <wp:simplePos x="0" y="0"/>
                      <wp:positionH relativeFrom="page">
                        <wp:posOffset>802640</wp:posOffset>
                      </wp:positionH>
                      <wp:positionV relativeFrom="page">
                        <wp:posOffset>914400</wp:posOffset>
                      </wp:positionV>
                      <wp:extent cx="12700" cy="48895"/>
                      <wp:effectExtent l="0" t="0" r="6350" b="8255"/>
                      <wp:wrapNone/>
                      <wp:docPr id="1145256110" name="矩形 5"/>
                      <wp:cNvGraphicFramePr/>
                      <a:graphic xmlns:a="http://schemas.openxmlformats.org/drawingml/2006/main">
                        <a:graphicData uri="http://schemas.microsoft.com/office/word/2010/wordprocessingShape">
                          <wps:wsp>
                            <wps:cNvSpPr>
                              <a:spLocks noChangeArrowheads="1"/>
                            </wps:cNvSpPr>
                            <wps:spPr bwMode="auto">
                              <a:xfrm>
                                <a:off x="0" y="0"/>
                                <a:ext cx="12700" cy="4889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矩形 5" o:spid="_x0000_s1026" o:spt="1" style="position:absolute;left:0pt;margin-left:63.2pt;margin-top:72pt;height:3.85pt;width:1pt;mso-position-horizontal-relative:page;mso-position-vertical-relative:page;z-index:-251646976;mso-width-relative:page;mso-height-relative:page;" fillcolor="#000000" filled="t" stroked="f" coordsize="21600,21600" o:gfxdata="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ykBR1wAA&#10;AAsBAAAPAAAAAAAAAAEAIAAAACIAAABkcnMvZG93bnJldi54bWxQSwECFAAUAAAACACHTuJAHqHp&#10;1x8CAAAsBAAADgAAAAAAAAABACAAAAAmAQAAZHJzL2Uyb0RvYy54bWxQSwUGAAAAAAYABgBZAQAA&#10;twUAAAAA&#10;">
                      <v:fill on="t" focussize="0,0"/>
                      <v:stroke on="f"/>
                      <v:imagedata o:title=""/>
                      <o:lock v:ext="edit" aspectratio="f"/>
                    </v:rect>
                  </w:pict>
                </mc:Fallback>
              </mc:AlternateContent>
            </w:r>
          </w:p>
          <w:p w14:paraId="1D5F8F6D">
            <w:pPr>
              <w:snapToGrid w:val="0"/>
              <w:spacing w:line="240" w:lineRule="auto"/>
              <w:jc w:val="center"/>
              <w:rPr>
                <w:rFonts w:cs="宋体"/>
                <w:sz w:val="15"/>
                <w:szCs w:val="20"/>
              </w:rPr>
            </w:pPr>
            <w:r>
              <w:rPr>
                <w:rFonts w:cs="宋体"/>
                <w:sz w:val="15"/>
                <w:szCs w:val="20"/>
              </w:rPr>
              <w:t>结构</w:t>
            </w:r>
          </w:p>
          <w:p w14:paraId="760E0177">
            <w:pPr>
              <w:snapToGrid w:val="0"/>
              <w:spacing w:line="240" w:lineRule="auto"/>
              <w:jc w:val="center"/>
              <w:rPr>
                <w:rFonts w:cs="宋体"/>
                <w:sz w:val="15"/>
                <w:szCs w:val="20"/>
              </w:rPr>
            </w:pPr>
            <w:r>
              <w:rPr>
                <w:rFonts w:cs="宋体"/>
                <w:sz w:val="15"/>
                <w:szCs w:val="20"/>
              </w:rPr>
              <w:t>类别</w:t>
            </w:r>
          </w:p>
        </w:tc>
        <w:tc>
          <w:tcPr>
            <w:tcW w:w="773" w:type="dxa"/>
            <w:gridSpan w:val="2"/>
            <w:vMerge w:val="restart"/>
            <w:tcBorders>
              <w:bottom w:val="nil"/>
            </w:tcBorders>
            <w:vAlign w:val="center"/>
          </w:tcPr>
          <w:p w14:paraId="125B2D44">
            <w:pPr>
              <w:snapToGrid w:val="0"/>
              <w:spacing w:line="240" w:lineRule="auto"/>
              <w:jc w:val="center"/>
              <w:rPr>
                <w:rFonts w:cs="宋体"/>
                <w:sz w:val="15"/>
                <w:szCs w:val="20"/>
              </w:rPr>
            </w:pPr>
          </w:p>
          <w:p w14:paraId="4EE44712">
            <w:pPr>
              <w:snapToGrid w:val="0"/>
              <w:spacing w:line="240" w:lineRule="auto"/>
              <w:jc w:val="center"/>
              <w:rPr>
                <w:rFonts w:cs="宋体"/>
                <w:sz w:val="15"/>
                <w:szCs w:val="20"/>
              </w:rPr>
            </w:pPr>
            <w:r>
              <w:rPr>
                <w:rFonts w:cs="宋体"/>
                <w:sz w:val="15"/>
                <w:szCs w:val="20"/>
              </w:rPr>
              <w:t>地下连续墙</w:t>
            </w:r>
          </w:p>
        </w:tc>
        <w:tc>
          <w:tcPr>
            <w:tcW w:w="1113" w:type="dxa"/>
            <w:gridSpan w:val="3"/>
            <w:vAlign w:val="center"/>
          </w:tcPr>
          <w:p w14:paraId="26874E50">
            <w:pPr>
              <w:snapToGrid w:val="0"/>
              <w:spacing w:line="240" w:lineRule="auto"/>
              <w:jc w:val="center"/>
              <w:rPr>
                <w:rFonts w:cs="宋体"/>
                <w:sz w:val="15"/>
                <w:szCs w:val="20"/>
              </w:rPr>
            </w:pPr>
            <w:r>
              <w:rPr>
                <w:rFonts w:cs="宋体"/>
                <w:sz w:val="15"/>
                <w:szCs w:val="20"/>
              </w:rPr>
              <w:t>灌注桩</w:t>
            </w:r>
          </w:p>
        </w:tc>
        <w:tc>
          <w:tcPr>
            <w:tcW w:w="774" w:type="dxa"/>
            <w:gridSpan w:val="2"/>
            <w:vAlign w:val="center"/>
          </w:tcPr>
          <w:p w14:paraId="2FD4258F">
            <w:pPr>
              <w:snapToGrid w:val="0"/>
              <w:spacing w:line="240" w:lineRule="auto"/>
              <w:jc w:val="center"/>
              <w:rPr>
                <w:rFonts w:cs="宋体"/>
                <w:sz w:val="15"/>
                <w:szCs w:val="20"/>
              </w:rPr>
            </w:pPr>
            <w:r>
              <w:rPr>
                <w:rFonts w:cs="宋体"/>
                <w:sz w:val="15"/>
                <w:szCs w:val="20"/>
              </w:rPr>
              <w:t>明(盖)挖法结构</w:t>
            </w:r>
          </w:p>
        </w:tc>
        <w:tc>
          <w:tcPr>
            <w:tcW w:w="1644" w:type="dxa"/>
            <w:gridSpan w:val="4"/>
            <w:vAlign w:val="center"/>
          </w:tcPr>
          <w:p w14:paraId="78B1B843">
            <w:pPr>
              <w:snapToGrid w:val="0"/>
              <w:spacing w:line="240" w:lineRule="auto"/>
              <w:jc w:val="center"/>
              <w:rPr>
                <w:rFonts w:cs="宋体"/>
                <w:sz w:val="15"/>
                <w:szCs w:val="20"/>
              </w:rPr>
            </w:pPr>
            <w:r>
              <w:rPr>
                <w:rFonts w:cs="宋体"/>
                <w:sz w:val="15"/>
                <w:szCs w:val="20"/>
              </w:rPr>
              <w:t>矿山法</w:t>
            </w:r>
          </w:p>
          <w:p w14:paraId="54F6CFF6">
            <w:pPr>
              <w:snapToGrid w:val="0"/>
              <w:spacing w:line="240" w:lineRule="auto"/>
              <w:jc w:val="center"/>
              <w:rPr>
                <w:rFonts w:cs="宋体"/>
                <w:sz w:val="15"/>
                <w:szCs w:val="20"/>
              </w:rPr>
            </w:pPr>
            <w:r>
              <w:rPr>
                <w:rFonts w:cs="宋体"/>
                <w:sz w:val="15"/>
                <w:szCs w:val="20"/>
              </w:rPr>
              <w:t>结构</w:t>
            </w:r>
          </w:p>
        </w:tc>
        <w:tc>
          <w:tcPr>
            <w:tcW w:w="774" w:type="dxa"/>
            <w:gridSpan w:val="2"/>
            <w:vAlign w:val="center"/>
          </w:tcPr>
          <w:p w14:paraId="1B94E051">
            <w:pPr>
              <w:snapToGrid w:val="0"/>
              <w:spacing w:line="240" w:lineRule="auto"/>
              <w:jc w:val="center"/>
              <w:rPr>
                <w:rFonts w:cs="宋体"/>
                <w:sz w:val="15"/>
                <w:szCs w:val="20"/>
              </w:rPr>
            </w:pPr>
            <w:r>
              <w:rPr>
                <w:rFonts w:cs="宋体"/>
                <w:sz w:val="15"/>
                <w:szCs w:val="20"/>
              </w:rPr>
              <w:t>盾构法</w:t>
            </w:r>
            <w:r>
              <w:rPr>
                <w:rFonts w:hint="eastAsia" w:cs="宋体"/>
                <w:sz w:val="15"/>
                <w:szCs w:val="20"/>
              </w:rPr>
              <w:t>、顶管法</w:t>
            </w:r>
          </w:p>
          <w:p w14:paraId="396E55FF">
            <w:pPr>
              <w:snapToGrid w:val="0"/>
              <w:spacing w:line="240" w:lineRule="auto"/>
              <w:jc w:val="center"/>
              <w:rPr>
                <w:rFonts w:cs="宋体"/>
                <w:sz w:val="15"/>
                <w:szCs w:val="20"/>
              </w:rPr>
            </w:pPr>
            <w:r>
              <w:rPr>
                <w:rFonts w:cs="宋体"/>
                <w:sz w:val="15"/>
                <w:szCs w:val="20"/>
              </w:rPr>
              <w:t>结构</w:t>
            </w:r>
          </w:p>
        </w:tc>
        <w:tc>
          <w:tcPr>
            <w:tcW w:w="924" w:type="dxa"/>
            <w:gridSpan w:val="2"/>
            <w:tcBorders>
              <w:right w:val="single" w:color="000000" w:sz="6" w:space="0"/>
            </w:tcBorders>
            <w:vAlign w:val="center"/>
          </w:tcPr>
          <w:p w14:paraId="58E5F7EB">
            <w:pPr>
              <w:snapToGrid w:val="0"/>
              <w:spacing w:line="240" w:lineRule="auto"/>
              <w:jc w:val="center"/>
              <w:rPr>
                <w:rFonts w:cs="宋体"/>
                <w:sz w:val="15"/>
                <w:szCs w:val="20"/>
              </w:rPr>
            </w:pPr>
          </w:p>
          <w:p w14:paraId="0964DBE0">
            <w:pPr>
              <w:snapToGrid w:val="0"/>
              <w:spacing w:line="240" w:lineRule="auto"/>
              <w:jc w:val="center"/>
              <w:rPr>
                <w:rFonts w:cs="宋体"/>
                <w:sz w:val="15"/>
                <w:szCs w:val="20"/>
              </w:rPr>
            </w:pPr>
            <w:r>
              <w:rPr>
                <w:rFonts w:cs="宋体"/>
                <w:sz w:val="15"/>
                <w:szCs w:val="20"/>
              </w:rPr>
              <w:t>内部结构</w:t>
            </w:r>
          </w:p>
        </w:tc>
      </w:tr>
      <w:tr w14:paraId="3042A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37" w:hRule="atLeast"/>
          <w:jc w:val="center"/>
        </w:trPr>
        <w:tc>
          <w:tcPr>
            <w:tcW w:w="338" w:type="dxa"/>
            <w:vMerge w:val="continue"/>
            <w:tcBorders>
              <w:top w:val="nil"/>
              <w:left w:val="single" w:color="000000" w:sz="6" w:space="0"/>
              <w:bottom w:val="nil"/>
            </w:tcBorders>
            <w:vAlign w:val="center"/>
          </w:tcPr>
          <w:p w14:paraId="1283346D">
            <w:pPr>
              <w:snapToGrid w:val="0"/>
              <w:spacing w:line="240" w:lineRule="auto"/>
              <w:jc w:val="center"/>
              <w:rPr>
                <w:rFonts w:cs="宋体"/>
                <w:sz w:val="15"/>
                <w:szCs w:val="20"/>
              </w:rPr>
            </w:pPr>
          </w:p>
        </w:tc>
        <w:tc>
          <w:tcPr>
            <w:tcW w:w="773" w:type="dxa"/>
            <w:gridSpan w:val="2"/>
            <w:vMerge w:val="continue"/>
            <w:tcBorders>
              <w:top w:val="nil"/>
            </w:tcBorders>
            <w:vAlign w:val="center"/>
          </w:tcPr>
          <w:p w14:paraId="4E7EE32F">
            <w:pPr>
              <w:snapToGrid w:val="0"/>
              <w:spacing w:line="240" w:lineRule="auto"/>
              <w:jc w:val="center"/>
              <w:rPr>
                <w:rFonts w:cs="宋体"/>
                <w:sz w:val="15"/>
                <w:szCs w:val="20"/>
              </w:rPr>
            </w:pPr>
          </w:p>
        </w:tc>
        <w:tc>
          <w:tcPr>
            <w:tcW w:w="774" w:type="dxa"/>
            <w:gridSpan w:val="2"/>
            <w:vAlign w:val="center"/>
          </w:tcPr>
          <w:p w14:paraId="74DE54A4">
            <w:pPr>
              <w:snapToGrid w:val="0"/>
              <w:spacing w:line="240" w:lineRule="auto"/>
              <w:jc w:val="center"/>
              <w:rPr>
                <w:rFonts w:cs="宋体"/>
                <w:sz w:val="15"/>
                <w:szCs w:val="20"/>
              </w:rPr>
            </w:pPr>
            <w:r>
              <w:rPr>
                <w:rFonts w:cs="宋体"/>
                <w:sz w:val="15"/>
                <w:szCs w:val="20"/>
              </w:rPr>
              <w:t>钻孔</w:t>
            </w:r>
          </w:p>
          <w:p w14:paraId="10621E3A">
            <w:pPr>
              <w:snapToGrid w:val="0"/>
              <w:spacing w:line="240" w:lineRule="auto"/>
              <w:jc w:val="center"/>
              <w:rPr>
                <w:rFonts w:cs="宋体"/>
                <w:sz w:val="15"/>
                <w:szCs w:val="20"/>
              </w:rPr>
            </w:pPr>
            <w:r>
              <w:rPr>
                <w:rFonts w:cs="宋体"/>
                <w:sz w:val="15"/>
                <w:szCs w:val="20"/>
              </w:rPr>
              <w:t>灌注桩</w:t>
            </w:r>
          </w:p>
        </w:tc>
        <w:tc>
          <w:tcPr>
            <w:tcW w:w="339" w:type="dxa"/>
            <w:vMerge w:val="restart"/>
            <w:tcBorders>
              <w:bottom w:val="nil"/>
            </w:tcBorders>
            <w:vAlign w:val="center"/>
          </w:tcPr>
          <w:p w14:paraId="1F2E5A49">
            <w:pPr>
              <w:snapToGrid w:val="0"/>
              <w:spacing w:line="240" w:lineRule="auto"/>
              <w:jc w:val="center"/>
              <w:rPr>
                <w:rFonts w:cs="宋体"/>
                <w:sz w:val="15"/>
                <w:szCs w:val="20"/>
              </w:rPr>
            </w:pPr>
          </w:p>
          <w:p w14:paraId="504A535F">
            <w:pPr>
              <w:snapToGrid w:val="0"/>
              <w:spacing w:line="240" w:lineRule="auto"/>
              <w:jc w:val="center"/>
              <w:rPr>
                <w:rFonts w:cs="宋体"/>
                <w:sz w:val="15"/>
                <w:szCs w:val="20"/>
              </w:rPr>
            </w:pPr>
          </w:p>
          <w:p w14:paraId="4E6D4DD6">
            <w:pPr>
              <w:snapToGrid w:val="0"/>
              <w:spacing w:line="240" w:lineRule="auto"/>
              <w:jc w:val="center"/>
              <w:rPr>
                <w:rFonts w:cs="宋体"/>
                <w:sz w:val="15"/>
                <w:szCs w:val="20"/>
              </w:rPr>
            </w:pPr>
            <w:r>
              <w:rPr>
                <w:rFonts w:cs="宋体"/>
                <w:sz w:val="15"/>
                <w:szCs w:val="20"/>
              </w:rPr>
              <w:t>人工</w:t>
            </w:r>
          </w:p>
          <w:p w14:paraId="524FDAEA">
            <w:pPr>
              <w:snapToGrid w:val="0"/>
              <w:spacing w:line="240" w:lineRule="auto"/>
              <w:jc w:val="center"/>
              <w:rPr>
                <w:rFonts w:cs="宋体"/>
                <w:sz w:val="15"/>
                <w:szCs w:val="20"/>
              </w:rPr>
            </w:pPr>
            <w:r>
              <w:rPr>
                <w:rFonts w:cs="宋体"/>
                <w:sz w:val="15"/>
                <w:szCs w:val="20"/>
              </w:rPr>
              <w:t>挖孔</w:t>
            </w:r>
          </w:p>
          <w:p w14:paraId="5C8E2A7B">
            <w:pPr>
              <w:snapToGrid w:val="0"/>
              <w:spacing w:line="240" w:lineRule="auto"/>
              <w:jc w:val="center"/>
              <w:rPr>
                <w:rFonts w:cs="宋体"/>
                <w:sz w:val="15"/>
                <w:szCs w:val="20"/>
              </w:rPr>
            </w:pPr>
            <w:r>
              <w:rPr>
                <w:rFonts w:cs="宋体"/>
                <w:sz w:val="15"/>
                <w:szCs w:val="20"/>
              </w:rPr>
              <w:t>桩</w:t>
            </w:r>
          </w:p>
        </w:tc>
        <w:tc>
          <w:tcPr>
            <w:tcW w:w="774" w:type="dxa"/>
            <w:gridSpan w:val="2"/>
            <w:vAlign w:val="center"/>
          </w:tcPr>
          <w:p w14:paraId="5500AAF7">
            <w:pPr>
              <w:snapToGrid w:val="0"/>
              <w:spacing w:line="240" w:lineRule="auto"/>
              <w:jc w:val="center"/>
              <w:rPr>
                <w:rFonts w:cs="宋体"/>
                <w:sz w:val="15"/>
                <w:szCs w:val="20"/>
              </w:rPr>
            </w:pPr>
            <w:r>
              <w:rPr>
                <w:rFonts w:cs="宋体"/>
                <w:sz w:val="15"/>
                <w:szCs w:val="20"/>
              </w:rPr>
              <w:t>顶板、底板及外墙</w:t>
            </w:r>
          </w:p>
        </w:tc>
        <w:tc>
          <w:tcPr>
            <w:tcW w:w="774" w:type="dxa"/>
            <w:gridSpan w:val="2"/>
            <w:vAlign w:val="center"/>
          </w:tcPr>
          <w:p w14:paraId="15ABB05B">
            <w:pPr>
              <w:snapToGrid w:val="0"/>
              <w:spacing w:line="240" w:lineRule="auto"/>
              <w:jc w:val="center"/>
              <w:rPr>
                <w:rFonts w:cs="宋体"/>
                <w:sz w:val="15"/>
                <w:szCs w:val="20"/>
              </w:rPr>
            </w:pPr>
            <w:r>
              <w:rPr>
                <w:rFonts w:cs="宋体"/>
                <w:sz w:val="15"/>
                <w:szCs w:val="20"/>
              </w:rPr>
              <w:t>初期</w:t>
            </w:r>
          </w:p>
          <w:p w14:paraId="769958BD">
            <w:pPr>
              <w:snapToGrid w:val="0"/>
              <w:spacing w:line="240" w:lineRule="auto"/>
              <w:jc w:val="center"/>
              <w:rPr>
                <w:rFonts w:cs="宋体"/>
                <w:sz w:val="15"/>
                <w:szCs w:val="20"/>
              </w:rPr>
            </w:pPr>
            <w:r>
              <w:rPr>
                <w:rFonts w:cs="宋体"/>
                <w:sz w:val="15"/>
                <w:szCs w:val="20"/>
              </w:rPr>
              <w:t>支护</w:t>
            </w:r>
          </w:p>
        </w:tc>
        <w:tc>
          <w:tcPr>
            <w:tcW w:w="870" w:type="dxa"/>
            <w:gridSpan w:val="2"/>
            <w:vAlign w:val="center"/>
          </w:tcPr>
          <w:p w14:paraId="73EE4803">
            <w:pPr>
              <w:snapToGrid w:val="0"/>
              <w:spacing w:line="240" w:lineRule="auto"/>
              <w:jc w:val="center"/>
              <w:rPr>
                <w:rFonts w:cs="宋体"/>
                <w:sz w:val="15"/>
                <w:szCs w:val="20"/>
              </w:rPr>
            </w:pPr>
            <w:r>
              <w:rPr>
                <w:rFonts w:cs="宋体"/>
                <w:sz w:val="15"/>
                <w:szCs w:val="20"/>
              </w:rPr>
              <w:t>二次</w:t>
            </w:r>
          </w:p>
          <w:p w14:paraId="174D96F3">
            <w:pPr>
              <w:snapToGrid w:val="0"/>
              <w:spacing w:line="240" w:lineRule="auto"/>
              <w:jc w:val="center"/>
              <w:rPr>
                <w:rFonts w:cs="宋体"/>
                <w:sz w:val="15"/>
                <w:szCs w:val="20"/>
              </w:rPr>
            </w:pPr>
            <w:r>
              <w:rPr>
                <w:rFonts w:cs="宋体"/>
                <w:sz w:val="15"/>
                <w:szCs w:val="20"/>
              </w:rPr>
              <w:t>衬砌</w:t>
            </w:r>
          </w:p>
        </w:tc>
        <w:tc>
          <w:tcPr>
            <w:tcW w:w="774" w:type="dxa"/>
            <w:gridSpan w:val="2"/>
            <w:vAlign w:val="center"/>
          </w:tcPr>
          <w:p w14:paraId="16A4A57F">
            <w:pPr>
              <w:snapToGrid w:val="0"/>
              <w:spacing w:line="240" w:lineRule="auto"/>
              <w:jc w:val="center"/>
              <w:rPr>
                <w:rFonts w:cs="宋体"/>
                <w:sz w:val="15"/>
                <w:szCs w:val="20"/>
              </w:rPr>
            </w:pPr>
            <w:r>
              <w:rPr>
                <w:rFonts w:cs="宋体"/>
                <w:sz w:val="15"/>
                <w:szCs w:val="20"/>
              </w:rPr>
              <w:t>钢筋</w:t>
            </w:r>
          </w:p>
          <w:p w14:paraId="456DBBF9">
            <w:pPr>
              <w:snapToGrid w:val="0"/>
              <w:spacing w:line="240" w:lineRule="auto"/>
              <w:jc w:val="center"/>
              <w:rPr>
                <w:rFonts w:cs="宋体"/>
                <w:sz w:val="15"/>
                <w:szCs w:val="20"/>
              </w:rPr>
            </w:pPr>
            <w:r>
              <w:rPr>
                <w:rFonts w:cs="宋体"/>
                <w:sz w:val="15"/>
                <w:szCs w:val="20"/>
              </w:rPr>
              <w:t>混凝土</w:t>
            </w:r>
          </w:p>
          <w:p w14:paraId="1DD11A33">
            <w:pPr>
              <w:snapToGrid w:val="0"/>
              <w:spacing w:line="240" w:lineRule="auto"/>
              <w:jc w:val="center"/>
              <w:rPr>
                <w:rFonts w:cs="宋体"/>
                <w:sz w:val="15"/>
                <w:szCs w:val="20"/>
              </w:rPr>
            </w:pPr>
            <w:r>
              <w:rPr>
                <w:rFonts w:cs="宋体"/>
                <w:sz w:val="15"/>
                <w:szCs w:val="20"/>
              </w:rPr>
              <w:t>管片</w:t>
            </w:r>
          </w:p>
        </w:tc>
        <w:tc>
          <w:tcPr>
            <w:tcW w:w="462" w:type="dxa"/>
            <w:vMerge w:val="restart"/>
            <w:tcBorders>
              <w:bottom w:val="nil"/>
            </w:tcBorders>
            <w:vAlign w:val="center"/>
          </w:tcPr>
          <w:p w14:paraId="79E6C8BA">
            <w:pPr>
              <w:snapToGrid w:val="0"/>
              <w:spacing w:line="240" w:lineRule="auto"/>
              <w:jc w:val="center"/>
              <w:rPr>
                <w:rFonts w:cs="宋体"/>
                <w:sz w:val="15"/>
                <w:szCs w:val="20"/>
              </w:rPr>
            </w:pPr>
          </w:p>
          <w:p w14:paraId="25AF7C3C">
            <w:pPr>
              <w:snapToGrid w:val="0"/>
              <w:spacing w:line="240" w:lineRule="auto"/>
              <w:jc w:val="center"/>
              <w:rPr>
                <w:rFonts w:cs="宋体"/>
                <w:sz w:val="15"/>
                <w:szCs w:val="20"/>
              </w:rPr>
            </w:pPr>
          </w:p>
          <w:p w14:paraId="583DDC97">
            <w:pPr>
              <w:snapToGrid w:val="0"/>
              <w:spacing w:line="240" w:lineRule="auto"/>
              <w:jc w:val="center"/>
              <w:rPr>
                <w:rFonts w:cs="宋体"/>
                <w:sz w:val="15"/>
                <w:szCs w:val="20"/>
              </w:rPr>
            </w:pPr>
            <w:r>
              <w:rPr>
                <w:rFonts w:cs="宋体"/>
                <w:sz w:val="15"/>
                <w:szCs w:val="20"/>
              </w:rPr>
              <w:t>内部梁、柱</w:t>
            </w:r>
          </w:p>
        </w:tc>
        <w:tc>
          <w:tcPr>
            <w:tcW w:w="462" w:type="dxa"/>
            <w:vMerge w:val="restart"/>
            <w:tcBorders>
              <w:bottom w:val="nil"/>
              <w:right w:val="single" w:color="000000" w:sz="6" w:space="0"/>
            </w:tcBorders>
            <w:vAlign w:val="center"/>
          </w:tcPr>
          <w:p w14:paraId="5844820B">
            <w:pPr>
              <w:snapToGrid w:val="0"/>
              <w:spacing w:line="240" w:lineRule="auto"/>
              <w:jc w:val="center"/>
              <w:rPr>
                <w:rFonts w:cs="宋体"/>
                <w:sz w:val="15"/>
                <w:szCs w:val="20"/>
              </w:rPr>
            </w:pPr>
            <w:r>
              <w:rPr>
                <w:rFonts w:cs="宋体"/>
                <w:sz w:val="15"/>
                <w:szCs w:val="20"/>
              </w:rPr>
              <mc:AlternateContent>
                <mc:Choice Requires="wps">
                  <w:drawing>
                    <wp:anchor distT="0" distB="0" distL="114300" distR="114300" simplePos="0" relativeHeight="251666432" behindDoc="0" locked="0" layoutInCell="1" allowOverlap="1">
                      <wp:simplePos x="0" y="0"/>
                      <wp:positionH relativeFrom="page">
                        <wp:posOffset>6743700</wp:posOffset>
                      </wp:positionH>
                      <wp:positionV relativeFrom="page">
                        <wp:posOffset>2891790</wp:posOffset>
                      </wp:positionV>
                      <wp:extent cx="12700" cy="48895"/>
                      <wp:effectExtent l="0" t="0" r="6350" b="8255"/>
                      <wp:wrapNone/>
                      <wp:docPr id="908015512" name="矩形 4"/>
                      <wp:cNvGraphicFramePr/>
                      <a:graphic xmlns:a="http://schemas.openxmlformats.org/drawingml/2006/main">
                        <a:graphicData uri="http://schemas.microsoft.com/office/word/2010/wordprocessingShape">
                          <wps:wsp>
                            <wps:cNvSpPr>
                              <a:spLocks noChangeArrowheads="1"/>
                            </wps:cNvSpPr>
                            <wps:spPr bwMode="auto">
                              <a:xfrm>
                                <a:off x="0" y="0"/>
                                <a:ext cx="12700" cy="4889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矩形 4" o:spid="_x0000_s1026" o:spt="1" style="position:absolute;left:0pt;margin-left:531pt;margin-top:227.7pt;height:3.85pt;width:1pt;mso-position-horizontal-relative:page;mso-position-vertical-relative:page;z-index:251666432;mso-width-relative:page;mso-height-relative:page;" fillcolor="#000000" filled="t" stroked="f" coordsize="21600,21600" o:gfxdata="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jLJR&#10;2gAAAA0BAAAPAAAAAAAAAAEAIAAAACIAAABkcnMvZG93bnJldi54bWxQSwECFAAUAAAACACHTuJA&#10;7s32RR8CAAArBAAADgAAAAAAAAABACAAAAApAQAAZHJzL2Uyb0RvYy54bWxQSwUGAAAAAAYABgBZ&#10;AQAAugUAAAAA&#10;">
                      <v:fill on="t" focussize="0,0"/>
                      <v:stroke on="f"/>
                      <v:imagedata o:title=""/>
                      <o:lock v:ext="edit" aspectratio="f"/>
                    </v:rect>
                  </w:pict>
                </mc:Fallback>
              </mc:AlternateContent>
            </w:r>
          </w:p>
          <w:p w14:paraId="573DBD22">
            <w:pPr>
              <w:snapToGrid w:val="0"/>
              <w:spacing w:line="240" w:lineRule="auto"/>
              <w:jc w:val="center"/>
              <w:rPr>
                <w:rFonts w:cs="宋体"/>
                <w:sz w:val="15"/>
                <w:szCs w:val="20"/>
              </w:rPr>
            </w:pPr>
          </w:p>
          <w:p w14:paraId="768D92B8">
            <w:pPr>
              <w:snapToGrid w:val="0"/>
              <w:spacing w:line="240" w:lineRule="auto"/>
              <w:jc w:val="center"/>
              <w:rPr>
                <w:rFonts w:cs="宋体"/>
                <w:sz w:val="15"/>
                <w:szCs w:val="20"/>
              </w:rPr>
            </w:pPr>
            <w:r>
              <w:rPr>
                <w:rFonts w:cs="宋体"/>
                <w:sz w:val="15"/>
                <w:szCs w:val="20"/>
              </w:rPr>
              <w:t>楼板、楼梯、内墙、站台板</w:t>
            </w:r>
          </w:p>
        </w:tc>
      </w:tr>
      <w:tr w14:paraId="5BEE6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10" w:hRule="atLeast"/>
          <w:jc w:val="center"/>
        </w:trPr>
        <w:tc>
          <w:tcPr>
            <w:tcW w:w="338" w:type="dxa"/>
            <w:vMerge w:val="continue"/>
            <w:tcBorders>
              <w:top w:val="nil"/>
              <w:left w:val="single" w:color="000000" w:sz="6" w:space="0"/>
            </w:tcBorders>
            <w:vAlign w:val="center"/>
          </w:tcPr>
          <w:p w14:paraId="0810D5C8">
            <w:pPr>
              <w:snapToGrid w:val="0"/>
              <w:spacing w:line="240" w:lineRule="auto"/>
              <w:jc w:val="center"/>
              <w:rPr>
                <w:rFonts w:cs="宋体"/>
                <w:sz w:val="15"/>
                <w:szCs w:val="20"/>
              </w:rPr>
            </w:pPr>
          </w:p>
        </w:tc>
        <w:tc>
          <w:tcPr>
            <w:tcW w:w="386" w:type="dxa"/>
            <w:textDirection w:val="tbRlV"/>
            <w:vAlign w:val="center"/>
          </w:tcPr>
          <w:p w14:paraId="08E60485">
            <w:pPr>
              <w:snapToGrid w:val="0"/>
              <w:spacing w:line="240" w:lineRule="auto"/>
              <w:jc w:val="center"/>
              <w:rPr>
                <w:rFonts w:cs="宋体"/>
                <w:sz w:val="15"/>
                <w:szCs w:val="20"/>
              </w:rPr>
            </w:pPr>
            <w:r>
              <w:rPr>
                <w:rFonts w:cs="宋体"/>
                <w:sz w:val="15"/>
                <w:szCs w:val="20"/>
              </w:rPr>
              <w:t>外侧</w:t>
            </w:r>
          </w:p>
        </w:tc>
        <w:tc>
          <w:tcPr>
            <w:tcW w:w="387" w:type="dxa"/>
            <w:textDirection w:val="tbRlV"/>
            <w:vAlign w:val="center"/>
          </w:tcPr>
          <w:p w14:paraId="7B4811E5">
            <w:pPr>
              <w:snapToGrid w:val="0"/>
              <w:spacing w:line="240" w:lineRule="auto"/>
              <w:jc w:val="center"/>
              <w:rPr>
                <w:rFonts w:cs="宋体"/>
                <w:sz w:val="15"/>
                <w:szCs w:val="20"/>
              </w:rPr>
            </w:pPr>
            <w:r>
              <w:rPr>
                <w:rFonts w:cs="宋体"/>
                <w:sz w:val="15"/>
                <w:szCs w:val="20"/>
              </w:rPr>
              <w:t>内侧</w:t>
            </w:r>
          </w:p>
        </w:tc>
        <w:tc>
          <w:tcPr>
            <w:tcW w:w="387" w:type="dxa"/>
            <w:textDirection w:val="tbRlV"/>
            <w:vAlign w:val="center"/>
          </w:tcPr>
          <w:p w14:paraId="16E36525">
            <w:pPr>
              <w:snapToGrid w:val="0"/>
              <w:spacing w:line="240" w:lineRule="auto"/>
              <w:jc w:val="center"/>
              <w:rPr>
                <w:rFonts w:cs="宋体"/>
                <w:sz w:val="15"/>
                <w:szCs w:val="20"/>
              </w:rPr>
            </w:pPr>
            <w:r>
              <w:rPr>
                <w:rFonts w:cs="宋体"/>
                <w:sz w:val="15"/>
                <w:szCs w:val="20"/>
              </w:rPr>
              <w:t>永久构件</w:t>
            </w:r>
          </w:p>
        </w:tc>
        <w:tc>
          <w:tcPr>
            <w:tcW w:w="387" w:type="dxa"/>
            <w:textDirection w:val="tbRlV"/>
            <w:vAlign w:val="center"/>
          </w:tcPr>
          <w:p w14:paraId="2CAC0619">
            <w:pPr>
              <w:snapToGrid w:val="0"/>
              <w:spacing w:line="240" w:lineRule="auto"/>
              <w:jc w:val="center"/>
              <w:rPr>
                <w:rFonts w:cs="宋体"/>
                <w:sz w:val="15"/>
                <w:szCs w:val="20"/>
              </w:rPr>
            </w:pPr>
            <w:r>
              <w:rPr>
                <w:rFonts w:cs="宋体"/>
                <w:sz w:val="15"/>
                <w:szCs w:val="20"/>
              </w:rPr>
              <w:t>临时构件</w:t>
            </w:r>
          </w:p>
        </w:tc>
        <w:tc>
          <w:tcPr>
            <w:tcW w:w="339" w:type="dxa"/>
            <w:vMerge w:val="continue"/>
            <w:tcBorders>
              <w:top w:val="nil"/>
            </w:tcBorders>
            <w:vAlign w:val="center"/>
          </w:tcPr>
          <w:p w14:paraId="5E72B5C3">
            <w:pPr>
              <w:snapToGrid w:val="0"/>
              <w:spacing w:line="240" w:lineRule="auto"/>
              <w:jc w:val="center"/>
              <w:rPr>
                <w:rFonts w:cs="宋体"/>
                <w:sz w:val="15"/>
                <w:szCs w:val="20"/>
              </w:rPr>
            </w:pPr>
          </w:p>
        </w:tc>
        <w:tc>
          <w:tcPr>
            <w:tcW w:w="387" w:type="dxa"/>
            <w:textDirection w:val="tbRlV"/>
            <w:vAlign w:val="center"/>
          </w:tcPr>
          <w:p w14:paraId="71B3DB05">
            <w:pPr>
              <w:snapToGrid w:val="0"/>
              <w:spacing w:line="240" w:lineRule="auto"/>
              <w:jc w:val="center"/>
              <w:rPr>
                <w:rFonts w:cs="宋体"/>
                <w:sz w:val="15"/>
                <w:szCs w:val="20"/>
              </w:rPr>
            </w:pPr>
            <w:r>
              <w:rPr>
                <w:rFonts w:cs="宋体"/>
                <w:sz w:val="15"/>
                <w:szCs w:val="20"/>
              </w:rPr>
              <w:t>外侧</w:t>
            </w:r>
          </w:p>
        </w:tc>
        <w:tc>
          <w:tcPr>
            <w:tcW w:w="387" w:type="dxa"/>
            <w:textDirection w:val="tbRlV"/>
            <w:vAlign w:val="center"/>
          </w:tcPr>
          <w:p w14:paraId="1BE63F36">
            <w:pPr>
              <w:snapToGrid w:val="0"/>
              <w:spacing w:line="240" w:lineRule="auto"/>
              <w:jc w:val="center"/>
              <w:rPr>
                <w:rFonts w:cs="宋体"/>
                <w:sz w:val="15"/>
                <w:szCs w:val="20"/>
              </w:rPr>
            </w:pPr>
            <w:r>
              <w:rPr>
                <w:rFonts w:cs="宋体"/>
                <w:sz w:val="15"/>
                <w:szCs w:val="20"/>
              </w:rPr>
              <w:t>内侧</w:t>
            </w:r>
          </w:p>
        </w:tc>
        <w:tc>
          <w:tcPr>
            <w:tcW w:w="387" w:type="dxa"/>
            <w:textDirection w:val="tbRlV"/>
            <w:vAlign w:val="center"/>
          </w:tcPr>
          <w:p w14:paraId="6B13BFC6">
            <w:pPr>
              <w:snapToGrid w:val="0"/>
              <w:spacing w:line="240" w:lineRule="auto"/>
              <w:jc w:val="center"/>
              <w:rPr>
                <w:rFonts w:cs="宋体"/>
                <w:sz w:val="15"/>
                <w:szCs w:val="20"/>
              </w:rPr>
            </w:pPr>
            <w:r>
              <w:rPr>
                <w:rFonts w:cs="宋体"/>
                <w:sz w:val="15"/>
                <w:szCs w:val="20"/>
              </w:rPr>
              <w:t>外侧</w:t>
            </w:r>
          </w:p>
        </w:tc>
        <w:tc>
          <w:tcPr>
            <w:tcW w:w="387" w:type="dxa"/>
            <w:textDirection w:val="tbRlV"/>
            <w:vAlign w:val="center"/>
          </w:tcPr>
          <w:p w14:paraId="6FB101DE">
            <w:pPr>
              <w:snapToGrid w:val="0"/>
              <w:spacing w:line="240" w:lineRule="auto"/>
              <w:jc w:val="center"/>
              <w:rPr>
                <w:rFonts w:cs="宋体"/>
                <w:sz w:val="15"/>
                <w:szCs w:val="20"/>
              </w:rPr>
            </w:pPr>
            <w:r>
              <w:rPr>
                <w:rFonts w:cs="宋体"/>
                <w:sz w:val="15"/>
                <w:szCs w:val="20"/>
              </w:rPr>
              <w:t>内侧</w:t>
            </w:r>
          </w:p>
        </w:tc>
        <w:tc>
          <w:tcPr>
            <w:tcW w:w="469" w:type="dxa"/>
            <w:vAlign w:val="center"/>
          </w:tcPr>
          <w:p w14:paraId="74A19410">
            <w:pPr>
              <w:snapToGrid w:val="0"/>
              <w:spacing w:line="240" w:lineRule="auto"/>
              <w:jc w:val="center"/>
              <w:rPr>
                <w:rFonts w:cs="宋体"/>
                <w:sz w:val="15"/>
                <w:szCs w:val="20"/>
              </w:rPr>
            </w:pPr>
          </w:p>
          <w:p w14:paraId="75BA11BC">
            <w:pPr>
              <w:snapToGrid w:val="0"/>
              <w:spacing w:line="240" w:lineRule="auto"/>
              <w:jc w:val="center"/>
              <w:rPr>
                <w:rFonts w:cs="宋体"/>
                <w:sz w:val="15"/>
                <w:szCs w:val="20"/>
              </w:rPr>
            </w:pPr>
            <w:r>
              <w:rPr>
                <w:rFonts w:cs="宋体"/>
                <w:sz w:val="15"/>
                <w:szCs w:val="20"/>
              </w:rPr>
              <w:t>厚度≤500</w:t>
            </w:r>
          </w:p>
        </w:tc>
        <w:tc>
          <w:tcPr>
            <w:tcW w:w="401" w:type="dxa"/>
            <w:vAlign w:val="center"/>
          </w:tcPr>
          <w:p w14:paraId="7E475719">
            <w:pPr>
              <w:snapToGrid w:val="0"/>
              <w:spacing w:line="240" w:lineRule="auto"/>
              <w:jc w:val="center"/>
              <w:rPr>
                <w:rFonts w:cs="宋体"/>
                <w:sz w:val="15"/>
                <w:szCs w:val="20"/>
              </w:rPr>
            </w:pPr>
          </w:p>
          <w:p w14:paraId="11E55963">
            <w:pPr>
              <w:snapToGrid w:val="0"/>
              <w:spacing w:line="240" w:lineRule="auto"/>
              <w:jc w:val="center"/>
              <w:rPr>
                <w:rFonts w:cs="宋体"/>
                <w:sz w:val="15"/>
                <w:szCs w:val="20"/>
              </w:rPr>
            </w:pPr>
            <w:r>
              <w:rPr>
                <w:rFonts w:cs="宋体"/>
                <w:sz w:val="15"/>
                <w:szCs w:val="20"/>
              </w:rPr>
              <w:t>厚度</w:t>
            </w:r>
          </w:p>
          <w:p w14:paraId="26A2F5D2">
            <w:pPr>
              <w:snapToGrid w:val="0"/>
              <w:spacing w:line="240" w:lineRule="auto"/>
              <w:jc w:val="center"/>
              <w:rPr>
                <w:rFonts w:cs="宋体"/>
                <w:sz w:val="15"/>
                <w:szCs w:val="20"/>
              </w:rPr>
            </w:pPr>
            <w:r>
              <w:rPr>
                <w:rFonts w:cs="宋体"/>
                <w:sz w:val="15"/>
                <w:szCs w:val="20"/>
              </w:rPr>
              <w:t>＞500</w:t>
            </w:r>
          </w:p>
        </w:tc>
        <w:tc>
          <w:tcPr>
            <w:tcW w:w="387" w:type="dxa"/>
            <w:textDirection w:val="tbRlV"/>
            <w:vAlign w:val="center"/>
          </w:tcPr>
          <w:p w14:paraId="54BD3E5F">
            <w:pPr>
              <w:snapToGrid w:val="0"/>
              <w:spacing w:line="240" w:lineRule="auto"/>
              <w:jc w:val="center"/>
              <w:rPr>
                <w:rFonts w:cs="宋体"/>
                <w:sz w:val="15"/>
                <w:szCs w:val="20"/>
              </w:rPr>
            </w:pPr>
            <w:r>
              <w:rPr>
                <w:rFonts w:cs="宋体"/>
                <w:sz w:val="15"/>
                <w:szCs w:val="20"/>
              </w:rPr>
              <w:t>外侧</w:t>
            </w:r>
          </w:p>
        </w:tc>
        <w:tc>
          <w:tcPr>
            <w:tcW w:w="387" w:type="dxa"/>
            <w:textDirection w:val="tbRlV"/>
            <w:vAlign w:val="center"/>
          </w:tcPr>
          <w:p w14:paraId="7B0EAE7B">
            <w:pPr>
              <w:snapToGrid w:val="0"/>
              <w:spacing w:line="240" w:lineRule="auto"/>
              <w:jc w:val="center"/>
              <w:rPr>
                <w:rFonts w:cs="宋体"/>
                <w:sz w:val="15"/>
                <w:szCs w:val="20"/>
              </w:rPr>
            </w:pPr>
            <w:r>
              <w:rPr>
                <w:rFonts w:cs="宋体"/>
                <w:sz w:val="15"/>
                <w:szCs w:val="20"/>
              </w:rPr>
              <w:t>内侧</w:t>
            </w:r>
          </w:p>
        </w:tc>
        <w:tc>
          <w:tcPr>
            <w:tcW w:w="462" w:type="dxa"/>
            <w:vMerge w:val="continue"/>
            <w:tcBorders>
              <w:top w:val="nil"/>
            </w:tcBorders>
            <w:vAlign w:val="center"/>
          </w:tcPr>
          <w:p w14:paraId="7D489B11">
            <w:pPr>
              <w:snapToGrid w:val="0"/>
              <w:spacing w:line="240" w:lineRule="auto"/>
              <w:jc w:val="center"/>
              <w:rPr>
                <w:rFonts w:cs="宋体"/>
                <w:sz w:val="15"/>
                <w:szCs w:val="20"/>
              </w:rPr>
            </w:pPr>
          </w:p>
        </w:tc>
        <w:tc>
          <w:tcPr>
            <w:tcW w:w="462" w:type="dxa"/>
            <w:vMerge w:val="continue"/>
            <w:tcBorders>
              <w:top w:val="nil"/>
              <w:right w:val="single" w:color="000000" w:sz="6" w:space="0"/>
            </w:tcBorders>
            <w:vAlign w:val="center"/>
          </w:tcPr>
          <w:p w14:paraId="6571DB14">
            <w:pPr>
              <w:snapToGrid w:val="0"/>
              <w:spacing w:line="240" w:lineRule="auto"/>
              <w:jc w:val="center"/>
              <w:rPr>
                <w:rFonts w:cs="宋体"/>
                <w:sz w:val="15"/>
                <w:szCs w:val="20"/>
              </w:rPr>
            </w:pPr>
          </w:p>
        </w:tc>
      </w:tr>
      <w:tr w14:paraId="233F7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2" w:hRule="atLeast"/>
          <w:jc w:val="center"/>
        </w:trPr>
        <w:tc>
          <w:tcPr>
            <w:tcW w:w="338" w:type="dxa"/>
            <w:tcBorders>
              <w:left w:val="single" w:color="000000" w:sz="6" w:space="0"/>
            </w:tcBorders>
            <w:vAlign w:val="center"/>
          </w:tcPr>
          <w:p w14:paraId="6478A157">
            <w:pPr>
              <w:snapToGrid w:val="0"/>
              <w:spacing w:line="240" w:lineRule="auto"/>
              <w:jc w:val="center"/>
              <w:rPr>
                <w:rFonts w:cs="宋体"/>
                <w:sz w:val="15"/>
                <w:szCs w:val="20"/>
              </w:rPr>
            </w:pPr>
            <w:r>
              <w:rPr>
                <w:rFonts w:cs="宋体"/>
                <w:sz w:val="15"/>
                <w:szCs w:val="20"/>
              </w:rPr>
              <w:t>保护层厚度</w:t>
            </w:r>
          </w:p>
        </w:tc>
        <w:tc>
          <w:tcPr>
            <w:tcW w:w="386" w:type="dxa"/>
            <w:vAlign w:val="center"/>
          </w:tcPr>
          <w:p w14:paraId="02D27594">
            <w:pPr>
              <w:snapToGrid w:val="0"/>
              <w:spacing w:line="240" w:lineRule="auto"/>
              <w:jc w:val="center"/>
              <w:rPr>
                <w:rFonts w:cs="宋体"/>
                <w:sz w:val="15"/>
                <w:szCs w:val="20"/>
              </w:rPr>
            </w:pPr>
            <w:r>
              <w:rPr>
                <w:rFonts w:cs="宋体"/>
                <w:sz w:val="15"/>
                <w:szCs w:val="20"/>
              </w:rPr>
              <w:t>70</w:t>
            </w:r>
          </w:p>
        </w:tc>
        <w:tc>
          <w:tcPr>
            <w:tcW w:w="387" w:type="dxa"/>
            <w:vAlign w:val="center"/>
          </w:tcPr>
          <w:p w14:paraId="5EF5629D">
            <w:pPr>
              <w:snapToGrid w:val="0"/>
              <w:spacing w:line="240" w:lineRule="auto"/>
              <w:jc w:val="center"/>
              <w:rPr>
                <w:rFonts w:cs="宋体"/>
                <w:sz w:val="15"/>
                <w:szCs w:val="20"/>
              </w:rPr>
            </w:pPr>
            <w:r>
              <w:rPr>
                <w:rFonts w:cs="宋体"/>
                <w:sz w:val="15"/>
                <w:szCs w:val="20"/>
              </w:rPr>
              <w:t>70</w:t>
            </w:r>
          </w:p>
        </w:tc>
        <w:tc>
          <w:tcPr>
            <w:tcW w:w="387" w:type="dxa"/>
            <w:vAlign w:val="center"/>
          </w:tcPr>
          <w:p w14:paraId="06D5158E">
            <w:pPr>
              <w:snapToGrid w:val="0"/>
              <w:spacing w:line="240" w:lineRule="auto"/>
              <w:jc w:val="center"/>
              <w:rPr>
                <w:rFonts w:cs="宋体"/>
                <w:sz w:val="15"/>
                <w:szCs w:val="20"/>
              </w:rPr>
            </w:pPr>
            <w:r>
              <w:rPr>
                <w:rFonts w:cs="宋体"/>
                <w:sz w:val="15"/>
                <w:szCs w:val="20"/>
              </w:rPr>
              <w:t>70</w:t>
            </w:r>
          </w:p>
        </w:tc>
        <w:tc>
          <w:tcPr>
            <w:tcW w:w="387" w:type="dxa"/>
            <w:vAlign w:val="center"/>
          </w:tcPr>
          <w:p w14:paraId="37A89E03">
            <w:pPr>
              <w:snapToGrid w:val="0"/>
              <w:spacing w:line="240" w:lineRule="auto"/>
              <w:jc w:val="center"/>
              <w:rPr>
                <w:rFonts w:cs="宋体"/>
                <w:sz w:val="15"/>
                <w:szCs w:val="20"/>
              </w:rPr>
            </w:pPr>
            <w:r>
              <w:rPr>
                <w:rFonts w:cs="宋体"/>
                <w:sz w:val="15"/>
                <w:szCs w:val="20"/>
              </w:rPr>
              <w:t>50</w:t>
            </w:r>
          </w:p>
        </w:tc>
        <w:tc>
          <w:tcPr>
            <w:tcW w:w="339" w:type="dxa"/>
            <w:vAlign w:val="center"/>
          </w:tcPr>
          <w:p w14:paraId="5AC2A01F">
            <w:pPr>
              <w:snapToGrid w:val="0"/>
              <w:spacing w:line="240" w:lineRule="auto"/>
              <w:jc w:val="center"/>
              <w:rPr>
                <w:rFonts w:cs="宋体"/>
                <w:sz w:val="15"/>
                <w:szCs w:val="20"/>
              </w:rPr>
            </w:pPr>
            <w:r>
              <w:rPr>
                <w:rFonts w:cs="宋体"/>
                <w:sz w:val="15"/>
                <w:szCs w:val="20"/>
              </w:rPr>
              <w:t>50</w:t>
            </w:r>
          </w:p>
        </w:tc>
        <w:tc>
          <w:tcPr>
            <w:tcW w:w="387" w:type="dxa"/>
            <w:vAlign w:val="center"/>
          </w:tcPr>
          <w:p w14:paraId="7785A697">
            <w:pPr>
              <w:snapToGrid w:val="0"/>
              <w:spacing w:line="240" w:lineRule="auto"/>
              <w:jc w:val="center"/>
              <w:rPr>
                <w:rFonts w:cs="宋体"/>
                <w:sz w:val="15"/>
                <w:szCs w:val="20"/>
              </w:rPr>
            </w:pPr>
            <w:r>
              <w:rPr>
                <w:rFonts w:cs="宋体"/>
                <w:sz w:val="15"/>
                <w:szCs w:val="20"/>
              </w:rPr>
              <w:t>45</w:t>
            </w:r>
          </w:p>
        </w:tc>
        <w:tc>
          <w:tcPr>
            <w:tcW w:w="387" w:type="dxa"/>
            <w:vAlign w:val="center"/>
          </w:tcPr>
          <w:p w14:paraId="5D54ED2F">
            <w:pPr>
              <w:snapToGrid w:val="0"/>
              <w:spacing w:line="240" w:lineRule="auto"/>
              <w:jc w:val="center"/>
              <w:rPr>
                <w:rFonts w:cs="宋体"/>
                <w:sz w:val="15"/>
                <w:szCs w:val="20"/>
              </w:rPr>
            </w:pPr>
            <w:r>
              <w:rPr>
                <w:rFonts w:cs="宋体"/>
                <w:sz w:val="15"/>
                <w:szCs w:val="20"/>
              </w:rPr>
              <w:t>35</w:t>
            </w:r>
          </w:p>
        </w:tc>
        <w:tc>
          <w:tcPr>
            <w:tcW w:w="387" w:type="dxa"/>
            <w:vAlign w:val="center"/>
          </w:tcPr>
          <w:p w14:paraId="1E1C0782">
            <w:pPr>
              <w:snapToGrid w:val="0"/>
              <w:spacing w:line="240" w:lineRule="auto"/>
              <w:jc w:val="center"/>
              <w:rPr>
                <w:rFonts w:cs="宋体"/>
                <w:sz w:val="15"/>
                <w:szCs w:val="20"/>
              </w:rPr>
            </w:pPr>
            <w:r>
              <w:rPr>
                <w:rFonts w:cs="宋体"/>
                <w:sz w:val="15"/>
                <w:szCs w:val="20"/>
              </w:rPr>
              <w:t>30</w:t>
            </w:r>
          </w:p>
        </w:tc>
        <w:tc>
          <w:tcPr>
            <w:tcW w:w="387" w:type="dxa"/>
            <w:vAlign w:val="center"/>
          </w:tcPr>
          <w:p w14:paraId="3458BB21">
            <w:pPr>
              <w:snapToGrid w:val="0"/>
              <w:spacing w:line="240" w:lineRule="auto"/>
              <w:jc w:val="center"/>
              <w:rPr>
                <w:rFonts w:cs="宋体"/>
                <w:sz w:val="15"/>
                <w:szCs w:val="20"/>
              </w:rPr>
            </w:pPr>
            <w:r>
              <w:rPr>
                <w:rFonts w:cs="宋体"/>
                <w:sz w:val="15"/>
                <w:szCs w:val="20"/>
              </w:rPr>
              <w:t>30</w:t>
            </w:r>
          </w:p>
        </w:tc>
        <w:tc>
          <w:tcPr>
            <w:tcW w:w="469" w:type="dxa"/>
            <w:vAlign w:val="center"/>
          </w:tcPr>
          <w:p w14:paraId="4B0F9D9B">
            <w:pPr>
              <w:snapToGrid w:val="0"/>
              <w:spacing w:line="240" w:lineRule="auto"/>
              <w:jc w:val="center"/>
              <w:rPr>
                <w:rFonts w:cs="宋体"/>
                <w:sz w:val="15"/>
                <w:szCs w:val="20"/>
              </w:rPr>
            </w:pPr>
            <w:r>
              <w:rPr>
                <w:rFonts w:cs="宋体"/>
                <w:sz w:val="15"/>
                <w:szCs w:val="20"/>
              </w:rPr>
              <w:t>35</w:t>
            </w:r>
          </w:p>
        </w:tc>
        <w:tc>
          <w:tcPr>
            <w:tcW w:w="401" w:type="dxa"/>
            <w:vAlign w:val="center"/>
          </w:tcPr>
          <w:p w14:paraId="311E1B20">
            <w:pPr>
              <w:snapToGrid w:val="0"/>
              <w:spacing w:line="240" w:lineRule="auto"/>
              <w:jc w:val="center"/>
              <w:rPr>
                <w:rFonts w:cs="宋体"/>
                <w:sz w:val="15"/>
                <w:szCs w:val="20"/>
              </w:rPr>
            </w:pPr>
            <w:r>
              <w:rPr>
                <w:rFonts w:cs="宋体"/>
                <w:sz w:val="15"/>
                <w:szCs w:val="20"/>
              </w:rPr>
              <w:t>40</w:t>
            </w:r>
          </w:p>
        </w:tc>
        <w:tc>
          <w:tcPr>
            <w:tcW w:w="387" w:type="dxa"/>
            <w:vAlign w:val="center"/>
          </w:tcPr>
          <w:p w14:paraId="6B036FF7">
            <w:pPr>
              <w:snapToGrid w:val="0"/>
              <w:spacing w:line="240" w:lineRule="auto"/>
              <w:jc w:val="center"/>
              <w:rPr>
                <w:rFonts w:cs="宋体"/>
                <w:sz w:val="15"/>
                <w:szCs w:val="20"/>
              </w:rPr>
            </w:pPr>
            <w:r>
              <w:rPr>
                <w:rFonts w:cs="宋体"/>
                <w:sz w:val="15"/>
                <w:szCs w:val="20"/>
              </w:rPr>
              <w:t>35</w:t>
            </w:r>
          </w:p>
        </w:tc>
        <w:tc>
          <w:tcPr>
            <w:tcW w:w="387" w:type="dxa"/>
            <w:vAlign w:val="center"/>
          </w:tcPr>
          <w:p w14:paraId="7DEB52A9">
            <w:pPr>
              <w:snapToGrid w:val="0"/>
              <w:spacing w:line="240" w:lineRule="auto"/>
              <w:jc w:val="center"/>
              <w:rPr>
                <w:rFonts w:cs="宋体"/>
                <w:sz w:val="15"/>
                <w:szCs w:val="20"/>
              </w:rPr>
            </w:pPr>
            <w:r>
              <w:rPr>
                <w:rFonts w:cs="宋体"/>
                <w:sz w:val="15"/>
                <w:szCs w:val="20"/>
              </w:rPr>
              <w:t>25</w:t>
            </w:r>
          </w:p>
        </w:tc>
        <w:tc>
          <w:tcPr>
            <w:tcW w:w="462" w:type="dxa"/>
            <w:vAlign w:val="center"/>
          </w:tcPr>
          <w:p w14:paraId="47CF0804">
            <w:pPr>
              <w:snapToGrid w:val="0"/>
              <w:spacing w:line="240" w:lineRule="auto"/>
              <w:jc w:val="center"/>
              <w:rPr>
                <w:rFonts w:cs="宋体"/>
                <w:sz w:val="15"/>
                <w:szCs w:val="20"/>
              </w:rPr>
            </w:pPr>
            <w:r>
              <w:rPr>
                <w:rFonts w:cs="宋体"/>
                <w:sz w:val="15"/>
                <w:szCs w:val="20"/>
              </w:rPr>
              <w:t>30</w:t>
            </w:r>
          </w:p>
        </w:tc>
        <w:tc>
          <w:tcPr>
            <w:tcW w:w="462" w:type="dxa"/>
            <w:tcBorders>
              <w:right w:val="single" w:color="000000" w:sz="6" w:space="0"/>
            </w:tcBorders>
            <w:vAlign w:val="center"/>
          </w:tcPr>
          <w:p w14:paraId="6C736D92">
            <w:pPr>
              <w:snapToGrid w:val="0"/>
              <w:spacing w:line="240" w:lineRule="auto"/>
              <w:jc w:val="center"/>
              <w:rPr>
                <w:rFonts w:cs="宋体"/>
                <w:sz w:val="15"/>
                <w:szCs w:val="20"/>
              </w:rPr>
            </w:pPr>
            <w:r>
              <w:rPr>
                <w:rFonts w:cs="宋体"/>
                <w:sz w:val="15"/>
                <w:szCs w:val="20"/>
              </w:rPr>
              <w:t>25</w:t>
            </w:r>
          </w:p>
        </w:tc>
      </w:tr>
    </w:tbl>
    <w:p w14:paraId="55DF873B">
      <w:pPr>
        <w:pStyle w:val="202"/>
        <w:ind w:firstLine="300"/>
        <w:rPr>
          <w:rFonts w:ascii="宋体" w:hAnsi="宋体" w:cs="宋体"/>
        </w:rPr>
      </w:pPr>
      <w:r>
        <w:rPr>
          <w:rFonts w:ascii="宋体" w:hAnsi="宋体" w:cs="宋体"/>
        </w:rPr>
        <w:t>注：</w:t>
      </w:r>
      <w:r>
        <w:rPr>
          <w:rFonts w:hint="eastAsia" w:ascii="宋体" w:hAnsi="宋体" w:cs="宋体"/>
        </w:rPr>
        <w:t xml:space="preserve">  </w:t>
      </w:r>
      <w:r>
        <w:rPr>
          <w:rFonts w:ascii="宋体" w:hAnsi="宋体" w:cs="宋体"/>
        </w:rPr>
        <w:t>受力钢筋的</w:t>
      </w:r>
      <w:r>
        <w:t>保护层</w:t>
      </w:r>
      <w:r>
        <w:rPr>
          <w:rFonts w:ascii="宋体" w:hAnsi="宋体" w:cs="宋体"/>
        </w:rPr>
        <w:t>厚度不应小于钢筋的公称直径。</w:t>
      </w:r>
    </w:p>
    <w:p w14:paraId="7B53CD47">
      <w:pPr>
        <w:pStyle w:val="4"/>
        <w:tabs>
          <w:tab w:val="left" w:pos="709"/>
          <w:tab w:val="clear" w:pos="462"/>
          <w:tab w:val="clear" w:pos="567"/>
          <w:tab w:val="clear" w:pos="794"/>
        </w:tabs>
        <w:rPr>
          <w:bCs w:val="0"/>
        </w:rPr>
      </w:pPr>
      <w:bookmarkStart w:id="815" w:name="_Toc183882115"/>
      <w:bookmarkStart w:id="816" w:name="_Toc183790554"/>
      <w:bookmarkStart w:id="817" w:name="_Toc183765124"/>
      <w:bookmarkStart w:id="818" w:name="_Toc183888529"/>
      <w:bookmarkStart w:id="819" w:name="_Toc183882477"/>
      <w:bookmarkStart w:id="820" w:name="_Toc183888167"/>
      <w:r>
        <w:rPr>
          <w:bCs w:val="0"/>
        </w:rPr>
        <w:t>工程材料</w:t>
      </w:r>
      <w:bookmarkEnd w:id="815"/>
      <w:bookmarkEnd w:id="816"/>
      <w:bookmarkEnd w:id="817"/>
      <w:bookmarkEnd w:id="818"/>
      <w:bookmarkEnd w:id="819"/>
      <w:bookmarkEnd w:id="820"/>
    </w:p>
    <w:p w14:paraId="58F71DBE">
      <w:pPr>
        <w:numPr>
          <w:ilvl w:val="2"/>
          <w:numId w:val="1"/>
        </w:numPr>
        <w:tabs>
          <w:tab w:val="left" w:pos="709"/>
          <w:tab w:val="left" w:pos="794"/>
        </w:tabs>
        <w:jc w:val="left"/>
        <w:outlineLvl w:val="2"/>
        <w:rPr>
          <w:bCs/>
        </w:rPr>
      </w:pPr>
      <w:r>
        <w:rPr>
          <w:bCs/>
        </w:rPr>
        <w:t>地下结构的工程材料应根据结构类型、受力条件、使用要求和所处环境条件等选用，并考虑可靠性、耐久性和经济性。主要受力结构宜采用钢筋混凝土结构，必要时也可采用钢管混凝土结构、钢骨混凝土结构、型钢混凝土组合结构和金属结构等。</w:t>
      </w:r>
    </w:p>
    <w:p w14:paraId="1B3CF318">
      <w:pPr>
        <w:numPr>
          <w:ilvl w:val="2"/>
          <w:numId w:val="1"/>
        </w:numPr>
        <w:tabs>
          <w:tab w:val="left" w:pos="709"/>
          <w:tab w:val="left" w:pos="794"/>
        </w:tabs>
        <w:jc w:val="left"/>
        <w:outlineLvl w:val="2"/>
        <w:rPr>
          <w:bCs/>
        </w:rPr>
      </w:pPr>
      <w:r>
        <w:rPr>
          <w:bCs/>
        </w:rPr>
        <w:t>混凝土材料应符合下列规定：</w:t>
      </w:r>
    </w:p>
    <w:p w14:paraId="0C4696DF">
      <w:pPr>
        <w:ind w:firstLine="422" w:firstLineChars="200"/>
      </w:pPr>
      <w:r>
        <w:rPr>
          <w:b/>
        </w:rPr>
        <w:t>1</w:t>
      </w:r>
      <w:r>
        <w:rPr>
          <w:rFonts w:hint="eastAsia"/>
          <w:b/>
        </w:rPr>
        <w:t xml:space="preserve">  </w:t>
      </w:r>
      <w:r>
        <w:t>混凝土的原材料和配比、最低强度等级、最大水胶比和单方混凝土的胶凝材料最小用量等应符合结构耐久性的规定，并应满足抗裂、抗渗、抗冻和抗侵蚀的要求。一般环境下的地下结构混凝土设计强度等级不得低于表1</w:t>
      </w:r>
      <w:r>
        <w:rPr>
          <w:rFonts w:hint="eastAsia"/>
        </w:rPr>
        <w:t>2</w:t>
      </w:r>
      <w:r>
        <w:t>.1</w:t>
      </w:r>
      <w:r>
        <w:rPr>
          <w:rFonts w:hint="eastAsia"/>
        </w:rPr>
        <w:t>1</w:t>
      </w:r>
      <w:r>
        <w:t>.2的规定；</w:t>
      </w:r>
    </w:p>
    <w:p w14:paraId="0B169081">
      <w:pPr>
        <w:widowControl/>
        <w:spacing w:line="240" w:lineRule="auto"/>
        <w:jc w:val="left"/>
      </w:pPr>
      <w:r>
        <w:br w:type="page"/>
      </w:r>
    </w:p>
    <w:p w14:paraId="7BB24DC5">
      <w:pPr>
        <w:adjustRightInd w:val="0"/>
        <w:snapToGrid w:val="0"/>
        <w:jc w:val="center"/>
        <w:rPr>
          <w:rFonts w:eastAsia="黑体"/>
          <w:sz w:val="18"/>
          <w:szCs w:val="18"/>
        </w:rPr>
      </w:pPr>
      <w:r>
        <w:rPr>
          <w:rFonts w:eastAsia="黑体"/>
          <w:sz w:val="18"/>
          <w:szCs w:val="18"/>
        </w:rPr>
        <w:t>表1</w:t>
      </w:r>
      <w:r>
        <w:rPr>
          <w:rFonts w:hint="eastAsia" w:eastAsia="黑体"/>
          <w:sz w:val="18"/>
          <w:szCs w:val="18"/>
        </w:rPr>
        <w:t>2</w:t>
      </w:r>
      <w:r>
        <w:rPr>
          <w:rFonts w:eastAsia="黑体"/>
          <w:sz w:val="18"/>
          <w:szCs w:val="18"/>
        </w:rPr>
        <w:t>.1</w:t>
      </w:r>
      <w:r>
        <w:rPr>
          <w:rFonts w:hint="eastAsia" w:eastAsia="黑体"/>
          <w:sz w:val="18"/>
          <w:szCs w:val="18"/>
        </w:rPr>
        <w:t>1</w:t>
      </w:r>
      <w:r>
        <w:rPr>
          <w:rFonts w:eastAsia="黑体"/>
          <w:sz w:val="18"/>
          <w:szCs w:val="18"/>
        </w:rPr>
        <w:t>.2</w:t>
      </w:r>
      <w:r>
        <w:rPr>
          <w:rFonts w:hint="eastAsia" w:eastAsia="黑体"/>
          <w:sz w:val="18"/>
          <w:szCs w:val="18"/>
        </w:rPr>
        <w:t xml:space="preserve">  </w:t>
      </w:r>
      <w:r>
        <w:rPr>
          <w:rFonts w:eastAsia="黑体"/>
          <w:sz w:val="18"/>
          <w:szCs w:val="18"/>
        </w:rPr>
        <w:t>一般环境下的地下结构混凝土最低强度等级</w:t>
      </w:r>
    </w:p>
    <w:tbl>
      <w:tblPr>
        <w:tblStyle w:val="88"/>
        <w:tblW w:w="63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169"/>
        <w:gridCol w:w="3171"/>
      </w:tblGrid>
      <w:tr w14:paraId="285CA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3" w:hRule="atLeast"/>
          <w:jc w:val="center"/>
        </w:trPr>
        <w:tc>
          <w:tcPr>
            <w:tcW w:w="3169" w:type="dxa"/>
            <w:tcBorders>
              <w:top w:val="single" w:color="000000" w:sz="2" w:space="0"/>
              <w:bottom w:val="single" w:color="000000" w:sz="2" w:space="0"/>
            </w:tcBorders>
            <w:vAlign w:val="center"/>
          </w:tcPr>
          <w:p w14:paraId="025E8584">
            <w:pPr>
              <w:snapToGrid w:val="0"/>
              <w:spacing w:before="20" w:after="20" w:line="240" w:lineRule="auto"/>
              <w:jc w:val="center"/>
              <w:rPr>
                <w:rFonts w:cs="宋体"/>
                <w:sz w:val="15"/>
                <w:szCs w:val="20"/>
              </w:rPr>
            </w:pPr>
            <w:r>
              <w:rPr>
                <w:rFonts w:cs="宋体"/>
                <w:sz w:val="15"/>
                <w:szCs w:val="20"/>
              </w:rPr>
              <w:t>作为永久构件的钢筋混凝土结构</w:t>
            </w:r>
          </w:p>
        </w:tc>
        <w:tc>
          <w:tcPr>
            <w:tcW w:w="3171" w:type="dxa"/>
            <w:tcBorders>
              <w:top w:val="single" w:color="000000" w:sz="2" w:space="0"/>
              <w:bottom w:val="single" w:color="000000" w:sz="2" w:space="0"/>
            </w:tcBorders>
            <w:vAlign w:val="center"/>
          </w:tcPr>
          <w:p w14:paraId="7F34D1AC">
            <w:pPr>
              <w:snapToGrid w:val="0"/>
              <w:spacing w:before="20" w:after="20" w:line="240" w:lineRule="auto"/>
              <w:jc w:val="center"/>
              <w:rPr>
                <w:rFonts w:cs="宋体"/>
                <w:sz w:val="15"/>
                <w:szCs w:val="20"/>
              </w:rPr>
            </w:pPr>
            <w:r>
              <w:rPr>
                <w:rFonts w:cs="宋体"/>
                <w:sz w:val="15"/>
                <w:szCs w:val="20"/>
              </w:rPr>
              <w:t>C35</w:t>
            </w:r>
          </w:p>
        </w:tc>
      </w:tr>
      <w:tr w14:paraId="4A21C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7" w:hRule="atLeast"/>
          <w:jc w:val="center"/>
        </w:trPr>
        <w:tc>
          <w:tcPr>
            <w:tcW w:w="3169" w:type="dxa"/>
            <w:tcBorders>
              <w:top w:val="single" w:color="000000" w:sz="2" w:space="0"/>
              <w:bottom w:val="single" w:color="000000" w:sz="2" w:space="0"/>
            </w:tcBorders>
            <w:vAlign w:val="center"/>
          </w:tcPr>
          <w:p w14:paraId="048950AB">
            <w:pPr>
              <w:snapToGrid w:val="0"/>
              <w:spacing w:before="20" w:after="20" w:line="240" w:lineRule="auto"/>
              <w:jc w:val="center"/>
              <w:rPr>
                <w:rFonts w:cs="宋体"/>
                <w:sz w:val="15"/>
                <w:szCs w:val="20"/>
              </w:rPr>
            </w:pPr>
            <w:r>
              <w:rPr>
                <w:rFonts w:cs="宋体"/>
                <w:sz w:val="15"/>
                <w:szCs w:val="20"/>
              </w:rPr>
              <w:t>作为临时构件的钢筋混凝土结构</w:t>
            </w:r>
          </w:p>
        </w:tc>
        <w:tc>
          <w:tcPr>
            <w:tcW w:w="3171" w:type="dxa"/>
            <w:tcBorders>
              <w:top w:val="single" w:color="000000" w:sz="2" w:space="0"/>
              <w:bottom w:val="single" w:color="000000" w:sz="2" w:space="0"/>
            </w:tcBorders>
            <w:vAlign w:val="center"/>
          </w:tcPr>
          <w:p w14:paraId="22E8701D">
            <w:pPr>
              <w:snapToGrid w:val="0"/>
              <w:spacing w:before="20" w:after="20" w:line="240" w:lineRule="auto"/>
              <w:jc w:val="center"/>
              <w:rPr>
                <w:rFonts w:cs="宋体"/>
                <w:sz w:val="15"/>
                <w:szCs w:val="20"/>
              </w:rPr>
            </w:pPr>
            <w:r>
              <w:rPr>
                <w:rFonts w:cs="宋体"/>
                <w:sz w:val="15"/>
                <w:szCs w:val="20"/>
              </w:rPr>
              <w:t>C25</w:t>
            </w:r>
          </w:p>
        </w:tc>
      </w:tr>
      <w:tr w14:paraId="0AACA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8" w:hRule="atLeast"/>
          <w:jc w:val="center"/>
        </w:trPr>
        <w:tc>
          <w:tcPr>
            <w:tcW w:w="3169" w:type="dxa"/>
            <w:tcBorders>
              <w:top w:val="single" w:color="000000" w:sz="2" w:space="0"/>
              <w:bottom w:val="single" w:color="000000" w:sz="2" w:space="0"/>
            </w:tcBorders>
            <w:vAlign w:val="center"/>
          </w:tcPr>
          <w:p w14:paraId="0BE8C8BF">
            <w:pPr>
              <w:snapToGrid w:val="0"/>
              <w:spacing w:before="20" w:after="20" w:line="240" w:lineRule="auto"/>
              <w:jc w:val="center"/>
              <w:rPr>
                <w:rFonts w:cs="宋体"/>
                <w:sz w:val="15"/>
                <w:szCs w:val="20"/>
              </w:rPr>
            </w:pPr>
            <w:r>
              <w:rPr>
                <w:rFonts w:cs="宋体"/>
                <w:sz w:val="15"/>
                <w:szCs w:val="20"/>
              </w:rPr>
              <w:t>装配式钢筋混凝土管片</w:t>
            </w:r>
          </w:p>
        </w:tc>
        <w:tc>
          <w:tcPr>
            <w:tcW w:w="3171" w:type="dxa"/>
            <w:tcBorders>
              <w:top w:val="single" w:color="000000" w:sz="2" w:space="0"/>
              <w:bottom w:val="single" w:color="000000" w:sz="2" w:space="0"/>
            </w:tcBorders>
            <w:vAlign w:val="center"/>
          </w:tcPr>
          <w:p w14:paraId="7C6A0772">
            <w:pPr>
              <w:snapToGrid w:val="0"/>
              <w:spacing w:before="20" w:after="20" w:line="240" w:lineRule="auto"/>
              <w:jc w:val="center"/>
              <w:rPr>
                <w:rFonts w:cs="宋体"/>
                <w:sz w:val="15"/>
                <w:szCs w:val="20"/>
              </w:rPr>
            </w:pPr>
            <w:r>
              <w:rPr>
                <w:rFonts w:cs="宋体"/>
                <w:sz w:val="15"/>
                <w:szCs w:val="20"/>
              </w:rPr>
              <w:t>C50</w:t>
            </w:r>
          </w:p>
        </w:tc>
      </w:tr>
      <w:tr w14:paraId="0F033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2" w:hRule="atLeast"/>
          <w:jc w:val="center"/>
        </w:trPr>
        <w:tc>
          <w:tcPr>
            <w:tcW w:w="3169" w:type="dxa"/>
            <w:tcBorders>
              <w:top w:val="single" w:color="000000" w:sz="2" w:space="0"/>
              <w:bottom w:val="single" w:color="000000" w:sz="2" w:space="0"/>
            </w:tcBorders>
            <w:vAlign w:val="center"/>
          </w:tcPr>
          <w:p w14:paraId="1D582B2D">
            <w:pPr>
              <w:snapToGrid w:val="0"/>
              <w:spacing w:before="20" w:after="20" w:line="240" w:lineRule="auto"/>
              <w:jc w:val="center"/>
              <w:rPr>
                <w:rFonts w:cs="宋体"/>
                <w:sz w:val="15"/>
                <w:szCs w:val="20"/>
              </w:rPr>
            </w:pPr>
            <w:r>
              <w:rPr>
                <w:rFonts w:cs="宋体"/>
                <w:sz w:val="15"/>
                <w:szCs w:val="20"/>
              </w:rPr>
              <w:t>喷射混凝土结构</w:t>
            </w:r>
          </w:p>
        </w:tc>
        <w:tc>
          <w:tcPr>
            <w:tcW w:w="3171" w:type="dxa"/>
            <w:tcBorders>
              <w:top w:val="single" w:color="000000" w:sz="2" w:space="0"/>
              <w:bottom w:val="single" w:color="000000" w:sz="2" w:space="0"/>
            </w:tcBorders>
            <w:vAlign w:val="center"/>
          </w:tcPr>
          <w:p w14:paraId="5A7D2BB9">
            <w:pPr>
              <w:snapToGrid w:val="0"/>
              <w:spacing w:before="20" w:after="20" w:line="240" w:lineRule="auto"/>
              <w:jc w:val="center"/>
              <w:rPr>
                <w:rFonts w:cs="宋体"/>
                <w:sz w:val="15"/>
                <w:szCs w:val="20"/>
              </w:rPr>
            </w:pPr>
            <w:r>
              <w:rPr>
                <w:rFonts w:cs="宋体"/>
                <w:sz w:val="15"/>
                <w:szCs w:val="20"/>
              </w:rPr>
              <w:t>C20</w:t>
            </w:r>
          </w:p>
        </w:tc>
      </w:tr>
    </w:tbl>
    <w:p w14:paraId="089E084B">
      <w:pPr>
        <w:ind w:firstLine="422" w:firstLineChars="200"/>
      </w:pPr>
      <w:r>
        <w:rPr>
          <w:b/>
        </w:rPr>
        <w:t>2</w:t>
      </w:r>
      <w:r>
        <w:rPr>
          <w:rFonts w:hint="eastAsia"/>
          <w:b/>
        </w:rPr>
        <w:t xml:space="preserve"> </w:t>
      </w:r>
      <w:r>
        <w:rPr>
          <w:rFonts w:hint="eastAsia"/>
        </w:rPr>
        <w:t xml:space="preserve"> </w:t>
      </w:r>
      <w:r>
        <w:t>大体积浇筑的混凝土应避免采用高水化热水泥，并应掺入高效减水剂、优质粉煤灰或磨细矿渣等，应严格控制水泥用量，限制水胶比，同时混凝土入模温度不宜高于28°；</w:t>
      </w:r>
    </w:p>
    <w:p w14:paraId="31B0E084">
      <w:pPr>
        <w:ind w:firstLine="422" w:firstLineChars="200"/>
      </w:pPr>
      <w:r>
        <w:rPr>
          <w:b/>
        </w:rPr>
        <w:t>3</w:t>
      </w:r>
      <w:r>
        <w:rPr>
          <w:rFonts w:hint="eastAsia"/>
        </w:rPr>
        <w:t xml:space="preserve">  </w:t>
      </w:r>
      <w:r>
        <w:t>喷射混凝土应采用湿喷混凝土；</w:t>
      </w:r>
    </w:p>
    <w:p w14:paraId="69A1F56D">
      <w:pPr>
        <w:ind w:firstLine="422" w:firstLineChars="200"/>
      </w:pPr>
      <w:r>
        <w:rPr>
          <w:b/>
        </w:rPr>
        <w:t>4</w:t>
      </w:r>
      <w:r>
        <w:rPr>
          <w:rFonts w:hint="eastAsia"/>
        </w:rPr>
        <w:t xml:space="preserve">  </w:t>
      </w:r>
      <w:r>
        <w:t>钢管混凝土应采用无收缩混凝土。</w:t>
      </w:r>
    </w:p>
    <w:p w14:paraId="05514FC3">
      <w:pPr>
        <w:numPr>
          <w:ilvl w:val="2"/>
          <w:numId w:val="1"/>
        </w:numPr>
        <w:tabs>
          <w:tab w:val="left" w:pos="709"/>
          <w:tab w:val="left" w:pos="794"/>
        </w:tabs>
        <w:jc w:val="left"/>
        <w:outlineLvl w:val="2"/>
        <w:rPr>
          <w:bCs/>
        </w:rPr>
      </w:pPr>
      <w:r>
        <w:rPr>
          <w:bCs/>
        </w:rPr>
        <w:t>钢材及连接应符合下列规定：</w:t>
      </w:r>
    </w:p>
    <w:p w14:paraId="1B6D944E">
      <w:pPr>
        <w:ind w:firstLine="422" w:firstLineChars="200"/>
      </w:pPr>
      <w:r>
        <w:rPr>
          <w:b/>
        </w:rPr>
        <w:t>1</w:t>
      </w:r>
      <w:r>
        <w:rPr>
          <w:rFonts w:hint="eastAsia"/>
          <w:b/>
        </w:rPr>
        <w:t xml:space="preserve"> </w:t>
      </w:r>
      <w:r>
        <w:rPr>
          <w:rFonts w:hint="eastAsia"/>
        </w:rPr>
        <w:t xml:space="preserve"> </w:t>
      </w:r>
      <w:r>
        <w:t>混凝土结构构件的纵横向受力钢筋宜采用不低于HRB400的热轧钢筋；分布钢筋宜采用不低于HRB400的热轧钢筋，也可采用HRB335钢筋；箍筋宜采用HRB400、HPB300钢筋，也可采用HRB335钢筋；</w:t>
      </w:r>
    </w:p>
    <w:p w14:paraId="55DF2B1C">
      <w:pPr>
        <w:ind w:firstLine="422" w:firstLineChars="200"/>
      </w:pPr>
      <w:r>
        <w:rPr>
          <w:b/>
        </w:rPr>
        <w:t>2</w:t>
      </w:r>
      <w:r>
        <w:rPr>
          <w:rFonts w:hint="eastAsia"/>
        </w:rPr>
        <w:t xml:space="preserve">  </w:t>
      </w:r>
      <w:r>
        <w:t>土层锚杆可采用钢绞线或HRB400级钢筋；</w:t>
      </w:r>
    </w:p>
    <w:p w14:paraId="6D85A28B">
      <w:pPr>
        <w:ind w:firstLine="422" w:firstLineChars="200"/>
      </w:pPr>
      <w:r>
        <w:rPr>
          <w:b/>
        </w:rPr>
        <w:t>3</w:t>
      </w:r>
      <w:r>
        <w:rPr>
          <w:rFonts w:hint="eastAsia"/>
        </w:rPr>
        <w:t xml:space="preserve">  </w:t>
      </w:r>
      <w:r>
        <w:t>土钉钢筋宜采用HRB400级钢筋；</w:t>
      </w:r>
    </w:p>
    <w:p w14:paraId="3AB99260">
      <w:pPr>
        <w:ind w:firstLine="422" w:firstLineChars="200"/>
      </w:pPr>
      <w:r>
        <w:rPr>
          <w:b/>
        </w:rPr>
        <w:t>4</w:t>
      </w:r>
      <w:r>
        <w:rPr>
          <w:rFonts w:hint="eastAsia"/>
        </w:rPr>
        <w:t xml:space="preserve">  </w:t>
      </w:r>
      <w:r>
        <w:t>钢筋在同一断面连接时，钢筋接驳器的性能等级应为Ⅰ级，其他要求应符合现行《钢筋机械连接技术规程》JGJ107的相关规定；</w:t>
      </w:r>
    </w:p>
    <w:p w14:paraId="7C314BA8">
      <w:pPr>
        <w:ind w:firstLine="422" w:firstLineChars="200"/>
      </w:pPr>
      <w:r>
        <w:rPr>
          <w:b/>
        </w:rPr>
        <w:t>5</w:t>
      </w:r>
      <w:r>
        <w:rPr>
          <w:rFonts w:hint="eastAsia"/>
        </w:rPr>
        <w:t xml:space="preserve"> </w:t>
      </w:r>
      <w:r>
        <w:rPr>
          <w:rFonts w:ascii="宋体" w:hAnsi="宋体" w:cs="宋体"/>
          <w:spacing w:val="2"/>
          <w:szCs w:val="20"/>
        </w:rPr>
        <w:t>抗</w:t>
      </w:r>
      <w:r>
        <w:t>震结构钢筋应</w:t>
      </w:r>
      <w:r>
        <w:rPr>
          <w:rFonts w:hint="eastAsia"/>
        </w:rPr>
        <w:t>符合</w:t>
      </w:r>
      <w:r>
        <w:t>现行《建筑抗震设计</w:t>
      </w:r>
      <w:r>
        <w:rPr>
          <w:rFonts w:hint="eastAsia"/>
        </w:rPr>
        <w:t>标准</w:t>
      </w:r>
      <w:r>
        <w:t>》GB50011</w:t>
      </w:r>
      <w:r>
        <w:rPr>
          <w:rFonts w:ascii="宋体" w:hAnsi="宋体" w:cs="宋体"/>
          <w:spacing w:val="1"/>
          <w:szCs w:val="20"/>
        </w:rPr>
        <w:t>—</w:t>
      </w:r>
      <w:r>
        <w:rPr>
          <w:rFonts w:eastAsia="Times New Roman"/>
          <w:spacing w:val="1"/>
          <w:szCs w:val="20"/>
        </w:rPr>
        <w:t>2010</w:t>
      </w:r>
      <w:r>
        <w:t>第3.9.2条的相关</w:t>
      </w:r>
      <w:r>
        <w:rPr>
          <w:rFonts w:hint="eastAsia"/>
        </w:rPr>
        <w:t>规定</w:t>
      </w:r>
      <w:r>
        <w:t>；</w:t>
      </w:r>
    </w:p>
    <w:p w14:paraId="0A30639F">
      <w:pPr>
        <w:ind w:firstLine="422" w:firstLineChars="200"/>
      </w:pPr>
      <w:r>
        <w:rPr>
          <w:b/>
        </w:rPr>
        <w:t>6</w:t>
      </w:r>
      <w:r>
        <w:rPr>
          <w:rFonts w:hint="eastAsia"/>
        </w:rPr>
        <w:t xml:space="preserve">  </w:t>
      </w:r>
      <w:r>
        <w:t>钢结构宜采用Q235、Q355钢。</w:t>
      </w:r>
    </w:p>
    <w:p w14:paraId="7D6A7A56">
      <w:pPr>
        <w:numPr>
          <w:ilvl w:val="2"/>
          <w:numId w:val="1"/>
        </w:numPr>
        <w:tabs>
          <w:tab w:val="left" w:pos="709"/>
          <w:tab w:val="left" w:pos="794"/>
        </w:tabs>
        <w:jc w:val="left"/>
        <w:outlineLvl w:val="2"/>
        <w:rPr>
          <w:bCs/>
        </w:rPr>
      </w:pPr>
      <w:r>
        <w:rPr>
          <w:bCs/>
        </w:rPr>
        <w:t>地层加固注浆材料宜根据地层条件、施工工艺要求选择，并宜采用对地下环境无污染以及后期收缩小的无机材料。</w:t>
      </w:r>
    </w:p>
    <w:p w14:paraId="78E4428E">
      <w:pPr>
        <w:pStyle w:val="4"/>
        <w:tabs>
          <w:tab w:val="left" w:pos="709"/>
          <w:tab w:val="clear" w:pos="462"/>
          <w:tab w:val="clear" w:pos="567"/>
          <w:tab w:val="clear" w:pos="794"/>
        </w:tabs>
        <w:rPr>
          <w:bCs w:val="0"/>
        </w:rPr>
      </w:pPr>
      <w:bookmarkStart w:id="821" w:name="_Toc183888530"/>
      <w:bookmarkStart w:id="822" w:name="_Toc183790555"/>
      <w:bookmarkStart w:id="823" w:name="_Toc183882116"/>
      <w:bookmarkStart w:id="824" w:name="_Toc183765125"/>
      <w:bookmarkStart w:id="825" w:name="_Toc183882478"/>
      <w:bookmarkStart w:id="826" w:name="_Toc183888168"/>
      <w:r>
        <w:rPr>
          <w:bCs w:val="0"/>
        </w:rPr>
        <w:t>安全风险工程设计</w:t>
      </w:r>
      <w:bookmarkEnd w:id="821"/>
      <w:bookmarkEnd w:id="822"/>
      <w:bookmarkEnd w:id="823"/>
      <w:bookmarkEnd w:id="824"/>
      <w:bookmarkEnd w:id="825"/>
      <w:bookmarkEnd w:id="826"/>
    </w:p>
    <w:p w14:paraId="67DA319A">
      <w:pPr>
        <w:numPr>
          <w:ilvl w:val="2"/>
          <w:numId w:val="1"/>
        </w:numPr>
        <w:tabs>
          <w:tab w:val="left" w:pos="709"/>
          <w:tab w:val="left" w:pos="794"/>
        </w:tabs>
        <w:jc w:val="left"/>
        <w:outlineLvl w:val="2"/>
        <w:rPr>
          <w:bCs/>
        </w:rPr>
      </w:pPr>
      <w:r>
        <w:rPr>
          <w:bCs/>
        </w:rPr>
        <w:t>一般规定。</w:t>
      </w:r>
    </w:p>
    <w:p w14:paraId="38ADD011">
      <w:pPr>
        <w:ind w:firstLine="422" w:firstLineChars="200"/>
      </w:pPr>
      <w:r>
        <w:rPr>
          <w:b/>
        </w:rPr>
        <w:t>1</w:t>
      </w:r>
      <w:r>
        <w:rPr>
          <w:rFonts w:hint="eastAsia"/>
        </w:rPr>
        <w:t xml:space="preserve">  </w:t>
      </w:r>
      <w:r>
        <w:t>轨道交通地下工程各设计阶段均应有针对性的开展安全风险工程设计工作。风险工程设计工作应遵循“分阶段、分等级、分对象”的基本原则，并面向不同设计阶段、不同安全风险等级、不同风险工程分别开展风险工程的设计工作；</w:t>
      </w:r>
    </w:p>
    <w:p w14:paraId="7F13DDF6">
      <w:pPr>
        <w:ind w:firstLine="422" w:firstLineChars="200"/>
      </w:pPr>
      <w:r>
        <w:rPr>
          <w:b/>
        </w:rPr>
        <w:t>2</w:t>
      </w:r>
      <w:r>
        <w:rPr>
          <w:rFonts w:hint="eastAsia"/>
        </w:rPr>
        <w:t xml:space="preserve">  </w:t>
      </w:r>
      <w:r>
        <w:t>风险工程设计应对新建轨道交通工程自身及受新建轨道交通工程影响的环境进行风险识别、风险分析、风险控制，并应通过分析提出合理的控制指标和具体技术措施；</w:t>
      </w:r>
    </w:p>
    <w:p w14:paraId="383712A4">
      <w:pPr>
        <w:ind w:firstLine="422" w:firstLineChars="200"/>
      </w:pPr>
      <w:r>
        <w:rPr>
          <w:b/>
        </w:rPr>
        <w:t>3</w:t>
      </w:r>
      <w:r>
        <w:rPr>
          <w:rFonts w:hint="eastAsia"/>
        </w:rPr>
        <w:t xml:space="preserve">  </w:t>
      </w:r>
      <w:r>
        <w:t>设计阶段除应考虑轨道交通工程建设期间的安全风险因素外，还应考虑工程建成投入使用后可能面临的各种风险。</w:t>
      </w:r>
    </w:p>
    <w:p w14:paraId="33D2E330">
      <w:pPr>
        <w:numPr>
          <w:ilvl w:val="2"/>
          <w:numId w:val="1"/>
        </w:numPr>
        <w:tabs>
          <w:tab w:val="left" w:pos="709"/>
          <w:tab w:val="left" w:pos="794"/>
        </w:tabs>
        <w:jc w:val="left"/>
        <w:outlineLvl w:val="2"/>
        <w:rPr>
          <w:bCs/>
        </w:rPr>
      </w:pPr>
      <w:r>
        <w:rPr>
          <w:bCs/>
        </w:rPr>
        <w:t>地下工程的安全风险应包括工程自身风险和环境安全风险两大类。</w:t>
      </w:r>
    </w:p>
    <w:p w14:paraId="3C627876">
      <w:pPr>
        <w:ind w:firstLine="422" w:firstLineChars="200"/>
      </w:pPr>
      <w:r>
        <w:rPr>
          <w:b/>
        </w:rPr>
        <w:t>1</w:t>
      </w:r>
      <w:r>
        <w:rPr>
          <w:rFonts w:hint="eastAsia"/>
        </w:rPr>
        <w:t xml:space="preserve">  </w:t>
      </w:r>
      <w:r>
        <w:t>工程自身风险应指由于地下结构自身的技术难度导致工程实施过程中可能出现的安全风险，且应包括场地不良地质及水文地质风险。地下工程各工法自身风险的主要相关因素及北京地区常见的不良地质因素见附录G表G.0.2-1及表G.0.2-2；</w:t>
      </w:r>
    </w:p>
    <w:p w14:paraId="28B42069">
      <w:pPr>
        <w:ind w:firstLine="422" w:firstLineChars="200"/>
      </w:pPr>
      <w:r>
        <w:rPr>
          <w:b/>
        </w:rPr>
        <w:t>2</w:t>
      </w:r>
      <w:r>
        <w:rPr>
          <w:rFonts w:hint="eastAsia"/>
        </w:rPr>
        <w:t xml:space="preserve">  </w:t>
      </w:r>
      <w:r>
        <w:t>环境安全风险应指场地周边可能受地下工程施工影响出现风险或其存在使地下工程施工安全风险增加的地上、地下设施或条件，可能的环境安全风险源应包括城市道路、桥梁、地上(下)建(构)筑物、市政管线、地面(下)轨道运输系统、水体、绿化植物等。可能的各类常见环境风险源见附录G表G.0.4。</w:t>
      </w:r>
    </w:p>
    <w:p w14:paraId="214C11F2">
      <w:pPr>
        <w:numPr>
          <w:ilvl w:val="2"/>
          <w:numId w:val="1"/>
        </w:numPr>
        <w:tabs>
          <w:tab w:val="left" w:pos="709"/>
          <w:tab w:val="left" w:pos="794"/>
        </w:tabs>
        <w:jc w:val="left"/>
        <w:outlineLvl w:val="2"/>
        <w:rPr>
          <w:bCs/>
        </w:rPr>
      </w:pPr>
      <w:r>
        <w:rPr>
          <w:bCs/>
        </w:rPr>
        <w:t>各类风险分级应执行以下基本原则：</w:t>
      </w:r>
    </w:p>
    <w:p w14:paraId="7E59346C">
      <w:pPr>
        <w:ind w:firstLine="422" w:firstLineChars="200"/>
      </w:pPr>
      <w:r>
        <w:rPr>
          <w:b/>
        </w:rPr>
        <w:t>1</w:t>
      </w:r>
      <w:r>
        <w:rPr>
          <w:rFonts w:hint="eastAsia"/>
        </w:rPr>
        <w:t xml:space="preserve">  </w:t>
      </w:r>
      <w:r>
        <w:t>自身风险工程应根据工程地质和水文地质条件，基坑开挖深度，矿山法结构的层数、跨度、断面形式、覆土厚度、开挖方法等进行分级。地下工程各工法自身风险分级可参照附录G表G.0.6的规定执行；</w:t>
      </w:r>
    </w:p>
    <w:p w14:paraId="3F3D0653">
      <w:pPr>
        <w:ind w:firstLine="422" w:firstLineChars="200"/>
      </w:pPr>
      <w:r>
        <w:rPr>
          <w:b/>
        </w:rPr>
        <w:t>2</w:t>
      </w:r>
      <w:r>
        <w:rPr>
          <w:rFonts w:hint="eastAsia"/>
        </w:rPr>
        <w:t xml:space="preserve">  </w:t>
      </w:r>
      <w:r>
        <w:t>环境风险工程应根据环境设施的重要性、环境设施状况、环境设施与轨道交通工程的接近程度等因素，并依据轨道交通建设对环境设施的影响程度大小等进行分级。环境风险分级结合环境设施的重要性和临近关系，可参考附录G表G.0.10进行风险分级。</w:t>
      </w:r>
    </w:p>
    <w:p w14:paraId="232877FE">
      <w:pPr>
        <w:numPr>
          <w:ilvl w:val="2"/>
          <w:numId w:val="1"/>
        </w:numPr>
        <w:tabs>
          <w:tab w:val="left" w:pos="709"/>
          <w:tab w:val="left" w:pos="794"/>
        </w:tabs>
        <w:jc w:val="left"/>
        <w:outlineLvl w:val="2"/>
        <w:rPr>
          <w:bCs/>
        </w:rPr>
      </w:pPr>
      <w:r>
        <w:rPr>
          <w:bCs/>
        </w:rPr>
        <w:t>设计阶段宜对工程的自身风险和环境风险进行独立分级、分别评价，并根据需要采取必要的工程措施。</w:t>
      </w:r>
    </w:p>
    <w:p w14:paraId="62901CF2">
      <w:pPr>
        <w:numPr>
          <w:ilvl w:val="2"/>
          <w:numId w:val="1"/>
        </w:numPr>
        <w:tabs>
          <w:tab w:val="left" w:pos="709"/>
          <w:tab w:val="left" w:pos="794"/>
        </w:tabs>
        <w:jc w:val="left"/>
        <w:outlineLvl w:val="2"/>
        <w:rPr>
          <w:bCs/>
        </w:rPr>
      </w:pPr>
      <w:r>
        <w:rPr>
          <w:bCs/>
        </w:rPr>
        <w:t>风险控制应执行以下基本原则：</w:t>
      </w:r>
    </w:p>
    <w:p w14:paraId="4DB3494E">
      <w:pPr>
        <w:ind w:firstLine="422" w:firstLineChars="200"/>
      </w:pPr>
      <w:r>
        <w:rPr>
          <w:b/>
        </w:rPr>
        <w:t>1</w:t>
      </w:r>
      <w:r>
        <w:rPr>
          <w:rFonts w:hint="eastAsia"/>
        </w:rPr>
        <w:t xml:space="preserve">  </w:t>
      </w:r>
      <w:r>
        <w:t>对特、一级环境风险工程应对车站站位、线路走向的布置方案进行分析比较，使重要环境风险源处在新建轨道交通工程显著影响区外；对工程自身，在工法选择、结构型式、基坑深度等方面应规避风险大、控制难的设计方案；</w:t>
      </w:r>
    </w:p>
    <w:p w14:paraId="7210038F">
      <w:pPr>
        <w:ind w:firstLine="422" w:firstLineChars="200"/>
      </w:pPr>
      <w:r>
        <w:rPr>
          <w:b/>
        </w:rPr>
        <w:t>2</w:t>
      </w:r>
      <w:r>
        <w:rPr>
          <w:rFonts w:hint="eastAsia"/>
          <w:b/>
        </w:rPr>
        <w:t xml:space="preserve"> </w:t>
      </w:r>
      <w:r>
        <w:rPr>
          <w:rFonts w:hint="eastAsia"/>
        </w:rPr>
        <w:t xml:space="preserve"> </w:t>
      </w:r>
      <w:r>
        <w:t>对于处在新建轨道交通工程强烈影响区内的环境风险源，应采取改移、拆除、补强等方式将风险降至最低；对工程自身，应针对工程的具体特点及所处的地质条件，选择安全适宜的施工工法；</w:t>
      </w:r>
    </w:p>
    <w:p w14:paraId="6B657710">
      <w:pPr>
        <w:ind w:firstLine="422" w:firstLineChars="200"/>
      </w:pPr>
      <w:r>
        <w:rPr>
          <w:b/>
        </w:rPr>
        <w:t>3</w:t>
      </w:r>
      <w:r>
        <w:rPr>
          <w:rFonts w:hint="eastAsia"/>
        </w:rPr>
        <w:t xml:space="preserve">  </w:t>
      </w:r>
      <w:r>
        <w:t>对于处在新建轨道交通工程影响区内的无法规避的环境风险源或者无法降低风险等级的特、一级风险工程，应对新建轨道交通工程的施工方法及施工参数进行分析比较，确定对周边环境影响较小的设计方案。同时应对周边环境的保护措施和自身风险控制措施进行技术经济分析，制定出安全、经济、合理的技术措施。</w:t>
      </w:r>
    </w:p>
    <w:p w14:paraId="2E95933B">
      <w:pPr>
        <w:numPr>
          <w:ilvl w:val="2"/>
          <w:numId w:val="1"/>
        </w:numPr>
        <w:tabs>
          <w:tab w:val="left" w:pos="709"/>
          <w:tab w:val="left" w:pos="794"/>
        </w:tabs>
        <w:jc w:val="left"/>
        <w:outlineLvl w:val="2"/>
        <w:rPr>
          <w:bCs/>
        </w:rPr>
      </w:pPr>
      <w:r>
        <w:rPr>
          <w:bCs/>
        </w:rPr>
        <w:t>各不同设计阶段风险源设计工作应符合下列规定：</w:t>
      </w:r>
    </w:p>
    <w:p w14:paraId="3B3DFFFF">
      <w:pPr>
        <w:ind w:firstLine="422" w:firstLineChars="200"/>
      </w:pPr>
      <w:r>
        <w:rPr>
          <w:b/>
        </w:rPr>
        <w:t>1</w:t>
      </w:r>
      <w:r>
        <w:rPr>
          <w:rFonts w:hint="eastAsia"/>
          <w:b/>
        </w:rPr>
        <w:t xml:space="preserve"> </w:t>
      </w:r>
      <w:r>
        <w:rPr>
          <w:rFonts w:hint="eastAsia"/>
        </w:rPr>
        <w:t xml:space="preserve"> </w:t>
      </w:r>
      <w:r>
        <w:t>规划阶段应从工程沿线周边情况和远期城市规划的角度，合理确定建设项目的建设位置及与周边环境的相互关系，规避已知的和预期将要出现的工程风险；应充分注意轨道交通沿线的重要控制因素，明确规划控制和保护要求，防止因规划控制不力导致轨道交通工程实施风险的增加；</w:t>
      </w:r>
    </w:p>
    <w:p w14:paraId="5492B101">
      <w:pPr>
        <w:ind w:firstLine="422" w:firstLineChars="200"/>
      </w:pPr>
      <w:r>
        <w:rPr>
          <w:b/>
        </w:rPr>
        <w:t>2</w:t>
      </w:r>
      <w:r>
        <w:rPr>
          <w:rFonts w:hint="eastAsia"/>
          <w:b/>
        </w:rPr>
        <w:t xml:space="preserve"> </w:t>
      </w:r>
      <w:r>
        <w:rPr>
          <w:rFonts w:hint="eastAsia"/>
        </w:rPr>
        <w:t xml:space="preserve"> </w:t>
      </w:r>
      <w:r>
        <w:t>可行性研究阶段应从工程实施的角度出发，结合线路选线，研究确定与地质和环境条件相适应的地下结构主要施工工法和结构型式，确定合理埋深，合理安排地下结构与临近建构筑物和设施的关系，并估计相互影响程度，识别和评价工程实施的风险；</w:t>
      </w:r>
    </w:p>
    <w:p w14:paraId="1A9D4543">
      <w:pPr>
        <w:ind w:firstLine="420" w:firstLineChars="200"/>
      </w:pPr>
      <w:r>
        <w:t>本阶段应对全线地下结构工程自身风险和环境风险进行专门的定性分析和论述，并应从方案的角度提出下一步工作建议和风险工程设计优化方向；</w:t>
      </w:r>
    </w:p>
    <w:p w14:paraId="1E76E346">
      <w:pPr>
        <w:ind w:firstLine="420" w:firstLineChars="200"/>
      </w:pPr>
      <w:r>
        <w:t>对可行性研究阶段所建议的风险控制方案和措施，应考虑其对工程造价的影响，并在工程投资估算中有所体现；</w:t>
      </w:r>
    </w:p>
    <w:p w14:paraId="51F9B64A">
      <w:pPr>
        <w:ind w:firstLine="422" w:firstLineChars="200"/>
      </w:pPr>
      <w:r>
        <w:rPr>
          <w:b/>
        </w:rPr>
        <w:t>3</w:t>
      </w:r>
      <w:r>
        <w:rPr>
          <w:rFonts w:hint="eastAsia"/>
          <w:b/>
        </w:rPr>
        <w:t xml:space="preserve"> </w:t>
      </w:r>
      <w:r>
        <w:rPr>
          <w:rFonts w:hint="eastAsia"/>
        </w:rPr>
        <w:t xml:space="preserve"> </w:t>
      </w:r>
      <w:r>
        <w:t>初步设计阶段应分析和识别地下结构工程的自身风险和环境风险，进行安全风险分级，提出安全风险清单，并应给出初步的工程实施方案和风险控制措施；</w:t>
      </w:r>
    </w:p>
    <w:p w14:paraId="73D3281F">
      <w:pPr>
        <w:ind w:firstLine="420" w:firstLineChars="200"/>
      </w:pPr>
      <w:r>
        <w:t>特、一级环境风险工程应进行安全性专题设计，内容主要应包括初步的安全风险分析评价、工程环境监测控制标准、工程技术措施、环境安全保护设计措施、监控量测设计方案等，并应给出必要的断面设计和措施设计图；</w:t>
      </w:r>
    </w:p>
    <w:p w14:paraId="06B7150B">
      <w:pPr>
        <w:ind w:firstLine="420" w:firstLineChars="200"/>
      </w:pPr>
      <w:r>
        <w:t>对于地位特别重要、影响特别重大的高等级环境风险，可通过各种理论分析手段进一步验证其影响程度和范围；</w:t>
      </w:r>
    </w:p>
    <w:p w14:paraId="38AEEA23">
      <w:pPr>
        <w:ind w:firstLine="422" w:firstLineChars="200"/>
      </w:pPr>
      <w:r>
        <w:rPr>
          <w:b/>
        </w:rPr>
        <w:t>4</w:t>
      </w:r>
      <w:r>
        <w:rPr>
          <w:rFonts w:hint="eastAsia"/>
          <w:b/>
        </w:rPr>
        <w:t xml:space="preserve">  </w:t>
      </w:r>
      <w:r>
        <w:t>施工图设计阶段应在查明环境风险源结构特征和使用现状的基础上进行，并应落实工程风险处置措施；</w:t>
      </w:r>
    </w:p>
    <w:p w14:paraId="295921D3">
      <w:pPr>
        <w:ind w:firstLine="420" w:firstLineChars="200"/>
      </w:pPr>
      <w:r>
        <w:t>特、一级环境风险工程应进行安全性专项设计和评审，专项设计的深度应满足施工设计文件的深度要求。安全风险专项设计应进行施工附加影响分析，分析和预测工程实施可能对周围环境带来的相关影响，并提出初步的环境控制指标。</w:t>
      </w:r>
    </w:p>
    <w:p w14:paraId="5B735EB6">
      <w:pPr>
        <w:pStyle w:val="4"/>
        <w:tabs>
          <w:tab w:val="left" w:pos="709"/>
          <w:tab w:val="clear" w:pos="462"/>
          <w:tab w:val="clear" w:pos="567"/>
          <w:tab w:val="clear" w:pos="794"/>
        </w:tabs>
      </w:pPr>
      <w:bookmarkStart w:id="827" w:name="_Toc183765126"/>
      <w:bookmarkStart w:id="828" w:name="_Toc183882117"/>
      <w:bookmarkStart w:id="829" w:name="_Toc183888169"/>
      <w:bookmarkStart w:id="830" w:name="_Toc183882479"/>
      <w:bookmarkStart w:id="831" w:name="_Toc183790556"/>
      <w:bookmarkStart w:id="832" w:name="_Toc183888531"/>
      <w:r>
        <w:t>监控量测</w:t>
      </w:r>
      <w:bookmarkEnd w:id="827"/>
      <w:bookmarkEnd w:id="828"/>
      <w:bookmarkEnd w:id="829"/>
      <w:bookmarkEnd w:id="830"/>
      <w:bookmarkEnd w:id="831"/>
      <w:bookmarkEnd w:id="832"/>
    </w:p>
    <w:p w14:paraId="74055BC2">
      <w:pPr>
        <w:numPr>
          <w:ilvl w:val="2"/>
          <w:numId w:val="1"/>
        </w:numPr>
        <w:tabs>
          <w:tab w:val="left" w:pos="709"/>
          <w:tab w:val="left" w:pos="794"/>
        </w:tabs>
        <w:jc w:val="left"/>
        <w:outlineLvl w:val="2"/>
        <w:rPr>
          <w:bCs/>
        </w:rPr>
      </w:pPr>
      <w:r>
        <w:rPr>
          <w:bCs/>
        </w:rPr>
        <w:t>轨道交通工程在土建施工阶段应开展工程监测工作。初步设计阶段，监控量测设计应提出初步的监控量测项目和控制值指标；施工设计阶段，文件中应包含的监控量测设计主要内容如下：</w:t>
      </w:r>
    </w:p>
    <w:p w14:paraId="0C9E140C">
      <w:pPr>
        <w:ind w:firstLine="422" w:firstLineChars="200"/>
      </w:pPr>
      <w:r>
        <w:rPr>
          <w:b/>
        </w:rPr>
        <w:t>1</w:t>
      </w:r>
      <w:r>
        <w:rPr>
          <w:rFonts w:hint="eastAsia"/>
          <w:b/>
        </w:rPr>
        <w:t xml:space="preserve"> </w:t>
      </w:r>
      <w:r>
        <w:rPr>
          <w:rFonts w:hint="eastAsia"/>
        </w:rPr>
        <w:t xml:space="preserve"> </w:t>
      </w:r>
      <w:r>
        <w:t>监测范围、监测对象及监测项目；</w:t>
      </w:r>
    </w:p>
    <w:p w14:paraId="2773B97F">
      <w:pPr>
        <w:ind w:firstLine="422" w:firstLineChars="200"/>
      </w:pPr>
      <w:r>
        <w:rPr>
          <w:b/>
        </w:rPr>
        <w:t>2</w:t>
      </w:r>
      <w:r>
        <w:rPr>
          <w:rFonts w:hint="eastAsia"/>
          <w:b/>
        </w:rPr>
        <w:t xml:space="preserve"> </w:t>
      </w:r>
      <w:r>
        <w:rPr>
          <w:rFonts w:hint="eastAsia"/>
        </w:rPr>
        <w:t xml:space="preserve"> </w:t>
      </w:r>
      <w:r>
        <w:t>监测项目的测点布置、监测精度、监测周期和频率及监测仪器；</w:t>
      </w:r>
    </w:p>
    <w:p w14:paraId="1DA00C43">
      <w:pPr>
        <w:ind w:firstLine="422" w:firstLineChars="200"/>
      </w:pPr>
      <w:r>
        <w:rPr>
          <w:b/>
        </w:rPr>
        <w:t>3</w:t>
      </w:r>
      <w:r>
        <w:rPr>
          <w:rFonts w:hint="eastAsia"/>
        </w:rPr>
        <w:t xml:space="preserve">  </w:t>
      </w:r>
      <w:r>
        <w:t>监控量测值控制指标及预警值、报警值；</w:t>
      </w:r>
    </w:p>
    <w:p w14:paraId="200338FD">
      <w:pPr>
        <w:ind w:firstLine="422" w:firstLineChars="200"/>
      </w:pPr>
      <w:r>
        <w:rPr>
          <w:b/>
        </w:rPr>
        <w:t>4</w:t>
      </w:r>
      <w:r>
        <w:rPr>
          <w:rFonts w:hint="eastAsia"/>
          <w:b/>
        </w:rPr>
        <w:t xml:space="preserve"> </w:t>
      </w:r>
      <w:r>
        <w:rPr>
          <w:rFonts w:hint="eastAsia"/>
        </w:rPr>
        <w:t xml:space="preserve"> </w:t>
      </w:r>
      <w:r>
        <w:t>监测项目测点布置平面图和剖面图；</w:t>
      </w:r>
    </w:p>
    <w:p w14:paraId="36AE02CD">
      <w:pPr>
        <w:ind w:firstLine="422" w:firstLineChars="200"/>
      </w:pPr>
      <w:r>
        <w:rPr>
          <w:b/>
        </w:rPr>
        <w:t>5</w:t>
      </w:r>
      <w:r>
        <w:rPr>
          <w:rFonts w:hint="eastAsia"/>
          <w:b/>
        </w:rPr>
        <w:t xml:space="preserve"> </w:t>
      </w:r>
      <w:r>
        <w:rPr>
          <w:rFonts w:hint="eastAsia"/>
        </w:rPr>
        <w:t xml:space="preserve"> </w:t>
      </w:r>
      <w:r>
        <w:t>监控量测注意事项及其他要求。</w:t>
      </w:r>
    </w:p>
    <w:p w14:paraId="4CAE317D">
      <w:pPr>
        <w:numPr>
          <w:ilvl w:val="2"/>
          <w:numId w:val="1"/>
        </w:numPr>
        <w:tabs>
          <w:tab w:val="left" w:pos="709"/>
          <w:tab w:val="left" w:pos="794"/>
        </w:tabs>
        <w:jc w:val="left"/>
        <w:outlineLvl w:val="2"/>
        <w:rPr>
          <w:bCs/>
        </w:rPr>
      </w:pPr>
      <w:r>
        <w:rPr>
          <w:bCs/>
        </w:rPr>
        <w:t>监控量测设计应根据工程地质和水文地质条件、场地周边环境、重要建(构)筑物调查报告、风险源专项评估，以及工程的施工方法和结构型式等情况进行，同时应考虑监测工作的可实施性、经济性及新技术的应用。</w:t>
      </w:r>
    </w:p>
    <w:p w14:paraId="51AD5908">
      <w:pPr>
        <w:numPr>
          <w:ilvl w:val="2"/>
          <w:numId w:val="1"/>
        </w:numPr>
        <w:tabs>
          <w:tab w:val="left" w:pos="709"/>
          <w:tab w:val="left" w:pos="794"/>
        </w:tabs>
        <w:jc w:val="left"/>
        <w:outlineLvl w:val="2"/>
        <w:rPr>
          <w:bCs/>
        </w:rPr>
      </w:pPr>
      <w:r>
        <w:rPr>
          <w:bCs/>
        </w:rPr>
        <w:t>监测范围应根据工程施工影响区域、影响强度及工程安全风险等级等因素确定。当在施工影响范围存在环境风险源时应根据监测对象的实际情况确定监测范围。</w:t>
      </w:r>
    </w:p>
    <w:p w14:paraId="023D72D5">
      <w:pPr>
        <w:numPr>
          <w:ilvl w:val="2"/>
          <w:numId w:val="1"/>
        </w:numPr>
        <w:tabs>
          <w:tab w:val="left" w:pos="709"/>
          <w:tab w:val="left" w:pos="794"/>
        </w:tabs>
        <w:jc w:val="left"/>
        <w:outlineLvl w:val="2"/>
        <w:rPr>
          <w:bCs/>
        </w:rPr>
      </w:pPr>
      <w:r>
        <w:rPr>
          <w:bCs/>
        </w:rPr>
        <w:t>监测对象应包括结构受力体系及周边环境两大部分，其中周边环境监测对象主要应为地表、建(构)筑物、地下管线、城市道路、桥梁、既有地铁、铁路等。</w:t>
      </w:r>
    </w:p>
    <w:p w14:paraId="0A6B1093">
      <w:pPr>
        <w:numPr>
          <w:ilvl w:val="2"/>
          <w:numId w:val="1"/>
        </w:numPr>
        <w:tabs>
          <w:tab w:val="left" w:pos="709"/>
          <w:tab w:val="left" w:pos="794"/>
        </w:tabs>
        <w:jc w:val="left"/>
        <w:outlineLvl w:val="2"/>
        <w:rPr>
          <w:bCs/>
        </w:rPr>
      </w:pPr>
      <w:r>
        <w:rPr>
          <w:bCs/>
        </w:rPr>
        <w:t>监测项目应分为应测项目和选测项目，地下结构常用的明挖法、盖挖逆作法、矿山法、盾构法</w:t>
      </w:r>
      <w:r>
        <w:rPr>
          <w:rFonts w:hint="eastAsia"/>
          <w:b/>
        </w:rPr>
        <w:t>及顶管法</w:t>
      </w:r>
      <w:r>
        <w:rPr>
          <w:bCs/>
        </w:rPr>
        <w:t>的监控量测项目应按表1</w:t>
      </w:r>
      <w:r>
        <w:rPr>
          <w:rFonts w:hint="eastAsia"/>
          <w:bCs/>
        </w:rPr>
        <w:t>2</w:t>
      </w:r>
      <w:r>
        <w:rPr>
          <w:bCs/>
        </w:rPr>
        <w:t>.1</w:t>
      </w:r>
      <w:r>
        <w:rPr>
          <w:rFonts w:hint="eastAsia"/>
          <w:bCs/>
        </w:rPr>
        <w:t>3</w:t>
      </w:r>
      <w:r>
        <w:rPr>
          <w:bCs/>
        </w:rPr>
        <w:t>.5选取。</w:t>
      </w:r>
    </w:p>
    <w:p w14:paraId="48679DE9">
      <w:pPr>
        <w:adjustRightInd w:val="0"/>
        <w:snapToGrid w:val="0"/>
        <w:jc w:val="center"/>
        <w:rPr>
          <w:rFonts w:eastAsia="黑体"/>
          <w:sz w:val="18"/>
          <w:szCs w:val="18"/>
        </w:rPr>
      </w:pPr>
      <w:r>
        <w:rPr>
          <w:rFonts w:eastAsia="黑体"/>
          <w:sz w:val="18"/>
          <w:szCs w:val="18"/>
        </w:rPr>
        <w:t>表1</w:t>
      </w:r>
      <w:r>
        <w:rPr>
          <w:rFonts w:hint="eastAsia" w:eastAsia="黑体"/>
          <w:sz w:val="18"/>
          <w:szCs w:val="18"/>
        </w:rPr>
        <w:t>2</w:t>
      </w:r>
      <w:r>
        <w:rPr>
          <w:rFonts w:eastAsia="黑体"/>
          <w:sz w:val="18"/>
          <w:szCs w:val="18"/>
        </w:rPr>
        <w:t>.1</w:t>
      </w:r>
      <w:r>
        <w:rPr>
          <w:rFonts w:hint="eastAsia" w:eastAsia="黑体"/>
          <w:sz w:val="18"/>
          <w:szCs w:val="18"/>
        </w:rPr>
        <w:t>3</w:t>
      </w:r>
      <w:r>
        <w:rPr>
          <w:rFonts w:eastAsia="黑体"/>
          <w:sz w:val="18"/>
          <w:szCs w:val="18"/>
        </w:rPr>
        <w:t>.5</w:t>
      </w:r>
      <w:r>
        <w:rPr>
          <w:rFonts w:hint="eastAsia" w:eastAsia="黑体"/>
          <w:sz w:val="18"/>
          <w:szCs w:val="18"/>
        </w:rPr>
        <w:t xml:space="preserve">  </w:t>
      </w:r>
      <w:r>
        <w:rPr>
          <w:rFonts w:eastAsia="黑体"/>
          <w:sz w:val="18"/>
          <w:szCs w:val="18"/>
        </w:rPr>
        <w:t>监控量测项目汇总</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15"/>
        <w:gridCol w:w="2275"/>
        <w:gridCol w:w="1671"/>
        <w:gridCol w:w="1779"/>
      </w:tblGrid>
      <w:tr w14:paraId="6B6AB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9" w:hRule="atLeast"/>
          <w:jc w:val="center"/>
        </w:trPr>
        <w:tc>
          <w:tcPr>
            <w:tcW w:w="615" w:type="dxa"/>
            <w:tcBorders>
              <w:left w:val="single" w:color="000000" w:sz="6" w:space="0"/>
            </w:tcBorders>
            <w:vAlign w:val="center"/>
          </w:tcPr>
          <w:p w14:paraId="4A21E18E">
            <w:pPr>
              <w:pStyle w:val="235"/>
              <w:rPr>
                <w:color w:val="auto"/>
              </w:rPr>
            </w:pPr>
            <w:r>
              <w:rPr>
                <w:color w:val="auto"/>
              </w:rPr>
              <w:t>类别</w:t>
            </w:r>
          </w:p>
        </w:tc>
        <w:tc>
          <w:tcPr>
            <w:tcW w:w="2275" w:type="dxa"/>
            <w:vAlign w:val="center"/>
          </w:tcPr>
          <w:p w14:paraId="10D6E10D">
            <w:pPr>
              <w:pStyle w:val="235"/>
              <w:rPr>
                <w:color w:val="auto"/>
              </w:rPr>
            </w:pPr>
            <w:r>
              <w:rPr>
                <w:color w:val="auto"/>
              </w:rPr>
              <w:t>明挖、盖挖逆作法</w:t>
            </w:r>
          </w:p>
        </w:tc>
        <w:tc>
          <w:tcPr>
            <w:tcW w:w="1671" w:type="dxa"/>
            <w:vAlign w:val="center"/>
          </w:tcPr>
          <w:p w14:paraId="1E8468BF">
            <w:pPr>
              <w:pStyle w:val="235"/>
              <w:rPr>
                <w:color w:val="auto"/>
              </w:rPr>
            </w:pPr>
            <w:r>
              <w:rPr>
                <w:color w:val="auto"/>
              </w:rPr>
              <w:t>矿山法</w:t>
            </w:r>
          </w:p>
        </w:tc>
        <w:tc>
          <w:tcPr>
            <w:tcW w:w="1779" w:type="dxa"/>
            <w:tcBorders>
              <w:right w:val="single" w:color="000000" w:sz="6" w:space="0"/>
            </w:tcBorders>
            <w:vAlign w:val="center"/>
          </w:tcPr>
          <w:p w14:paraId="58B323A1">
            <w:pPr>
              <w:pStyle w:val="235"/>
              <w:rPr>
                <w:color w:val="auto"/>
              </w:rPr>
            </w:pPr>
            <w:r>
              <w:rPr>
                <w:color w:val="auto"/>
              </w:rPr>
              <w:t>盾构法</w:t>
            </w:r>
            <w:r>
              <w:rPr>
                <w:rFonts w:hint="eastAsia"/>
                <w:color w:val="auto"/>
              </w:rPr>
              <w:t>、顶管法</w:t>
            </w:r>
          </w:p>
        </w:tc>
      </w:tr>
      <w:tr w14:paraId="55686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3" w:hRule="atLeast"/>
          <w:jc w:val="center"/>
        </w:trPr>
        <w:tc>
          <w:tcPr>
            <w:tcW w:w="615" w:type="dxa"/>
            <w:vMerge w:val="restart"/>
            <w:tcBorders>
              <w:left w:val="single" w:color="000000" w:sz="6" w:space="0"/>
              <w:bottom w:val="nil"/>
            </w:tcBorders>
            <w:vAlign w:val="center"/>
          </w:tcPr>
          <w:p w14:paraId="775B3299">
            <w:pPr>
              <w:pStyle w:val="235"/>
              <w:rPr>
                <w:color w:val="auto"/>
              </w:rPr>
            </w:pPr>
            <w:r>
              <w:rPr>
                <w:color w:val="auto"/>
              </w:rPr>
              <w:t>应测项目</w:t>
            </w:r>
          </w:p>
        </w:tc>
        <w:tc>
          <w:tcPr>
            <w:tcW w:w="2275" w:type="dxa"/>
            <w:vAlign w:val="center"/>
          </w:tcPr>
          <w:p w14:paraId="00B111CB">
            <w:pPr>
              <w:pStyle w:val="235"/>
              <w:rPr>
                <w:color w:val="auto"/>
              </w:rPr>
            </w:pPr>
            <w:r>
              <w:rPr>
                <w:color w:val="auto"/>
              </w:rPr>
              <w:t>基坑及其周围环境描述</w:t>
            </w:r>
          </w:p>
        </w:tc>
        <w:tc>
          <w:tcPr>
            <w:tcW w:w="3450" w:type="dxa"/>
            <w:gridSpan w:val="2"/>
            <w:tcBorders>
              <w:right w:val="single" w:color="000000" w:sz="6" w:space="0"/>
            </w:tcBorders>
            <w:vAlign w:val="center"/>
          </w:tcPr>
          <w:p w14:paraId="2404561D">
            <w:pPr>
              <w:pStyle w:val="235"/>
              <w:rPr>
                <w:color w:val="auto"/>
              </w:rPr>
            </w:pPr>
            <w:r>
              <w:rPr>
                <w:color w:val="auto"/>
              </w:rPr>
              <w:t>洞内及洞外观察</w:t>
            </w:r>
          </w:p>
        </w:tc>
      </w:tr>
      <w:tr w14:paraId="484A7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0" w:hRule="atLeast"/>
          <w:jc w:val="center"/>
        </w:trPr>
        <w:tc>
          <w:tcPr>
            <w:tcW w:w="615" w:type="dxa"/>
            <w:vMerge w:val="continue"/>
            <w:tcBorders>
              <w:top w:val="nil"/>
              <w:left w:val="single" w:color="000000" w:sz="6" w:space="0"/>
              <w:bottom w:val="nil"/>
            </w:tcBorders>
            <w:vAlign w:val="center"/>
          </w:tcPr>
          <w:p w14:paraId="21501FB3">
            <w:pPr>
              <w:pStyle w:val="235"/>
              <w:rPr>
                <w:color w:val="auto"/>
              </w:rPr>
            </w:pPr>
          </w:p>
        </w:tc>
        <w:tc>
          <w:tcPr>
            <w:tcW w:w="5725" w:type="dxa"/>
            <w:gridSpan w:val="3"/>
            <w:tcBorders>
              <w:right w:val="single" w:color="000000" w:sz="6" w:space="0"/>
            </w:tcBorders>
            <w:vAlign w:val="center"/>
          </w:tcPr>
          <w:p w14:paraId="19DCD7AB">
            <w:pPr>
              <w:pStyle w:val="235"/>
              <w:rPr>
                <w:color w:val="auto"/>
              </w:rPr>
            </w:pPr>
            <w:r>
              <w:rPr>
                <w:color w:val="auto"/>
              </w:rPr>
              <w:t>地面沉降</w:t>
            </w:r>
          </w:p>
        </w:tc>
      </w:tr>
      <w:tr w14:paraId="0006B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14:paraId="6B2E2D7E">
            <w:pPr>
              <w:pStyle w:val="235"/>
              <w:rPr>
                <w:color w:val="auto"/>
              </w:rPr>
            </w:pPr>
          </w:p>
        </w:tc>
        <w:tc>
          <w:tcPr>
            <w:tcW w:w="5725" w:type="dxa"/>
            <w:gridSpan w:val="3"/>
            <w:tcBorders>
              <w:right w:val="single" w:color="000000" w:sz="6" w:space="0"/>
            </w:tcBorders>
            <w:vAlign w:val="center"/>
          </w:tcPr>
          <w:p w14:paraId="65942971">
            <w:pPr>
              <w:pStyle w:val="235"/>
              <w:rPr>
                <w:color w:val="auto"/>
              </w:rPr>
            </w:pPr>
            <w:r>
              <w:rPr>
                <w:color w:val="auto"/>
              </w:rPr>
              <w:t>周边环境监测对象的沉降、差异沉降、倾斜、轨道几何形位等</w:t>
            </w:r>
          </w:p>
        </w:tc>
      </w:tr>
      <w:tr w14:paraId="729A8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14:paraId="1CED829F">
            <w:pPr>
              <w:pStyle w:val="235"/>
              <w:rPr>
                <w:color w:val="auto"/>
              </w:rPr>
            </w:pPr>
          </w:p>
        </w:tc>
        <w:tc>
          <w:tcPr>
            <w:tcW w:w="5725" w:type="dxa"/>
            <w:gridSpan w:val="3"/>
            <w:tcBorders>
              <w:right w:val="single" w:color="000000" w:sz="6" w:space="0"/>
            </w:tcBorders>
            <w:vAlign w:val="center"/>
          </w:tcPr>
          <w:p w14:paraId="5EB8CCED">
            <w:pPr>
              <w:pStyle w:val="235"/>
              <w:rPr>
                <w:color w:val="auto"/>
              </w:rPr>
            </w:pPr>
            <w:r>
              <w:rPr>
                <w:color w:val="auto"/>
              </w:rPr>
              <w:t>地下水位</w:t>
            </w:r>
          </w:p>
        </w:tc>
      </w:tr>
      <w:tr w14:paraId="06357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0" w:hRule="atLeast"/>
          <w:jc w:val="center"/>
        </w:trPr>
        <w:tc>
          <w:tcPr>
            <w:tcW w:w="615" w:type="dxa"/>
            <w:vMerge w:val="continue"/>
            <w:tcBorders>
              <w:top w:val="nil"/>
              <w:left w:val="single" w:color="000000" w:sz="6" w:space="0"/>
              <w:bottom w:val="nil"/>
            </w:tcBorders>
            <w:vAlign w:val="center"/>
          </w:tcPr>
          <w:p w14:paraId="2E04FE2D">
            <w:pPr>
              <w:pStyle w:val="235"/>
              <w:rPr>
                <w:color w:val="auto"/>
              </w:rPr>
            </w:pPr>
          </w:p>
        </w:tc>
        <w:tc>
          <w:tcPr>
            <w:tcW w:w="2275" w:type="dxa"/>
            <w:vAlign w:val="center"/>
          </w:tcPr>
          <w:p w14:paraId="1097D19A">
            <w:pPr>
              <w:pStyle w:val="235"/>
              <w:rPr>
                <w:color w:val="auto"/>
              </w:rPr>
            </w:pPr>
            <w:r>
              <w:rPr>
                <w:color w:val="auto"/>
              </w:rPr>
              <w:t>支护桩墙顶部及桩墙体水平位移</w:t>
            </w:r>
          </w:p>
        </w:tc>
        <w:tc>
          <w:tcPr>
            <w:tcW w:w="1671" w:type="dxa"/>
            <w:vAlign w:val="center"/>
          </w:tcPr>
          <w:p w14:paraId="2B50BED6">
            <w:pPr>
              <w:pStyle w:val="235"/>
              <w:rPr>
                <w:color w:val="auto"/>
              </w:rPr>
            </w:pPr>
            <w:r>
              <w:rPr>
                <w:color w:val="auto"/>
              </w:rPr>
              <w:t>初期支护拱顶沉降</w:t>
            </w:r>
          </w:p>
        </w:tc>
        <w:tc>
          <w:tcPr>
            <w:tcW w:w="1779" w:type="dxa"/>
            <w:tcBorders>
              <w:right w:val="single" w:color="000000" w:sz="6" w:space="0"/>
            </w:tcBorders>
            <w:vAlign w:val="center"/>
          </w:tcPr>
          <w:p w14:paraId="53B5F2EE">
            <w:pPr>
              <w:pStyle w:val="235"/>
              <w:rPr>
                <w:color w:val="auto"/>
              </w:rPr>
            </w:pPr>
          </w:p>
        </w:tc>
      </w:tr>
      <w:tr w14:paraId="12C21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14:paraId="4B28ADE5">
            <w:pPr>
              <w:pStyle w:val="235"/>
              <w:rPr>
                <w:color w:val="auto"/>
              </w:rPr>
            </w:pPr>
          </w:p>
        </w:tc>
        <w:tc>
          <w:tcPr>
            <w:tcW w:w="2275" w:type="dxa"/>
            <w:vAlign w:val="center"/>
          </w:tcPr>
          <w:p w14:paraId="72A3FF28">
            <w:pPr>
              <w:pStyle w:val="235"/>
              <w:rPr>
                <w:color w:val="auto"/>
              </w:rPr>
            </w:pPr>
            <w:r>
              <w:rPr>
                <w:color w:val="auto"/>
              </w:rPr>
              <w:t>边坡顶部及坡面水平位移</w:t>
            </w:r>
          </w:p>
        </w:tc>
        <w:tc>
          <w:tcPr>
            <w:tcW w:w="1671" w:type="dxa"/>
            <w:vAlign w:val="center"/>
          </w:tcPr>
          <w:p w14:paraId="1880A0FD">
            <w:pPr>
              <w:pStyle w:val="235"/>
              <w:rPr>
                <w:color w:val="auto"/>
              </w:rPr>
            </w:pPr>
            <w:r>
              <w:rPr>
                <w:color w:val="auto"/>
              </w:rPr>
              <w:t>初期支护结构净空收敛</w:t>
            </w:r>
          </w:p>
        </w:tc>
        <w:tc>
          <w:tcPr>
            <w:tcW w:w="1779" w:type="dxa"/>
            <w:tcBorders>
              <w:right w:val="single" w:color="000000" w:sz="6" w:space="0"/>
            </w:tcBorders>
            <w:vAlign w:val="center"/>
          </w:tcPr>
          <w:p w14:paraId="19ACBC57">
            <w:pPr>
              <w:pStyle w:val="235"/>
              <w:rPr>
                <w:color w:val="auto"/>
              </w:rPr>
            </w:pPr>
            <w:r>
              <w:rPr>
                <w:color w:val="auto"/>
              </w:rPr>
              <w:t>管片衬砌净空收敛</w:t>
            </w:r>
          </w:p>
        </w:tc>
      </w:tr>
      <w:tr w14:paraId="14DE7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14:paraId="3A4A8C23">
            <w:pPr>
              <w:pStyle w:val="235"/>
              <w:rPr>
                <w:color w:val="auto"/>
              </w:rPr>
            </w:pPr>
          </w:p>
        </w:tc>
        <w:tc>
          <w:tcPr>
            <w:tcW w:w="2275" w:type="dxa"/>
            <w:vAlign w:val="center"/>
          </w:tcPr>
          <w:p w14:paraId="58EEE3B2">
            <w:pPr>
              <w:pStyle w:val="235"/>
              <w:rPr>
                <w:color w:val="auto"/>
              </w:rPr>
            </w:pPr>
            <w:r>
              <w:rPr>
                <w:color w:val="auto"/>
              </w:rPr>
              <w:t>盖挖法支护桩墙、中间立柱顶部竖向位移</w:t>
            </w:r>
          </w:p>
        </w:tc>
        <w:tc>
          <w:tcPr>
            <w:tcW w:w="1671" w:type="dxa"/>
            <w:vAlign w:val="center"/>
          </w:tcPr>
          <w:p w14:paraId="5FA1FA5B">
            <w:pPr>
              <w:pStyle w:val="235"/>
              <w:rPr>
                <w:color w:val="auto"/>
              </w:rPr>
            </w:pPr>
            <w:r>
              <w:rPr>
                <w:color w:val="auto"/>
              </w:rPr>
              <w:t>中柱竖向位移</w:t>
            </w:r>
          </w:p>
        </w:tc>
        <w:tc>
          <w:tcPr>
            <w:tcW w:w="1779" w:type="dxa"/>
            <w:tcBorders>
              <w:right w:val="single" w:color="000000" w:sz="6" w:space="0"/>
            </w:tcBorders>
            <w:vAlign w:val="center"/>
          </w:tcPr>
          <w:p w14:paraId="640E54F7">
            <w:pPr>
              <w:pStyle w:val="235"/>
              <w:rPr>
                <w:color w:val="auto"/>
              </w:rPr>
            </w:pPr>
          </w:p>
        </w:tc>
      </w:tr>
      <w:tr w14:paraId="48626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0" w:hRule="atLeast"/>
          <w:jc w:val="center"/>
        </w:trPr>
        <w:tc>
          <w:tcPr>
            <w:tcW w:w="615" w:type="dxa"/>
            <w:vMerge w:val="continue"/>
            <w:tcBorders>
              <w:top w:val="nil"/>
              <w:left w:val="single" w:color="000000" w:sz="6" w:space="0"/>
              <w:bottom w:val="nil"/>
            </w:tcBorders>
            <w:vAlign w:val="center"/>
          </w:tcPr>
          <w:p w14:paraId="3531CE9B">
            <w:pPr>
              <w:pStyle w:val="235"/>
              <w:rPr>
                <w:color w:val="auto"/>
              </w:rPr>
            </w:pPr>
          </w:p>
        </w:tc>
        <w:tc>
          <w:tcPr>
            <w:tcW w:w="2275" w:type="dxa"/>
            <w:vAlign w:val="center"/>
          </w:tcPr>
          <w:p w14:paraId="52CFD684">
            <w:pPr>
              <w:pStyle w:val="235"/>
              <w:rPr>
                <w:color w:val="auto"/>
              </w:rPr>
            </w:pPr>
            <w:r>
              <w:rPr>
                <w:color w:val="auto"/>
              </w:rPr>
              <w:t>支撑轴力</w:t>
            </w:r>
          </w:p>
        </w:tc>
        <w:tc>
          <w:tcPr>
            <w:tcW w:w="1671" w:type="dxa"/>
            <w:vAlign w:val="center"/>
          </w:tcPr>
          <w:p w14:paraId="0A65675D">
            <w:pPr>
              <w:pStyle w:val="235"/>
              <w:rPr>
                <w:color w:val="auto"/>
              </w:rPr>
            </w:pPr>
          </w:p>
        </w:tc>
        <w:tc>
          <w:tcPr>
            <w:tcW w:w="1779" w:type="dxa"/>
            <w:tcBorders>
              <w:right w:val="single" w:color="000000" w:sz="6" w:space="0"/>
            </w:tcBorders>
            <w:vAlign w:val="center"/>
          </w:tcPr>
          <w:p w14:paraId="6F3B135A">
            <w:pPr>
              <w:pStyle w:val="235"/>
              <w:rPr>
                <w:color w:val="auto"/>
              </w:rPr>
            </w:pPr>
          </w:p>
        </w:tc>
      </w:tr>
      <w:tr w14:paraId="13340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14:paraId="026B5733">
            <w:pPr>
              <w:pStyle w:val="235"/>
              <w:rPr>
                <w:color w:val="auto"/>
              </w:rPr>
            </w:pPr>
          </w:p>
        </w:tc>
        <w:tc>
          <w:tcPr>
            <w:tcW w:w="2275" w:type="dxa"/>
            <w:vAlign w:val="center"/>
          </w:tcPr>
          <w:p w14:paraId="6AFCE870">
            <w:pPr>
              <w:pStyle w:val="235"/>
              <w:rPr>
                <w:color w:val="auto"/>
              </w:rPr>
            </w:pPr>
            <w:r>
              <w:rPr>
                <w:color w:val="auto"/>
              </w:rPr>
              <w:t>锚杆(锚索)拉力</w:t>
            </w:r>
          </w:p>
        </w:tc>
        <w:tc>
          <w:tcPr>
            <w:tcW w:w="1671" w:type="dxa"/>
            <w:vAlign w:val="center"/>
          </w:tcPr>
          <w:p w14:paraId="036DF147">
            <w:pPr>
              <w:pStyle w:val="235"/>
              <w:rPr>
                <w:color w:val="auto"/>
              </w:rPr>
            </w:pPr>
          </w:p>
        </w:tc>
        <w:tc>
          <w:tcPr>
            <w:tcW w:w="1779" w:type="dxa"/>
            <w:tcBorders>
              <w:right w:val="single" w:color="000000" w:sz="6" w:space="0"/>
            </w:tcBorders>
            <w:vAlign w:val="center"/>
          </w:tcPr>
          <w:p w14:paraId="2BCDDA14">
            <w:pPr>
              <w:pStyle w:val="235"/>
              <w:rPr>
                <w:color w:val="auto"/>
              </w:rPr>
            </w:pPr>
          </w:p>
        </w:tc>
      </w:tr>
      <w:tr w14:paraId="6D394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tcBorders>
            <w:vAlign w:val="center"/>
          </w:tcPr>
          <w:p w14:paraId="4F1676EB">
            <w:pPr>
              <w:pStyle w:val="235"/>
              <w:rPr>
                <w:color w:val="auto"/>
              </w:rPr>
            </w:pPr>
          </w:p>
        </w:tc>
        <w:tc>
          <w:tcPr>
            <w:tcW w:w="2275" w:type="dxa"/>
            <w:vAlign w:val="center"/>
          </w:tcPr>
          <w:p w14:paraId="2BDCFD60">
            <w:pPr>
              <w:pStyle w:val="235"/>
              <w:rPr>
                <w:color w:val="auto"/>
              </w:rPr>
            </w:pPr>
            <w:r>
              <w:rPr>
                <w:color w:val="auto"/>
              </w:rPr>
              <w:t>竖井支护结构井壁净空收敛</w:t>
            </w:r>
          </w:p>
        </w:tc>
        <w:tc>
          <w:tcPr>
            <w:tcW w:w="1671" w:type="dxa"/>
            <w:vAlign w:val="center"/>
          </w:tcPr>
          <w:p w14:paraId="57F103D8">
            <w:pPr>
              <w:pStyle w:val="235"/>
              <w:rPr>
                <w:color w:val="auto"/>
              </w:rPr>
            </w:pPr>
          </w:p>
        </w:tc>
        <w:tc>
          <w:tcPr>
            <w:tcW w:w="1779" w:type="dxa"/>
            <w:tcBorders>
              <w:right w:val="single" w:color="000000" w:sz="6" w:space="0"/>
            </w:tcBorders>
            <w:vAlign w:val="center"/>
          </w:tcPr>
          <w:p w14:paraId="542D699B">
            <w:pPr>
              <w:pStyle w:val="235"/>
              <w:rPr>
                <w:color w:val="auto"/>
              </w:rPr>
            </w:pPr>
          </w:p>
        </w:tc>
      </w:tr>
    </w:tbl>
    <w:p w14:paraId="78C47750">
      <w:pPr>
        <w:tabs>
          <w:tab w:val="left" w:pos="709"/>
          <w:tab w:val="left" w:pos="794"/>
        </w:tabs>
        <w:jc w:val="left"/>
        <w:outlineLvl w:val="2"/>
        <w:rPr>
          <w:bCs/>
        </w:rPr>
      </w:pPr>
    </w:p>
    <w:p w14:paraId="242221B7">
      <w:pPr>
        <w:adjustRightInd w:val="0"/>
        <w:snapToGrid w:val="0"/>
        <w:jc w:val="center"/>
        <w:rPr>
          <w:bCs/>
        </w:rPr>
      </w:pPr>
      <w:r>
        <w:rPr>
          <w:rFonts w:eastAsia="黑体"/>
          <w:sz w:val="18"/>
          <w:szCs w:val="18"/>
        </w:rPr>
        <w:t>表1</w:t>
      </w:r>
      <w:r>
        <w:rPr>
          <w:rFonts w:hint="eastAsia" w:eastAsia="黑体"/>
          <w:sz w:val="18"/>
          <w:szCs w:val="18"/>
        </w:rPr>
        <w:t>2</w:t>
      </w:r>
      <w:r>
        <w:rPr>
          <w:rFonts w:eastAsia="黑体"/>
          <w:sz w:val="18"/>
          <w:szCs w:val="18"/>
        </w:rPr>
        <w:t>.1</w:t>
      </w:r>
      <w:r>
        <w:rPr>
          <w:rFonts w:hint="eastAsia" w:eastAsia="黑体"/>
          <w:sz w:val="18"/>
          <w:szCs w:val="18"/>
        </w:rPr>
        <w:t>3</w:t>
      </w:r>
      <w:r>
        <w:rPr>
          <w:rFonts w:eastAsia="黑体"/>
          <w:sz w:val="18"/>
          <w:szCs w:val="18"/>
        </w:rPr>
        <w:t>.5</w:t>
      </w:r>
      <w:r>
        <w:rPr>
          <w:rFonts w:hint="eastAsia" w:eastAsia="黑体"/>
          <w:sz w:val="18"/>
          <w:szCs w:val="18"/>
        </w:rPr>
        <w:t xml:space="preserve">  </w:t>
      </w:r>
      <w:r>
        <w:rPr>
          <w:rFonts w:eastAsia="黑体"/>
          <w:sz w:val="18"/>
          <w:szCs w:val="18"/>
        </w:rPr>
        <w:t>监控量测项目汇总（续表）</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15"/>
        <w:gridCol w:w="2275"/>
        <w:gridCol w:w="1671"/>
        <w:gridCol w:w="1779"/>
      </w:tblGrid>
      <w:tr w14:paraId="6198F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9" w:hRule="atLeast"/>
          <w:jc w:val="center"/>
        </w:trPr>
        <w:tc>
          <w:tcPr>
            <w:tcW w:w="615" w:type="dxa"/>
            <w:tcBorders>
              <w:left w:val="single" w:color="000000" w:sz="6" w:space="0"/>
            </w:tcBorders>
            <w:vAlign w:val="center"/>
          </w:tcPr>
          <w:p w14:paraId="4C742174">
            <w:pPr>
              <w:pStyle w:val="235"/>
              <w:rPr>
                <w:color w:val="auto"/>
              </w:rPr>
            </w:pPr>
            <w:r>
              <w:rPr>
                <w:color w:val="auto"/>
              </w:rPr>
              <w:t>类别</w:t>
            </w:r>
          </w:p>
        </w:tc>
        <w:tc>
          <w:tcPr>
            <w:tcW w:w="2275" w:type="dxa"/>
            <w:vAlign w:val="center"/>
          </w:tcPr>
          <w:p w14:paraId="1E342CEB">
            <w:pPr>
              <w:pStyle w:val="235"/>
              <w:rPr>
                <w:color w:val="auto"/>
              </w:rPr>
            </w:pPr>
            <w:r>
              <w:rPr>
                <w:color w:val="auto"/>
              </w:rPr>
              <w:t>明挖、盖挖逆作法</w:t>
            </w:r>
          </w:p>
        </w:tc>
        <w:tc>
          <w:tcPr>
            <w:tcW w:w="1671" w:type="dxa"/>
            <w:vAlign w:val="center"/>
          </w:tcPr>
          <w:p w14:paraId="52ABFBAD">
            <w:pPr>
              <w:pStyle w:val="235"/>
              <w:rPr>
                <w:color w:val="auto"/>
              </w:rPr>
            </w:pPr>
            <w:r>
              <w:rPr>
                <w:color w:val="auto"/>
              </w:rPr>
              <w:t>矿山法</w:t>
            </w:r>
          </w:p>
        </w:tc>
        <w:tc>
          <w:tcPr>
            <w:tcW w:w="1779" w:type="dxa"/>
            <w:tcBorders>
              <w:right w:val="single" w:color="000000" w:sz="6" w:space="0"/>
            </w:tcBorders>
            <w:vAlign w:val="center"/>
          </w:tcPr>
          <w:p w14:paraId="2AE3008E">
            <w:pPr>
              <w:pStyle w:val="235"/>
              <w:rPr>
                <w:color w:val="auto"/>
              </w:rPr>
            </w:pPr>
            <w:r>
              <w:rPr>
                <w:color w:val="auto"/>
              </w:rPr>
              <w:t>盾构法</w:t>
            </w:r>
            <w:r>
              <w:rPr>
                <w:rFonts w:hint="eastAsia"/>
                <w:color w:val="auto"/>
              </w:rPr>
              <w:t>、顶管法</w:t>
            </w:r>
          </w:p>
        </w:tc>
      </w:tr>
      <w:tr w14:paraId="4392A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9" w:hRule="atLeast"/>
          <w:jc w:val="center"/>
        </w:trPr>
        <w:tc>
          <w:tcPr>
            <w:tcW w:w="615" w:type="dxa"/>
            <w:vMerge w:val="restart"/>
            <w:tcBorders>
              <w:left w:val="single" w:color="000000" w:sz="6" w:space="0"/>
              <w:bottom w:val="nil"/>
            </w:tcBorders>
            <w:vAlign w:val="center"/>
          </w:tcPr>
          <w:p w14:paraId="459C5E35">
            <w:pPr>
              <w:pStyle w:val="235"/>
              <w:rPr>
                <w:color w:val="auto"/>
              </w:rPr>
            </w:pPr>
            <w:r>
              <w:rPr>
                <w:color w:val="auto"/>
              </w:rPr>
              <w:t>选测项目</w:t>
            </w:r>
          </w:p>
        </w:tc>
        <w:tc>
          <w:tcPr>
            <w:tcW w:w="5725" w:type="dxa"/>
            <w:gridSpan w:val="3"/>
            <w:tcBorders>
              <w:right w:val="single" w:color="000000" w:sz="6" w:space="0"/>
            </w:tcBorders>
            <w:vAlign w:val="center"/>
          </w:tcPr>
          <w:p w14:paraId="1AD6F571">
            <w:pPr>
              <w:pStyle w:val="235"/>
              <w:rPr>
                <w:color w:val="auto"/>
              </w:rPr>
            </w:pPr>
            <w:r>
              <w:rPr>
                <w:color w:val="auto"/>
              </w:rPr>
              <w:t>土体分层沉降及水平位移</w:t>
            </w:r>
          </w:p>
        </w:tc>
      </w:tr>
      <w:tr w14:paraId="74409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14:paraId="6D728E60">
            <w:pPr>
              <w:pStyle w:val="235"/>
              <w:rPr>
                <w:color w:val="auto"/>
              </w:rPr>
            </w:pPr>
          </w:p>
        </w:tc>
        <w:tc>
          <w:tcPr>
            <w:tcW w:w="5725" w:type="dxa"/>
            <w:gridSpan w:val="3"/>
            <w:tcBorders>
              <w:right w:val="single" w:color="000000" w:sz="6" w:space="0"/>
            </w:tcBorders>
            <w:vAlign w:val="center"/>
          </w:tcPr>
          <w:p w14:paraId="5ECCDCD4">
            <w:pPr>
              <w:pStyle w:val="235"/>
              <w:rPr>
                <w:color w:val="auto"/>
              </w:rPr>
            </w:pPr>
            <w:r>
              <w:rPr>
                <w:color w:val="auto"/>
              </w:rPr>
              <w:t>围岩压力</w:t>
            </w:r>
          </w:p>
        </w:tc>
      </w:tr>
      <w:tr w14:paraId="13B83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14:paraId="6CE7B089">
            <w:pPr>
              <w:pStyle w:val="235"/>
              <w:rPr>
                <w:color w:val="auto"/>
              </w:rPr>
            </w:pPr>
          </w:p>
        </w:tc>
        <w:tc>
          <w:tcPr>
            <w:tcW w:w="2275" w:type="dxa"/>
            <w:vAlign w:val="center"/>
          </w:tcPr>
          <w:p w14:paraId="0F6C707B">
            <w:pPr>
              <w:pStyle w:val="235"/>
              <w:rPr>
                <w:color w:val="auto"/>
              </w:rPr>
            </w:pPr>
            <w:r>
              <w:rPr>
                <w:color w:val="auto"/>
              </w:rPr>
              <w:t>支护桩墙内力</w:t>
            </w:r>
          </w:p>
        </w:tc>
        <w:tc>
          <w:tcPr>
            <w:tcW w:w="1671" w:type="dxa"/>
            <w:vAlign w:val="center"/>
          </w:tcPr>
          <w:p w14:paraId="4E23EA23">
            <w:pPr>
              <w:pStyle w:val="235"/>
              <w:rPr>
                <w:color w:val="auto"/>
              </w:rPr>
            </w:pPr>
            <w:r>
              <w:rPr>
                <w:color w:val="auto"/>
              </w:rPr>
              <w:t>钢架、钢筋格栅应力</w:t>
            </w:r>
          </w:p>
        </w:tc>
        <w:tc>
          <w:tcPr>
            <w:tcW w:w="1779" w:type="dxa"/>
            <w:tcBorders>
              <w:right w:val="single" w:color="000000" w:sz="6" w:space="0"/>
            </w:tcBorders>
            <w:vAlign w:val="center"/>
          </w:tcPr>
          <w:p w14:paraId="52DA172E">
            <w:pPr>
              <w:pStyle w:val="235"/>
              <w:rPr>
                <w:color w:val="auto"/>
              </w:rPr>
            </w:pPr>
            <w:r>
              <w:rPr>
                <w:color w:val="auto"/>
              </w:rPr>
              <w:t>管片衬砌竖向、水平位移</w:t>
            </w:r>
          </w:p>
        </w:tc>
      </w:tr>
      <w:tr w14:paraId="49D33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0" w:hRule="atLeast"/>
          <w:jc w:val="center"/>
        </w:trPr>
        <w:tc>
          <w:tcPr>
            <w:tcW w:w="615" w:type="dxa"/>
            <w:vMerge w:val="continue"/>
            <w:tcBorders>
              <w:top w:val="nil"/>
              <w:left w:val="single" w:color="000000" w:sz="6" w:space="0"/>
              <w:bottom w:val="nil"/>
            </w:tcBorders>
            <w:vAlign w:val="center"/>
          </w:tcPr>
          <w:p w14:paraId="1C3F9F4A">
            <w:pPr>
              <w:pStyle w:val="235"/>
              <w:rPr>
                <w:color w:val="auto"/>
              </w:rPr>
            </w:pPr>
          </w:p>
        </w:tc>
        <w:tc>
          <w:tcPr>
            <w:tcW w:w="2275" w:type="dxa"/>
            <w:vAlign w:val="center"/>
          </w:tcPr>
          <w:p w14:paraId="4FCE9740">
            <w:pPr>
              <w:pStyle w:val="235"/>
              <w:rPr>
                <w:color w:val="auto"/>
              </w:rPr>
            </w:pPr>
            <w:r>
              <w:rPr>
                <w:color w:val="auto"/>
              </w:rPr>
              <w:t>主体结构梁、板、柱应力</w:t>
            </w:r>
          </w:p>
        </w:tc>
        <w:tc>
          <w:tcPr>
            <w:tcW w:w="1671" w:type="dxa"/>
            <w:vAlign w:val="center"/>
          </w:tcPr>
          <w:p w14:paraId="438D4306">
            <w:pPr>
              <w:pStyle w:val="235"/>
              <w:rPr>
                <w:color w:val="auto"/>
              </w:rPr>
            </w:pPr>
            <w:r>
              <w:rPr>
                <w:color w:val="auto"/>
              </w:rPr>
              <w:t>二次衬砌结构应力</w:t>
            </w:r>
          </w:p>
        </w:tc>
        <w:tc>
          <w:tcPr>
            <w:tcW w:w="1779" w:type="dxa"/>
            <w:tcBorders>
              <w:right w:val="single" w:color="000000" w:sz="6" w:space="0"/>
            </w:tcBorders>
            <w:vAlign w:val="center"/>
          </w:tcPr>
          <w:p w14:paraId="1D510FAE">
            <w:pPr>
              <w:pStyle w:val="235"/>
              <w:rPr>
                <w:color w:val="auto"/>
              </w:rPr>
            </w:pPr>
            <w:r>
              <w:rPr>
                <w:color w:val="auto"/>
              </w:rPr>
              <w:t>管片结构应力</w:t>
            </w:r>
          </w:p>
        </w:tc>
      </w:tr>
      <w:tr w14:paraId="3F19C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14:paraId="4744C784">
            <w:pPr>
              <w:pStyle w:val="235"/>
              <w:rPr>
                <w:color w:val="auto"/>
              </w:rPr>
            </w:pPr>
          </w:p>
        </w:tc>
        <w:tc>
          <w:tcPr>
            <w:tcW w:w="2275" w:type="dxa"/>
            <w:vAlign w:val="center"/>
          </w:tcPr>
          <w:p w14:paraId="34A6E2D4">
            <w:pPr>
              <w:pStyle w:val="235"/>
              <w:rPr>
                <w:color w:val="auto"/>
              </w:rPr>
            </w:pPr>
            <w:r>
              <w:rPr>
                <w:color w:val="auto"/>
              </w:rPr>
              <w:t>土钉拉力</w:t>
            </w:r>
          </w:p>
        </w:tc>
        <w:tc>
          <w:tcPr>
            <w:tcW w:w="1671" w:type="dxa"/>
            <w:vAlign w:val="center"/>
          </w:tcPr>
          <w:p w14:paraId="0158AA9F">
            <w:pPr>
              <w:pStyle w:val="235"/>
              <w:rPr>
                <w:color w:val="auto"/>
              </w:rPr>
            </w:pPr>
            <w:r>
              <w:rPr>
                <w:color w:val="auto"/>
              </w:rPr>
              <w:t>中柱结构应力</w:t>
            </w:r>
          </w:p>
        </w:tc>
        <w:tc>
          <w:tcPr>
            <w:tcW w:w="1779" w:type="dxa"/>
            <w:tcBorders>
              <w:right w:val="single" w:color="000000" w:sz="6" w:space="0"/>
            </w:tcBorders>
            <w:vAlign w:val="center"/>
          </w:tcPr>
          <w:p w14:paraId="419653CD">
            <w:pPr>
              <w:pStyle w:val="235"/>
              <w:rPr>
                <w:color w:val="auto"/>
              </w:rPr>
            </w:pPr>
          </w:p>
        </w:tc>
      </w:tr>
      <w:tr w14:paraId="18414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3" w:hRule="atLeast"/>
          <w:jc w:val="center"/>
        </w:trPr>
        <w:tc>
          <w:tcPr>
            <w:tcW w:w="615" w:type="dxa"/>
            <w:vMerge w:val="continue"/>
            <w:tcBorders>
              <w:top w:val="nil"/>
              <w:left w:val="single" w:color="000000" w:sz="6" w:space="0"/>
            </w:tcBorders>
            <w:vAlign w:val="center"/>
          </w:tcPr>
          <w:p w14:paraId="5B3174D1">
            <w:pPr>
              <w:pStyle w:val="235"/>
              <w:rPr>
                <w:color w:val="auto"/>
              </w:rPr>
            </w:pPr>
          </w:p>
        </w:tc>
        <w:tc>
          <w:tcPr>
            <w:tcW w:w="2275" w:type="dxa"/>
            <w:vAlign w:val="center"/>
          </w:tcPr>
          <w:p w14:paraId="135B4A99">
            <w:pPr>
              <w:pStyle w:val="235"/>
              <w:rPr>
                <w:color w:val="auto"/>
              </w:rPr>
            </w:pPr>
            <w:r>
              <w:rPr>
                <w:color w:val="auto"/>
              </w:rPr>
              <w:t>基坑底部隆起</w:t>
            </w:r>
          </w:p>
        </w:tc>
        <w:tc>
          <w:tcPr>
            <w:tcW w:w="1671" w:type="dxa"/>
            <w:vAlign w:val="center"/>
          </w:tcPr>
          <w:p w14:paraId="30498CCD">
            <w:pPr>
              <w:pStyle w:val="235"/>
              <w:rPr>
                <w:color w:val="auto"/>
              </w:rPr>
            </w:pPr>
          </w:p>
        </w:tc>
        <w:tc>
          <w:tcPr>
            <w:tcW w:w="1779" w:type="dxa"/>
            <w:tcBorders>
              <w:right w:val="single" w:color="000000" w:sz="6" w:space="0"/>
            </w:tcBorders>
            <w:vAlign w:val="center"/>
          </w:tcPr>
          <w:p w14:paraId="10AB5750">
            <w:pPr>
              <w:pStyle w:val="235"/>
              <w:rPr>
                <w:color w:val="auto"/>
              </w:rPr>
            </w:pPr>
          </w:p>
        </w:tc>
      </w:tr>
    </w:tbl>
    <w:p w14:paraId="7083C392">
      <w:pPr>
        <w:tabs>
          <w:tab w:val="left" w:pos="709"/>
          <w:tab w:val="left" w:pos="794"/>
        </w:tabs>
        <w:jc w:val="left"/>
        <w:outlineLvl w:val="2"/>
        <w:rPr>
          <w:bCs/>
        </w:rPr>
      </w:pPr>
    </w:p>
    <w:p w14:paraId="1C1E3D41">
      <w:pPr>
        <w:tabs>
          <w:tab w:val="left" w:pos="709"/>
          <w:tab w:val="left" w:pos="794"/>
        </w:tabs>
        <w:jc w:val="left"/>
        <w:outlineLvl w:val="2"/>
        <w:rPr>
          <w:bCs/>
        </w:rPr>
      </w:pPr>
    </w:p>
    <w:p w14:paraId="4F20B4EA">
      <w:pPr>
        <w:numPr>
          <w:ilvl w:val="2"/>
          <w:numId w:val="1"/>
        </w:numPr>
        <w:tabs>
          <w:tab w:val="left" w:pos="709"/>
          <w:tab w:val="left" w:pos="794"/>
        </w:tabs>
        <w:jc w:val="left"/>
        <w:outlineLvl w:val="2"/>
        <w:rPr>
          <w:bCs/>
        </w:rPr>
      </w:pPr>
      <w:r>
        <w:rPr>
          <w:bCs/>
        </w:rPr>
        <w:t>监控量测测点布置、监测精度、监测周期和频率、监测仪器和元件等宜满足现行北京市地方标准《地铁工程监控量测技术规程》DB11/490的相关要求。</w:t>
      </w:r>
    </w:p>
    <w:p w14:paraId="34C947BB">
      <w:pPr>
        <w:numPr>
          <w:ilvl w:val="2"/>
          <w:numId w:val="1"/>
        </w:numPr>
        <w:tabs>
          <w:tab w:val="left" w:pos="709"/>
          <w:tab w:val="left" w:pos="794"/>
        </w:tabs>
        <w:jc w:val="left"/>
        <w:outlineLvl w:val="2"/>
        <w:rPr>
          <w:bCs/>
        </w:rPr>
      </w:pPr>
      <w:r>
        <w:rPr>
          <w:bCs/>
        </w:rPr>
        <w:t>监控量测控制值的确定应符合下列规定：</w:t>
      </w:r>
    </w:p>
    <w:p w14:paraId="28D198CB">
      <w:pPr>
        <w:ind w:firstLine="422" w:firstLineChars="200"/>
      </w:pPr>
      <w:r>
        <w:rPr>
          <w:b/>
        </w:rPr>
        <w:t>1</w:t>
      </w:r>
      <w:r>
        <w:rPr>
          <w:rFonts w:hint="eastAsia"/>
          <w:b/>
        </w:rPr>
        <w:t xml:space="preserve"> </w:t>
      </w:r>
      <w:r>
        <w:rPr>
          <w:rFonts w:hint="eastAsia"/>
        </w:rPr>
        <w:t xml:space="preserve"> </w:t>
      </w:r>
      <w:r>
        <w:t>地下结构设计应确定监测项目的控制值，控制值应满足地下结构自身安全及周边环境保护的要求；</w:t>
      </w:r>
    </w:p>
    <w:p w14:paraId="0BDF5EA5">
      <w:pPr>
        <w:ind w:firstLine="422" w:firstLineChars="200"/>
      </w:pPr>
      <w:r>
        <w:rPr>
          <w:b/>
        </w:rPr>
        <w:t>2</w:t>
      </w:r>
      <w:r>
        <w:rPr>
          <w:rFonts w:hint="eastAsia"/>
          <w:b/>
        </w:rPr>
        <w:t xml:space="preserve"> </w:t>
      </w:r>
      <w:r>
        <w:rPr>
          <w:rFonts w:hint="eastAsia"/>
        </w:rPr>
        <w:t xml:space="preserve"> </w:t>
      </w:r>
      <w:r>
        <w:t>变形监测控制值应分为累计变化量和变化速率，结构内力控制值应为内力设计值；工序复杂的工程宜根据施工工序制定阶段控制值，总控制值应为各个阶段控制值之和。控制值的70%应为预警值、85%应为报警值；</w:t>
      </w:r>
    </w:p>
    <w:p w14:paraId="133E8A94">
      <w:pPr>
        <w:ind w:firstLine="422" w:firstLineChars="200"/>
      </w:pPr>
      <w:r>
        <w:rPr>
          <w:b/>
        </w:rPr>
        <w:t>3</w:t>
      </w:r>
      <w:r>
        <w:rPr>
          <w:rFonts w:hint="eastAsia"/>
        </w:rPr>
        <w:t xml:space="preserve">  </w:t>
      </w:r>
      <w:r>
        <w:t>结构受力体系监测项目的监测控制值依据相关规范和工程安全等级，应在保证结构和周边环境安全的条件下，根据施工工法、周围岩土体特征、结构特点及设计计算结果，并结合北京市的工程经验综合确定；</w:t>
      </w:r>
    </w:p>
    <w:p w14:paraId="615710CD">
      <w:pPr>
        <w:ind w:firstLine="422" w:firstLineChars="200"/>
      </w:pPr>
      <w:r>
        <w:rPr>
          <w:b/>
        </w:rPr>
        <w:t>4</w:t>
      </w:r>
      <w:r>
        <w:rPr>
          <w:rFonts w:hint="eastAsia"/>
          <w:b/>
        </w:rPr>
        <w:t xml:space="preserve"> </w:t>
      </w:r>
      <w:r>
        <w:rPr>
          <w:rFonts w:hint="eastAsia"/>
        </w:rPr>
        <w:t xml:space="preserve"> </w:t>
      </w:r>
      <w:r>
        <w:t>周边环境监测项目的监测控制值应在现状普查的基础上，根据环境监测对象的具体情况和特点，依据相关规范、规程和监测对象标准，通过必要的计算分析，并结合产权单位的要求综合确定，必要时可通过环境安全分析评估予以确定；</w:t>
      </w:r>
    </w:p>
    <w:p w14:paraId="642C7BC9">
      <w:pPr>
        <w:ind w:firstLine="422" w:firstLineChars="200"/>
      </w:pPr>
      <w:r>
        <w:rPr>
          <w:b/>
        </w:rPr>
        <w:t>5</w:t>
      </w:r>
      <w:r>
        <w:rPr>
          <w:rFonts w:hint="eastAsia"/>
          <w:b/>
        </w:rPr>
        <w:t xml:space="preserve"> </w:t>
      </w:r>
      <w:r>
        <w:rPr>
          <w:rFonts w:hint="eastAsia"/>
        </w:rPr>
        <w:t xml:space="preserve"> </w:t>
      </w:r>
      <w:r>
        <w:t>地面沉降控制指标除了根据结构自身的安全控制标准确定外，还应与环境安全控制标准相协调，取两者的低值作为本工程的地面沉降控制标准；</w:t>
      </w:r>
    </w:p>
    <w:p w14:paraId="1995BCC4">
      <w:pPr>
        <w:ind w:firstLine="422" w:firstLineChars="200"/>
      </w:pPr>
      <w:r>
        <w:rPr>
          <w:b/>
        </w:rPr>
        <w:t>6</w:t>
      </w:r>
      <w:r>
        <w:rPr>
          <w:rFonts w:hint="eastAsia"/>
          <w:b/>
        </w:rPr>
        <w:t xml:space="preserve"> </w:t>
      </w:r>
      <w:r>
        <w:rPr>
          <w:rFonts w:hint="eastAsia"/>
        </w:rPr>
        <w:t xml:space="preserve"> </w:t>
      </w:r>
      <w:r>
        <w:rPr>
          <w:rFonts w:ascii="宋体" w:hAnsi="宋体" w:cs="宋体"/>
          <w:spacing w:val="4"/>
          <w:szCs w:val="20"/>
        </w:rPr>
        <w:t>无</w:t>
      </w:r>
      <w:r>
        <w:t>环境安全要求时，矿山法车站地面沉降控制值宜取60mm、矿山法及盾构法区间隧道地面沉降控制值宜取30mm</w:t>
      </w:r>
      <w:r>
        <w:rPr>
          <w:rFonts w:hint="eastAsia"/>
        </w:rPr>
        <w:t>、顶管法</w:t>
      </w:r>
      <w:r>
        <w:t>区间隧道地面沉降控制值宜取</w:t>
      </w:r>
      <w:r>
        <w:rPr>
          <w:rFonts w:hint="eastAsia"/>
        </w:rPr>
        <w:t>20</w:t>
      </w:r>
      <w:r>
        <w:t>mm；明挖法、盖挖逆作法地面沉降控制标准应符合本规范第1</w:t>
      </w:r>
      <w:r>
        <w:rPr>
          <w:rFonts w:hint="eastAsia"/>
        </w:rPr>
        <w:t>2</w:t>
      </w:r>
      <w:r>
        <w:t>.4.1节的相关规定。</w:t>
      </w:r>
    </w:p>
    <w:p w14:paraId="20777084">
      <w:pPr>
        <w:numPr>
          <w:ilvl w:val="2"/>
          <w:numId w:val="1"/>
        </w:numPr>
        <w:tabs>
          <w:tab w:val="left" w:pos="709"/>
          <w:tab w:val="left" w:pos="794"/>
        </w:tabs>
        <w:jc w:val="left"/>
        <w:outlineLvl w:val="2"/>
        <w:rPr>
          <w:bCs/>
        </w:rPr>
      </w:pPr>
      <w:r>
        <w:rPr>
          <w:bCs/>
        </w:rPr>
        <w:t>当地下结构处于特级和一级风险源地区时，尚应根据具体情况进行专项监控量测设计。</w:t>
      </w:r>
    </w:p>
    <w:p w14:paraId="21242C1B">
      <w:pPr>
        <w:numPr>
          <w:ilvl w:val="2"/>
          <w:numId w:val="1"/>
        </w:numPr>
        <w:tabs>
          <w:tab w:val="left" w:pos="709"/>
          <w:tab w:val="left" w:pos="794"/>
        </w:tabs>
        <w:jc w:val="left"/>
        <w:outlineLvl w:val="2"/>
        <w:rPr>
          <w:bCs/>
        </w:rPr>
      </w:pPr>
      <w:r>
        <w:rPr>
          <w:bCs/>
        </w:rPr>
        <w:t>设计应及时跟踪和掌握监控量测成果，进行数据反馈分析，判断是否发生突变和预测可能出现的异常情况，对现状施工进行评价，必要时应提出优化设计和施工措施的建议。</w:t>
      </w:r>
    </w:p>
    <w:p w14:paraId="03BCCB79">
      <w:pPr>
        <w:pStyle w:val="3"/>
      </w:pPr>
      <w:r>
        <w:rPr>
          <w:rFonts w:eastAsia="宋体"/>
          <w:kern w:val="2"/>
          <w:sz w:val="21"/>
          <w:szCs w:val="24"/>
        </w:rPr>
        <w:br w:type="page"/>
      </w:r>
      <w:bookmarkEnd w:id="700"/>
      <w:bookmarkEnd w:id="701"/>
      <w:bookmarkEnd w:id="702"/>
      <w:bookmarkEnd w:id="703"/>
      <w:bookmarkEnd w:id="704"/>
      <w:bookmarkEnd w:id="705"/>
      <w:bookmarkEnd w:id="706"/>
      <w:bookmarkStart w:id="833" w:name="_Toc183683532"/>
      <w:bookmarkStart w:id="834" w:name="_Toc176189897"/>
      <w:bookmarkStart w:id="835" w:name="_Toc183699871"/>
      <w:bookmarkStart w:id="836" w:name="_Toc183790557"/>
      <w:bookmarkStart w:id="837" w:name="_Toc183888170"/>
      <w:bookmarkStart w:id="838" w:name="_Toc183882480"/>
      <w:bookmarkStart w:id="839" w:name="_Toc183765127"/>
      <w:bookmarkStart w:id="840" w:name="_Toc183888532"/>
      <w:bookmarkStart w:id="841" w:name="_Toc183882118"/>
      <w:bookmarkStart w:id="842" w:name="_Toc183735415"/>
      <w:bookmarkStart w:id="843" w:name="_Toc174611711"/>
      <w:bookmarkStart w:id="844" w:name="_Toc174611508"/>
      <w:bookmarkStart w:id="845" w:name="_Toc168061713"/>
      <w:bookmarkStart w:id="846" w:name="_Toc168059458"/>
      <w:bookmarkStart w:id="847" w:name="_Toc168061266"/>
      <w:bookmarkStart w:id="848" w:name="_Toc174612515"/>
      <w:r>
        <w:rPr>
          <w:rFonts w:hint="eastAsia"/>
        </w:rPr>
        <w:t>工程防水</w:t>
      </w:r>
      <w:bookmarkEnd w:id="833"/>
      <w:bookmarkEnd w:id="834"/>
      <w:bookmarkEnd w:id="835"/>
      <w:bookmarkEnd w:id="836"/>
      <w:bookmarkEnd w:id="837"/>
      <w:bookmarkEnd w:id="838"/>
      <w:bookmarkEnd w:id="839"/>
      <w:bookmarkEnd w:id="840"/>
      <w:bookmarkEnd w:id="841"/>
      <w:bookmarkEnd w:id="842"/>
    </w:p>
    <w:p w14:paraId="7CD69541">
      <w:pPr>
        <w:numPr>
          <w:ilvl w:val="1"/>
          <w:numId w:val="1"/>
        </w:numPr>
        <w:snapToGrid w:val="0"/>
        <w:spacing w:before="156" w:after="156" w:line="240" w:lineRule="auto"/>
        <w:jc w:val="center"/>
        <w:outlineLvl w:val="1"/>
      </w:pPr>
      <w:bookmarkStart w:id="849" w:name="_Toc183888533"/>
      <w:bookmarkStart w:id="850" w:name="_Toc183882119"/>
      <w:bookmarkStart w:id="851" w:name="_Toc183888171"/>
      <w:bookmarkStart w:id="852" w:name="_Toc183882481"/>
      <w:bookmarkStart w:id="853" w:name="_Toc183765128"/>
      <w:bookmarkStart w:id="854" w:name="_Toc183790558"/>
      <w:r>
        <w:rPr>
          <w:rFonts w:eastAsia="黑体"/>
          <w:bCs/>
          <w:szCs w:val="28"/>
        </w:rPr>
        <w:t>一般</w:t>
      </w:r>
      <w:r>
        <w:t>规定</w:t>
      </w:r>
      <w:bookmarkEnd w:id="849"/>
      <w:bookmarkEnd w:id="850"/>
      <w:bookmarkEnd w:id="851"/>
      <w:bookmarkEnd w:id="852"/>
      <w:bookmarkEnd w:id="853"/>
      <w:bookmarkEnd w:id="854"/>
    </w:p>
    <w:p w14:paraId="4F28D693">
      <w:pPr>
        <w:numPr>
          <w:ilvl w:val="2"/>
          <w:numId w:val="1"/>
        </w:numPr>
        <w:tabs>
          <w:tab w:val="left" w:pos="709"/>
          <w:tab w:val="left" w:pos="851"/>
          <w:tab w:val="left" w:pos="993"/>
        </w:tabs>
        <w:jc w:val="left"/>
        <w:outlineLvl w:val="2"/>
      </w:pPr>
      <w:r>
        <w:rPr>
          <w:rFonts w:hint="eastAsia"/>
        </w:rPr>
        <w:t>地下工程防水设计应定级准确、方案可靠、施工简便、耐久适用、经济合理。</w:t>
      </w:r>
    </w:p>
    <w:p w14:paraId="6CBC97E5">
      <w:pPr>
        <w:numPr>
          <w:ilvl w:val="2"/>
          <w:numId w:val="1"/>
        </w:numPr>
        <w:tabs>
          <w:tab w:val="left" w:pos="709"/>
          <w:tab w:val="left" w:pos="851"/>
          <w:tab w:val="left" w:pos="993"/>
        </w:tabs>
        <w:jc w:val="left"/>
        <w:outlineLvl w:val="2"/>
      </w:pPr>
      <w:r>
        <w:rPr>
          <w:rFonts w:hint="eastAsia"/>
        </w:rPr>
        <w:t>地下工程防水设计应符合下列规定：</w:t>
      </w:r>
    </w:p>
    <w:p w14:paraId="1A1C2BDF">
      <w:pPr>
        <w:pStyle w:val="7"/>
        <w:ind w:firstLine="420"/>
      </w:pPr>
      <w:r>
        <w:rPr>
          <w:rFonts w:hint="eastAsia"/>
        </w:rPr>
        <w:t>应根据气候条件、工程地质和水文地质状况、环保要求、结构特点、施工方法、使用要求等因素进行；</w:t>
      </w:r>
    </w:p>
    <w:p w14:paraId="45CBD145">
      <w:pPr>
        <w:pStyle w:val="7"/>
        <w:ind w:firstLine="420"/>
      </w:pPr>
      <w:r>
        <w:rPr>
          <w:rFonts w:hint="eastAsia"/>
        </w:rPr>
        <w:t>应充分考虑地表水、地下水、毛细管水等的作用，或人为因素引起的附近水文地质改变的影响，特别是市政上下水管线渗漏对防水工程的影响；</w:t>
      </w:r>
    </w:p>
    <w:p w14:paraId="372813F1">
      <w:pPr>
        <w:pStyle w:val="7"/>
        <w:ind w:firstLine="420"/>
      </w:pPr>
      <w:r>
        <w:rPr>
          <w:rFonts w:hint="eastAsia"/>
        </w:rPr>
        <w:t>地下工程防水应遵循“以防为主，刚柔结合，多道设防，因地制宜，综合治理”的原则，采取与其相适应的防水措施。当结构处于贫水稳定地层，或位于地下潜水位以上时，在确保安全的条件下，可考虑限排；</w:t>
      </w:r>
    </w:p>
    <w:p w14:paraId="1791D028">
      <w:pPr>
        <w:pStyle w:val="7"/>
        <w:ind w:firstLine="420"/>
      </w:pPr>
      <w:r>
        <w:rPr>
          <w:rFonts w:hint="eastAsia"/>
        </w:rPr>
        <w:t>地下工程防水设计应以结构自防水为主，并在结构迎水面设置柔性防水层加强防水；</w:t>
      </w:r>
    </w:p>
    <w:p w14:paraId="4FEB4C92">
      <w:pPr>
        <w:pStyle w:val="7"/>
        <w:ind w:firstLine="420"/>
      </w:pPr>
      <w:r>
        <w:rPr>
          <w:rFonts w:hint="eastAsia"/>
        </w:rPr>
        <w:t>地下工程的变形缝、施工缝、后浇带、穿墙管（盒）、预埋件、预留通道接头、桩头等细部构造，应加强防水措施；</w:t>
      </w:r>
    </w:p>
    <w:p w14:paraId="10E5662B">
      <w:pPr>
        <w:pStyle w:val="7"/>
        <w:ind w:firstLine="420"/>
      </w:pPr>
      <w:r>
        <w:rPr>
          <w:rFonts w:hint="eastAsia"/>
        </w:rPr>
        <w:t>宜选用不易窜水的防水材料或防水构造措施；</w:t>
      </w:r>
    </w:p>
    <w:p w14:paraId="4B8D2D07">
      <w:pPr>
        <w:pStyle w:val="7"/>
        <w:ind w:firstLine="420"/>
      </w:pPr>
      <w:r>
        <w:rPr>
          <w:rFonts w:hint="eastAsia"/>
        </w:rPr>
        <w:t>处于侵蚀性介质中的工程，应采用耐侵蚀的防水混凝土、防水卷材或防水涂料等防水材料。</w:t>
      </w:r>
    </w:p>
    <w:p w14:paraId="0205423C">
      <w:pPr>
        <w:numPr>
          <w:ilvl w:val="2"/>
          <w:numId w:val="1"/>
        </w:numPr>
        <w:tabs>
          <w:tab w:val="left" w:pos="709"/>
          <w:tab w:val="left" w:pos="851"/>
          <w:tab w:val="left" w:pos="993"/>
        </w:tabs>
        <w:jc w:val="left"/>
        <w:outlineLvl w:val="2"/>
      </w:pPr>
      <w:r>
        <w:t>工程防水的相邻材料应相容，防水材料选用应符合下列规定：</w:t>
      </w:r>
    </w:p>
    <w:p w14:paraId="1ECA9F5D">
      <w:pPr>
        <w:pStyle w:val="7"/>
        <w:ind w:firstLine="420"/>
        <w:rPr>
          <w:snapToGrid w:val="0"/>
        </w:rPr>
      </w:pPr>
      <w:r>
        <w:rPr>
          <w:snapToGrid w:val="0"/>
        </w:rPr>
        <w:t>材料性能应与工程使用环境条件相适应。</w:t>
      </w:r>
    </w:p>
    <w:p w14:paraId="5E5062AA">
      <w:pPr>
        <w:pStyle w:val="7"/>
        <w:ind w:firstLine="420"/>
        <w:rPr>
          <w:snapToGrid w:val="0"/>
        </w:rPr>
      </w:pPr>
      <w:r>
        <w:rPr>
          <w:snapToGrid w:val="0"/>
        </w:rPr>
        <w:t>相邻设置的防水材料间不应发生有害的影响，材料的施工方式不应造成防水层的损害。</w:t>
      </w:r>
    </w:p>
    <w:p w14:paraId="4CE60739">
      <w:pPr>
        <w:pStyle w:val="7"/>
        <w:ind w:firstLine="420"/>
        <w:rPr>
          <w:snapToGrid w:val="0"/>
        </w:rPr>
      </w:pPr>
      <w:r>
        <w:rPr>
          <w:snapToGrid w:val="0"/>
        </w:rPr>
        <w:t>每道防水层应满足最小防水层厚度要求。</w:t>
      </w:r>
    </w:p>
    <w:p w14:paraId="2FAFEC07">
      <w:pPr>
        <w:pStyle w:val="7"/>
        <w:ind w:firstLine="420"/>
        <w:rPr>
          <w:snapToGrid w:val="0"/>
        </w:rPr>
      </w:pPr>
      <w:r>
        <w:rPr>
          <w:snapToGrid w:val="0"/>
        </w:rPr>
        <w:t>防水材料环保和有害物质限量应满足工程应用场合</w:t>
      </w:r>
      <w:r>
        <w:rPr>
          <w:rFonts w:hint="eastAsia"/>
          <w:snapToGrid w:val="0"/>
        </w:rPr>
        <w:t>及国家或行业材料标准的要求</w:t>
      </w:r>
      <w:r>
        <w:rPr>
          <w:snapToGrid w:val="0"/>
        </w:rPr>
        <w:t>。外露使用的防水材料的燃烧性能等级不应低于 B2 级。</w:t>
      </w:r>
    </w:p>
    <w:p w14:paraId="0AFE859D">
      <w:pPr>
        <w:numPr>
          <w:ilvl w:val="2"/>
          <w:numId w:val="1"/>
        </w:numPr>
        <w:tabs>
          <w:tab w:val="left" w:pos="709"/>
          <w:tab w:val="left" w:pos="851"/>
          <w:tab w:val="left" w:pos="993"/>
        </w:tabs>
        <w:jc w:val="left"/>
        <w:outlineLvl w:val="2"/>
      </w:pPr>
      <w:r>
        <w:t>工程防水设计工作年限应符合下列规定：</w:t>
      </w:r>
    </w:p>
    <w:p w14:paraId="61588CEF">
      <w:pPr>
        <w:pStyle w:val="7"/>
        <w:ind w:firstLine="420"/>
        <w:rPr>
          <w:snapToGrid w:val="0"/>
        </w:rPr>
      </w:pPr>
      <w:r>
        <w:rPr>
          <w:snapToGrid w:val="0"/>
        </w:rPr>
        <w:t>地下工程防水设计工作年限不应低于工程结构设计工作年限。</w:t>
      </w:r>
    </w:p>
    <w:p w14:paraId="1D238FCF">
      <w:pPr>
        <w:pStyle w:val="7"/>
        <w:ind w:firstLine="420"/>
        <w:rPr>
          <w:snapToGrid w:val="0"/>
        </w:rPr>
      </w:pPr>
      <w:r>
        <w:rPr>
          <w:snapToGrid w:val="0"/>
        </w:rPr>
        <w:t>桥面防水设计工作年限不应低于桥面铺装设计工作年限。</w:t>
      </w:r>
    </w:p>
    <w:p w14:paraId="7850A9A6">
      <w:pPr>
        <w:pStyle w:val="7"/>
        <w:ind w:firstLine="420"/>
        <w:rPr>
          <w:snapToGrid w:val="0"/>
        </w:rPr>
      </w:pPr>
      <w:r>
        <w:rPr>
          <w:rFonts w:hint="eastAsia"/>
          <w:snapToGrid w:val="0"/>
        </w:rPr>
        <w:t>建筑屋面工程防水设计工作年限不应低于20年。</w:t>
      </w:r>
    </w:p>
    <w:p w14:paraId="49894103">
      <w:pPr>
        <w:pStyle w:val="7"/>
        <w:ind w:firstLine="420"/>
        <w:rPr>
          <w:snapToGrid w:val="0"/>
        </w:rPr>
      </w:pPr>
      <w:r>
        <w:rPr>
          <w:rFonts w:hint="eastAsia"/>
          <w:snapToGrid w:val="0"/>
        </w:rPr>
        <w:t>室内工程防水设计工作年限不应低于25年。</w:t>
      </w:r>
    </w:p>
    <w:p w14:paraId="318FE5BC">
      <w:pPr>
        <w:pStyle w:val="7"/>
        <w:ind w:firstLine="420"/>
        <w:rPr>
          <w:snapToGrid w:val="0"/>
        </w:rPr>
      </w:pPr>
      <w:r>
        <w:rPr>
          <w:rFonts w:hint="eastAsia"/>
          <w:snapToGrid w:val="0"/>
        </w:rPr>
        <w:t>非侵蚀性介质蓄水类工程内壁防水层设计工作年限不应低于10年。</w:t>
      </w:r>
    </w:p>
    <w:p w14:paraId="786D285F">
      <w:pPr>
        <w:numPr>
          <w:ilvl w:val="2"/>
          <w:numId w:val="1"/>
        </w:numPr>
        <w:tabs>
          <w:tab w:val="left" w:pos="709"/>
          <w:tab w:val="left" w:pos="851"/>
          <w:tab w:val="left" w:pos="993"/>
        </w:tabs>
        <w:jc w:val="left"/>
        <w:outlineLvl w:val="2"/>
      </w:pPr>
      <w:r>
        <w:rPr>
          <w:rFonts w:hint="eastAsia"/>
        </w:rPr>
        <w:t>地下工程防水等级应符合下列规定：</w:t>
      </w:r>
    </w:p>
    <w:p w14:paraId="0EB2C4DE">
      <w:pPr>
        <w:pStyle w:val="86"/>
        <w:ind w:firstLine="422"/>
        <w:rPr>
          <w:color w:val="auto"/>
        </w:rPr>
      </w:pPr>
      <w:r>
        <w:rPr>
          <w:rFonts w:hint="eastAsia"/>
          <w:b/>
          <w:color w:val="auto"/>
        </w:rPr>
        <w:t xml:space="preserve">1 </w:t>
      </w:r>
      <w:r>
        <w:rPr>
          <w:rFonts w:hint="eastAsia"/>
          <w:color w:val="auto"/>
        </w:rPr>
        <w:t xml:space="preserve"> 地下工程的工程防水类别、工程防水使用环境类别划分应符合现行国家标准《建筑与市政工程防水通用规范》GB55030的相关规定。</w:t>
      </w:r>
    </w:p>
    <w:p w14:paraId="7B3731F7">
      <w:pPr>
        <w:pStyle w:val="86"/>
        <w:ind w:firstLine="422"/>
        <w:rPr>
          <w:color w:val="auto"/>
        </w:rPr>
      </w:pPr>
      <w:r>
        <w:rPr>
          <w:rFonts w:hint="eastAsia"/>
          <w:b/>
          <w:color w:val="auto"/>
        </w:rPr>
        <w:t>2</w:t>
      </w:r>
      <w:r>
        <w:rPr>
          <w:rFonts w:hint="eastAsia"/>
          <w:color w:val="auto"/>
        </w:rPr>
        <w:t xml:space="preserve">  车站、人行通道和机电设备集中区段的防水等级应为一级；区间隧道及联络通道、风道等结构的防水等级，当位于Ⅰ类防水使用环境时应为一级，位于Ⅱ类防水使用环境时应为二级。</w:t>
      </w:r>
    </w:p>
    <w:p w14:paraId="0F84CF36">
      <w:pPr>
        <w:numPr>
          <w:ilvl w:val="2"/>
          <w:numId w:val="1"/>
        </w:numPr>
        <w:tabs>
          <w:tab w:val="left" w:pos="709"/>
          <w:tab w:val="left" w:pos="851"/>
          <w:tab w:val="left" w:pos="993"/>
        </w:tabs>
        <w:jc w:val="left"/>
        <w:outlineLvl w:val="2"/>
      </w:pPr>
      <w:r>
        <w:rPr>
          <w:rFonts w:hint="eastAsia"/>
        </w:rPr>
        <w:t>地下工程防水标准应符合下列规定：</w:t>
      </w:r>
    </w:p>
    <w:p w14:paraId="750E1578">
      <w:pPr>
        <w:pStyle w:val="86"/>
        <w:ind w:firstLine="422"/>
        <w:rPr>
          <w:color w:val="auto"/>
        </w:rPr>
      </w:pPr>
      <w:r>
        <w:rPr>
          <w:rFonts w:hint="eastAsia"/>
          <w:b/>
          <w:color w:val="auto"/>
        </w:rPr>
        <w:t>1</w:t>
      </w:r>
      <w:r>
        <w:rPr>
          <w:rFonts w:hint="eastAsia"/>
          <w:color w:val="auto"/>
        </w:rPr>
        <w:t xml:space="preserve">  车站、人行通道和机电设备集中区段，不允许渗水，结构表面无湿渍；</w:t>
      </w:r>
    </w:p>
    <w:p w14:paraId="385A880B">
      <w:pPr>
        <w:pStyle w:val="86"/>
        <w:ind w:firstLine="422"/>
        <w:rPr>
          <w:color w:val="auto"/>
        </w:rPr>
      </w:pPr>
      <w:r>
        <w:rPr>
          <w:rFonts w:hint="eastAsia"/>
          <w:b/>
          <w:color w:val="auto"/>
        </w:rPr>
        <w:t xml:space="preserve">2 </w:t>
      </w:r>
      <w:r>
        <w:rPr>
          <w:rFonts w:hint="eastAsia"/>
          <w:color w:val="auto"/>
        </w:rPr>
        <w:t xml:space="preserve"> 区间隧道及联络通道、风道等结构，顶部不得滴漏，其他部位不得漏水；结构表面可有少量湿渍，总湿渍面积不应大于总防水面积的2/1000，任意100m</w:t>
      </w:r>
      <w:r>
        <w:rPr>
          <w:rFonts w:hint="eastAsia"/>
          <w:color w:val="auto"/>
          <w:vertAlign w:val="superscript"/>
        </w:rPr>
        <w:t>2</w:t>
      </w:r>
      <w:r>
        <w:rPr>
          <w:rFonts w:hint="eastAsia"/>
          <w:color w:val="auto"/>
        </w:rPr>
        <w:t>防水面积上的湿渍不应超过3处，单个湿渍的最大面积不应大于0.2m</w:t>
      </w:r>
      <w:r>
        <w:rPr>
          <w:rFonts w:hint="eastAsia"/>
          <w:color w:val="auto"/>
          <w:vertAlign w:val="superscript"/>
        </w:rPr>
        <w:t>2</w:t>
      </w:r>
      <w:r>
        <w:rPr>
          <w:rFonts w:hint="eastAsia"/>
          <w:color w:val="auto"/>
        </w:rPr>
        <w:t>。区间隧道工程中漏水的平均渗漏量不应大于0.05L/m</w:t>
      </w:r>
      <w:r>
        <w:rPr>
          <w:rFonts w:hint="eastAsia"/>
          <w:color w:val="auto"/>
          <w:vertAlign w:val="superscript"/>
        </w:rPr>
        <w:t>2</w:t>
      </w:r>
      <w:r>
        <w:rPr>
          <w:rFonts w:hint="eastAsia"/>
          <w:color w:val="auto"/>
        </w:rPr>
        <w:t>·d，任意100m</w:t>
      </w:r>
      <w:r>
        <w:rPr>
          <w:rFonts w:hint="eastAsia"/>
          <w:color w:val="auto"/>
          <w:vertAlign w:val="superscript"/>
        </w:rPr>
        <w:t>2</w:t>
      </w:r>
      <w:r>
        <w:rPr>
          <w:rFonts w:hint="eastAsia"/>
          <w:color w:val="auto"/>
        </w:rPr>
        <w:t>防水面积渗漏量不应大于0.15L/m</w:t>
      </w:r>
      <w:r>
        <w:rPr>
          <w:rFonts w:hint="eastAsia"/>
          <w:color w:val="auto"/>
          <w:vertAlign w:val="superscript"/>
        </w:rPr>
        <w:t>2</w:t>
      </w:r>
      <w:r>
        <w:rPr>
          <w:rFonts w:hint="eastAsia"/>
          <w:color w:val="auto"/>
        </w:rPr>
        <w:t>·d。</w:t>
      </w:r>
    </w:p>
    <w:p w14:paraId="0421D3C2">
      <w:pPr>
        <w:spacing w:line="240" w:lineRule="auto"/>
        <w:rPr>
          <w:spacing w:val="4"/>
          <w:sz w:val="20"/>
          <w:szCs w:val="18"/>
        </w:rPr>
      </w:pPr>
    </w:p>
    <w:p w14:paraId="20C57113">
      <w:pPr>
        <w:numPr>
          <w:ilvl w:val="2"/>
          <w:numId w:val="1"/>
        </w:numPr>
        <w:tabs>
          <w:tab w:val="left" w:pos="709"/>
          <w:tab w:val="left" w:pos="851"/>
          <w:tab w:val="left" w:pos="993"/>
        </w:tabs>
        <w:jc w:val="left"/>
        <w:outlineLvl w:val="2"/>
      </w:pPr>
      <w:r>
        <w:rPr>
          <w:rFonts w:hint="eastAsia"/>
        </w:rPr>
        <w:t>高架结构防水应遵循“以防为主，防排结合”的原则，桥面应设柔性防水层，并应设置顺畅的排水系统。</w:t>
      </w:r>
      <w:r>
        <w:rPr>
          <w:rFonts w:hint="eastAsia"/>
          <w:snapToGrid w:val="0"/>
        </w:rPr>
        <w:t>高架车站防水等级为一级。不得渗水，结构背水面无湿渍。</w:t>
      </w:r>
    </w:p>
    <w:p w14:paraId="518FB733">
      <w:pPr>
        <w:numPr>
          <w:ilvl w:val="2"/>
          <w:numId w:val="1"/>
        </w:numPr>
        <w:tabs>
          <w:tab w:val="left" w:pos="709"/>
          <w:tab w:val="left" w:pos="851"/>
          <w:tab w:val="left" w:pos="993"/>
        </w:tabs>
        <w:jc w:val="left"/>
        <w:outlineLvl w:val="2"/>
      </w:pPr>
      <w:r>
        <w:t>屋面、车辆段上盖物业平台的防水应符合国家现行标准</w:t>
      </w:r>
      <w:r>
        <w:rPr>
          <w:rFonts w:hint="eastAsia"/>
        </w:rPr>
        <w:t>《建筑与市政工程防水通用规范》G</w:t>
      </w:r>
      <w:r>
        <w:t>B55030</w:t>
      </w:r>
      <w:r>
        <w:rPr>
          <w:rFonts w:hint="eastAsia"/>
        </w:rPr>
        <w:t>、</w:t>
      </w:r>
      <w:r>
        <w:t>《屋面工程技术规范》GB50345和《种植屋面工程技术规程》JGJ155等标准的规定。</w:t>
      </w:r>
    </w:p>
    <w:p w14:paraId="1173FC71">
      <w:pPr>
        <w:numPr>
          <w:ilvl w:val="2"/>
          <w:numId w:val="1"/>
        </w:numPr>
        <w:tabs>
          <w:tab w:val="left" w:pos="709"/>
          <w:tab w:val="left" w:pos="851"/>
          <w:tab w:val="left" w:pos="993"/>
        </w:tabs>
        <w:jc w:val="left"/>
        <w:outlineLvl w:val="2"/>
      </w:pPr>
      <w:r>
        <w:rPr>
          <w:rFonts w:hint="eastAsia"/>
        </w:rPr>
        <w:t>地上结构的种植屋面和地下结构的种植顶板工程，防水等级应为一级，并应符合下列规定：</w:t>
      </w:r>
    </w:p>
    <w:p w14:paraId="29A83785">
      <w:pPr>
        <w:pStyle w:val="7"/>
        <w:ind w:firstLine="420"/>
        <w:rPr>
          <w:snapToGrid w:val="0"/>
        </w:rPr>
      </w:pPr>
      <w:r>
        <w:rPr>
          <w:rFonts w:hint="eastAsia"/>
          <w:snapToGrid w:val="0"/>
        </w:rPr>
        <w:t>地上结构的种植屋面应至少设置一道具有耐根穿刺性能的防水层，并应按照园林绿化相关规定设置其它辅助设置，如排滤水层及种植土等。</w:t>
      </w:r>
    </w:p>
    <w:p w14:paraId="3566B332">
      <w:pPr>
        <w:pStyle w:val="7"/>
        <w:ind w:firstLine="420"/>
        <w:rPr>
          <w:snapToGrid w:val="0"/>
        </w:rPr>
      </w:pPr>
      <w:r>
        <w:rPr>
          <w:rFonts w:hint="eastAsia"/>
          <w:snapToGrid w:val="0"/>
        </w:rPr>
        <w:t>新建地下结构顶板覆土厚度小于2m，且顶板上方规划为种植区域时，应至少设置一道耐根穿刺层。</w:t>
      </w:r>
    </w:p>
    <w:p w14:paraId="3FF562C0">
      <w:pPr>
        <w:pStyle w:val="7"/>
        <w:ind w:firstLine="420"/>
        <w:rPr>
          <w:snapToGrid w:val="0"/>
        </w:rPr>
      </w:pPr>
      <w:r>
        <w:rPr>
          <w:rFonts w:hint="eastAsia"/>
          <w:snapToGrid w:val="0"/>
        </w:rPr>
        <w:t>耐根穿刺层上方应设置保护层。</w:t>
      </w:r>
    </w:p>
    <w:p w14:paraId="43DA3492">
      <w:pPr>
        <w:numPr>
          <w:ilvl w:val="2"/>
          <w:numId w:val="1"/>
        </w:numPr>
        <w:tabs>
          <w:tab w:val="left" w:pos="709"/>
          <w:tab w:val="left" w:pos="851"/>
          <w:tab w:val="left" w:pos="993"/>
        </w:tabs>
        <w:jc w:val="left"/>
        <w:outlineLvl w:val="2"/>
      </w:pPr>
      <w:r>
        <w:rPr>
          <w:rFonts w:hint="eastAsia"/>
        </w:rPr>
        <w:t>轨道交通工程的防水，可采用经过试验、检测和鉴定并经实践检验质量可靠的新材料、新技术、新工艺，但应通过工程局部试验的效果确定其应用范围。</w:t>
      </w:r>
    </w:p>
    <w:p w14:paraId="251F9032">
      <w:pPr>
        <w:numPr>
          <w:ilvl w:val="1"/>
          <w:numId w:val="1"/>
        </w:numPr>
        <w:snapToGrid w:val="0"/>
        <w:spacing w:before="156" w:after="156" w:line="240" w:lineRule="auto"/>
        <w:jc w:val="center"/>
        <w:outlineLvl w:val="1"/>
        <w:rPr>
          <w:rFonts w:eastAsia="黑体"/>
          <w:bCs/>
          <w:szCs w:val="28"/>
        </w:rPr>
      </w:pPr>
      <w:bookmarkStart w:id="855" w:name="_Toc183882120"/>
      <w:bookmarkStart w:id="856" w:name="_Toc183683534"/>
      <w:bookmarkStart w:id="857" w:name="_Toc183882482"/>
      <w:bookmarkStart w:id="858" w:name="_Toc183765129"/>
      <w:bookmarkStart w:id="859" w:name="_Toc183888534"/>
      <w:bookmarkStart w:id="860" w:name="_Toc183888172"/>
      <w:bookmarkStart w:id="861" w:name="_Toc176189900"/>
      <w:bookmarkStart w:id="862" w:name="_Toc357929375"/>
      <w:bookmarkStart w:id="863" w:name="_Toc183790559"/>
      <w:r>
        <w:rPr>
          <w:rFonts w:hint="eastAsia" w:eastAsia="黑体"/>
          <w:bCs/>
          <w:szCs w:val="28"/>
        </w:rPr>
        <w:t>混凝土结构自防水</w:t>
      </w:r>
      <w:bookmarkEnd w:id="855"/>
      <w:bookmarkEnd w:id="856"/>
      <w:bookmarkEnd w:id="857"/>
      <w:bookmarkEnd w:id="858"/>
      <w:bookmarkEnd w:id="859"/>
      <w:bookmarkEnd w:id="860"/>
      <w:bookmarkEnd w:id="861"/>
      <w:bookmarkEnd w:id="862"/>
      <w:bookmarkEnd w:id="863"/>
    </w:p>
    <w:p w14:paraId="46EB88C2">
      <w:pPr>
        <w:numPr>
          <w:ilvl w:val="2"/>
          <w:numId w:val="1"/>
        </w:numPr>
        <w:tabs>
          <w:tab w:val="left" w:pos="709"/>
          <w:tab w:val="left" w:pos="851"/>
          <w:tab w:val="left" w:pos="993"/>
        </w:tabs>
        <w:jc w:val="left"/>
        <w:outlineLvl w:val="2"/>
      </w:pPr>
      <w:r>
        <w:rPr>
          <w:rFonts w:hint="eastAsia"/>
        </w:rPr>
        <w:t>地下工程防水混凝土的抗渗等级应符合表13.2.1的规定。</w:t>
      </w:r>
    </w:p>
    <w:p w14:paraId="54EA55F7">
      <w:pPr>
        <w:widowControl/>
        <w:spacing w:line="240" w:lineRule="auto"/>
        <w:jc w:val="left"/>
        <w:rPr>
          <w:rFonts w:ascii="Arial" w:hAnsi="Arial" w:cs="Arial"/>
          <w:szCs w:val="20"/>
        </w:rPr>
      </w:pPr>
      <w:r>
        <w:br w:type="page"/>
      </w:r>
    </w:p>
    <w:p w14:paraId="3CF0B641">
      <w:pPr>
        <w:pStyle w:val="198"/>
        <w:rPr>
          <w:snapToGrid w:val="0"/>
        </w:rPr>
      </w:pPr>
      <w:r>
        <w:rPr>
          <w:snapToGrid w:val="0"/>
        </w:rPr>
        <w:t>表13</w:t>
      </w:r>
      <w:r>
        <w:rPr>
          <w:rFonts w:ascii="Arial" w:hAnsi="Arial" w:eastAsia="Arial" w:cs="Arial"/>
          <w:snapToGrid w:val="0"/>
        </w:rPr>
        <w:t>.</w:t>
      </w:r>
      <w:r>
        <w:rPr>
          <w:rFonts w:hint="eastAsia"/>
          <w:snapToGrid w:val="0"/>
        </w:rPr>
        <w:t>2</w:t>
      </w:r>
      <w:r>
        <w:rPr>
          <w:snapToGrid w:val="0"/>
        </w:rPr>
        <w:t>.1</w:t>
      </w:r>
      <w:r>
        <w:rPr>
          <w:rFonts w:hint="eastAsia"/>
          <w:snapToGrid w:val="0"/>
        </w:rPr>
        <w:t xml:space="preserve"> </w:t>
      </w:r>
      <w:r>
        <w:rPr>
          <w:snapToGrid w:val="0"/>
        </w:rPr>
        <w:t>防水混凝土的抗渗等级</w:t>
      </w:r>
    </w:p>
    <w:tbl>
      <w:tblPr>
        <w:tblStyle w:val="88"/>
        <w:tblW w:w="649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1275"/>
        <w:gridCol w:w="1276"/>
        <w:gridCol w:w="1418"/>
        <w:gridCol w:w="1346"/>
      </w:tblGrid>
      <w:tr w14:paraId="2914F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178" w:type="dxa"/>
            <w:vMerge w:val="restart"/>
            <w:tcBorders>
              <w:left w:val="single" w:color="000000" w:sz="6" w:space="0"/>
            </w:tcBorders>
            <w:vAlign w:val="center"/>
          </w:tcPr>
          <w:p w14:paraId="798CA710">
            <w:pPr>
              <w:pStyle w:val="235"/>
              <w:rPr>
                <w:color w:val="auto"/>
              </w:rPr>
            </w:pPr>
            <w:r>
              <w:rPr>
                <w:color w:val="auto"/>
              </w:rPr>
              <w:t>结构埋置深度h</w:t>
            </w:r>
          </w:p>
          <w:p w14:paraId="23F20DA5">
            <w:pPr>
              <w:pStyle w:val="235"/>
              <w:rPr>
                <w:color w:val="auto"/>
              </w:rPr>
            </w:pPr>
            <w:r>
              <w:rPr>
                <w:color w:val="auto"/>
              </w:rPr>
              <w:t>(m)</w:t>
            </w:r>
          </w:p>
        </w:tc>
        <w:tc>
          <w:tcPr>
            <w:tcW w:w="5315" w:type="dxa"/>
            <w:gridSpan w:val="4"/>
            <w:tcBorders>
              <w:right w:val="single" w:color="000000" w:sz="6" w:space="0"/>
            </w:tcBorders>
            <w:vAlign w:val="center"/>
          </w:tcPr>
          <w:p w14:paraId="18023E19">
            <w:pPr>
              <w:pStyle w:val="235"/>
              <w:rPr>
                <w:color w:val="auto"/>
              </w:rPr>
            </w:pPr>
            <w:r>
              <w:rPr>
                <w:color w:val="auto"/>
              </w:rPr>
              <w:t>设计抗渗等级</w:t>
            </w:r>
          </w:p>
        </w:tc>
      </w:tr>
      <w:tr w14:paraId="5184B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178" w:type="dxa"/>
            <w:vMerge w:val="continue"/>
            <w:tcBorders>
              <w:left w:val="single" w:color="000000" w:sz="6" w:space="0"/>
            </w:tcBorders>
            <w:vAlign w:val="center"/>
          </w:tcPr>
          <w:p w14:paraId="25A16B56">
            <w:pPr>
              <w:pStyle w:val="235"/>
              <w:rPr>
                <w:color w:val="auto"/>
              </w:rPr>
            </w:pPr>
          </w:p>
        </w:tc>
        <w:tc>
          <w:tcPr>
            <w:tcW w:w="2551" w:type="dxa"/>
            <w:gridSpan w:val="2"/>
            <w:vAlign w:val="center"/>
          </w:tcPr>
          <w:p w14:paraId="3C9F93C4">
            <w:pPr>
              <w:pStyle w:val="235"/>
              <w:rPr>
                <w:color w:val="auto"/>
              </w:rPr>
            </w:pPr>
            <w:r>
              <w:rPr>
                <w:rFonts w:hint="eastAsia"/>
                <w:color w:val="auto"/>
              </w:rPr>
              <w:t>现浇结构</w:t>
            </w:r>
          </w:p>
        </w:tc>
        <w:tc>
          <w:tcPr>
            <w:tcW w:w="2764" w:type="dxa"/>
            <w:gridSpan w:val="2"/>
            <w:tcBorders>
              <w:right w:val="single" w:color="000000" w:sz="6" w:space="0"/>
            </w:tcBorders>
            <w:vAlign w:val="center"/>
          </w:tcPr>
          <w:p w14:paraId="50F491A8">
            <w:pPr>
              <w:pStyle w:val="235"/>
              <w:rPr>
                <w:color w:val="auto"/>
              </w:rPr>
            </w:pPr>
            <w:r>
              <w:rPr>
                <w:rFonts w:hint="eastAsia"/>
                <w:color w:val="auto"/>
              </w:rPr>
              <w:t>预制结构</w:t>
            </w:r>
          </w:p>
        </w:tc>
      </w:tr>
      <w:tr w14:paraId="755FA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jc w:val="center"/>
        </w:trPr>
        <w:tc>
          <w:tcPr>
            <w:tcW w:w="1178" w:type="dxa"/>
            <w:vMerge w:val="continue"/>
            <w:tcBorders>
              <w:left w:val="single" w:color="000000" w:sz="6" w:space="0"/>
            </w:tcBorders>
            <w:vAlign w:val="center"/>
          </w:tcPr>
          <w:p w14:paraId="6A73E980">
            <w:pPr>
              <w:pStyle w:val="235"/>
              <w:rPr>
                <w:color w:val="auto"/>
              </w:rPr>
            </w:pPr>
          </w:p>
        </w:tc>
        <w:tc>
          <w:tcPr>
            <w:tcW w:w="1275" w:type="dxa"/>
            <w:vAlign w:val="center"/>
          </w:tcPr>
          <w:p w14:paraId="7BD1CCE1">
            <w:pPr>
              <w:pStyle w:val="235"/>
              <w:rPr>
                <w:color w:val="auto"/>
              </w:rPr>
            </w:pPr>
            <w:r>
              <w:rPr>
                <w:rFonts w:hint="eastAsia"/>
                <w:color w:val="auto"/>
              </w:rPr>
              <w:t>地下车站及附属</w:t>
            </w:r>
          </w:p>
        </w:tc>
        <w:tc>
          <w:tcPr>
            <w:tcW w:w="1276" w:type="dxa"/>
            <w:vAlign w:val="center"/>
          </w:tcPr>
          <w:p w14:paraId="3AADDDD5">
            <w:pPr>
              <w:pStyle w:val="235"/>
              <w:rPr>
                <w:color w:val="auto"/>
              </w:rPr>
            </w:pPr>
            <w:r>
              <w:rPr>
                <w:rFonts w:hint="eastAsia"/>
                <w:color w:val="auto"/>
              </w:rPr>
              <w:t>其它地下结构</w:t>
            </w:r>
          </w:p>
        </w:tc>
        <w:tc>
          <w:tcPr>
            <w:tcW w:w="1418" w:type="dxa"/>
            <w:vAlign w:val="center"/>
          </w:tcPr>
          <w:p w14:paraId="3B24053A">
            <w:pPr>
              <w:pStyle w:val="235"/>
              <w:rPr>
                <w:color w:val="auto"/>
              </w:rPr>
            </w:pPr>
            <w:r>
              <w:rPr>
                <w:rFonts w:hint="eastAsia"/>
                <w:color w:val="auto"/>
              </w:rPr>
              <w:t>盾构法</w:t>
            </w:r>
          </w:p>
          <w:p w14:paraId="6FE95B88">
            <w:pPr>
              <w:pStyle w:val="235"/>
              <w:rPr>
                <w:color w:val="auto"/>
              </w:rPr>
            </w:pPr>
            <w:r>
              <w:rPr>
                <w:rFonts w:hint="eastAsia"/>
                <w:color w:val="auto"/>
              </w:rPr>
              <w:t>装配式车站结构</w:t>
            </w:r>
          </w:p>
        </w:tc>
        <w:tc>
          <w:tcPr>
            <w:tcW w:w="1346" w:type="dxa"/>
            <w:tcBorders>
              <w:right w:val="single" w:color="000000" w:sz="6" w:space="0"/>
            </w:tcBorders>
            <w:vAlign w:val="center"/>
          </w:tcPr>
          <w:p w14:paraId="66696BF6">
            <w:pPr>
              <w:pStyle w:val="235"/>
              <w:rPr>
                <w:color w:val="auto"/>
              </w:rPr>
            </w:pPr>
            <w:r>
              <w:rPr>
                <w:rFonts w:hint="eastAsia"/>
                <w:color w:val="auto"/>
              </w:rPr>
              <w:t>顶管法结构</w:t>
            </w:r>
          </w:p>
        </w:tc>
      </w:tr>
      <w:tr w14:paraId="53322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178" w:type="dxa"/>
            <w:tcBorders>
              <w:left w:val="single" w:color="000000" w:sz="6" w:space="0"/>
            </w:tcBorders>
            <w:vAlign w:val="center"/>
          </w:tcPr>
          <w:p w14:paraId="721A5E01">
            <w:pPr>
              <w:pStyle w:val="235"/>
              <w:rPr>
                <w:color w:val="auto"/>
              </w:rPr>
            </w:pPr>
            <w:r>
              <w:rPr>
                <w:color w:val="auto"/>
              </w:rPr>
              <w:t>h＜20</w:t>
            </w:r>
          </w:p>
        </w:tc>
        <w:tc>
          <w:tcPr>
            <w:tcW w:w="1275" w:type="dxa"/>
            <w:vAlign w:val="center"/>
          </w:tcPr>
          <w:p w14:paraId="78954BF7">
            <w:pPr>
              <w:pStyle w:val="235"/>
              <w:rPr>
                <w:color w:val="auto"/>
              </w:rPr>
            </w:pPr>
            <w:r>
              <w:rPr>
                <w:color w:val="auto"/>
              </w:rPr>
              <w:t>P10</w:t>
            </w:r>
          </w:p>
        </w:tc>
        <w:tc>
          <w:tcPr>
            <w:tcW w:w="1276" w:type="dxa"/>
            <w:vAlign w:val="center"/>
          </w:tcPr>
          <w:p w14:paraId="12902976">
            <w:pPr>
              <w:pStyle w:val="235"/>
              <w:rPr>
                <w:color w:val="auto"/>
              </w:rPr>
            </w:pPr>
            <w:r>
              <w:rPr>
                <w:color w:val="auto"/>
              </w:rPr>
              <w:t>P</w:t>
            </w:r>
            <w:r>
              <w:rPr>
                <w:rFonts w:hint="eastAsia"/>
                <w:color w:val="auto"/>
              </w:rPr>
              <w:t>8</w:t>
            </w:r>
          </w:p>
        </w:tc>
        <w:tc>
          <w:tcPr>
            <w:tcW w:w="1418" w:type="dxa"/>
            <w:vAlign w:val="center"/>
          </w:tcPr>
          <w:p w14:paraId="3F93488B">
            <w:pPr>
              <w:pStyle w:val="235"/>
              <w:rPr>
                <w:color w:val="auto"/>
              </w:rPr>
            </w:pPr>
            <w:r>
              <w:rPr>
                <w:color w:val="auto"/>
              </w:rPr>
              <w:t>P</w:t>
            </w:r>
            <w:r>
              <w:rPr>
                <w:rFonts w:hint="eastAsia"/>
                <w:color w:val="auto"/>
              </w:rPr>
              <w:t>10</w:t>
            </w:r>
          </w:p>
        </w:tc>
        <w:tc>
          <w:tcPr>
            <w:tcW w:w="1346" w:type="dxa"/>
            <w:tcBorders>
              <w:right w:val="single" w:color="000000" w:sz="6" w:space="0"/>
            </w:tcBorders>
            <w:vAlign w:val="center"/>
          </w:tcPr>
          <w:p w14:paraId="1052CA93">
            <w:pPr>
              <w:pStyle w:val="235"/>
              <w:rPr>
                <w:color w:val="auto"/>
              </w:rPr>
            </w:pPr>
            <w:r>
              <w:rPr>
                <w:color w:val="auto"/>
              </w:rPr>
              <w:t>P10</w:t>
            </w:r>
          </w:p>
        </w:tc>
      </w:tr>
      <w:tr w14:paraId="29433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1178" w:type="dxa"/>
            <w:tcBorders>
              <w:left w:val="single" w:color="000000" w:sz="6" w:space="0"/>
            </w:tcBorders>
            <w:vAlign w:val="center"/>
          </w:tcPr>
          <w:p w14:paraId="46176390">
            <w:pPr>
              <w:pStyle w:val="235"/>
              <w:rPr>
                <w:color w:val="auto"/>
              </w:rPr>
            </w:pPr>
            <w:r>
              <w:rPr>
                <w:color w:val="auto"/>
              </w:rPr>
              <w:t>20≤h＜30</w:t>
            </w:r>
          </w:p>
        </w:tc>
        <w:tc>
          <w:tcPr>
            <w:tcW w:w="1275" w:type="dxa"/>
            <w:vAlign w:val="center"/>
          </w:tcPr>
          <w:p w14:paraId="0A536B73">
            <w:pPr>
              <w:pStyle w:val="235"/>
              <w:rPr>
                <w:color w:val="auto"/>
              </w:rPr>
            </w:pPr>
            <w:r>
              <w:rPr>
                <w:color w:val="auto"/>
              </w:rPr>
              <w:t>P10</w:t>
            </w:r>
          </w:p>
        </w:tc>
        <w:tc>
          <w:tcPr>
            <w:tcW w:w="1276" w:type="dxa"/>
            <w:vAlign w:val="center"/>
          </w:tcPr>
          <w:p w14:paraId="3D4DCFFA">
            <w:pPr>
              <w:pStyle w:val="235"/>
              <w:rPr>
                <w:color w:val="auto"/>
              </w:rPr>
            </w:pPr>
            <w:r>
              <w:rPr>
                <w:color w:val="auto"/>
              </w:rPr>
              <w:t>P10</w:t>
            </w:r>
          </w:p>
        </w:tc>
        <w:tc>
          <w:tcPr>
            <w:tcW w:w="1418" w:type="dxa"/>
            <w:vAlign w:val="center"/>
          </w:tcPr>
          <w:p w14:paraId="6D30824F">
            <w:pPr>
              <w:pStyle w:val="235"/>
              <w:rPr>
                <w:color w:val="auto"/>
              </w:rPr>
            </w:pPr>
            <w:r>
              <w:rPr>
                <w:color w:val="auto"/>
              </w:rPr>
              <w:t>P1</w:t>
            </w:r>
            <w:r>
              <w:rPr>
                <w:rFonts w:hint="eastAsia"/>
                <w:color w:val="auto"/>
              </w:rPr>
              <w:t>0</w:t>
            </w:r>
          </w:p>
        </w:tc>
        <w:tc>
          <w:tcPr>
            <w:tcW w:w="1346" w:type="dxa"/>
            <w:tcBorders>
              <w:right w:val="single" w:color="000000" w:sz="6" w:space="0"/>
            </w:tcBorders>
            <w:vAlign w:val="center"/>
          </w:tcPr>
          <w:p w14:paraId="7903FE64">
            <w:pPr>
              <w:pStyle w:val="235"/>
              <w:rPr>
                <w:color w:val="auto"/>
              </w:rPr>
            </w:pPr>
            <w:r>
              <w:rPr>
                <w:color w:val="auto"/>
              </w:rPr>
              <w:t>P1</w:t>
            </w:r>
            <w:r>
              <w:rPr>
                <w:rFonts w:hint="eastAsia"/>
                <w:color w:val="auto"/>
              </w:rPr>
              <w:t>0</w:t>
            </w:r>
          </w:p>
        </w:tc>
      </w:tr>
      <w:tr w14:paraId="4589A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178" w:type="dxa"/>
            <w:tcBorders>
              <w:left w:val="single" w:color="000000" w:sz="6" w:space="0"/>
            </w:tcBorders>
            <w:vAlign w:val="center"/>
          </w:tcPr>
          <w:p w14:paraId="13E93254">
            <w:pPr>
              <w:pStyle w:val="235"/>
              <w:rPr>
                <w:color w:val="auto"/>
              </w:rPr>
            </w:pPr>
            <w:r>
              <w:rPr>
                <w:color w:val="auto"/>
              </w:rPr>
              <w:t>30≤h＜40</w:t>
            </w:r>
          </w:p>
        </w:tc>
        <w:tc>
          <w:tcPr>
            <w:tcW w:w="1275" w:type="dxa"/>
            <w:vAlign w:val="center"/>
          </w:tcPr>
          <w:p w14:paraId="743C85E5">
            <w:pPr>
              <w:pStyle w:val="235"/>
              <w:rPr>
                <w:color w:val="auto"/>
              </w:rPr>
            </w:pPr>
            <w:r>
              <w:rPr>
                <w:color w:val="auto"/>
              </w:rPr>
              <w:t>P12</w:t>
            </w:r>
          </w:p>
        </w:tc>
        <w:tc>
          <w:tcPr>
            <w:tcW w:w="1276" w:type="dxa"/>
            <w:vAlign w:val="center"/>
          </w:tcPr>
          <w:p w14:paraId="50E9AA09">
            <w:pPr>
              <w:pStyle w:val="235"/>
              <w:rPr>
                <w:color w:val="auto"/>
              </w:rPr>
            </w:pPr>
            <w:r>
              <w:rPr>
                <w:color w:val="auto"/>
              </w:rPr>
              <w:t>P12</w:t>
            </w:r>
          </w:p>
        </w:tc>
        <w:tc>
          <w:tcPr>
            <w:tcW w:w="1418" w:type="dxa"/>
            <w:vAlign w:val="center"/>
          </w:tcPr>
          <w:p w14:paraId="2F2D0140">
            <w:pPr>
              <w:pStyle w:val="235"/>
              <w:rPr>
                <w:color w:val="auto"/>
              </w:rPr>
            </w:pPr>
            <w:r>
              <w:rPr>
                <w:color w:val="auto"/>
              </w:rPr>
              <w:t>P12</w:t>
            </w:r>
          </w:p>
        </w:tc>
        <w:tc>
          <w:tcPr>
            <w:tcW w:w="1346" w:type="dxa"/>
            <w:tcBorders>
              <w:right w:val="single" w:color="000000" w:sz="6" w:space="0"/>
            </w:tcBorders>
            <w:vAlign w:val="center"/>
          </w:tcPr>
          <w:p w14:paraId="6C95AFE4">
            <w:pPr>
              <w:pStyle w:val="235"/>
              <w:rPr>
                <w:color w:val="auto"/>
              </w:rPr>
            </w:pPr>
            <w:r>
              <w:rPr>
                <w:color w:val="auto"/>
              </w:rPr>
              <w:t>P12</w:t>
            </w:r>
          </w:p>
        </w:tc>
      </w:tr>
    </w:tbl>
    <w:p w14:paraId="4DEAA612">
      <w:pPr>
        <w:spacing w:line="240" w:lineRule="auto"/>
        <w:ind w:firstLine="300" w:firstLineChars="200"/>
        <w:jc w:val="left"/>
        <w:rPr>
          <w:sz w:val="15"/>
          <w:szCs w:val="15"/>
        </w:rPr>
      </w:pPr>
      <w:r>
        <w:rPr>
          <w:sz w:val="15"/>
          <w:szCs w:val="15"/>
        </w:rPr>
        <w:t>注：</w:t>
      </w:r>
      <w:r>
        <w:rPr>
          <w:rFonts w:hint="eastAsia"/>
          <w:sz w:val="15"/>
          <w:szCs w:val="15"/>
        </w:rPr>
        <w:t xml:space="preserve">1  </w:t>
      </w:r>
      <w:r>
        <w:rPr>
          <w:sz w:val="15"/>
          <w:szCs w:val="15"/>
        </w:rPr>
        <w:t>不同埋深情况下连续浇筑的防水混凝土的抗渗等级，应取埋深较大的抗渗等级。</w:t>
      </w:r>
    </w:p>
    <w:p w14:paraId="3DF1D835">
      <w:pPr>
        <w:spacing w:line="240" w:lineRule="auto"/>
        <w:ind w:left="823" w:leftChars="285" w:hanging="225" w:hangingChars="150"/>
        <w:jc w:val="left"/>
        <w:rPr>
          <w:sz w:val="15"/>
          <w:szCs w:val="15"/>
        </w:rPr>
      </w:pPr>
      <w:r>
        <w:rPr>
          <w:sz w:val="15"/>
          <w:szCs w:val="15"/>
        </w:rPr>
        <w:t>2</w:t>
      </w:r>
      <w:r>
        <w:rPr>
          <w:rFonts w:hint="eastAsia"/>
          <w:sz w:val="15"/>
          <w:szCs w:val="15"/>
        </w:rPr>
        <w:t xml:space="preserve"> 埋深大于40m的地下工程结构，</w:t>
      </w:r>
      <w:r>
        <w:rPr>
          <w:rFonts w:hint="eastAsia"/>
          <w:sz w:val="15"/>
          <w:szCs w:val="20"/>
        </w:rPr>
        <w:t>防水混凝土</w:t>
      </w:r>
      <w:r>
        <w:rPr>
          <w:rFonts w:hint="eastAsia"/>
          <w:sz w:val="15"/>
          <w:szCs w:val="15"/>
        </w:rPr>
        <w:t>的抗渗等级应根据工程具体情况以及结构强度等级和结构耐久性设计要求确定。</w:t>
      </w:r>
    </w:p>
    <w:p w14:paraId="020030AA">
      <w:pPr>
        <w:spacing w:line="40" w:lineRule="exact"/>
        <w:ind w:firstLine="316" w:firstLineChars="200"/>
        <w:rPr>
          <w:spacing w:val="4"/>
          <w:sz w:val="15"/>
          <w:szCs w:val="18"/>
        </w:rPr>
      </w:pPr>
    </w:p>
    <w:p w14:paraId="5C57A134">
      <w:pPr>
        <w:numPr>
          <w:ilvl w:val="2"/>
          <w:numId w:val="1"/>
        </w:numPr>
        <w:tabs>
          <w:tab w:val="left" w:pos="709"/>
          <w:tab w:val="left" w:pos="851"/>
          <w:tab w:val="left" w:pos="993"/>
        </w:tabs>
        <w:jc w:val="left"/>
        <w:outlineLvl w:val="2"/>
      </w:pPr>
      <w:r>
        <w:rPr>
          <w:rFonts w:hint="eastAsia"/>
        </w:rPr>
        <w:t>防水混凝土的施工配合比应通过试验确定，试配混凝土的抗渗等级应比设计要求提高一级（0.2MPa）。</w:t>
      </w:r>
    </w:p>
    <w:p w14:paraId="28D0319E">
      <w:pPr>
        <w:numPr>
          <w:ilvl w:val="2"/>
          <w:numId w:val="1"/>
        </w:numPr>
        <w:tabs>
          <w:tab w:val="left" w:pos="709"/>
          <w:tab w:val="left" w:pos="851"/>
          <w:tab w:val="left" w:pos="993"/>
        </w:tabs>
        <w:jc w:val="left"/>
        <w:outlineLvl w:val="2"/>
      </w:pPr>
      <w:r>
        <w:rPr>
          <w:rFonts w:hint="eastAsia"/>
        </w:rPr>
        <w:t>防水混凝土应满足抗渗等级要求，并应根据地下工程所处的环境和工作条件，满足抗压、抗冻和抗侵蚀性等耐久性要求。</w:t>
      </w:r>
    </w:p>
    <w:p w14:paraId="560C5031">
      <w:pPr>
        <w:numPr>
          <w:ilvl w:val="2"/>
          <w:numId w:val="1"/>
        </w:numPr>
        <w:tabs>
          <w:tab w:val="left" w:pos="709"/>
          <w:tab w:val="left" w:pos="851"/>
          <w:tab w:val="left" w:pos="993"/>
        </w:tabs>
        <w:jc w:val="left"/>
        <w:outlineLvl w:val="2"/>
      </w:pPr>
      <w:r>
        <w:rPr>
          <w:rFonts w:hint="eastAsia"/>
        </w:rPr>
        <w:t>对于可能处于严重锈蚀环境下的构件，浇筑在混凝土中并部分暴露在外的吊环、紧固件、连接件等应采取相应的防腐蚀措施。</w:t>
      </w:r>
    </w:p>
    <w:p w14:paraId="316D40D1">
      <w:pPr>
        <w:numPr>
          <w:ilvl w:val="2"/>
          <w:numId w:val="1"/>
        </w:numPr>
        <w:tabs>
          <w:tab w:val="left" w:pos="709"/>
          <w:tab w:val="left" w:pos="851"/>
          <w:tab w:val="left" w:pos="993"/>
        </w:tabs>
        <w:jc w:val="left"/>
        <w:outlineLvl w:val="2"/>
      </w:pPr>
      <w:r>
        <w:rPr>
          <w:rFonts w:hint="eastAsia"/>
        </w:rPr>
        <w:t>防水混凝土的环境温度不得高于80℃。</w:t>
      </w:r>
    </w:p>
    <w:p w14:paraId="475C63AC">
      <w:pPr>
        <w:numPr>
          <w:ilvl w:val="2"/>
          <w:numId w:val="1"/>
        </w:numPr>
        <w:tabs>
          <w:tab w:val="left" w:pos="709"/>
          <w:tab w:val="left" w:pos="851"/>
          <w:tab w:val="left" w:pos="993"/>
        </w:tabs>
        <w:jc w:val="left"/>
        <w:outlineLvl w:val="2"/>
      </w:pPr>
      <w:r>
        <w:rPr>
          <w:rFonts w:hint="eastAsia"/>
        </w:rPr>
        <w:t>当结构处于侵蚀性地层中时，混凝土原材料性能指标应符合相关规范要求。防水混凝土的氯离子扩散系数不宜大于4×10</w:t>
      </w:r>
      <w:r>
        <w:t></w:t>
      </w:r>
      <w:r>
        <w:rPr>
          <w:rFonts w:hint="eastAsia"/>
        </w:rPr>
        <w:t>12m2/s，装配式钢筋混凝土结构的氯离子扩散系数不宜大于3×10</w:t>
      </w:r>
      <w:r>
        <w:t></w:t>
      </w:r>
      <w:r>
        <w:rPr>
          <w:rFonts w:hint="eastAsia"/>
        </w:rPr>
        <w:t>12m2/s。防水混凝土56d电通量控制值不应大于1000C，具体选值应通过试验确定。</w:t>
      </w:r>
    </w:p>
    <w:p w14:paraId="3E689DD8">
      <w:pPr>
        <w:numPr>
          <w:ilvl w:val="2"/>
          <w:numId w:val="1"/>
        </w:numPr>
        <w:tabs>
          <w:tab w:val="left" w:pos="709"/>
          <w:tab w:val="left" w:pos="851"/>
          <w:tab w:val="left" w:pos="993"/>
        </w:tabs>
        <w:jc w:val="left"/>
        <w:outlineLvl w:val="2"/>
      </w:pPr>
      <w:r>
        <w:t>防水混凝土结构底板的混凝土垫层，强度等级不应小于C</w:t>
      </w:r>
      <w:r>
        <w:rPr>
          <w:rFonts w:hint="eastAsia"/>
        </w:rPr>
        <w:t>20</w:t>
      </w:r>
      <w:r>
        <w:t>，厚度不应小于100mm，在软弱土层中不应小于150mm。</w:t>
      </w:r>
    </w:p>
    <w:p w14:paraId="4E7C3193">
      <w:pPr>
        <w:numPr>
          <w:ilvl w:val="2"/>
          <w:numId w:val="1"/>
        </w:numPr>
        <w:tabs>
          <w:tab w:val="left" w:pos="709"/>
          <w:tab w:val="left" w:pos="851"/>
          <w:tab w:val="left" w:pos="993"/>
        </w:tabs>
        <w:jc w:val="left"/>
        <w:outlineLvl w:val="2"/>
      </w:pPr>
      <w:r>
        <w:rPr>
          <w:rFonts w:hint="eastAsia"/>
        </w:rPr>
        <w:t>防水混凝土结构，应符合下列规定：</w:t>
      </w:r>
    </w:p>
    <w:p w14:paraId="0D86A088">
      <w:pPr>
        <w:pStyle w:val="7"/>
        <w:ind w:firstLine="420"/>
      </w:pPr>
      <w:r>
        <w:rPr>
          <w:rFonts w:hint="eastAsia"/>
        </w:rPr>
        <w:t>结构厚度不应小于250mm；</w:t>
      </w:r>
    </w:p>
    <w:p w14:paraId="00C949DE">
      <w:pPr>
        <w:pStyle w:val="7"/>
        <w:ind w:firstLine="420"/>
      </w:pPr>
      <w:r>
        <w:rPr>
          <w:rFonts w:hint="eastAsia"/>
        </w:rPr>
        <w:t>裂缝宽度应符合表11.1.2的规定，并不得出现贯通裂缝；</w:t>
      </w:r>
    </w:p>
    <w:p w14:paraId="45236F90">
      <w:pPr>
        <w:pStyle w:val="7"/>
        <w:ind w:firstLine="420"/>
      </w:pPr>
      <w:r>
        <w:rPr>
          <w:rFonts w:hint="eastAsia"/>
        </w:rPr>
        <w:t>钢筋保护层厚度除应符合表11.9.5的规定外，尚应根据结构的耐久性和工程环境合理确定。</w:t>
      </w:r>
    </w:p>
    <w:p w14:paraId="7B7BBDB4">
      <w:pPr>
        <w:numPr>
          <w:ilvl w:val="1"/>
          <w:numId w:val="1"/>
        </w:numPr>
        <w:snapToGrid w:val="0"/>
        <w:spacing w:before="156" w:after="156" w:line="240" w:lineRule="auto"/>
        <w:jc w:val="center"/>
        <w:outlineLvl w:val="1"/>
        <w:rPr>
          <w:rFonts w:eastAsia="黑体"/>
          <w:bCs/>
          <w:szCs w:val="28"/>
        </w:rPr>
      </w:pPr>
      <w:bookmarkStart w:id="864" w:name="_Toc357929376"/>
      <w:bookmarkStart w:id="865" w:name="_Toc183790560"/>
      <w:bookmarkStart w:id="866" w:name="_Toc183888535"/>
      <w:bookmarkStart w:id="867" w:name="_Toc183683535"/>
      <w:bookmarkStart w:id="868" w:name="_Toc183882121"/>
      <w:bookmarkStart w:id="869" w:name="_Toc176189901"/>
      <w:bookmarkStart w:id="870" w:name="_Toc183765130"/>
      <w:bookmarkStart w:id="871" w:name="_Toc183882483"/>
      <w:bookmarkStart w:id="872" w:name="_Toc183888173"/>
      <w:r>
        <w:rPr>
          <w:rFonts w:hint="eastAsia" w:eastAsia="黑体"/>
          <w:bCs/>
          <w:szCs w:val="28"/>
        </w:rPr>
        <w:t>防  水  层</w:t>
      </w:r>
      <w:bookmarkEnd w:id="864"/>
      <w:bookmarkEnd w:id="865"/>
      <w:bookmarkEnd w:id="866"/>
      <w:bookmarkEnd w:id="867"/>
      <w:bookmarkEnd w:id="868"/>
      <w:bookmarkEnd w:id="869"/>
      <w:bookmarkEnd w:id="870"/>
      <w:bookmarkEnd w:id="871"/>
      <w:bookmarkEnd w:id="872"/>
    </w:p>
    <w:p w14:paraId="55299840">
      <w:pPr>
        <w:numPr>
          <w:ilvl w:val="2"/>
          <w:numId w:val="1"/>
        </w:numPr>
        <w:tabs>
          <w:tab w:val="left" w:pos="709"/>
          <w:tab w:val="left" w:pos="851"/>
          <w:tab w:val="left" w:pos="993"/>
        </w:tabs>
        <w:jc w:val="left"/>
        <w:outlineLvl w:val="2"/>
      </w:pPr>
      <w:r>
        <w:rPr>
          <w:rFonts w:hint="eastAsia"/>
        </w:rPr>
        <w:t>防水工程应根据施工环境条件、结构构造型式、防水等级要求，可选用卷材防水层、涂料防水层、塑料防水板、水泥基防水材料等。防水层应设置在结构迎水面或复合式衬砌之间。</w:t>
      </w:r>
    </w:p>
    <w:p w14:paraId="37C2C4D0">
      <w:pPr>
        <w:numPr>
          <w:ilvl w:val="2"/>
          <w:numId w:val="1"/>
        </w:numPr>
        <w:tabs>
          <w:tab w:val="left" w:pos="709"/>
          <w:tab w:val="left" w:pos="851"/>
          <w:tab w:val="left" w:pos="993"/>
        </w:tabs>
        <w:jc w:val="left"/>
        <w:outlineLvl w:val="2"/>
      </w:pPr>
      <w:r>
        <w:rPr>
          <w:rFonts w:hint="eastAsia"/>
        </w:rPr>
        <w:t>防水层设置应符合下列规定：</w:t>
      </w:r>
    </w:p>
    <w:p w14:paraId="4605392D">
      <w:pPr>
        <w:pStyle w:val="7"/>
        <w:ind w:firstLine="420"/>
      </w:pPr>
      <w:r>
        <w:rPr>
          <w:rFonts w:hint="eastAsia"/>
        </w:rPr>
        <w:t>当不同种类的防水材料复合使用时，应具备相容性。</w:t>
      </w:r>
    </w:p>
    <w:p w14:paraId="516F567A">
      <w:pPr>
        <w:pStyle w:val="7"/>
        <w:ind w:firstLine="420"/>
      </w:pPr>
      <w:r>
        <w:rPr>
          <w:rFonts w:hint="eastAsia"/>
        </w:rPr>
        <w:t>同一部位不同防水材料的施工工艺应具备相容性。</w:t>
      </w:r>
    </w:p>
    <w:p w14:paraId="37556C13">
      <w:pPr>
        <w:pStyle w:val="7"/>
        <w:ind w:firstLine="420"/>
      </w:pPr>
      <w:r>
        <w:rPr>
          <w:rFonts w:hint="eastAsia"/>
        </w:rPr>
        <w:t>直接施作于主体结构基面的防水卷材或防水涂料应与结构满粘密实。</w:t>
      </w:r>
    </w:p>
    <w:p w14:paraId="631FE200">
      <w:pPr>
        <w:numPr>
          <w:ilvl w:val="2"/>
          <w:numId w:val="1"/>
        </w:numPr>
        <w:tabs>
          <w:tab w:val="left" w:pos="709"/>
          <w:tab w:val="left" w:pos="851"/>
          <w:tab w:val="left" w:pos="993"/>
        </w:tabs>
        <w:jc w:val="left"/>
        <w:outlineLvl w:val="2"/>
      </w:pPr>
      <w:r>
        <w:rPr>
          <w:rFonts w:hint="eastAsia"/>
        </w:rPr>
        <w:t>防水层的设置方式应满足下列要求：</w:t>
      </w:r>
    </w:p>
    <w:p w14:paraId="592E16AE">
      <w:pPr>
        <w:pStyle w:val="7"/>
        <w:ind w:firstLine="420"/>
      </w:pPr>
      <w:r>
        <w:rPr>
          <w:rFonts w:hint="eastAsia"/>
        </w:rPr>
        <w:t>卷材防水层宜为1层或2层；</w:t>
      </w:r>
    </w:p>
    <w:p w14:paraId="5828F4A4">
      <w:pPr>
        <w:pStyle w:val="7"/>
        <w:ind w:firstLine="420"/>
      </w:pPr>
      <w:r>
        <w:rPr>
          <w:rFonts w:hint="eastAsia"/>
        </w:rPr>
        <w:t>高聚物改性沥青防水卷材应采用双层做法，其总厚度不宜小于7mm；</w:t>
      </w:r>
    </w:p>
    <w:p w14:paraId="363E12D7">
      <w:pPr>
        <w:pStyle w:val="7"/>
        <w:ind w:firstLine="420"/>
      </w:pPr>
      <w:r>
        <w:rPr>
          <w:rFonts w:hint="eastAsia"/>
        </w:rPr>
        <w:t>自粘聚合物改性沥青防水卷材宜采用双层做法，无胎基卷材的各层厚度不应小于1.5mm，聚酯胎基卷材的各层厚度不应小于3.0mm；</w:t>
      </w:r>
    </w:p>
    <w:p w14:paraId="0665A517">
      <w:pPr>
        <w:pStyle w:val="7"/>
        <w:ind w:firstLine="420"/>
      </w:pPr>
      <w:r>
        <w:rPr>
          <w:rFonts w:hint="eastAsia"/>
        </w:rPr>
        <w:t xml:space="preserve"> </w:t>
      </w:r>
      <w:bookmarkStart w:id="873" w:name="_Hlk183168142"/>
      <w:r>
        <w:rPr>
          <w:rFonts w:hint="eastAsia"/>
        </w:rPr>
        <w:t>预铺式防水卷材应单层设置于复合式结构墙和底板；</w:t>
      </w:r>
      <w:bookmarkEnd w:id="873"/>
      <w:r>
        <w:rPr>
          <w:rFonts w:hint="eastAsia"/>
        </w:rPr>
        <w:t>与其他卷材复合使用时，两层卷材之间应满粘。其中沥青基聚酯胎防水卷材的厚度不应小于4mm；高分子防水卷材（含自粘胶膜防水卷材）的厚度不应小于1.2mm；橡胶防水卷材（R类）的厚度不应小于1.5mm；</w:t>
      </w:r>
    </w:p>
    <w:p w14:paraId="047B14D0">
      <w:pPr>
        <w:pStyle w:val="7"/>
        <w:ind w:firstLine="420"/>
      </w:pPr>
      <w:r>
        <w:rPr>
          <w:rFonts w:hint="eastAsia"/>
        </w:rPr>
        <w:t>塑料防水板的厚度不宜小于1.5mm；</w:t>
      </w:r>
    </w:p>
    <w:p w14:paraId="00DA1E8C">
      <w:pPr>
        <w:pStyle w:val="7"/>
        <w:ind w:firstLine="420"/>
      </w:pPr>
      <w:r>
        <w:rPr>
          <w:rFonts w:hint="eastAsia"/>
        </w:rPr>
        <w:t>高分子增强复合防水片材应采用双层做法，各层防水片材的芯材厚度不得小于0.5mm；</w:t>
      </w:r>
    </w:p>
    <w:p w14:paraId="4AD29010">
      <w:pPr>
        <w:pStyle w:val="7"/>
        <w:ind w:firstLine="420"/>
      </w:pPr>
      <w:r>
        <w:rPr>
          <w:rFonts w:hint="eastAsia"/>
        </w:rPr>
        <w:t>卷材及其胶粘剂应具有良好的耐水性、耐久性、耐穿刺性、耐侵蚀性和耐菌性，其胶粘剂的粘结质量应符合现行国家标准《地下工程防水技术规范》GB 50108的要求；</w:t>
      </w:r>
    </w:p>
    <w:p w14:paraId="0AEDA04A">
      <w:pPr>
        <w:pStyle w:val="7"/>
        <w:ind w:firstLine="420"/>
        <w:rPr>
          <w:spacing w:val="4"/>
          <w:sz w:val="20"/>
          <w:szCs w:val="18"/>
        </w:rPr>
      </w:pPr>
      <w:r>
        <w:rPr>
          <w:rFonts w:hint="eastAsia"/>
        </w:rPr>
        <w:t>涂料防水层应根据工程环境、气候条件、施工方法、结构构造型式、工程防水等级要求选择防水涂料品种，并应符合下列规定：</w:t>
      </w:r>
    </w:p>
    <w:p w14:paraId="592AFA18">
      <w:pPr>
        <w:pStyle w:val="8"/>
        <w:numPr>
          <w:ilvl w:val="0"/>
          <w:numId w:val="38"/>
        </w:numPr>
        <w:ind w:left="0" w:firstLine="491"/>
        <w:rPr>
          <w:color w:val="auto"/>
        </w:rPr>
      </w:pPr>
      <w:bookmarkStart w:id="874" w:name="_Hlk183168579"/>
      <w:r>
        <w:rPr>
          <w:rFonts w:hint="eastAsia"/>
          <w:color w:val="auto"/>
        </w:rPr>
        <w:t>涂层防水设计应规定成膜后涂层厚度并应注明单位面积使用重量</w:t>
      </w:r>
      <w:bookmarkEnd w:id="874"/>
      <w:r>
        <w:rPr>
          <w:rFonts w:hint="eastAsia"/>
          <w:color w:val="auto"/>
        </w:rPr>
        <w:t>；</w:t>
      </w:r>
    </w:p>
    <w:p w14:paraId="60C941EF">
      <w:pPr>
        <w:pStyle w:val="8"/>
        <w:numPr>
          <w:ilvl w:val="0"/>
          <w:numId w:val="38"/>
        </w:numPr>
        <w:ind w:left="0" w:firstLine="491"/>
        <w:rPr>
          <w:color w:val="auto"/>
        </w:rPr>
      </w:pPr>
      <w:r>
        <w:rPr>
          <w:rFonts w:hint="eastAsia"/>
          <w:color w:val="auto"/>
        </w:rPr>
        <w:t>潮湿基层宜选用与潮湿基面粘结力大的有机防水涂料或</w:t>
      </w:r>
    </w:p>
    <w:p w14:paraId="23F35826">
      <w:pPr>
        <w:pStyle w:val="8"/>
        <w:numPr>
          <w:ilvl w:val="0"/>
          <w:numId w:val="38"/>
        </w:numPr>
        <w:ind w:left="0" w:firstLine="491"/>
        <w:rPr>
          <w:color w:val="auto"/>
        </w:rPr>
      </w:pPr>
      <w:r>
        <w:rPr>
          <w:rFonts w:hint="eastAsia"/>
          <w:color w:val="auto"/>
        </w:rPr>
        <w:t>水泥基渗透结晶型防水涂料、聚合物改性水泥基等无机防水涂料，或采用先涂无机防水涂料而后涂相容互补的有机防水涂料的复合涂层；</w:t>
      </w:r>
    </w:p>
    <w:p w14:paraId="498979FA">
      <w:pPr>
        <w:pStyle w:val="8"/>
        <w:numPr>
          <w:ilvl w:val="0"/>
          <w:numId w:val="38"/>
        </w:numPr>
        <w:ind w:left="0" w:firstLine="491"/>
        <w:rPr>
          <w:color w:val="auto"/>
        </w:rPr>
      </w:pPr>
      <w:r>
        <w:rPr>
          <w:rFonts w:hint="eastAsia"/>
          <w:color w:val="auto"/>
        </w:rPr>
        <w:t>有腐蚀性的地下环境宜选用耐腐蚀性好的反应型涂料，涂料防水层的保护层应根据结构具体部位确定；</w:t>
      </w:r>
    </w:p>
    <w:p w14:paraId="3A19534C">
      <w:pPr>
        <w:pStyle w:val="8"/>
        <w:numPr>
          <w:ilvl w:val="0"/>
          <w:numId w:val="38"/>
        </w:numPr>
        <w:ind w:left="0" w:firstLine="491"/>
        <w:rPr>
          <w:color w:val="auto"/>
        </w:rPr>
      </w:pPr>
      <w:r>
        <w:rPr>
          <w:rFonts w:hint="eastAsia"/>
          <w:color w:val="auto"/>
        </w:rPr>
        <w:t>选用的涂料品种应具有良好的耐水性、耐久性、耐腐蚀性及耐菌性，并且无毒或低毒、难燃、低污染；无机防水涂料应具有良好的湿干粘结性、耐磨性，有机防水涂料应具有较好的延伸性及适应基层变形的能力；</w:t>
      </w:r>
    </w:p>
    <w:p w14:paraId="789D5E87">
      <w:pPr>
        <w:pStyle w:val="8"/>
        <w:numPr>
          <w:ilvl w:val="0"/>
          <w:numId w:val="38"/>
        </w:numPr>
        <w:ind w:left="0" w:firstLine="491"/>
        <w:rPr>
          <w:snapToGrid w:val="0"/>
          <w:color w:val="auto"/>
        </w:rPr>
      </w:pPr>
      <w:r>
        <w:rPr>
          <w:snapToGrid w:val="0"/>
          <w:color w:val="auto"/>
        </w:rPr>
        <w:t>反应型</w:t>
      </w:r>
      <w:r>
        <w:rPr>
          <w:color w:val="auto"/>
        </w:rPr>
        <w:t>高分子</w:t>
      </w:r>
      <w:r>
        <w:rPr>
          <w:snapToGrid w:val="0"/>
          <w:color w:val="auto"/>
        </w:rPr>
        <w:t>类防水涂料、聚合物乳液类防水涂料和水性聚合物沥青类防水涂料等涂料防水层最小厚度不应小于1.5mm</w:t>
      </w:r>
      <w:r>
        <w:rPr>
          <w:rFonts w:hint="eastAsia"/>
          <w:snapToGrid w:val="0"/>
          <w:color w:val="auto"/>
        </w:rPr>
        <w:t>，</w:t>
      </w:r>
      <w:r>
        <w:rPr>
          <w:snapToGrid w:val="0"/>
          <w:color w:val="auto"/>
        </w:rPr>
        <w:t>热熔施工橡胶沥青类防水涂料防水层最小厚度不应小于2.0mm</w:t>
      </w:r>
      <w:r>
        <w:rPr>
          <w:rFonts w:hint="eastAsia"/>
          <w:snapToGrid w:val="0"/>
          <w:color w:val="auto"/>
        </w:rPr>
        <w:t>。</w:t>
      </w:r>
    </w:p>
    <w:p w14:paraId="48404BAA">
      <w:pPr>
        <w:pStyle w:val="8"/>
        <w:numPr>
          <w:ilvl w:val="0"/>
          <w:numId w:val="38"/>
        </w:numPr>
        <w:ind w:left="0" w:firstLine="491"/>
        <w:rPr>
          <w:color w:val="auto"/>
        </w:rPr>
      </w:pPr>
      <w:r>
        <w:rPr>
          <w:color w:val="auto"/>
        </w:rPr>
        <w:t>当热熔施工橡胶沥青类防水涂料与防水卷材配套使用作为一道防水层时，其厚度不应小于1.5mm</w:t>
      </w:r>
      <w:r>
        <w:rPr>
          <w:rFonts w:hint="eastAsia"/>
          <w:color w:val="auto"/>
        </w:rPr>
        <w:t>。</w:t>
      </w:r>
    </w:p>
    <w:p w14:paraId="65A3A4E1">
      <w:pPr>
        <w:pStyle w:val="8"/>
        <w:numPr>
          <w:ilvl w:val="0"/>
          <w:numId w:val="38"/>
        </w:numPr>
        <w:ind w:left="0" w:firstLine="491"/>
        <w:rPr>
          <w:color w:val="auto"/>
        </w:rPr>
      </w:pPr>
      <w:r>
        <w:rPr>
          <w:rFonts w:hint="eastAsia"/>
          <w:color w:val="auto"/>
        </w:rPr>
        <w:t>外涂型水泥基渗透结晶型防水材料的性能应符合现行国家标准《水泥基渗透结晶型防水材料》GB 18445的规定，防水层的厚度不应小于1.0mm,用量不应小于1</w:t>
      </w:r>
      <w:r>
        <w:rPr>
          <w:color w:val="auto"/>
        </w:rPr>
        <w:t>.</w:t>
      </w:r>
      <w:r>
        <w:rPr>
          <w:rFonts w:hint="eastAsia"/>
          <w:color w:val="auto"/>
        </w:rPr>
        <w:t>5kg/m</w:t>
      </w:r>
      <w:r>
        <w:rPr>
          <w:rFonts w:hint="eastAsia"/>
          <w:color w:val="auto"/>
          <w:vertAlign w:val="superscript"/>
        </w:rPr>
        <w:t>2</w:t>
      </w:r>
      <w:r>
        <w:rPr>
          <w:rFonts w:hint="eastAsia"/>
          <w:color w:val="auto"/>
        </w:rPr>
        <w:t>。</w:t>
      </w:r>
    </w:p>
    <w:p w14:paraId="51F929B3">
      <w:pPr>
        <w:pStyle w:val="8"/>
        <w:numPr>
          <w:ilvl w:val="0"/>
          <w:numId w:val="38"/>
        </w:numPr>
        <w:ind w:left="0" w:firstLine="491"/>
        <w:rPr>
          <w:color w:val="auto"/>
        </w:rPr>
      </w:pPr>
      <w:r>
        <w:rPr>
          <w:rFonts w:hint="eastAsia"/>
          <w:color w:val="auto"/>
        </w:rPr>
        <w:t>地下工程使用时，聚合物水泥防水砂浆防水层的厚度不应小于6.0mm，掺外加剂、防水剂的砂浆防水层的厚度不应小于18.0mm。</w:t>
      </w:r>
    </w:p>
    <w:p w14:paraId="5EC18953">
      <w:pPr>
        <w:numPr>
          <w:ilvl w:val="2"/>
          <w:numId w:val="1"/>
        </w:numPr>
        <w:tabs>
          <w:tab w:val="left" w:pos="709"/>
          <w:tab w:val="left" w:pos="851"/>
          <w:tab w:val="left" w:pos="993"/>
        </w:tabs>
        <w:jc w:val="left"/>
        <w:outlineLvl w:val="2"/>
      </w:pPr>
      <w:r>
        <w:rPr>
          <w:rFonts w:hint="eastAsia"/>
        </w:rPr>
        <w:t>防水材料的耐水性、耐老化、接缝剥离强度、防水卷材搭接缝不透水性应符合现行国家标准《建筑与市政工程防水通用规范》GB55030的规定。</w:t>
      </w:r>
    </w:p>
    <w:p w14:paraId="41BE1210">
      <w:pPr>
        <w:numPr>
          <w:ilvl w:val="2"/>
          <w:numId w:val="1"/>
        </w:numPr>
        <w:tabs>
          <w:tab w:val="left" w:pos="709"/>
          <w:tab w:val="left" w:pos="851"/>
          <w:tab w:val="left" w:pos="993"/>
        </w:tabs>
        <w:jc w:val="left"/>
        <w:outlineLvl w:val="2"/>
      </w:pPr>
      <w:r>
        <w:rPr>
          <w:rFonts w:hint="eastAsia"/>
        </w:rPr>
        <w:t>新材料、新技术、新工艺的使用，应经过试验、检测和鉴定并经工程应用实际效果为依据确定，并应根据其物理力学性能结合施工工艺等因素确定其厚度。</w:t>
      </w:r>
    </w:p>
    <w:p w14:paraId="33C7D2A5">
      <w:pPr>
        <w:numPr>
          <w:ilvl w:val="1"/>
          <w:numId w:val="1"/>
        </w:numPr>
        <w:snapToGrid w:val="0"/>
        <w:spacing w:before="156" w:after="156" w:line="240" w:lineRule="auto"/>
        <w:jc w:val="center"/>
        <w:outlineLvl w:val="1"/>
        <w:rPr>
          <w:rFonts w:eastAsia="黑体"/>
          <w:bCs/>
          <w:szCs w:val="28"/>
        </w:rPr>
      </w:pPr>
      <w:bookmarkStart w:id="875" w:name="_Toc183888536"/>
      <w:bookmarkStart w:id="876" w:name="_Toc183790561"/>
      <w:bookmarkStart w:id="877" w:name="_Toc183882484"/>
      <w:bookmarkStart w:id="878" w:name="_Toc183888174"/>
      <w:bookmarkStart w:id="879" w:name="_Toc183882122"/>
      <w:bookmarkStart w:id="880" w:name="_Toc183765131"/>
      <w:bookmarkStart w:id="881" w:name="_Toc183683536"/>
      <w:bookmarkStart w:id="882" w:name="_Toc176189902"/>
      <w:bookmarkStart w:id="883" w:name="_Toc357929377"/>
      <w:r>
        <w:rPr>
          <w:rFonts w:hint="eastAsia" w:eastAsia="黑体"/>
          <w:bCs/>
          <w:szCs w:val="28"/>
        </w:rPr>
        <w:t>高架结构防水</w:t>
      </w:r>
      <w:bookmarkEnd w:id="875"/>
      <w:bookmarkEnd w:id="876"/>
      <w:bookmarkEnd w:id="877"/>
      <w:bookmarkEnd w:id="878"/>
      <w:bookmarkEnd w:id="879"/>
      <w:bookmarkEnd w:id="880"/>
      <w:bookmarkEnd w:id="881"/>
      <w:bookmarkEnd w:id="882"/>
      <w:bookmarkEnd w:id="883"/>
    </w:p>
    <w:p w14:paraId="13E8CDD3">
      <w:pPr>
        <w:numPr>
          <w:ilvl w:val="2"/>
          <w:numId w:val="1"/>
        </w:numPr>
        <w:tabs>
          <w:tab w:val="left" w:pos="709"/>
          <w:tab w:val="left" w:pos="851"/>
          <w:tab w:val="left" w:pos="993"/>
        </w:tabs>
        <w:jc w:val="left"/>
        <w:outlineLvl w:val="2"/>
      </w:pPr>
      <w:r>
        <w:rPr>
          <w:rFonts w:hint="eastAsia"/>
        </w:rPr>
        <w:t>高架桥面应设置连续、整体密封、耐久的防水层。防水层材料可根据环境条件和不同的工程部位选定，应选用涂料型防水层。</w:t>
      </w:r>
    </w:p>
    <w:p w14:paraId="652CCEDF">
      <w:pPr>
        <w:numPr>
          <w:ilvl w:val="2"/>
          <w:numId w:val="1"/>
        </w:numPr>
        <w:tabs>
          <w:tab w:val="left" w:pos="709"/>
          <w:tab w:val="left" w:pos="851"/>
          <w:tab w:val="left" w:pos="993"/>
        </w:tabs>
        <w:jc w:val="left"/>
        <w:outlineLvl w:val="2"/>
      </w:pPr>
      <w:r>
        <w:rPr>
          <w:rFonts w:hint="eastAsia"/>
        </w:rPr>
        <w:t>桥面应设置畅通、不易堵塞的排水系统，排水设施应便于检查、维修。</w:t>
      </w:r>
    </w:p>
    <w:p w14:paraId="03093C33">
      <w:pPr>
        <w:numPr>
          <w:ilvl w:val="2"/>
          <w:numId w:val="1"/>
        </w:numPr>
        <w:tabs>
          <w:tab w:val="left" w:pos="709"/>
          <w:tab w:val="left" w:pos="851"/>
          <w:tab w:val="left" w:pos="993"/>
        </w:tabs>
        <w:jc w:val="left"/>
        <w:outlineLvl w:val="2"/>
      </w:pPr>
      <w:r>
        <w:rPr>
          <w:rFonts w:hint="eastAsia"/>
        </w:rPr>
        <w:t>伸缩缝应根据构造型式设置桥梁专用变形缝止水带及其金属固定装置，并宜嵌填密封材料形成多道防线。</w:t>
      </w:r>
    </w:p>
    <w:p w14:paraId="14571552">
      <w:pPr>
        <w:numPr>
          <w:ilvl w:val="2"/>
          <w:numId w:val="1"/>
        </w:numPr>
        <w:tabs>
          <w:tab w:val="left" w:pos="709"/>
          <w:tab w:val="left" w:pos="851"/>
          <w:tab w:val="left" w:pos="993"/>
        </w:tabs>
        <w:jc w:val="left"/>
        <w:outlineLvl w:val="2"/>
      </w:pPr>
      <w:r>
        <w:rPr>
          <w:rFonts w:hint="eastAsia"/>
        </w:rPr>
        <w:t>地漏、落水管等疏排水装置与桥面混凝土结构的接口应加强密封防水，并应便于检查、修复。</w:t>
      </w:r>
      <w:bookmarkStart w:id="884" w:name="_Toc176189903"/>
      <w:bookmarkStart w:id="885" w:name="_Toc357929378"/>
    </w:p>
    <w:bookmarkEnd w:id="884"/>
    <w:bookmarkEnd w:id="885"/>
    <w:p w14:paraId="6BD9A562">
      <w:pPr>
        <w:numPr>
          <w:ilvl w:val="1"/>
          <w:numId w:val="1"/>
        </w:numPr>
        <w:snapToGrid w:val="0"/>
        <w:spacing w:before="156" w:after="156" w:line="240" w:lineRule="auto"/>
        <w:jc w:val="center"/>
        <w:outlineLvl w:val="1"/>
        <w:rPr>
          <w:rFonts w:eastAsia="黑体"/>
          <w:bCs/>
          <w:szCs w:val="28"/>
        </w:rPr>
      </w:pPr>
      <w:bookmarkStart w:id="886" w:name="_Toc176189904"/>
      <w:bookmarkStart w:id="887" w:name="_Toc183765132"/>
      <w:bookmarkStart w:id="888" w:name="_Toc183882123"/>
      <w:bookmarkStart w:id="889" w:name="_Toc183683537"/>
      <w:bookmarkStart w:id="890" w:name="_Toc183790562"/>
      <w:bookmarkStart w:id="891" w:name="_Toc183882485"/>
      <w:bookmarkStart w:id="892" w:name="_Toc183888175"/>
      <w:bookmarkStart w:id="893" w:name="_Toc183888537"/>
      <w:r>
        <w:rPr>
          <w:rFonts w:hint="eastAsia" w:eastAsia="黑体"/>
          <w:bCs/>
          <w:szCs w:val="28"/>
        </w:rPr>
        <w:t>明挖法</w:t>
      </w:r>
      <w:bookmarkStart w:id="894" w:name="_Hlk183169109"/>
      <w:r>
        <w:rPr>
          <w:rFonts w:hint="eastAsia" w:eastAsia="黑体"/>
          <w:bCs/>
          <w:szCs w:val="28"/>
        </w:rPr>
        <w:t>、盖挖法</w:t>
      </w:r>
      <w:bookmarkEnd w:id="894"/>
      <w:r>
        <w:rPr>
          <w:rFonts w:hint="eastAsia" w:eastAsia="黑体"/>
          <w:bCs/>
          <w:szCs w:val="28"/>
        </w:rPr>
        <w:t>结构防水</w:t>
      </w:r>
      <w:bookmarkEnd w:id="886"/>
      <w:bookmarkEnd w:id="887"/>
      <w:bookmarkEnd w:id="888"/>
      <w:bookmarkEnd w:id="889"/>
      <w:bookmarkEnd w:id="890"/>
      <w:bookmarkEnd w:id="891"/>
      <w:bookmarkEnd w:id="892"/>
      <w:bookmarkEnd w:id="893"/>
    </w:p>
    <w:p w14:paraId="17AA9318">
      <w:pPr>
        <w:numPr>
          <w:ilvl w:val="2"/>
          <w:numId w:val="1"/>
        </w:numPr>
        <w:tabs>
          <w:tab w:val="left" w:pos="709"/>
          <w:tab w:val="left" w:pos="851"/>
          <w:tab w:val="left" w:pos="993"/>
        </w:tabs>
        <w:jc w:val="left"/>
        <w:outlineLvl w:val="2"/>
      </w:pPr>
      <w:r>
        <w:rPr>
          <w:rFonts w:hint="eastAsia"/>
        </w:rPr>
        <w:t>明挖法、盖挖法修建的地下结构防水，应采用钢筋混凝土结构自防水，并应在结构的迎水面设置全包防水层。</w:t>
      </w:r>
    </w:p>
    <w:p w14:paraId="05D9C82E">
      <w:pPr>
        <w:numPr>
          <w:ilvl w:val="2"/>
          <w:numId w:val="1"/>
        </w:numPr>
        <w:tabs>
          <w:tab w:val="left" w:pos="709"/>
          <w:tab w:val="left" w:pos="851"/>
          <w:tab w:val="left" w:pos="993"/>
        </w:tabs>
        <w:jc w:val="left"/>
        <w:outlineLvl w:val="2"/>
      </w:pPr>
      <w:r>
        <w:rPr>
          <w:rFonts w:hint="eastAsia"/>
        </w:rPr>
        <w:t>明挖法、盖挖法修建的地下结构防水措施应符合表13.5.2的规定。</w:t>
      </w:r>
    </w:p>
    <w:p w14:paraId="0EE132A1">
      <w:pPr>
        <w:widowControl/>
        <w:spacing w:line="240" w:lineRule="auto"/>
        <w:jc w:val="left"/>
        <w:rPr>
          <w:rFonts w:ascii="Arial" w:hAnsi="Arial" w:cs="Arial"/>
          <w:szCs w:val="20"/>
        </w:rPr>
      </w:pPr>
      <w:r>
        <w:br w:type="page"/>
      </w:r>
    </w:p>
    <w:p w14:paraId="705FFA84">
      <w:pPr>
        <w:pStyle w:val="198"/>
      </w:pPr>
      <w:r>
        <w:t>表13.</w:t>
      </w:r>
      <w:r>
        <w:rPr>
          <w:rFonts w:hint="eastAsia"/>
        </w:rPr>
        <w:t>5</w:t>
      </w:r>
      <w:r>
        <w:t>.2</w:t>
      </w:r>
      <w:bookmarkStart w:id="895" w:name="_Hlk183169226"/>
      <w:r>
        <w:rPr>
          <w:rFonts w:hint="eastAsia"/>
        </w:rPr>
        <w:t xml:space="preserve">  </w:t>
      </w:r>
      <w:r>
        <w:t>明挖法</w:t>
      </w:r>
      <w:r>
        <w:rPr>
          <w:rFonts w:hint="eastAsia"/>
        </w:rPr>
        <w:t>、盖挖法</w:t>
      </w:r>
      <w:r>
        <w:t>修建的地下结构防水措施</w:t>
      </w:r>
      <w:bookmarkEnd w:id="895"/>
    </w:p>
    <w:tbl>
      <w:tblPr>
        <w:tblStyle w:val="88"/>
        <w:tblW w:w="65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
        <w:gridCol w:w="216"/>
        <w:gridCol w:w="9"/>
        <w:gridCol w:w="283"/>
        <w:gridCol w:w="276"/>
        <w:gridCol w:w="425"/>
        <w:gridCol w:w="361"/>
        <w:gridCol w:w="377"/>
        <w:gridCol w:w="278"/>
        <w:gridCol w:w="320"/>
        <w:gridCol w:w="328"/>
        <w:gridCol w:w="268"/>
        <w:gridCol w:w="308"/>
        <w:gridCol w:w="341"/>
        <w:gridCol w:w="235"/>
        <w:gridCol w:w="286"/>
        <w:gridCol w:w="287"/>
        <w:gridCol w:w="293"/>
        <w:gridCol w:w="285"/>
        <w:gridCol w:w="286"/>
        <w:gridCol w:w="287"/>
        <w:gridCol w:w="286"/>
        <w:gridCol w:w="247"/>
        <w:gridCol w:w="6"/>
      </w:tblGrid>
      <w:tr w14:paraId="4576C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456" w:type="dxa"/>
            <w:gridSpan w:val="2"/>
            <w:tcBorders>
              <w:left w:val="single" w:color="000000" w:sz="6" w:space="0"/>
            </w:tcBorders>
            <w:vAlign w:val="center"/>
          </w:tcPr>
          <w:p w14:paraId="2D1A845A">
            <w:pPr>
              <w:pStyle w:val="235"/>
              <w:rPr>
                <w:rFonts w:ascii="宋体" w:hAnsi="宋体" w:cs="Arial"/>
                <w:snapToGrid w:val="0"/>
                <w:color w:val="auto"/>
              </w:rPr>
            </w:pPr>
            <w:r>
              <w:rPr>
                <w:rFonts w:ascii="宋体" w:hAnsi="宋体" w:cs="Arial"/>
                <w:snapToGrid w:val="0"/>
                <w:color w:val="auto"/>
              </w:rPr>
              <w:t>工程</w:t>
            </w:r>
          </w:p>
          <w:p w14:paraId="6D5447D6">
            <w:pPr>
              <w:pStyle w:val="235"/>
              <w:rPr>
                <w:rFonts w:ascii="宋体" w:hAnsi="宋体" w:cs="Arial"/>
                <w:snapToGrid w:val="0"/>
                <w:color w:val="auto"/>
              </w:rPr>
            </w:pPr>
            <w:r>
              <w:rPr>
                <w:rFonts w:ascii="宋体" w:hAnsi="宋体" w:cs="Arial"/>
                <w:snapToGrid w:val="0"/>
                <w:color w:val="auto"/>
              </w:rPr>
              <w:t>部位</w:t>
            </w:r>
          </w:p>
        </w:tc>
        <w:tc>
          <w:tcPr>
            <w:tcW w:w="1354" w:type="dxa"/>
            <w:gridSpan w:val="5"/>
            <w:vAlign w:val="center"/>
          </w:tcPr>
          <w:p w14:paraId="5554C019">
            <w:pPr>
              <w:pStyle w:val="235"/>
              <w:rPr>
                <w:rFonts w:ascii="宋体" w:hAnsi="宋体" w:cs="Arial"/>
                <w:snapToGrid w:val="0"/>
                <w:color w:val="auto"/>
              </w:rPr>
            </w:pPr>
            <w:r>
              <w:rPr>
                <w:rFonts w:ascii="宋体" w:hAnsi="宋体" w:cs="Arial"/>
                <w:snapToGrid w:val="0"/>
                <w:color w:val="auto"/>
              </w:rPr>
              <w:t>主体</w:t>
            </w:r>
          </w:p>
        </w:tc>
        <w:tc>
          <w:tcPr>
            <w:tcW w:w="1571" w:type="dxa"/>
            <w:gridSpan w:val="5"/>
            <w:vAlign w:val="center"/>
          </w:tcPr>
          <w:p w14:paraId="2F5A5387">
            <w:pPr>
              <w:pStyle w:val="235"/>
              <w:rPr>
                <w:rFonts w:ascii="宋体" w:hAnsi="宋体" w:cs="Arial"/>
                <w:snapToGrid w:val="0"/>
                <w:color w:val="auto"/>
              </w:rPr>
            </w:pPr>
            <w:r>
              <w:rPr>
                <w:rFonts w:ascii="宋体" w:hAnsi="宋体" w:cs="Arial"/>
                <w:snapToGrid w:val="0"/>
                <w:color w:val="auto"/>
              </w:rPr>
              <w:t>施工缝</w:t>
            </w:r>
          </w:p>
        </w:tc>
        <w:tc>
          <w:tcPr>
            <w:tcW w:w="1750" w:type="dxa"/>
            <w:gridSpan w:val="6"/>
            <w:vAlign w:val="center"/>
          </w:tcPr>
          <w:p w14:paraId="374330B8">
            <w:pPr>
              <w:pStyle w:val="235"/>
              <w:rPr>
                <w:rFonts w:ascii="宋体" w:hAnsi="宋体" w:cs="Arial"/>
                <w:snapToGrid w:val="0"/>
                <w:color w:val="auto"/>
              </w:rPr>
            </w:pPr>
            <w:r>
              <w:rPr>
                <w:rFonts w:ascii="宋体" w:hAnsi="宋体" w:cs="Arial"/>
                <w:snapToGrid w:val="0"/>
                <w:color w:val="auto"/>
              </w:rPr>
              <w:t>后浇带</w:t>
            </w:r>
          </w:p>
        </w:tc>
        <w:tc>
          <w:tcPr>
            <w:tcW w:w="1397" w:type="dxa"/>
            <w:gridSpan w:val="6"/>
            <w:tcBorders>
              <w:right w:val="single" w:color="000000" w:sz="6" w:space="0"/>
            </w:tcBorders>
            <w:vAlign w:val="center"/>
          </w:tcPr>
          <w:p w14:paraId="27B0D20B">
            <w:pPr>
              <w:pStyle w:val="235"/>
              <w:rPr>
                <w:rFonts w:ascii="宋体" w:hAnsi="宋体" w:cs="Arial"/>
                <w:snapToGrid w:val="0"/>
                <w:color w:val="auto"/>
              </w:rPr>
            </w:pPr>
            <w:r>
              <w:rPr>
                <w:rFonts w:ascii="宋体" w:hAnsi="宋体" w:cs="Arial"/>
                <w:snapToGrid w:val="0"/>
                <w:color w:val="auto"/>
              </w:rPr>
              <w:t>变形缝</w:t>
            </w:r>
          </w:p>
        </w:tc>
      </w:tr>
      <w:tr w14:paraId="164A1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190" w:hRule="atLeast"/>
          <w:jc w:val="center"/>
        </w:trPr>
        <w:tc>
          <w:tcPr>
            <w:tcW w:w="456" w:type="dxa"/>
            <w:gridSpan w:val="2"/>
            <w:tcBorders>
              <w:left w:val="single" w:color="000000" w:sz="6" w:space="0"/>
            </w:tcBorders>
            <w:textDirection w:val="tbRlV"/>
            <w:vAlign w:val="center"/>
          </w:tcPr>
          <w:p w14:paraId="792148CD">
            <w:pPr>
              <w:pStyle w:val="235"/>
              <w:rPr>
                <w:rFonts w:ascii="宋体" w:hAnsi="宋体" w:cs="Arial"/>
                <w:snapToGrid w:val="0"/>
                <w:color w:val="auto"/>
              </w:rPr>
            </w:pPr>
            <w:r>
              <w:rPr>
                <w:rFonts w:ascii="宋体" w:hAnsi="宋体" w:cs="Arial"/>
                <w:snapToGrid w:val="0"/>
                <w:color w:val="auto"/>
              </w:rPr>
              <w:t>防水措施</w:t>
            </w:r>
          </w:p>
        </w:tc>
        <w:tc>
          <w:tcPr>
            <w:tcW w:w="292" w:type="dxa"/>
            <w:gridSpan w:val="2"/>
            <w:textDirection w:val="tbRlV"/>
            <w:vAlign w:val="center"/>
          </w:tcPr>
          <w:p w14:paraId="0CF2C63B">
            <w:pPr>
              <w:pStyle w:val="235"/>
              <w:rPr>
                <w:rFonts w:ascii="宋体" w:hAnsi="宋体" w:cs="Arial"/>
                <w:snapToGrid w:val="0"/>
                <w:color w:val="auto"/>
              </w:rPr>
            </w:pPr>
            <w:r>
              <w:rPr>
                <w:rFonts w:ascii="宋体" w:hAnsi="宋体" w:cs="Arial"/>
                <w:snapToGrid w:val="0"/>
                <w:color w:val="auto"/>
              </w:rPr>
              <w:t>防水混凝土</w:t>
            </w:r>
          </w:p>
        </w:tc>
        <w:tc>
          <w:tcPr>
            <w:tcW w:w="276" w:type="dxa"/>
            <w:textDirection w:val="tbRlV"/>
            <w:vAlign w:val="center"/>
          </w:tcPr>
          <w:p w14:paraId="58AB6C52">
            <w:pPr>
              <w:pStyle w:val="235"/>
              <w:rPr>
                <w:rFonts w:ascii="宋体" w:hAnsi="宋体" w:cs="Arial"/>
                <w:snapToGrid w:val="0"/>
                <w:color w:val="auto"/>
              </w:rPr>
            </w:pPr>
            <w:r>
              <w:rPr>
                <w:rFonts w:hint="eastAsia" w:ascii="宋体" w:hAnsi="宋体" w:cs="Arial"/>
                <w:snapToGrid w:val="0"/>
                <w:color w:val="auto"/>
              </w:rPr>
              <w:t>水泥基防水材料</w:t>
            </w:r>
          </w:p>
        </w:tc>
        <w:tc>
          <w:tcPr>
            <w:tcW w:w="425" w:type="dxa"/>
            <w:textDirection w:val="tbRlV"/>
            <w:vAlign w:val="center"/>
          </w:tcPr>
          <w:p w14:paraId="43676A0B">
            <w:pPr>
              <w:pStyle w:val="235"/>
              <w:rPr>
                <w:rFonts w:ascii="宋体" w:hAnsi="宋体" w:cs="Arial"/>
                <w:snapToGrid w:val="0"/>
                <w:color w:val="auto"/>
              </w:rPr>
            </w:pPr>
            <w:r>
              <w:rPr>
                <w:rFonts w:ascii="宋体" w:hAnsi="宋体" w:cs="Arial"/>
                <w:snapToGrid w:val="0"/>
                <w:color w:val="auto"/>
              </w:rPr>
              <w:t>防水卷材</w:t>
            </w:r>
          </w:p>
        </w:tc>
        <w:tc>
          <w:tcPr>
            <w:tcW w:w="361" w:type="dxa"/>
            <w:textDirection w:val="tbRlV"/>
            <w:vAlign w:val="center"/>
          </w:tcPr>
          <w:p w14:paraId="715C032E">
            <w:pPr>
              <w:pStyle w:val="235"/>
              <w:rPr>
                <w:rFonts w:ascii="宋体" w:hAnsi="宋体" w:cs="Arial"/>
                <w:snapToGrid w:val="0"/>
                <w:color w:val="auto"/>
              </w:rPr>
            </w:pPr>
            <w:r>
              <w:rPr>
                <w:rFonts w:ascii="宋体" w:hAnsi="宋体" w:cs="Arial"/>
                <w:snapToGrid w:val="0"/>
                <w:color w:val="auto"/>
              </w:rPr>
              <w:t>防水涂料</w:t>
            </w:r>
          </w:p>
        </w:tc>
        <w:tc>
          <w:tcPr>
            <w:tcW w:w="377" w:type="dxa"/>
            <w:textDirection w:val="tbRlV"/>
            <w:vAlign w:val="center"/>
          </w:tcPr>
          <w:p w14:paraId="71F2FE15">
            <w:pPr>
              <w:pStyle w:val="235"/>
              <w:rPr>
                <w:rFonts w:ascii="宋体" w:hAnsi="宋体" w:cs="Arial"/>
                <w:snapToGrid w:val="0"/>
                <w:color w:val="auto"/>
              </w:rPr>
            </w:pPr>
            <w:r>
              <w:rPr>
                <w:rFonts w:hint="eastAsia" w:ascii="宋体" w:hAnsi="宋体" w:cs="Arial"/>
                <w:snapToGrid w:val="0"/>
                <w:color w:val="auto"/>
              </w:rPr>
              <w:t>水泥基渗透结晶防水涂料或混凝土界面剂</w:t>
            </w:r>
          </w:p>
        </w:tc>
        <w:tc>
          <w:tcPr>
            <w:tcW w:w="278" w:type="dxa"/>
            <w:textDirection w:val="tbRlV"/>
            <w:vAlign w:val="center"/>
          </w:tcPr>
          <w:p w14:paraId="120A6DEF">
            <w:pPr>
              <w:pStyle w:val="235"/>
              <w:rPr>
                <w:rFonts w:ascii="宋体" w:hAnsi="宋体" w:cs="Arial"/>
                <w:snapToGrid w:val="0"/>
                <w:color w:val="auto"/>
              </w:rPr>
            </w:pPr>
            <w:r>
              <w:rPr>
                <w:rFonts w:ascii="宋体" w:hAnsi="宋体" w:cs="Arial"/>
                <w:snapToGrid w:val="0"/>
                <w:color w:val="auto"/>
              </w:rPr>
              <w:t>外贴式止水带</w:t>
            </w:r>
          </w:p>
        </w:tc>
        <w:tc>
          <w:tcPr>
            <w:tcW w:w="320" w:type="dxa"/>
            <w:textDirection w:val="tbRlV"/>
            <w:vAlign w:val="center"/>
          </w:tcPr>
          <w:p w14:paraId="35281881">
            <w:pPr>
              <w:pStyle w:val="235"/>
              <w:rPr>
                <w:rFonts w:ascii="宋体" w:hAnsi="宋体" w:cs="Arial"/>
                <w:snapToGrid w:val="0"/>
                <w:color w:val="auto"/>
              </w:rPr>
            </w:pPr>
            <w:r>
              <w:rPr>
                <w:rFonts w:ascii="宋体" w:hAnsi="宋体" w:cs="Arial"/>
                <w:snapToGrid w:val="0"/>
                <w:color w:val="auto"/>
              </w:rPr>
              <w:t>中埋式止水带</w:t>
            </w:r>
          </w:p>
        </w:tc>
        <w:tc>
          <w:tcPr>
            <w:tcW w:w="328" w:type="dxa"/>
            <w:textDirection w:val="tbRlV"/>
            <w:vAlign w:val="center"/>
          </w:tcPr>
          <w:p w14:paraId="5E40ECEB">
            <w:pPr>
              <w:pStyle w:val="235"/>
              <w:rPr>
                <w:rFonts w:ascii="宋体" w:hAnsi="宋体" w:cs="Arial"/>
                <w:snapToGrid w:val="0"/>
                <w:color w:val="auto"/>
              </w:rPr>
            </w:pPr>
            <w:r>
              <w:rPr>
                <w:rFonts w:hint="eastAsia" w:ascii="宋体" w:hAnsi="宋体" w:cs="Arial"/>
                <w:snapToGrid w:val="0"/>
                <w:color w:val="auto"/>
              </w:rPr>
              <w:t>遇水膨胀止水条</w:t>
            </w:r>
            <w:r>
              <w:rPr>
                <w:rFonts w:ascii="宋体" w:hAnsi="宋体" w:cs="Arial"/>
                <w:snapToGrid w:val="0"/>
                <w:color w:val="auto"/>
              </w:rPr>
              <w:t>(胶)</w:t>
            </w:r>
          </w:p>
        </w:tc>
        <w:tc>
          <w:tcPr>
            <w:tcW w:w="268" w:type="dxa"/>
            <w:textDirection w:val="tbRlV"/>
            <w:vAlign w:val="center"/>
          </w:tcPr>
          <w:p w14:paraId="7BCDEE53">
            <w:pPr>
              <w:pStyle w:val="235"/>
              <w:rPr>
                <w:rFonts w:ascii="宋体" w:hAnsi="宋体" w:cs="Arial"/>
                <w:snapToGrid w:val="0"/>
                <w:color w:val="auto"/>
              </w:rPr>
            </w:pPr>
            <w:r>
              <w:rPr>
                <w:rFonts w:ascii="宋体" w:hAnsi="宋体" w:cs="Arial"/>
                <w:snapToGrid w:val="0"/>
                <w:color w:val="auto"/>
              </w:rPr>
              <w:t>预埋注浆管</w:t>
            </w:r>
          </w:p>
        </w:tc>
        <w:tc>
          <w:tcPr>
            <w:tcW w:w="308" w:type="dxa"/>
            <w:textDirection w:val="tbRlV"/>
            <w:vAlign w:val="center"/>
          </w:tcPr>
          <w:p w14:paraId="263CE921">
            <w:pPr>
              <w:pStyle w:val="235"/>
              <w:rPr>
                <w:rFonts w:ascii="宋体" w:hAnsi="宋体" w:cs="Arial"/>
                <w:snapToGrid w:val="0"/>
                <w:color w:val="auto"/>
              </w:rPr>
            </w:pPr>
            <w:r>
              <w:rPr>
                <w:rFonts w:ascii="宋体" w:hAnsi="宋体" w:cs="Arial"/>
                <w:snapToGrid w:val="0"/>
                <w:color w:val="auto"/>
              </w:rPr>
              <w:t>补偿收缩防水混凝土</w:t>
            </w:r>
          </w:p>
        </w:tc>
        <w:tc>
          <w:tcPr>
            <w:tcW w:w="341" w:type="dxa"/>
            <w:tcBorders>
              <w:bottom w:val="single" w:color="auto" w:sz="4" w:space="0"/>
              <w:right w:val="single" w:color="auto" w:sz="4" w:space="0"/>
            </w:tcBorders>
            <w:textDirection w:val="tbRlV"/>
            <w:vAlign w:val="center"/>
          </w:tcPr>
          <w:p w14:paraId="09C85DF3">
            <w:pPr>
              <w:pStyle w:val="235"/>
              <w:rPr>
                <w:rFonts w:ascii="宋体" w:hAnsi="宋体" w:cs="Arial"/>
                <w:snapToGrid w:val="0"/>
                <w:color w:val="auto"/>
              </w:rPr>
            </w:pPr>
            <w:r>
              <w:rPr>
                <w:rFonts w:hint="eastAsia" w:ascii="宋体" w:hAnsi="宋体" w:cs="Arial"/>
                <w:snapToGrid w:val="0"/>
                <w:color w:val="auto"/>
              </w:rPr>
              <w:t>水泥基渗透结晶防水涂料或混凝土界面剂</w:t>
            </w:r>
          </w:p>
        </w:tc>
        <w:tc>
          <w:tcPr>
            <w:tcW w:w="235" w:type="dxa"/>
            <w:tcBorders>
              <w:left w:val="single" w:color="auto" w:sz="4" w:space="0"/>
              <w:bottom w:val="single" w:color="auto" w:sz="4" w:space="0"/>
            </w:tcBorders>
            <w:textDirection w:val="tbRlV"/>
            <w:vAlign w:val="center"/>
          </w:tcPr>
          <w:p w14:paraId="66C8E747">
            <w:pPr>
              <w:pStyle w:val="235"/>
              <w:rPr>
                <w:rFonts w:ascii="宋体" w:hAnsi="宋体" w:cs="Arial"/>
                <w:snapToGrid w:val="0"/>
                <w:color w:val="auto"/>
              </w:rPr>
            </w:pPr>
            <w:r>
              <w:rPr>
                <w:rFonts w:ascii="宋体" w:hAnsi="宋体" w:cs="Arial"/>
                <w:snapToGrid w:val="0"/>
                <w:color w:val="auto"/>
              </w:rPr>
              <w:t>外贴式止水带</w:t>
            </w:r>
          </w:p>
        </w:tc>
        <w:tc>
          <w:tcPr>
            <w:tcW w:w="286" w:type="dxa"/>
            <w:textDirection w:val="tbRlV"/>
            <w:vAlign w:val="center"/>
          </w:tcPr>
          <w:p w14:paraId="445D6AE1">
            <w:pPr>
              <w:pStyle w:val="235"/>
              <w:rPr>
                <w:rFonts w:ascii="宋体" w:hAnsi="宋体" w:cs="Arial"/>
                <w:snapToGrid w:val="0"/>
                <w:color w:val="auto"/>
              </w:rPr>
            </w:pPr>
            <w:r>
              <w:rPr>
                <w:rFonts w:ascii="宋体" w:hAnsi="宋体" w:cs="Arial"/>
                <w:snapToGrid w:val="0"/>
                <w:color w:val="auto"/>
              </w:rPr>
              <w:t>中埋式止水带</w:t>
            </w:r>
          </w:p>
        </w:tc>
        <w:tc>
          <w:tcPr>
            <w:tcW w:w="287" w:type="dxa"/>
            <w:textDirection w:val="tbRlV"/>
            <w:vAlign w:val="center"/>
          </w:tcPr>
          <w:p w14:paraId="4EDA1CA5">
            <w:pPr>
              <w:pStyle w:val="235"/>
              <w:rPr>
                <w:rFonts w:ascii="宋体" w:hAnsi="宋体" w:cs="Arial"/>
                <w:snapToGrid w:val="0"/>
                <w:color w:val="auto"/>
              </w:rPr>
            </w:pPr>
            <w:r>
              <w:rPr>
                <w:rFonts w:hint="eastAsia" w:ascii="宋体" w:hAnsi="宋体" w:cs="Arial"/>
                <w:snapToGrid w:val="0"/>
                <w:color w:val="auto"/>
              </w:rPr>
              <w:t>遇水膨胀止水条</w:t>
            </w:r>
            <w:r>
              <w:rPr>
                <w:rFonts w:ascii="宋体" w:hAnsi="宋体" w:cs="Arial"/>
                <w:snapToGrid w:val="0"/>
                <w:color w:val="auto"/>
              </w:rPr>
              <w:t>(胶)</w:t>
            </w:r>
          </w:p>
        </w:tc>
        <w:tc>
          <w:tcPr>
            <w:tcW w:w="293" w:type="dxa"/>
            <w:textDirection w:val="tbRlV"/>
            <w:vAlign w:val="center"/>
          </w:tcPr>
          <w:p w14:paraId="2089B6CB">
            <w:pPr>
              <w:pStyle w:val="235"/>
              <w:rPr>
                <w:rFonts w:ascii="宋体" w:hAnsi="宋体" w:cs="Arial"/>
                <w:snapToGrid w:val="0"/>
                <w:color w:val="auto"/>
              </w:rPr>
            </w:pPr>
            <w:r>
              <w:rPr>
                <w:rFonts w:ascii="宋体" w:hAnsi="宋体" w:cs="Arial"/>
                <w:snapToGrid w:val="0"/>
                <w:color w:val="auto"/>
              </w:rPr>
              <w:t>预埋注浆管</w:t>
            </w:r>
          </w:p>
        </w:tc>
        <w:tc>
          <w:tcPr>
            <w:tcW w:w="285" w:type="dxa"/>
            <w:textDirection w:val="tbRlV"/>
            <w:vAlign w:val="center"/>
          </w:tcPr>
          <w:p w14:paraId="5E363CD8">
            <w:pPr>
              <w:pStyle w:val="235"/>
              <w:rPr>
                <w:rFonts w:ascii="宋体" w:hAnsi="宋体" w:cs="Arial"/>
                <w:snapToGrid w:val="0"/>
                <w:color w:val="auto"/>
              </w:rPr>
            </w:pPr>
            <w:r>
              <w:rPr>
                <w:rFonts w:ascii="宋体" w:hAnsi="宋体" w:cs="Arial"/>
                <w:snapToGrid w:val="0"/>
                <w:color w:val="auto"/>
              </w:rPr>
              <w:t>中埋式止水带</w:t>
            </w:r>
          </w:p>
        </w:tc>
        <w:tc>
          <w:tcPr>
            <w:tcW w:w="286" w:type="dxa"/>
            <w:textDirection w:val="tbRlV"/>
            <w:vAlign w:val="center"/>
          </w:tcPr>
          <w:p w14:paraId="61C92606">
            <w:pPr>
              <w:pStyle w:val="235"/>
              <w:rPr>
                <w:rFonts w:ascii="宋体" w:hAnsi="宋体" w:cs="Arial"/>
                <w:snapToGrid w:val="0"/>
                <w:color w:val="auto"/>
              </w:rPr>
            </w:pPr>
            <w:r>
              <w:rPr>
                <w:rFonts w:ascii="宋体" w:hAnsi="宋体" w:cs="Arial"/>
                <w:snapToGrid w:val="0"/>
                <w:color w:val="auto"/>
              </w:rPr>
              <w:t>外贴式止水带</w:t>
            </w:r>
          </w:p>
        </w:tc>
        <w:tc>
          <w:tcPr>
            <w:tcW w:w="287" w:type="dxa"/>
            <w:textDirection w:val="tbRlV"/>
            <w:vAlign w:val="center"/>
          </w:tcPr>
          <w:p w14:paraId="7CC4A22C">
            <w:pPr>
              <w:pStyle w:val="235"/>
              <w:rPr>
                <w:rFonts w:ascii="宋体" w:hAnsi="宋体" w:cs="Arial"/>
                <w:snapToGrid w:val="0"/>
                <w:color w:val="auto"/>
              </w:rPr>
            </w:pPr>
            <w:r>
              <w:rPr>
                <w:rFonts w:ascii="宋体" w:hAnsi="宋体" w:cs="Arial"/>
                <w:snapToGrid w:val="0"/>
                <w:color w:val="auto"/>
              </w:rPr>
              <w:t>可卸式止水带</w:t>
            </w:r>
          </w:p>
        </w:tc>
        <w:tc>
          <w:tcPr>
            <w:tcW w:w="286" w:type="dxa"/>
            <w:textDirection w:val="tbRlV"/>
            <w:vAlign w:val="center"/>
          </w:tcPr>
          <w:p w14:paraId="1E8E64B4">
            <w:pPr>
              <w:pStyle w:val="235"/>
              <w:rPr>
                <w:rFonts w:ascii="宋体" w:hAnsi="宋体" w:cs="Arial"/>
                <w:snapToGrid w:val="0"/>
                <w:color w:val="auto"/>
              </w:rPr>
            </w:pPr>
            <w:r>
              <w:rPr>
                <w:rFonts w:ascii="宋体" w:hAnsi="宋体" w:cs="Arial"/>
                <w:snapToGrid w:val="0"/>
                <w:color w:val="auto"/>
              </w:rPr>
              <w:t>防水</w:t>
            </w:r>
            <w:r>
              <w:rPr>
                <w:rFonts w:hint="eastAsia" w:ascii="宋体" w:hAnsi="宋体" w:cs="Arial"/>
                <w:snapToGrid w:val="0"/>
                <w:color w:val="auto"/>
              </w:rPr>
              <w:t>嵌缝</w:t>
            </w:r>
            <w:r>
              <w:rPr>
                <w:rFonts w:ascii="宋体" w:hAnsi="宋体" w:cs="Arial"/>
                <w:snapToGrid w:val="0"/>
                <w:color w:val="auto"/>
              </w:rPr>
              <w:t>材料</w:t>
            </w:r>
          </w:p>
        </w:tc>
        <w:tc>
          <w:tcPr>
            <w:tcW w:w="253" w:type="dxa"/>
            <w:gridSpan w:val="2"/>
            <w:tcBorders>
              <w:right w:val="single" w:color="000000" w:sz="6" w:space="0"/>
            </w:tcBorders>
            <w:textDirection w:val="tbRlV"/>
            <w:vAlign w:val="center"/>
          </w:tcPr>
          <w:p w14:paraId="57BA0476">
            <w:pPr>
              <w:pStyle w:val="235"/>
              <w:rPr>
                <w:rFonts w:ascii="宋体" w:hAnsi="宋体" w:cs="Arial"/>
                <w:snapToGrid w:val="0"/>
                <w:color w:val="auto"/>
              </w:rPr>
            </w:pPr>
            <w:r>
              <w:rPr>
                <w:rFonts w:ascii="宋体" w:hAnsi="宋体" w:cs="Arial"/>
                <w:snapToGrid w:val="0"/>
                <w:color w:val="auto"/>
              </w:rPr>
              <w:t>预埋注浆管</w:t>
            </w:r>
          </w:p>
        </w:tc>
      </w:tr>
      <w:tr w14:paraId="7A378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cantSplit/>
          <w:trHeight w:val="907" w:hRule="atLeast"/>
          <w:jc w:val="center"/>
        </w:trPr>
        <w:tc>
          <w:tcPr>
            <w:tcW w:w="240" w:type="dxa"/>
            <w:vMerge w:val="restart"/>
            <w:tcBorders>
              <w:left w:val="single" w:color="000000" w:sz="6" w:space="0"/>
            </w:tcBorders>
            <w:textDirection w:val="tbRlV"/>
            <w:vAlign w:val="center"/>
          </w:tcPr>
          <w:p w14:paraId="3258FBEE">
            <w:pPr>
              <w:pStyle w:val="235"/>
              <w:rPr>
                <w:rFonts w:ascii="宋体" w:hAnsi="宋体" w:cs="Arial"/>
                <w:snapToGrid w:val="0"/>
                <w:color w:val="auto"/>
              </w:rPr>
            </w:pPr>
            <w:r>
              <w:rPr>
                <w:rFonts w:ascii="宋体" w:hAnsi="宋体" w:cs="Arial"/>
                <w:snapToGrid w:val="0"/>
                <w:color w:val="auto"/>
              </w:rPr>
              <w:t>防水等级</w:t>
            </w:r>
          </w:p>
        </w:tc>
        <w:tc>
          <w:tcPr>
            <w:tcW w:w="225" w:type="dxa"/>
            <w:gridSpan w:val="2"/>
            <w:textDirection w:val="tbRlV"/>
            <w:vAlign w:val="center"/>
          </w:tcPr>
          <w:p w14:paraId="1AC5B9AC">
            <w:pPr>
              <w:pStyle w:val="235"/>
              <w:rPr>
                <w:rFonts w:ascii="宋体" w:hAnsi="宋体" w:cs="Arial"/>
                <w:snapToGrid w:val="0"/>
                <w:color w:val="auto"/>
              </w:rPr>
            </w:pPr>
            <w:r>
              <w:rPr>
                <w:rFonts w:hint="eastAsia" w:ascii="宋体" w:hAnsi="宋体" w:cs="Arial"/>
                <w:snapToGrid w:val="0"/>
                <w:color w:val="auto"/>
              </w:rPr>
              <w:t>一级</w:t>
            </w:r>
          </w:p>
        </w:tc>
        <w:tc>
          <w:tcPr>
            <w:tcW w:w="283" w:type="dxa"/>
            <w:textDirection w:val="tbRlV"/>
            <w:vAlign w:val="center"/>
          </w:tcPr>
          <w:p w14:paraId="2E70B7A7">
            <w:pPr>
              <w:pStyle w:val="235"/>
              <w:rPr>
                <w:rFonts w:ascii="宋体" w:hAnsi="宋体" w:cs="Arial"/>
                <w:snapToGrid w:val="0"/>
                <w:color w:val="auto"/>
              </w:rPr>
            </w:pPr>
            <w:r>
              <w:rPr>
                <w:rFonts w:ascii="宋体" w:hAnsi="宋体" w:cs="Arial"/>
                <w:snapToGrid w:val="0"/>
                <w:color w:val="auto"/>
              </w:rPr>
              <w:t>必选</w:t>
            </w:r>
          </w:p>
        </w:tc>
        <w:tc>
          <w:tcPr>
            <w:tcW w:w="1062" w:type="dxa"/>
            <w:gridSpan w:val="3"/>
            <w:vAlign w:val="center"/>
          </w:tcPr>
          <w:p w14:paraId="3542560A">
            <w:pPr>
              <w:pStyle w:val="235"/>
              <w:rPr>
                <w:rFonts w:ascii="宋体" w:hAnsi="宋体" w:cs="Arial"/>
                <w:snapToGrid w:val="0"/>
                <w:color w:val="auto"/>
              </w:rPr>
            </w:pPr>
            <w:r>
              <w:rPr>
                <w:rFonts w:hint="eastAsia" w:ascii="宋体" w:hAnsi="宋体" w:cs="Arial"/>
                <w:snapToGrid w:val="0"/>
                <w:color w:val="auto"/>
              </w:rPr>
              <w:t>不应少于二种，其中防水卷材或有机防水涂料不应少于</w:t>
            </w:r>
            <w:r>
              <w:rPr>
                <w:rFonts w:ascii="宋体" w:hAnsi="宋体" w:cs="Arial"/>
                <w:snapToGrid w:val="0"/>
                <w:color w:val="auto"/>
              </w:rPr>
              <w:t>1道</w:t>
            </w:r>
          </w:p>
        </w:tc>
        <w:tc>
          <w:tcPr>
            <w:tcW w:w="377" w:type="dxa"/>
            <w:tcBorders>
              <w:right w:val="single" w:color="auto" w:sz="4" w:space="0"/>
            </w:tcBorders>
            <w:textDirection w:val="tbRlV"/>
            <w:vAlign w:val="center"/>
          </w:tcPr>
          <w:p w14:paraId="4CEB8557">
            <w:pPr>
              <w:pStyle w:val="235"/>
              <w:rPr>
                <w:rFonts w:ascii="宋体" w:hAnsi="宋体" w:cs="Arial"/>
                <w:snapToGrid w:val="0"/>
                <w:color w:val="auto"/>
              </w:rPr>
            </w:pPr>
            <w:r>
              <w:rPr>
                <w:rFonts w:ascii="宋体" w:hAnsi="宋体" w:cs="Arial"/>
                <w:snapToGrid w:val="0"/>
                <w:color w:val="auto"/>
              </w:rPr>
              <w:t>必选</w:t>
            </w:r>
          </w:p>
        </w:tc>
        <w:tc>
          <w:tcPr>
            <w:tcW w:w="1194" w:type="dxa"/>
            <w:gridSpan w:val="4"/>
            <w:tcBorders>
              <w:left w:val="single" w:color="auto" w:sz="4" w:space="0"/>
            </w:tcBorders>
            <w:vAlign w:val="center"/>
          </w:tcPr>
          <w:p w14:paraId="02672DEE">
            <w:pPr>
              <w:pStyle w:val="235"/>
              <w:rPr>
                <w:rFonts w:ascii="宋体" w:hAnsi="宋体" w:cs="Arial"/>
                <w:snapToGrid w:val="0"/>
                <w:color w:val="auto"/>
              </w:rPr>
            </w:pPr>
            <w:r>
              <w:rPr>
                <w:rFonts w:hint="eastAsia" w:ascii="宋体" w:hAnsi="宋体" w:cs="Arial"/>
                <w:snapToGrid w:val="0"/>
                <w:color w:val="auto"/>
              </w:rPr>
              <w:t>不应少于二种</w:t>
            </w:r>
          </w:p>
        </w:tc>
        <w:tc>
          <w:tcPr>
            <w:tcW w:w="308" w:type="dxa"/>
            <w:textDirection w:val="tbRlV"/>
            <w:vAlign w:val="center"/>
          </w:tcPr>
          <w:p w14:paraId="4B59B656">
            <w:pPr>
              <w:pStyle w:val="235"/>
              <w:rPr>
                <w:rFonts w:ascii="宋体" w:hAnsi="宋体" w:cs="Arial"/>
                <w:snapToGrid w:val="0"/>
                <w:color w:val="auto"/>
              </w:rPr>
            </w:pPr>
            <w:r>
              <w:rPr>
                <w:rFonts w:ascii="宋体" w:hAnsi="宋体" w:cs="Arial"/>
                <w:snapToGrid w:val="0"/>
                <w:color w:val="auto"/>
              </w:rPr>
              <w:t>必选</w:t>
            </w:r>
          </w:p>
        </w:tc>
        <w:tc>
          <w:tcPr>
            <w:tcW w:w="341" w:type="dxa"/>
            <w:tcBorders>
              <w:right w:val="single" w:color="auto" w:sz="4" w:space="0"/>
            </w:tcBorders>
            <w:textDirection w:val="tbRlV"/>
            <w:vAlign w:val="center"/>
          </w:tcPr>
          <w:p w14:paraId="4BB4E7E5">
            <w:pPr>
              <w:pStyle w:val="235"/>
              <w:rPr>
                <w:rFonts w:ascii="宋体" w:hAnsi="宋体" w:cs="Arial"/>
                <w:snapToGrid w:val="0"/>
                <w:color w:val="auto"/>
              </w:rPr>
            </w:pPr>
            <w:r>
              <w:rPr>
                <w:rFonts w:ascii="宋体" w:hAnsi="宋体" w:cs="Arial"/>
                <w:snapToGrid w:val="0"/>
                <w:color w:val="auto"/>
              </w:rPr>
              <w:t>必选</w:t>
            </w:r>
          </w:p>
        </w:tc>
        <w:tc>
          <w:tcPr>
            <w:tcW w:w="1101" w:type="dxa"/>
            <w:gridSpan w:val="4"/>
            <w:tcBorders>
              <w:left w:val="single" w:color="auto" w:sz="4" w:space="0"/>
            </w:tcBorders>
            <w:vAlign w:val="center"/>
          </w:tcPr>
          <w:p w14:paraId="76312730">
            <w:pPr>
              <w:pStyle w:val="235"/>
              <w:rPr>
                <w:rFonts w:ascii="宋体" w:hAnsi="宋体" w:cs="Arial"/>
                <w:snapToGrid w:val="0"/>
                <w:color w:val="auto"/>
              </w:rPr>
            </w:pPr>
            <w:r>
              <w:rPr>
                <w:rFonts w:hint="eastAsia" w:ascii="宋体" w:hAnsi="宋体" w:cs="Arial"/>
                <w:snapToGrid w:val="0"/>
                <w:color w:val="auto"/>
              </w:rPr>
              <w:t>不应少于一种</w:t>
            </w:r>
          </w:p>
        </w:tc>
        <w:tc>
          <w:tcPr>
            <w:tcW w:w="285" w:type="dxa"/>
            <w:textDirection w:val="tbRlV"/>
            <w:vAlign w:val="center"/>
          </w:tcPr>
          <w:p w14:paraId="56B944F6">
            <w:pPr>
              <w:pStyle w:val="235"/>
              <w:rPr>
                <w:rFonts w:ascii="宋体" w:hAnsi="宋体" w:cs="Arial"/>
                <w:snapToGrid w:val="0"/>
                <w:color w:val="auto"/>
              </w:rPr>
            </w:pPr>
            <w:r>
              <w:rPr>
                <w:rFonts w:ascii="宋体" w:hAnsi="宋体" w:cs="Arial"/>
                <w:snapToGrid w:val="0"/>
                <w:color w:val="auto"/>
              </w:rPr>
              <w:t>必选</w:t>
            </w:r>
          </w:p>
        </w:tc>
        <w:tc>
          <w:tcPr>
            <w:tcW w:w="1106" w:type="dxa"/>
            <w:gridSpan w:val="4"/>
            <w:tcBorders>
              <w:right w:val="single" w:color="000000" w:sz="6" w:space="0"/>
            </w:tcBorders>
            <w:vAlign w:val="center"/>
          </w:tcPr>
          <w:p w14:paraId="1C977A32">
            <w:pPr>
              <w:pStyle w:val="235"/>
              <w:rPr>
                <w:rFonts w:ascii="宋体" w:hAnsi="宋体" w:cs="Arial"/>
                <w:snapToGrid w:val="0"/>
                <w:color w:val="auto"/>
              </w:rPr>
            </w:pPr>
            <w:r>
              <w:rPr>
                <w:rFonts w:hint="eastAsia" w:ascii="宋体" w:hAnsi="宋体" w:cs="Arial"/>
                <w:snapToGrid w:val="0"/>
                <w:color w:val="auto"/>
              </w:rPr>
              <w:t>不应少于两种</w:t>
            </w:r>
          </w:p>
        </w:tc>
      </w:tr>
      <w:tr w14:paraId="0C7C2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cantSplit/>
          <w:trHeight w:val="643" w:hRule="atLeast"/>
          <w:jc w:val="center"/>
        </w:trPr>
        <w:tc>
          <w:tcPr>
            <w:tcW w:w="240" w:type="dxa"/>
            <w:vMerge w:val="continue"/>
            <w:tcBorders>
              <w:left w:val="single" w:color="000000" w:sz="6" w:space="0"/>
            </w:tcBorders>
            <w:textDirection w:val="tbRlV"/>
            <w:vAlign w:val="center"/>
          </w:tcPr>
          <w:p w14:paraId="3F6B949F">
            <w:pPr>
              <w:pStyle w:val="235"/>
              <w:rPr>
                <w:rFonts w:ascii="宋体" w:hAnsi="宋体" w:cs="Arial"/>
                <w:snapToGrid w:val="0"/>
                <w:color w:val="auto"/>
              </w:rPr>
            </w:pPr>
          </w:p>
        </w:tc>
        <w:tc>
          <w:tcPr>
            <w:tcW w:w="225" w:type="dxa"/>
            <w:gridSpan w:val="2"/>
            <w:textDirection w:val="tbRlV"/>
            <w:vAlign w:val="center"/>
          </w:tcPr>
          <w:p w14:paraId="1D316444">
            <w:pPr>
              <w:pStyle w:val="235"/>
              <w:rPr>
                <w:rFonts w:ascii="宋体" w:hAnsi="宋体" w:cs="Arial"/>
                <w:snapToGrid w:val="0"/>
                <w:color w:val="auto"/>
              </w:rPr>
            </w:pPr>
            <w:r>
              <w:rPr>
                <w:rFonts w:hint="eastAsia" w:ascii="宋体" w:hAnsi="宋体" w:cs="Arial"/>
                <w:snapToGrid w:val="0"/>
                <w:color w:val="auto"/>
              </w:rPr>
              <w:t>二级</w:t>
            </w:r>
          </w:p>
        </w:tc>
        <w:tc>
          <w:tcPr>
            <w:tcW w:w="283" w:type="dxa"/>
            <w:textDirection w:val="tbRlV"/>
            <w:vAlign w:val="center"/>
          </w:tcPr>
          <w:p w14:paraId="0AE049A4">
            <w:pPr>
              <w:pStyle w:val="235"/>
              <w:rPr>
                <w:rFonts w:ascii="宋体" w:hAnsi="宋体" w:cs="Arial"/>
                <w:snapToGrid w:val="0"/>
                <w:color w:val="auto"/>
              </w:rPr>
            </w:pPr>
            <w:r>
              <w:rPr>
                <w:rFonts w:ascii="宋体" w:hAnsi="宋体" w:cs="Arial"/>
                <w:snapToGrid w:val="0"/>
                <w:color w:val="auto"/>
              </w:rPr>
              <w:t>必选</w:t>
            </w:r>
          </w:p>
        </w:tc>
        <w:tc>
          <w:tcPr>
            <w:tcW w:w="1062" w:type="dxa"/>
            <w:gridSpan w:val="3"/>
            <w:vAlign w:val="center"/>
          </w:tcPr>
          <w:p w14:paraId="5975D040">
            <w:pPr>
              <w:pStyle w:val="235"/>
              <w:rPr>
                <w:rFonts w:ascii="宋体" w:hAnsi="宋体" w:cs="Arial"/>
                <w:snapToGrid w:val="0"/>
                <w:color w:val="auto"/>
              </w:rPr>
            </w:pPr>
            <w:r>
              <w:rPr>
                <w:rFonts w:ascii="宋体" w:hAnsi="宋体" w:cs="Arial"/>
                <w:snapToGrid w:val="0"/>
                <w:color w:val="auto"/>
              </w:rPr>
              <w:t>应选一种</w:t>
            </w:r>
          </w:p>
        </w:tc>
        <w:tc>
          <w:tcPr>
            <w:tcW w:w="377" w:type="dxa"/>
            <w:tcBorders>
              <w:right w:val="single" w:color="auto" w:sz="4" w:space="0"/>
            </w:tcBorders>
            <w:textDirection w:val="tbRlV"/>
            <w:vAlign w:val="center"/>
          </w:tcPr>
          <w:p w14:paraId="17C2FF85">
            <w:pPr>
              <w:pStyle w:val="235"/>
              <w:rPr>
                <w:rFonts w:ascii="宋体" w:hAnsi="宋体" w:cs="Arial"/>
                <w:snapToGrid w:val="0"/>
                <w:color w:val="auto"/>
              </w:rPr>
            </w:pPr>
            <w:r>
              <w:rPr>
                <w:rFonts w:ascii="宋体" w:hAnsi="宋体" w:cs="Arial"/>
                <w:snapToGrid w:val="0"/>
                <w:color w:val="auto"/>
              </w:rPr>
              <w:t>必选</w:t>
            </w:r>
          </w:p>
        </w:tc>
        <w:tc>
          <w:tcPr>
            <w:tcW w:w="1194" w:type="dxa"/>
            <w:gridSpan w:val="4"/>
            <w:tcBorders>
              <w:left w:val="single" w:color="auto" w:sz="4" w:space="0"/>
            </w:tcBorders>
            <w:vAlign w:val="center"/>
          </w:tcPr>
          <w:p w14:paraId="2ED143BF">
            <w:pPr>
              <w:pStyle w:val="235"/>
              <w:rPr>
                <w:rFonts w:ascii="宋体" w:hAnsi="宋体" w:cs="Arial"/>
                <w:snapToGrid w:val="0"/>
                <w:color w:val="auto"/>
              </w:rPr>
            </w:pPr>
            <w:r>
              <w:rPr>
                <w:rFonts w:hint="eastAsia" w:ascii="宋体" w:hAnsi="宋体" w:cs="Arial"/>
                <w:snapToGrid w:val="0"/>
                <w:color w:val="auto"/>
              </w:rPr>
              <w:t>不应少于一种</w:t>
            </w:r>
          </w:p>
        </w:tc>
        <w:tc>
          <w:tcPr>
            <w:tcW w:w="308" w:type="dxa"/>
            <w:textDirection w:val="tbRlV"/>
            <w:vAlign w:val="center"/>
          </w:tcPr>
          <w:p w14:paraId="2D20B33B">
            <w:pPr>
              <w:pStyle w:val="235"/>
              <w:rPr>
                <w:rFonts w:ascii="宋体" w:hAnsi="宋体" w:cs="Arial"/>
                <w:snapToGrid w:val="0"/>
                <w:color w:val="auto"/>
              </w:rPr>
            </w:pPr>
            <w:r>
              <w:rPr>
                <w:rFonts w:ascii="宋体" w:hAnsi="宋体" w:cs="Arial"/>
                <w:snapToGrid w:val="0"/>
                <w:color w:val="auto"/>
              </w:rPr>
              <w:t>必选</w:t>
            </w:r>
          </w:p>
        </w:tc>
        <w:tc>
          <w:tcPr>
            <w:tcW w:w="341" w:type="dxa"/>
            <w:tcBorders>
              <w:right w:val="single" w:color="auto" w:sz="4" w:space="0"/>
            </w:tcBorders>
            <w:textDirection w:val="tbRlV"/>
            <w:vAlign w:val="center"/>
          </w:tcPr>
          <w:p w14:paraId="5A88A4CA">
            <w:pPr>
              <w:pStyle w:val="235"/>
              <w:rPr>
                <w:rFonts w:ascii="宋体" w:hAnsi="宋体" w:cs="Arial"/>
                <w:snapToGrid w:val="0"/>
                <w:color w:val="auto"/>
              </w:rPr>
            </w:pPr>
            <w:r>
              <w:rPr>
                <w:rFonts w:ascii="宋体" w:hAnsi="宋体" w:cs="Arial"/>
                <w:snapToGrid w:val="0"/>
                <w:color w:val="auto"/>
              </w:rPr>
              <w:t>必选</w:t>
            </w:r>
          </w:p>
        </w:tc>
        <w:tc>
          <w:tcPr>
            <w:tcW w:w="1101" w:type="dxa"/>
            <w:gridSpan w:val="4"/>
            <w:tcBorders>
              <w:left w:val="single" w:color="auto" w:sz="4" w:space="0"/>
            </w:tcBorders>
            <w:vAlign w:val="center"/>
          </w:tcPr>
          <w:p w14:paraId="4726C8BA">
            <w:pPr>
              <w:pStyle w:val="235"/>
              <w:rPr>
                <w:rFonts w:ascii="宋体" w:hAnsi="宋体" w:cs="Arial"/>
                <w:snapToGrid w:val="0"/>
                <w:color w:val="auto"/>
              </w:rPr>
            </w:pPr>
            <w:r>
              <w:rPr>
                <w:rFonts w:hint="eastAsia" w:ascii="宋体" w:hAnsi="宋体" w:cs="Arial"/>
                <w:snapToGrid w:val="0"/>
                <w:color w:val="auto"/>
              </w:rPr>
              <w:t>不应少于一种</w:t>
            </w:r>
          </w:p>
        </w:tc>
        <w:tc>
          <w:tcPr>
            <w:tcW w:w="285" w:type="dxa"/>
            <w:textDirection w:val="tbRlV"/>
            <w:vAlign w:val="center"/>
          </w:tcPr>
          <w:p w14:paraId="35EF5E43">
            <w:pPr>
              <w:pStyle w:val="235"/>
              <w:rPr>
                <w:rFonts w:ascii="宋体" w:hAnsi="宋体" w:cs="Arial"/>
                <w:snapToGrid w:val="0"/>
                <w:color w:val="auto"/>
              </w:rPr>
            </w:pPr>
            <w:r>
              <w:rPr>
                <w:rFonts w:ascii="宋体" w:hAnsi="宋体" w:cs="Arial"/>
                <w:snapToGrid w:val="0"/>
                <w:color w:val="auto"/>
              </w:rPr>
              <w:t>必选</w:t>
            </w:r>
          </w:p>
        </w:tc>
        <w:tc>
          <w:tcPr>
            <w:tcW w:w="1106" w:type="dxa"/>
            <w:gridSpan w:val="4"/>
            <w:tcBorders>
              <w:right w:val="single" w:color="000000" w:sz="6" w:space="0"/>
            </w:tcBorders>
            <w:vAlign w:val="center"/>
          </w:tcPr>
          <w:p w14:paraId="3B001040">
            <w:pPr>
              <w:pStyle w:val="235"/>
              <w:rPr>
                <w:rFonts w:ascii="宋体" w:hAnsi="宋体" w:cs="Arial"/>
                <w:snapToGrid w:val="0"/>
                <w:color w:val="auto"/>
              </w:rPr>
            </w:pPr>
            <w:r>
              <w:rPr>
                <w:rFonts w:ascii="宋体" w:hAnsi="宋体" w:cs="Arial"/>
                <w:snapToGrid w:val="0"/>
                <w:color w:val="auto"/>
              </w:rPr>
              <w:t>应选二种</w:t>
            </w:r>
          </w:p>
        </w:tc>
      </w:tr>
    </w:tbl>
    <w:p w14:paraId="12FA0223">
      <w:pPr>
        <w:numPr>
          <w:ilvl w:val="2"/>
          <w:numId w:val="1"/>
        </w:numPr>
        <w:tabs>
          <w:tab w:val="left" w:pos="709"/>
          <w:tab w:val="left" w:pos="851"/>
          <w:tab w:val="left" w:pos="993"/>
        </w:tabs>
        <w:jc w:val="left"/>
        <w:outlineLvl w:val="2"/>
      </w:pPr>
      <w:r>
        <w:rPr>
          <w:rFonts w:hint="eastAsia"/>
        </w:rPr>
        <w:t>明挖</w:t>
      </w:r>
      <w:r>
        <w:rPr>
          <w:rFonts w:hint="eastAsia" w:ascii="宋体" w:hAnsi="等线"/>
          <w:snapToGrid w:val="0"/>
          <w:sz w:val="28"/>
          <w:szCs w:val="22"/>
        </w:rPr>
        <w:t>、</w:t>
      </w:r>
      <w:r>
        <w:rPr>
          <w:rFonts w:hint="eastAsia"/>
        </w:rPr>
        <w:t>盖挖结构的防水应符合下列规定：</w:t>
      </w:r>
    </w:p>
    <w:p w14:paraId="1C30BEED">
      <w:pPr>
        <w:pStyle w:val="7"/>
        <w:ind w:firstLine="420"/>
      </w:pPr>
      <w:r>
        <w:rPr>
          <w:rFonts w:hint="eastAsia"/>
        </w:rPr>
        <w:t>结构顶、底板迎水面防水层与侧墙防水层宜形成整体密封防水层，并根据不同部位设置与其相适应的保护层；</w:t>
      </w:r>
    </w:p>
    <w:p w14:paraId="15194525">
      <w:pPr>
        <w:pStyle w:val="7"/>
        <w:ind w:firstLine="420"/>
      </w:pPr>
      <w:r>
        <w:rPr>
          <w:rFonts w:hint="eastAsia"/>
        </w:rPr>
        <w:t>车站主体结构与人行通道、通风道以及区间隧道等结合部位应根据结构构造型式选择相匹配的防水措施；</w:t>
      </w:r>
    </w:p>
    <w:p w14:paraId="057E5504">
      <w:pPr>
        <w:pStyle w:val="7"/>
        <w:ind w:firstLine="420"/>
      </w:pPr>
      <w:r>
        <w:rPr>
          <w:rFonts w:hint="eastAsia"/>
        </w:rPr>
        <w:t>车站与区间隧道所选用的不同防水层应能相互过渡粘结或焊接，并应使其形成连续整体密封的防水体系。</w:t>
      </w:r>
    </w:p>
    <w:p w14:paraId="5A90333F">
      <w:pPr>
        <w:numPr>
          <w:ilvl w:val="2"/>
          <w:numId w:val="1"/>
        </w:numPr>
        <w:tabs>
          <w:tab w:val="left" w:pos="709"/>
          <w:tab w:val="left" w:pos="851"/>
          <w:tab w:val="left" w:pos="993"/>
        </w:tabs>
        <w:jc w:val="left"/>
        <w:outlineLvl w:val="2"/>
      </w:pPr>
      <w:r>
        <w:rPr>
          <w:rFonts w:hint="eastAsia"/>
        </w:rPr>
        <w:t>预制装配式地下结构防水应符合下列规定：</w:t>
      </w:r>
    </w:p>
    <w:p w14:paraId="690AEBF3">
      <w:pPr>
        <w:pStyle w:val="7"/>
        <w:ind w:firstLine="420"/>
      </w:pPr>
      <w:r>
        <w:rPr>
          <w:rFonts w:hint="eastAsia"/>
        </w:rPr>
        <w:t>预制装配式衬砌</w:t>
      </w:r>
      <w:r>
        <w:t>结构</w:t>
      </w:r>
      <w:r>
        <w:rPr>
          <w:rFonts w:hint="eastAsia"/>
        </w:rPr>
        <w:t>应采用防水混凝土，其抗渗等级不应小于P10，</w:t>
      </w:r>
      <w:r>
        <w:t>氯离子扩散系数不宜大于3×10</w:t>
      </w:r>
      <w:r>
        <w:rPr>
          <w:vertAlign w:val="superscript"/>
        </w:rPr>
        <w:t>－12</w:t>
      </w:r>
      <w:r>
        <w:t>m</w:t>
      </w:r>
      <w:r>
        <w:rPr>
          <w:vertAlign w:val="superscript"/>
        </w:rPr>
        <w:t>2</w:t>
      </w:r>
      <w:r>
        <w:t>/s。</w:t>
      </w:r>
      <w:r>
        <w:rPr>
          <w:rFonts w:hint="eastAsia"/>
        </w:rPr>
        <w:t>。</w:t>
      </w:r>
    </w:p>
    <w:p w14:paraId="630AB0FA">
      <w:pPr>
        <w:pStyle w:val="7"/>
        <w:ind w:firstLine="420"/>
      </w:pPr>
      <w:r>
        <w:rPr>
          <w:rFonts w:hint="eastAsia"/>
        </w:rPr>
        <w:t>预制装配式衬砌</w:t>
      </w:r>
      <w:r>
        <w:t>结构干式连接</w:t>
      </w:r>
      <w:r>
        <w:rPr>
          <w:rFonts w:hint="eastAsia"/>
        </w:rPr>
        <w:t>接缝应采用双道三元乙丙橡胶密封垫防水。</w:t>
      </w:r>
    </w:p>
    <w:p w14:paraId="2C344FA6">
      <w:pPr>
        <w:pStyle w:val="7"/>
        <w:ind w:firstLine="420"/>
      </w:pPr>
      <w:r>
        <w:rPr>
          <w:rFonts w:hint="eastAsia"/>
        </w:rPr>
        <w:t>衬砌结构干式接缝的双道密封垫之间</w:t>
      </w:r>
      <w:r>
        <w:t>宜</w:t>
      </w:r>
      <w:r>
        <w:rPr>
          <w:rFonts w:hint="eastAsia"/>
        </w:rPr>
        <w:t>采</w:t>
      </w:r>
      <w:r>
        <w:t>用</w:t>
      </w:r>
      <w:r>
        <w:rPr>
          <w:rFonts w:hint="eastAsia"/>
        </w:rPr>
        <w:t>注浆措施。</w:t>
      </w:r>
    </w:p>
    <w:p w14:paraId="6DE04B33">
      <w:pPr>
        <w:pStyle w:val="7"/>
        <w:ind w:firstLine="420"/>
      </w:pPr>
      <w:r>
        <w:t>衬砌预制构件干式连接</w:t>
      </w:r>
      <w:r>
        <w:rPr>
          <w:rFonts w:hint="eastAsia"/>
        </w:rPr>
        <w:t>沟槽内侧宜采取密封胶嵌缝措施。</w:t>
      </w:r>
    </w:p>
    <w:p w14:paraId="50B1D0B2">
      <w:pPr>
        <w:pStyle w:val="7"/>
        <w:ind w:firstLine="420"/>
      </w:pPr>
      <w:r>
        <w:rPr>
          <w:rFonts w:hint="eastAsia"/>
        </w:rPr>
        <w:t>采用干式连接的预制装配式衬砌结构可不设置外包防水层；</w:t>
      </w:r>
      <w:r>
        <w:t>当地下结构处于</w:t>
      </w:r>
      <w:r>
        <w:rPr>
          <w:rFonts w:hint="eastAsia"/>
        </w:rPr>
        <w:t>中等及以上侵蚀</w:t>
      </w:r>
      <w:r>
        <w:t>性介质的地层时，应采用耐侵蚀防水混凝土或在衬砌结构外表面涂刷耐侵蚀的防水涂层。</w:t>
      </w:r>
    </w:p>
    <w:p w14:paraId="50A02F87">
      <w:pPr>
        <w:pStyle w:val="7"/>
        <w:ind w:firstLine="420"/>
      </w:pPr>
      <w:r>
        <w:t>采用湿式连接的</w:t>
      </w:r>
      <w:r>
        <w:rPr>
          <w:rFonts w:hint="eastAsia"/>
        </w:rPr>
        <w:t>预制装配式衬砌</w:t>
      </w:r>
      <w:r>
        <w:t>结构应设置外包防水层，且湿式连接的</w:t>
      </w:r>
      <w:r>
        <w:rPr>
          <w:rFonts w:hint="eastAsia"/>
        </w:rPr>
        <w:t>接缝应按后浇带要求采取防水措施。</w:t>
      </w:r>
    </w:p>
    <w:p w14:paraId="2C4C3958">
      <w:pPr>
        <w:pStyle w:val="7"/>
        <w:ind w:firstLine="420"/>
      </w:pPr>
      <w:r>
        <w:rPr>
          <w:rFonts w:hint="eastAsia"/>
        </w:rPr>
        <w:t>预制</w:t>
      </w:r>
      <w:r>
        <w:t>装配式结构段</w:t>
      </w:r>
      <w:r>
        <w:rPr>
          <w:rFonts w:hint="eastAsia"/>
        </w:rPr>
        <w:t>与现浇混凝土结构段相接处应设置止水带、注浆管、止水胶等防水加强措施。</w:t>
      </w:r>
    </w:p>
    <w:p w14:paraId="03409CA5">
      <w:pPr>
        <w:numPr>
          <w:ilvl w:val="1"/>
          <w:numId w:val="1"/>
        </w:numPr>
        <w:snapToGrid w:val="0"/>
        <w:spacing w:before="156" w:after="156" w:line="240" w:lineRule="auto"/>
        <w:jc w:val="center"/>
        <w:outlineLvl w:val="1"/>
        <w:rPr>
          <w:rFonts w:eastAsia="黑体"/>
          <w:bCs/>
          <w:szCs w:val="28"/>
        </w:rPr>
      </w:pPr>
      <w:bookmarkStart w:id="896" w:name="_Toc183888538"/>
      <w:bookmarkStart w:id="897" w:name="_Toc183683538"/>
      <w:bookmarkStart w:id="898" w:name="_Toc357929379"/>
      <w:bookmarkStart w:id="899" w:name="_Toc183882124"/>
      <w:bookmarkStart w:id="900" w:name="_Toc176189905"/>
      <w:bookmarkStart w:id="901" w:name="_Toc183790563"/>
      <w:bookmarkStart w:id="902" w:name="_Toc183765133"/>
      <w:bookmarkStart w:id="903" w:name="_Toc183888176"/>
      <w:bookmarkStart w:id="904" w:name="_Toc183882486"/>
      <w:r>
        <w:rPr>
          <w:rFonts w:hint="eastAsia" w:eastAsia="黑体"/>
          <w:bCs/>
          <w:szCs w:val="28"/>
        </w:rPr>
        <w:t>矿山法结构防水</w:t>
      </w:r>
      <w:bookmarkEnd w:id="896"/>
      <w:bookmarkEnd w:id="897"/>
      <w:bookmarkEnd w:id="898"/>
      <w:bookmarkEnd w:id="899"/>
      <w:bookmarkEnd w:id="900"/>
      <w:bookmarkEnd w:id="901"/>
      <w:bookmarkEnd w:id="902"/>
      <w:bookmarkEnd w:id="903"/>
      <w:bookmarkEnd w:id="904"/>
    </w:p>
    <w:p w14:paraId="60C617D8">
      <w:pPr>
        <w:numPr>
          <w:ilvl w:val="2"/>
          <w:numId w:val="1"/>
        </w:numPr>
        <w:tabs>
          <w:tab w:val="left" w:pos="709"/>
          <w:tab w:val="left" w:pos="851"/>
          <w:tab w:val="left" w:pos="993"/>
        </w:tabs>
        <w:jc w:val="left"/>
        <w:outlineLvl w:val="2"/>
        <w:rPr>
          <w:spacing w:val="4"/>
          <w:sz w:val="20"/>
          <w:szCs w:val="18"/>
        </w:rPr>
      </w:pPr>
      <w:r>
        <w:rPr>
          <w:rFonts w:hint="eastAsia"/>
        </w:rPr>
        <w:t>矿山法修建的隧道结构防水措施应符合表13.6.1的规定。</w:t>
      </w:r>
    </w:p>
    <w:p w14:paraId="2A8D9243">
      <w:pPr>
        <w:pStyle w:val="198"/>
      </w:pPr>
      <w:r>
        <w:t>表13.</w:t>
      </w:r>
      <w:r>
        <w:rPr>
          <w:rFonts w:hint="eastAsia"/>
        </w:rPr>
        <w:t>6</w:t>
      </w:r>
      <w:r>
        <w:t>.1</w:t>
      </w:r>
      <w:r>
        <w:rPr>
          <w:rFonts w:hint="eastAsia"/>
        </w:rPr>
        <w:t xml:space="preserve">  </w:t>
      </w:r>
      <w:r>
        <w:t>矿山法修建的隧道结构防水措施</w:t>
      </w:r>
    </w:p>
    <w:tbl>
      <w:tblPr>
        <w:tblStyle w:val="88"/>
        <w:tblW w:w="559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373"/>
        <w:gridCol w:w="326"/>
        <w:gridCol w:w="379"/>
        <w:gridCol w:w="406"/>
        <w:gridCol w:w="352"/>
        <w:gridCol w:w="376"/>
        <w:gridCol w:w="308"/>
        <w:gridCol w:w="308"/>
        <w:gridCol w:w="266"/>
        <w:gridCol w:w="280"/>
        <w:gridCol w:w="390"/>
        <w:gridCol w:w="338"/>
        <w:gridCol w:w="337"/>
        <w:gridCol w:w="337"/>
        <w:gridCol w:w="325"/>
      </w:tblGrid>
      <w:tr w14:paraId="6697F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863" w:type="dxa"/>
            <w:gridSpan w:val="2"/>
            <w:tcBorders>
              <w:left w:val="single" w:color="000000" w:sz="6" w:space="0"/>
            </w:tcBorders>
            <w:vAlign w:val="center"/>
          </w:tcPr>
          <w:p w14:paraId="1430E830">
            <w:pPr>
              <w:pStyle w:val="235"/>
              <w:textAlignment w:val="center"/>
              <w:rPr>
                <w:rFonts w:ascii="宋体" w:hAnsi="宋体" w:cs="Arial"/>
                <w:snapToGrid w:val="0"/>
                <w:color w:val="auto"/>
              </w:rPr>
            </w:pPr>
            <w:r>
              <w:rPr>
                <w:rFonts w:ascii="宋体" w:hAnsi="宋体" w:cs="Arial"/>
                <w:snapToGrid w:val="0"/>
                <w:color w:val="auto"/>
              </w:rPr>
              <w:t>工程部位</w:t>
            </w:r>
          </w:p>
        </w:tc>
        <w:tc>
          <w:tcPr>
            <w:tcW w:w="1463" w:type="dxa"/>
            <w:gridSpan w:val="4"/>
            <w:vAlign w:val="center"/>
          </w:tcPr>
          <w:p w14:paraId="334836BB">
            <w:pPr>
              <w:pStyle w:val="235"/>
              <w:textAlignment w:val="center"/>
              <w:rPr>
                <w:rFonts w:ascii="宋体" w:hAnsi="宋体" w:cs="Arial"/>
                <w:snapToGrid w:val="0"/>
                <w:color w:val="auto"/>
              </w:rPr>
            </w:pPr>
            <w:r>
              <w:rPr>
                <w:rFonts w:hint="eastAsia" w:ascii="宋体" w:hAnsi="宋体" w:cs="Arial"/>
                <w:snapToGrid w:val="0"/>
                <w:color w:val="auto"/>
              </w:rPr>
              <w:t>二衬</w:t>
            </w:r>
          </w:p>
        </w:tc>
        <w:tc>
          <w:tcPr>
            <w:tcW w:w="1538" w:type="dxa"/>
            <w:gridSpan w:val="5"/>
            <w:vAlign w:val="center"/>
          </w:tcPr>
          <w:p w14:paraId="74686DBC">
            <w:pPr>
              <w:pStyle w:val="235"/>
              <w:textAlignment w:val="center"/>
              <w:rPr>
                <w:rFonts w:ascii="宋体" w:hAnsi="宋体" w:cs="Arial"/>
                <w:snapToGrid w:val="0"/>
                <w:color w:val="auto"/>
              </w:rPr>
            </w:pPr>
            <w:r>
              <w:rPr>
                <w:rFonts w:hint="eastAsia" w:ascii="宋体" w:hAnsi="宋体" w:cs="Arial"/>
                <w:snapToGrid w:val="0"/>
                <w:color w:val="auto"/>
              </w:rPr>
              <w:t>二</w:t>
            </w:r>
            <w:r>
              <w:rPr>
                <w:rFonts w:ascii="宋体" w:hAnsi="宋体" w:cs="Arial"/>
                <w:snapToGrid w:val="0"/>
                <w:color w:val="auto"/>
              </w:rPr>
              <w:t>衬砌施工缝</w:t>
            </w:r>
          </w:p>
        </w:tc>
        <w:tc>
          <w:tcPr>
            <w:tcW w:w="1727" w:type="dxa"/>
            <w:gridSpan w:val="5"/>
            <w:tcBorders>
              <w:right w:val="single" w:color="000000" w:sz="6" w:space="0"/>
            </w:tcBorders>
            <w:vAlign w:val="center"/>
          </w:tcPr>
          <w:p w14:paraId="6546C246">
            <w:pPr>
              <w:pStyle w:val="235"/>
              <w:textAlignment w:val="center"/>
              <w:rPr>
                <w:rFonts w:ascii="宋体" w:hAnsi="宋体" w:cs="Arial"/>
                <w:snapToGrid w:val="0"/>
                <w:color w:val="auto"/>
              </w:rPr>
            </w:pPr>
            <w:r>
              <w:rPr>
                <w:rFonts w:hint="eastAsia" w:ascii="宋体" w:hAnsi="宋体" w:cs="Arial"/>
                <w:snapToGrid w:val="0"/>
                <w:color w:val="auto"/>
              </w:rPr>
              <w:t>二</w:t>
            </w:r>
            <w:r>
              <w:rPr>
                <w:rFonts w:ascii="宋体" w:hAnsi="宋体" w:cs="Arial"/>
                <w:snapToGrid w:val="0"/>
                <w:color w:val="auto"/>
              </w:rPr>
              <w:t>衬变形缝</w:t>
            </w:r>
          </w:p>
        </w:tc>
      </w:tr>
      <w:tr w14:paraId="42C04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jc w:val="center"/>
        </w:trPr>
        <w:tc>
          <w:tcPr>
            <w:tcW w:w="863" w:type="dxa"/>
            <w:gridSpan w:val="2"/>
            <w:tcBorders>
              <w:left w:val="single" w:color="000000" w:sz="6" w:space="0"/>
            </w:tcBorders>
            <w:textDirection w:val="tbRlV"/>
            <w:vAlign w:val="center"/>
          </w:tcPr>
          <w:p w14:paraId="6EE15513">
            <w:pPr>
              <w:pStyle w:val="235"/>
              <w:textAlignment w:val="center"/>
              <w:rPr>
                <w:rFonts w:ascii="宋体" w:hAnsi="宋体" w:cs="Arial"/>
                <w:snapToGrid w:val="0"/>
                <w:color w:val="auto"/>
              </w:rPr>
            </w:pPr>
          </w:p>
          <w:p w14:paraId="55899E61">
            <w:pPr>
              <w:pStyle w:val="235"/>
              <w:textAlignment w:val="center"/>
              <w:rPr>
                <w:rFonts w:ascii="宋体" w:hAnsi="宋体" w:cs="Arial"/>
                <w:snapToGrid w:val="0"/>
                <w:color w:val="auto"/>
              </w:rPr>
            </w:pPr>
          </w:p>
          <w:p w14:paraId="1B8DDF69">
            <w:pPr>
              <w:pStyle w:val="235"/>
              <w:textAlignment w:val="center"/>
              <w:rPr>
                <w:rFonts w:ascii="宋体" w:hAnsi="宋体" w:cs="Arial"/>
                <w:snapToGrid w:val="0"/>
                <w:color w:val="auto"/>
              </w:rPr>
            </w:pPr>
            <w:r>
              <w:rPr>
                <w:rFonts w:ascii="宋体" w:hAnsi="宋体" w:cs="Arial"/>
                <w:snapToGrid w:val="0"/>
                <w:color w:val="auto"/>
              </w:rPr>
              <w:t>防水措施</w:t>
            </w:r>
          </w:p>
        </w:tc>
        <w:tc>
          <w:tcPr>
            <w:tcW w:w="326" w:type="dxa"/>
            <w:textDirection w:val="tbRlV"/>
            <w:vAlign w:val="center"/>
          </w:tcPr>
          <w:p w14:paraId="2CC06F66">
            <w:pPr>
              <w:pStyle w:val="235"/>
              <w:textAlignment w:val="center"/>
              <w:rPr>
                <w:rFonts w:ascii="宋体" w:hAnsi="宋体" w:cs="Arial"/>
                <w:snapToGrid w:val="0"/>
                <w:color w:val="auto"/>
              </w:rPr>
            </w:pPr>
            <w:r>
              <w:rPr>
                <w:rFonts w:ascii="宋体" w:hAnsi="宋体" w:cs="Arial"/>
                <w:snapToGrid w:val="0"/>
                <w:color w:val="auto"/>
              </w:rPr>
              <w:t>防水混凝土</w:t>
            </w:r>
          </w:p>
        </w:tc>
        <w:tc>
          <w:tcPr>
            <w:tcW w:w="379" w:type="dxa"/>
            <w:textDirection w:val="tbRlV"/>
            <w:vAlign w:val="center"/>
          </w:tcPr>
          <w:p w14:paraId="6D7E74FE">
            <w:pPr>
              <w:pStyle w:val="235"/>
              <w:textAlignment w:val="center"/>
              <w:rPr>
                <w:rFonts w:ascii="宋体" w:hAnsi="宋体" w:cs="Arial"/>
                <w:snapToGrid w:val="0"/>
                <w:color w:val="auto"/>
              </w:rPr>
            </w:pPr>
            <w:r>
              <w:rPr>
                <w:rFonts w:ascii="宋体" w:hAnsi="宋体" w:cs="Arial"/>
                <w:snapToGrid w:val="0"/>
                <w:color w:val="auto"/>
              </w:rPr>
              <w:t>塑料防水板</w:t>
            </w:r>
          </w:p>
        </w:tc>
        <w:tc>
          <w:tcPr>
            <w:tcW w:w="406" w:type="dxa"/>
            <w:textDirection w:val="tbRlV"/>
            <w:vAlign w:val="center"/>
          </w:tcPr>
          <w:p w14:paraId="275B256B">
            <w:pPr>
              <w:pStyle w:val="235"/>
              <w:textAlignment w:val="center"/>
              <w:rPr>
                <w:rFonts w:ascii="宋体" w:hAnsi="宋体" w:cs="Arial"/>
                <w:snapToGrid w:val="0"/>
                <w:color w:val="auto"/>
              </w:rPr>
            </w:pPr>
            <w:r>
              <w:rPr>
                <w:rFonts w:hint="eastAsia" w:ascii="宋体" w:hAnsi="宋体" w:cs="Arial"/>
                <w:snapToGrid w:val="0"/>
                <w:color w:val="auto"/>
              </w:rPr>
              <w:t>预铺高分子</w:t>
            </w:r>
            <w:r>
              <w:rPr>
                <w:rFonts w:ascii="宋体" w:hAnsi="宋体" w:cs="Arial"/>
                <w:snapToGrid w:val="0"/>
                <w:color w:val="auto"/>
              </w:rPr>
              <w:t>防水卷材</w:t>
            </w:r>
          </w:p>
        </w:tc>
        <w:tc>
          <w:tcPr>
            <w:tcW w:w="352" w:type="dxa"/>
            <w:textDirection w:val="tbRlV"/>
            <w:vAlign w:val="center"/>
          </w:tcPr>
          <w:p w14:paraId="6EB73822">
            <w:pPr>
              <w:pStyle w:val="235"/>
              <w:textAlignment w:val="center"/>
              <w:rPr>
                <w:rFonts w:ascii="宋体" w:hAnsi="宋体" w:cs="Arial"/>
                <w:snapToGrid w:val="0"/>
                <w:color w:val="auto"/>
              </w:rPr>
            </w:pPr>
            <w:r>
              <w:rPr>
                <w:rFonts w:hint="eastAsia" w:ascii="宋体" w:hAnsi="宋体" w:cs="Arial"/>
                <w:snapToGrid w:val="0"/>
                <w:color w:val="auto"/>
              </w:rPr>
              <w:t>喷涂防水涂料</w:t>
            </w:r>
          </w:p>
        </w:tc>
        <w:tc>
          <w:tcPr>
            <w:tcW w:w="376" w:type="dxa"/>
            <w:textDirection w:val="tbRlV"/>
            <w:vAlign w:val="center"/>
          </w:tcPr>
          <w:p w14:paraId="05F16E63">
            <w:pPr>
              <w:pStyle w:val="235"/>
              <w:textAlignment w:val="center"/>
              <w:rPr>
                <w:rFonts w:ascii="宋体" w:hAnsi="宋体" w:cs="Arial"/>
                <w:snapToGrid w:val="0"/>
                <w:color w:val="auto"/>
              </w:rPr>
            </w:pPr>
            <w:r>
              <w:rPr>
                <w:rFonts w:hint="eastAsia" w:ascii="宋体" w:hAnsi="宋体" w:cs="Arial"/>
                <w:snapToGrid w:val="0"/>
                <w:color w:val="auto"/>
              </w:rPr>
              <w:t>水泥基渗透结晶防水涂料或混凝土界面剂</w:t>
            </w:r>
          </w:p>
        </w:tc>
        <w:tc>
          <w:tcPr>
            <w:tcW w:w="308" w:type="dxa"/>
            <w:textDirection w:val="tbRlV"/>
            <w:vAlign w:val="center"/>
          </w:tcPr>
          <w:p w14:paraId="1A246D29">
            <w:pPr>
              <w:pStyle w:val="235"/>
              <w:textAlignment w:val="center"/>
              <w:rPr>
                <w:rFonts w:ascii="宋体" w:hAnsi="宋体" w:cs="Arial"/>
                <w:snapToGrid w:val="0"/>
                <w:color w:val="auto"/>
              </w:rPr>
            </w:pPr>
            <w:r>
              <w:rPr>
                <w:rFonts w:ascii="宋体" w:hAnsi="宋体" w:cs="Arial"/>
                <w:snapToGrid w:val="0"/>
                <w:color w:val="auto"/>
              </w:rPr>
              <w:t>外贴式止水带</w:t>
            </w:r>
          </w:p>
        </w:tc>
        <w:tc>
          <w:tcPr>
            <w:tcW w:w="308" w:type="dxa"/>
            <w:textDirection w:val="tbRlV"/>
            <w:vAlign w:val="center"/>
          </w:tcPr>
          <w:p w14:paraId="027C8348">
            <w:pPr>
              <w:pStyle w:val="235"/>
              <w:textAlignment w:val="center"/>
              <w:rPr>
                <w:rFonts w:ascii="宋体" w:hAnsi="宋体" w:cs="Arial"/>
                <w:snapToGrid w:val="0"/>
                <w:color w:val="auto"/>
              </w:rPr>
            </w:pPr>
            <w:r>
              <w:rPr>
                <w:rFonts w:ascii="宋体" w:hAnsi="宋体" w:cs="Arial"/>
                <w:snapToGrid w:val="0"/>
                <w:color w:val="auto"/>
              </w:rPr>
              <w:t>中埋式止水带</w:t>
            </w:r>
          </w:p>
        </w:tc>
        <w:tc>
          <w:tcPr>
            <w:tcW w:w="266" w:type="dxa"/>
            <w:textDirection w:val="tbRlV"/>
            <w:vAlign w:val="center"/>
          </w:tcPr>
          <w:p w14:paraId="7DC51C45">
            <w:pPr>
              <w:pStyle w:val="235"/>
              <w:textAlignment w:val="center"/>
              <w:rPr>
                <w:rFonts w:ascii="宋体" w:hAnsi="宋体" w:cs="Arial"/>
                <w:snapToGrid w:val="0"/>
                <w:color w:val="auto"/>
              </w:rPr>
            </w:pPr>
            <w:r>
              <w:rPr>
                <w:rFonts w:hint="eastAsia" w:ascii="宋体" w:hAnsi="宋体" w:cs="Arial"/>
                <w:snapToGrid w:val="0"/>
                <w:color w:val="auto"/>
              </w:rPr>
              <w:t>遇水膨胀止水条</w:t>
            </w:r>
            <w:r>
              <w:rPr>
                <w:rFonts w:ascii="宋体" w:hAnsi="宋体" w:cs="Arial"/>
                <w:snapToGrid w:val="0"/>
                <w:color w:val="auto"/>
              </w:rPr>
              <w:t>(胶)</w:t>
            </w:r>
          </w:p>
        </w:tc>
        <w:tc>
          <w:tcPr>
            <w:tcW w:w="280" w:type="dxa"/>
            <w:textDirection w:val="tbRlV"/>
            <w:vAlign w:val="center"/>
          </w:tcPr>
          <w:p w14:paraId="0DDA8F57">
            <w:pPr>
              <w:pStyle w:val="235"/>
              <w:textAlignment w:val="center"/>
              <w:rPr>
                <w:rFonts w:ascii="宋体" w:hAnsi="宋体" w:cs="Arial"/>
                <w:snapToGrid w:val="0"/>
                <w:color w:val="auto"/>
              </w:rPr>
            </w:pPr>
            <w:r>
              <w:rPr>
                <w:rFonts w:ascii="宋体" w:hAnsi="宋体" w:cs="Arial"/>
                <w:snapToGrid w:val="0"/>
                <w:color w:val="auto"/>
              </w:rPr>
              <w:t>预埋注浆管</w:t>
            </w:r>
          </w:p>
        </w:tc>
        <w:tc>
          <w:tcPr>
            <w:tcW w:w="390" w:type="dxa"/>
            <w:textDirection w:val="tbRlV"/>
            <w:vAlign w:val="center"/>
          </w:tcPr>
          <w:p w14:paraId="14B9A1FF">
            <w:pPr>
              <w:pStyle w:val="235"/>
              <w:textAlignment w:val="center"/>
              <w:rPr>
                <w:rFonts w:ascii="宋体" w:hAnsi="宋体" w:cs="Arial"/>
                <w:snapToGrid w:val="0"/>
                <w:color w:val="auto"/>
              </w:rPr>
            </w:pPr>
            <w:r>
              <w:rPr>
                <w:rFonts w:ascii="宋体" w:hAnsi="宋体" w:cs="Arial"/>
                <w:snapToGrid w:val="0"/>
                <w:color w:val="auto"/>
              </w:rPr>
              <w:t>中埋式止水带</w:t>
            </w:r>
          </w:p>
        </w:tc>
        <w:tc>
          <w:tcPr>
            <w:tcW w:w="338" w:type="dxa"/>
            <w:textDirection w:val="tbRlV"/>
            <w:vAlign w:val="center"/>
          </w:tcPr>
          <w:p w14:paraId="30887F9E">
            <w:pPr>
              <w:pStyle w:val="235"/>
              <w:textAlignment w:val="center"/>
              <w:rPr>
                <w:rFonts w:ascii="宋体" w:hAnsi="宋体" w:cs="Arial"/>
                <w:snapToGrid w:val="0"/>
                <w:color w:val="auto"/>
              </w:rPr>
            </w:pPr>
            <w:r>
              <w:rPr>
                <w:rFonts w:ascii="宋体" w:hAnsi="宋体" w:cs="Arial"/>
                <w:snapToGrid w:val="0"/>
                <w:color w:val="auto"/>
              </w:rPr>
              <w:t>外贴式止水带</w:t>
            </w:r>
          </w:p>
        </w:tc>
        <w:tc>
          <w:tcPr>
            <w:tcW w:w="337" w:type="dxa"/>
            <w:textDirection w:val="tbRlV"/>
            <w:vAlign w:val="center"/>
          </w:tcPr>
          <w:p w14:paraId="7F948AEA">
            <w:pPr>
              <w:pStyle w:val="235"/>
              <w:textAlignment w:val="center"/>
              <w:rPr>
                <w:rFonts w:ascii="宋体" w:hAnsi="宋体" w:cs="Arial"/>
                <w:snapToGrid w:val="0"/>
                <w:color w:val="auto"/>
              </w:rPr>
            </w:pPr>
            <w:r>
              <w:rPr>
                <w:rFonts w:ascii="宋体" w:hAnsi="宋体" w:cs="Arial"/>
                <w:snapToGrid w:val="0"/>
                <w:color w:val="auto"/>
              </w:rPr>
              <w:t>可卸式止水带</w:t>
            </w:r>
          </w:p>
        </w:tc>
        <w:tc>
          <w:tcPr>
            <w:tcW w:w="337" w:type="dxa"/>
            <w:textDirection w:val="tbRlV"/>
            <w:vAlign w:val="center"/>
          </w:tcPr>
          <w:p w14:paraId="00A22DE5">
            <w:pPr>
              <w:pStyle w:val="235"/>
              <w:textAlignment w:val="center"/>
              <w:rPr>
                <w:rFonts w:ascii="宋体" w:hAnsi="宋体" w:cs="Arial"/>
                <w:snapToGrid w:val="0"/>
                <w:color w:val="auto"/>
              </w:rPr>
            </w:pPr>
            <w:r>
              <w:rPr>
                <w:rFonts w:ascii="宋体" w:hAnsi="宋体" w:cs="Arial"/>
                <w:snapToGrid w:val="0"/>
                <w:color w:val="auto"/>
              </w:rPr>
              <w:t>防水嵌缝材料</w:t>
            </w:r>
          </w:p>
        </w:tc>
        <w:tc>
          <w:tcPr>
            <w:tcW w:w="325" w:type="dxa"/>
            <w:tcBorders>
              <w:right w:val="single" w:color="000000" w:sz="6" w:space="0"/>
            </w:tcBorders>
            <w:textDirection w:val="tbRlV"/>
            <w:vAlign w:val="center"/>
          </w:tcPr>
          <w:p w14:paraId="68C75978">
            <w:pPr>
              <w:pStyle w:val="235"/>
              <w:textAlignment w:val="center"/>
              <w:rPr>
                <w:rFonts w:ascii="宋体" w:hAnsi="宋体" w:cs="Arial"/>
                <w:snapToGrid w:val="0"/>
                <w:color w:val="auto"/>
              </w:rPr>
            </w:pPr>
            <w:r>
              <w:rPr>
                <w:rFonts w:ascii="宋体" w:hAnsi="宋体" w:cs="Arial"/>
                <w:snapToGrid w:val="0"/>
                <w:color w:val="auto"/>
              </w:rPr>
              <w:t>预埋注浆管</w:t>
            </w:r>
          </w:p>
        </w:tc>
      </w:tr>
      <w:tr w14:paraId="68717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490" w:type="dxa"/>
            <w:vMerge w:val="restart"/>
            <w:tcBorders>
              <w:left w:val="single" w:color="000000" w:sz="6" w:space="0"/>
            </w:tcBorders>
            <w:vAlign w:val="center"/>
          </w:tcPr>
          <w:p w14:paraId="64B238B8">
            <w:pPr>
              <w:pStyle w:val="235"/>
              <w:textAlignment w:val="center"/>
              <w:rPr>
                <w:rFonts w:ascii="宋体" w:hAnsi="宋体" w:cs="Arial"/>
                <w:snapToGrid w:val="0"/>
                <w:color w:val="auto"/>
              </w:rPr>
            </w:pPr>
            <w:r>
              <w:rPr>
                <w:rFonts w:ascii="宋体" w:hAnsi="宋体" w:cs="Arial"/>
                <w:snapToGrid w:val="0"/>
                <w:color w:val="auto"/>
              </w:rPr>
              <w:t>防水</w:t>
            </w:r>
          </w:p>
          <w:p w14:paraId="2436E8CD">
            <w:pPr>
              <w:pStyle w:val="235"/>
              <w:textAlignment w:val="center"/>
              <w:rPr>
                <w:rFonts w:ascii="宋体" w:hAnsi="宋体" w:cs="Arial"/>
                <w:snapToGrid w:val="0"/>
                <w:color w:val="auto"/>
              </w:rPr>
            </w:pPr>
            <w:r>
              <w:rPr>
                <w:rFonts w:ascii="宋体" w:hAnsi="宋体" w:cs="Arial"/>
                <w:snapToGrid w:val="0"/>
                <w:color w:val="auto"/>
              </w:rPr>
              <w:t>等级</w:t>
            </w:r>
          </w:p>
        </w:tc>
        <w:tc>
          <w:tcPr>
            <w:tcW w:w="373" w:type="dxa"/>
            <w:vAlign w:val="center"/>
          </w:tcPr>
          <w:p w14:paraId="698DC0E9">
            <w:pPr>
              <w:pStyle w:val="235"/>
              <w:textAlignment w:val="center"/>
              <w:rPr>
                <w:rFonts w:ascii="宋体" w:hAnsi="宋体" w:cs="Arial"/>
                <w:snapToGrid w:val="0"/>
                <w:color w:val="auto"/>
              </w:rPr>
            </w:pPr>
            <w:r>
              <w:rPr>
                <w:rFonts w:ascii="宋体" w:hAnsi="宋体" w:cs="Arial"/>
                <w:snapToGrid w:val="0"/>
                <w:color w:val="auto"/>
              </w:rPr>
              <w:t>一级</w:t>
            </w:r>
          </w:p>
        </w:tc>
        <w:tc>
          <w:tcPr>
            <w:tcW w:w="326" w:type="dxa"/>
            <w:vAlign w:val="center"/>
          </w:tcPr>
          <w:p w14:paraId="7E2E8C93">
            <w:pPr>
              <w:pStyle w:val="235"/>
              <w:textAlignment w:val="center"/>
              <w:rPr>
                <w:rFonts w:ascii="宋体" w:hAnsi="宋体" w:cs="Arial"/>
                <w:snapToGrid w:val="0"/>
                <w:color w:val="auto"/>
              </w:rPr>
            </w:pPr>
            <w:r>
              <w:rPr>
                <w:rFonts w:ascii="宋体" w:hAnsi="宋体" w:cs="Arial"/>
                <w:snapToGrid w:val="0"/>
                <w:color w:val="auto"/>
              </w:rPr>
              <w:t>必选</w:t>
            </w:r>
          </w:p>
        </w:tc>
        <w:tc>
          <w:tcPr>
            <w:tcW w:w="1137" w:type="dxa"/>
            <w:gridSpan w:val="3"/>
            <w:vAlign w:val="center"/>
          </w:tcPr>
          <w:p w14:paraId="5AD3CCC0">
            <w:pPr>
              <w:pStyle w:val="235"/>
              <w:textAlignment w:val="center"/>
              <w:rPr>
                <w:rFonts w:ascii="宋体" w:hAnsi="宋体" w:cs="Arial"/>
                <w:snapToGrid w:val="0"/>
                <w:color w:val="auto"/>
              </w:rPr>
            </w:pPr>
            <w:r>
              <w:rPr>
                <w:rFonts w:hint="eastAsia" w:ascii="宋体" w:hAnsi="宋体" w:cs="Arial"/>
                <w:snapToGrid w:val="0"/>
                <w:color w:val="auto"/>
              </w:rPr>
              <w:t>塑料防水板或预铺高分子防水卷材不应少于</w:t>
            </w:r>
            <w:r>
              <w:rPr>
                <w:rFonts w:ascii="宋体" w:hAnsi="宋体" w:cs="Arial"/>
                <w:snapToGrid w:val="0"/>
                <w:color w:val="auto"/>
              </w:rPr>
              <w:t>1 道，且厚度不应小于1</w:t>
            </w:r>
            <w:r>
              <w:rPr>
                <w:rFonts w:hint="eastAsia" w:ascii="宋体" w:hAnsi="宋体" w:cs="Arial"/>
                <w:snapToGrid w:val="0"/>
                <w:color w:val="auto"/>
              </w:rPr>
              <w:t>.</w:t>
            </w:r>
            <w:r>
              <w:rPr>
                <w:rFonts w:ascii="宋体" w:hAnsi="宋体" w:cs="Arial"/>
                <w:snapToGrid w:val="0"/>
                <w:color w:val="auto"/>
              </w:rPr>
              <w:t>5mm</w:t>
            </w:r>
          </w:p>
        </w:tc>
        <w:tc>
          <w:tcPr>
            <w:tcW w:w="376" w:type="dxa"/>
            <w:tcBorders>
              <w:right w:val="single" w:color="auto" w:sz="4" w:space="0"/>
            </w:tcBorders>
            <w:vAlign w:val="center"/>
          </w:tcPr>
          <w:p w14:paraId="0A62CA94">
            <w:pPr>
              <w:pStyle w:val="235"/>
              <w:textAlignment w:val="center"/>
              <w:rPr>
                <w:rFonts w:ascii="宋体" w:hAnsi="宋体" w:cs="Arial"/>
                <w:snapToGrid w:val="0"/>
                <w:color w:val="auto"/>
              </w:rPr>
            </w:pPr>
            <w:r>
              <w:rPr>
                <w:rFonts w:ascii="宋体" w:hAnsi="宋体" w:cs="Arial"/>
                <w:snapToGrid w:val="0"/>
                <w:color w:val="auto"/>
              </w:rPr>
              <w:t>必选</w:t>
            </w:r>
          </w:p>
        </w:tc>
        <w:tc>
          <w:tcPr>
            <w:tcW w:w="1162" w:type="dxa"/>
            <w:gridSpan w:val="4"/>
            <w:tcBorders>
              <w:left w:val="single" w:color="auto" w:sz="4" w:space="0"/>
            </w:tcBorders>
            <w:vAlign w:val="center"/>
          </w:tcPr>
          <w:p w14:paraId="0B0247AA">
            <w:pPr>
              <w:pStyle w:val="235"/>
              <w:textAlignment w:val="center"/>
              <w:rPr>
                <w:rFonts w:ascii="宋体" w:hAnsi="宋体" w:cs="Arial"/>
                <w:snapToGrid w:val="0"/>
                <w:color w:val="auto"/>
              </w:rPr>
            </w:pPr>
            <w:r>
              <w:rPr>
                <w:rFonts w:hint="eastAsia" w:ascii="宋体" w:hAnsi="宋体" w:cs="Arial"/>
                <w:snapToGrid w:val="0"/>
                <w:color w:val="auto"/>
              </w:rPr>
              <w:t>不少于一种</w:t>
            </w:r>
          </w:p>
        </w:tc>
        <w:tc>
          <w:tcPr>
            <w:tcW w:w="390" w:type="dxa"/>
            <w:vAlign w:val="center"/>
          </w:tcPr>
          <w:p w14:paraId="71840B90">
            <w:pPr>
              <w:pStyle w:val="235"/>
              <w:textAlignment w:val="center"/>
              <w:rPr>
                <w:rFonts w:ascii="宋体" w:hAnsi="宋体" w:cs="Arial"/>
                <w:snapToGrid w:val="0"/>
                <w:color w:val="auto"/>
              </w:rPr>
            </w:pPr>
            <w:r>
              <w:rPr>
                <w:rFonts w:ascii="宋体" w:hAnsi="宋体" w:cs="Arial"/>
                <w:snapToGrid w:val="0"/>
                <w:color w:val="auto"/>
              </w:rPr>
              <w:t>必选</w:t>
            </w:r>
          </w:p>
        </w:tc>
        <w:tc>
          <w:tcPr>
            <w:tcW w:w="1337" w:type="dxa"/>
            <w:gridSpan w:val="4"/>
            <w:tcBorders>
              <w:right w:val="single" w:color="000000" w:sz="6" w:space="0"/>
            </w:tcBorders>
            <w:vAlign w:val="center"/>
          </w:tcPr>
          <w:p w14:paraId="71BC861A">
            <w:pPr>
              <w:pStyle w:val="235"/>
              <w:textAlignment w:val="center"/>
              <w:rPr>
                <w:rFonts w:ascii="宋体" w:hAnsi="宋体" w:cs="Arial"/>
                <w:snapToGrid w:val="0"/>
                <w:color w:val="auto"/>
              </w:rPr>
            </w:pPr>
            <w:r>
              <w:rPr>
                <w:rFonts w:hint="eastAsia" w:ascii="宋体" w:hAnsi="宋体" w:cs="Arial"/>
                <w:snapToGrid w:val="0"/>
                <w:color w:val="auto"/>
              </w:rPr>
              <w:t>不少于</w:t>
            </w:r>
            <w:r>
              <w:rPr>
                <w:rFonts w:ascii="宋体" w:hAnsi="宋体" w:cs="Arial"/>
                <w:snapToGrid w:val="0"/>
                <w:color w:val="auto"/>
              </w:rPr>
              <w:t>二种</w:t>
            </w:r>
          </w:p>
        </w:tc>
      </w:tr>
      <w:tr w14:paraId="24D7C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490" w:type="dxa"/>
            <w:vMerge w:val="continue"/>
            <w:tcBorders>
              <w:left w:val="single" w:color="000000" w:sz="6" w:space="0"/>
            </w:tcBorders>
            <w:vAlign w:val="center"/>
          </w:tcPr>
          <w:p w14:paraId="640CC929">
            <w:pPr>
              <w:pStyle w:val="235"/>
              <w:textAlignment w:val="center"/>
              <w:rPr>
                <w:rFonts w:ascii="宋体" w:hAnsi="宋体" w:cs="Arial"/>
                <w:snapToGrid w:val="0"/>
                <w:color w:val="auto"/>
                <w:sz w:val="20"/>
                <w:szCs w:val="21"/>
              </w:rPr>
            </w:pPr>
          </w:p>
        </w:tc>
        <w:tc>
          <w:tcPr>
            <w:tcW w:w="373" w:type="dxa"/>
            <w:vAlign w:val="center"/>
          </w:tcPr>
          <w:p w14:paraId="598E08C1">
            <w:pPr>
              <w:pStyle w:val="235"/>
              <w:textAlignment w:val="center"/>
              <w:rPr>
                <w:rFonts w:ascii="宋体" w:hAnsi="宋体" w:cs="Arial"/>
                <w:snapToGrid w:val="0"/>
                <w:color w:val="auto"/>
              </w:rPr>
            </w:pPr>
            <w:r>
              <w:rPr>
                <w:rFonts w:ascii="宋体" w:hAnsi="宋体" w:cs="Arial"/>
                <w:snapToGrid w:val="0"/>
                <w:color w:val="auto"/>
                <w:spacing w:val="-1"/>
              </w:rPr>
              <w:t>二</w:t>
            </w:r>
            <w:r>
              <w:rPr>
                <w:rFonts w:ascii="宋体" w:hAnsi="宋体" w:cs="Arial"/>
                <w:snapToGrid w:val="0"/>
                <w:color w:val="auto"/>
              </w:rPr>
              <w:t>级</w:t>
            </w:r>
          </w:p>
        </w:tc>
        <w:tc>
          <w:tcPr>
            <w:tcW w:w="326" w:type="dxa"/>
            <w:vAlign w:val="center"/>
          </w:tcPr>
          <w:p w14:paraId="38F2AC4E">
            <w:pPr>
              <w:pStyle w:val="235"/>
              <w:textAlignment w:val="center"/>
              <w:rPr>
                <w:rFonts w:ascii="宋体" w:hAnsi="宋体" w:cs="Arial"/>
                <w:snapToGrid w:val="0"/>
                <w:color w:val="auto"/>
              </w:rPr>
            </w:pPr>
            <w:r>
              <w:rPr>
                <w:rFonts w:ascii="宋体" w:hAnsi="宋体" w:cs="Arial"/>
                <w:snapToGrid w:val="0"/>
                <w:color w:val="auto"/>
                <w:spacing w:val="-1"/>
              </w:rPr>
              <w:t>必</w:t>
            </w:r>
            <w:r>
              <w:rPr>
                <w:rFonts w:ascii="宋体" w:hAnsi="宋体" w:cs="Arial"/>
                <w:snapToGrid w:val="0"/>
                <w:color w:val="auto"/>
              </w:rPr>
              <w:t>选</w:t>
            </w:r>
          </w:p>
        </w:tc>
        <w:tc>
          <w:tcPr>
            <w:tcW w:w="1137" w:type="dxa"/>
            <w:gridSpan w:val="3"/>
            <w:vAlign w:val="center"/>
          </w:tcPr>
          <w:p w14:paraId="50C8FE28">
            <w:pPr>
              <w:pStyle w:val="235"/>
              <w:textAlignment w:val="center"/>
              <w:rPr>
                <w:rFonts w:ascii="宋体" w:hAnsi="宋体" w:cs="Arial"/>
                <w:snapToGrid w:val="0"/>
                <w:color w:val="auto"/>
              </w:rPr>
            </w:pPr>
            <w:r>
              <w:rPr>
                <w:rFonts w:ascii="宋体" w:hAnsi="宋体" w:cs="Arial"/>
                <w:snapToGrid w:val="0"/>
                <w:color w:val="auto"/>
                <w:spacing w:val="4"/>
              </w:rPr>
              <w:t>应选一</w:t>
            </w:r>
            <w:r>
              <w:rPr>
                <w:rFonts w:ascii="宋体" w:hAnsi="宋体" w:cs="Arial"/>
                <w:snapToGrid w:val="0"/>
                <w:color w:val="auto"/>
              </w:rPr>
              <w:t>种</w:t>
            </w:r>
          </w:p>
        </w:tc>
        <w:tc>
          <w:tcPr>
            <w:tcW w:w="376" w:type="dxa"/>
            <w:tcBorders>
              <w:right w:val="single" w:color="auto" w:sz="4" w:space="0"/>
            </w:tcBorders>
            <w:vAlign w:val="center"/>
          </w:tcPr>
          <w:p w14:paraId="49CB2BDB">
            <w:pPr>
              <w:pStyle w:val="235"/>
              <w:textAlignment w:val="center"/>
              <w:rPr>
                <w:rFonts w:ascii="宋体" w:hAnsi="宋体" w:cs="Arial"/>
                <w:snapToGrid w:val="0"/>
                <w:color w:val="auto"/>
              </w:rPr>
            </w:pPr>
            <w:r>
              <w:rPr>
                <w:rFonts w:ascii="宋体" w:hAnsi="宋体" w:cs="Arial"/>
                <w:snapToGrid w:val="0"/>
                <w:color w:val="auto"/>
                <w:spacing w:val="-1"/>
              </w:rPr>
              <w:t>必</w:t>
            </w:r>
            <w:r>
              <w:rPr>
                <w:rFonts w:ascii="宋体" w:hAnsi="宋体" w:cs="Arial"/>
                <w:snapToGrid w:val="0"/>
                <w:color w:val="auto"/>
              </w:rPr>
              <w:t>选</w:t>
            </w:r>
          </w:p>
        </w:tc>
        <w:tc>
          <w:tcPr>
            <w:tcW w:w="1162" w:type="dxa"/>
            <w:gridSpan w:val="4"/>
            <w:tcBorders>
              <w:left w:val="single" w:color="auto" w:sz="4" w:space="0"/>
            </w:tcBorders>
            <w:vAlign w:val="center"/>
          </w:tcPr>
          <w:p w14:paraId="125E5CE8">
            <w:pPr>
              <w:pStyle w:val="235"/>
              <w:textAlignment w:val="center"/>
              <w:rPr>
                <w:rFonts w:ascii="宋体" w:hAnsi="宋体" w:cs="Arial"/>
                <w:snapToGrid w:val="0"/>
                <w:color w:val="auto"/>
              </w:rPr>
            </w:pPr>
            <w:r>
              <w:rPr>
                <w:rFonts w:ascii="宋体" w:hAnsi="宋体" w:cs="Arial"/>
                <w:snapToGrid w:val="0"/>
                <w:color w:val="auto"/>
                <w:spacing w:val="5"/>
              </w:rPr>
              <w:t>应选一种</w:t>
            </w:r>
          </w:p>
        </w:tc>
        <w:tc>
          <w:tcPr>
            <w:tcW w:w="390" w:type="dxa"/>
            <w:vAlign w:val="center"/>
          </w:tcPr>
          <w:p w14:paraId="491EFCC8">
            <w:pPr>
              <w:pStyle w:val="235"/>
              <w:textAlignment w:val="center"/>
              <w:rPr>
                <w:rFonts w:ascii="宋体" w:hAnsi="宋体" w:cs="Arial"/>
                <w:snapToGrid w:val="0"/>
                <w:color w:val="auto"/>
              </w:rPr>
            </w:pPr>
            <w:r>
              <w:rPr>
                <w:rFonts w:ascii="宋体" w:hAnsi="宋体" w:cs="Arial"/>
                <w:snapToGrid w:val="0"/>
                <w:color w:val="auto"/>
                <w:spacing w:val="-1"/>
              </w:rPr>
              <w:t>必</w:t>
            </w:r>
            <w:r>
              <w:rPr>
                <w:rFonts w:ascii="宋体" w:hAnsi="宋体" w:cs="Arial"/>
                <w:snapToGrid w:val="0"/>
                <w:color w:val="auto"/>
              </w:rPr>
              <w:t>选</w:t>
            </w:r>
          </w:p>
        </w:tc>
        <w:tc>
          <w:tcPr>
            <w:tcW w:w="1337" w:type="dxa"/>
            <w:gridSpan w:val="4"/>
            <w:tcBorders>
              <w:right w:val="single" w:color="000000" w:sz="6" w:space="0"/>
            </w:tcBorders>
            <w:vAlign w:val="center"/>
          </w:tcPr>
          <w:p w14:paraId="44D46FF4">
            <w:pPr>
              <w:pStyle w:val="235"/>
              <w:textAlignment w:val="center"/>
              <w:rPr>
                <w:rFonts w:ascii="宋体" w:hAnsi="宋体" w:cs="Arial"/>
                <w:snapToGrid w:val="0"/>
                <w:color w:val="auto"/>
              </w:rPr>
            </w:pPr>
            <w:r>
              <w:rPr>
                <w:rFonts w:ascii="宋体" w:hAnsi="宋体" w:cs="Arial"/>
                <w:snapToGrid w:val="0"/>
                <w:color w:val="auto"/>
                <w:spacing w:val="5"/>
              </w:rPr>
              <w:t>应选一至二种</w:t>
            </w:r>
          </w:p>
        </w:tc>
      </w:tr>
    </w:tbl>
    <w:p w14:paraId="042DE21E">
      <w:pPr>
        <w:numPr>
          <w:ilvl w:val="2"/>
          <w:numId w:val="1"/>
        </w:numPr>
        <w:tabs>
          <w:tab w:val="left" w:pos="709"/>
          <w:tab w:val="left" w:pos="851"/>
          <w:tab w:val="left" w:pos="993"/>
        </w:tabs>
        <w:jc w:val="left"/>
        <w:outlineLvl w:val="2"/>
      </w:pPr>
      <w:r>
        <w:rPr>
          <w:rFonts w:hint="eastAsia"/>
        </w:rPr>
        <w:t>矿山法施工的隧道结构防水，应根据含水地层的特性、围岩稳定情况和结构支护型式确定。在无侵蚀性介质、贫水的Ⅰ、Ⅱ级围岩地段的隧道结构拱、墙，宜采用复合式衬砌防水，有条件时底部可考虑限排。地下水较多的软弱围岩地段，应采用全封闭式的复合式衬砌全包防水层。</w:t>
      </w:r>
    </w:p>
    <w:p w14:paraId="6F484B53">
      <w:pPr>
        <w:numPr>
          <w:ilvl w:val="2"/>
          <w:numId w:val="1"/>
        </w:numPr>
        <w:tabs>
          <w:tab w:val="left" w:pos="709"/>
          <w:tab w:val="left" w:pos="851"/>
          <w:tab w:val="left" w:pos="993"/>
        </w:tabs>
        <w:jc w:val="left"/>
        <w:outlineLvl w:val="2"/>
      </w:pPr>
      <w:r>
        <w:rPr>
          <w:rFonts w:hint="eastAsia"/>
        </w:rPr>
        <w:t>复合式衬砌夹层防水层选用塑料防水板时，其厚度不宜小于1.5mm，并应在防水板表面设置注浆系统，变形缝部位宜设置分区系统。</w:t>
      </w:r>
    </w:p>
    <w:p w14:paraId="437E925C">
      <w:pPr>
        <w:numPr>
          <w:ilvl w:val="2"/>
          <w:numId w:val="1"/>
        </w:numPr>
        <w:tabs>
          <w:tab w:val="left" w:pos="709"/>
          <w:tab w:val="left" w:pos="851"/>
          <w:tab w:val="left" w:pos="993"/>
        </w:tabs>
        <w:jc w:val="left"/>
        <w:outlineLvl w:val="2"/>
      </w:pPr>
      <w:r>
        <w:rPr>
          <w:rFonts w:hint="eastAsia"/>
        </w:rPr>
        <w:t>塑料防水板注浆系统的设置应符合下列规定：</w:t>
      </w:r>
    </w:p>
    <w:p w14:paraId="69C199C7">
      <w:pPr>
        <w:pStyle w:val="7"/>
        <w:ind w:firstLine="420"/>
      </w:pPr>
      <w:r>
        <w:rPr>
          <w:rFonts w:hint="eastAsia"/>
        </w:rPr>
        <w:t>注浆系统的环、纵向设置间距，一级设防要求时宜为3m～4m，二级设防要求时宜为4m～5m，顶部宜适当加密；</w:t>
      </w:r>
    </w:p>
    <w:p w14:paraId="433556A3">
      <w:pPr>
        <w:pStyle w:val="7"/>
        <w:ind w:firstLine="420"/>
      </w:pPr>
      <w:r>
        <w:rPr>
          <w:rFonts w:hint="eastAsia"/>
        </w:rPr>
        <w:t>注浆系统宜靠近施工缝和变形缝等特殊部位设置；</w:t>
      </w:r>
    </w:p>
    <w:p w14:paraId="704981E7">
      <w:pPr>
        <w:pStyle w:val="7"/>
        <w:ind w:firstLine="420"/>
      </w:pPr>
      <w:r>
        <w:rPr>
          <w:rFonts w:hint="eastAsia"/>
        </w:rPr>
        <w:t>注浆材料宜采用添加适量膨胀剂的水泥浆。</w:t>
      </w:r>
    </w:p>
    <w:p w14:paraId="4F098130">
      <w:pPr>
        <w:numPr>
          <w:ilvl w:val="2"/>
          <w:numId w:val="1"/>
        </w:numPr>
        <w:tabs>
          <w:tab w:val="left" w:pos="709"/>
          <w:tab w:val="left" w:pos="851"/>
          <w:tab w:val="left" w:pos="993"/>
        </w:tabs>
        <w:jc w:val="left"/>
        <w:outlineLvl w:val="2"/>
      </w:pPr>
      <w:r>
        <w:rPr>
          <w:rFonts w:hint="eastAsia"/>
        </w:rPr>
        <w:t>塑料防水板与喷射混凝土基层之间应设置缓冲层；底板（或仰拱）铺设的防水板上表面应设置刚性或柔性永久保护层。</w:t>
      </w:r>
    </w:p>
    <w:p w14:paraId="3AADFB75">
      <w:pPr>
        <w:numPr>
          <w:ilvl w:val="2"/>
          <w:numId w:val="1"/>
        </w:numPr>
        <w:tabs>
          <w:tab w:val="left" w:pos="709"/>
          <w:tab w:val="left" w:pos="851"/>
          <w:tab w:val="left" w:pos="993"/>
        </w:tabs>
        <w:jc w:val="left"/>
        <w:outlineLvl w:val="2"/>
      </w:pPr>
      <w:r>
        <w:rPr>
          <w:rFonts w:hint="eastAsia"/>
        </w:rPr>
        <w:t>复合式衬砌夹层防水层选用预铺高分子防水卷材时，其厚度不应小于1.5mm，</w:t>
      </w:r>
      <w:bookmarkStart w:id="905" w:name="_Hlk183181354"/>
      <w:r>
        <w:rPr>
          <w:rFonts w:hint="eastAsia"/>
        </w:rPr>
        <w:t>卷材接缝宜选用焊接施工工艺</w:t>
      </w:r>
      <w:bookmarkEnd w:id="905"/>
      <w:r>
        <w:rPr>
          <w:rFonts w:hint="eastAsia"/>
        </w:rPr>
        <w:t>。</w:t>
      </w:r>
    </w:p>
    <w:p w14:paraId="3F949C5C">
      <w:pPr>
        <w:numPr>
          <w:ilvl w:val="2"/>
          <w:numId w:val="1"/>
        </w:numPr>
        <w:tabs>
          <w:tab w:val="left" w:pos="709"/>
          <w:tab w:val="left" w:pos="851"/>
          <w:tab w:val="left" w:pos="993"/>
        </w:tabs>
        <w:jc w:val="left"/>
        <w:outlineLvl w:val="2"/>
      </w:pPr>
      <w:r>
        <w:rPr>
          <w:rFonts w:hint="eastAsia"/>
        </w:rPr>
        <w:t>复合式衬砌夹层防水层选用喷涂防水涂料时，其厚度不应小于2mm，与防水卷材配套使用时其厚度不宜小于1.5mm；宜选用速凝型防水涂料。</w:t>
      </w:r>
    </w:p>
    <w:p w14:paraId="433F3BA1">
      <w:pPr>
        <w:numPr>
          <w:ilvl w:val="2"/>
          <w:numId w:val="1"/>
        </w:numPr>
        <w:tabs>
          <w:tab w:val="left" w:pos="709"/>
          <w:tab w:val="left" w:pos="851"/>
          <w:tab w:val="left" w:pos="993"/>
        </w:tabs>
        <w:jc w:val="left"/>
        <w:outlineLvl w:val="2"/>
      </w:pPr>
      <w:r>
        <w:rPr>
          <w:rFonts w:hint="eastAsia"/>
        </w:rPr>
        <w:t>两拱相交节点处应采取防、截、堵等多道防水措施。</w:t>
      </w:r>
    </w:p>
    <w:p w14:paraId="6BDF70E5">
      <w:pPr>
        <w:numPr>
          <w:ilvl w:val="1"/>
          <w:numId w:val="1"/>
        </w:numPr>
        <w:snapToGrid w:val="0"/>
        <w:spacing w:before="156" w:after="156" w:line="240" w:lineRule="auto"/>
        <w:jc w:val="center"/>
        <w:outlineLvl w:val="1"/>
        <w:rPr>
          <w:rFonts w:eastAsia="黑体"/>
          <w:bCs/>
          <w:szCs w:val="28"/>
        </w:rPr>
      </w:pPr>
      <w:bookmarkStart w:id="906" w:name="_Toc183683539"/>
      <w:bookmarkStart w:id="907" w:name="_Toc176189907"/>
      <w:bookmarkStart w:id="908" w:name="_Toc183765134"/>
      <w:bookmarkStart w:id="909" w:name="_Toc183888177"/>
      <w:bookmarkStart w:id="910" w:name="_Toc357929381"/>
      <w:bookmarkStart w:id="911" w:name="_Toc183888539"/>
      <w:bookmarkStart w:id="912" w:name="_Toc183882125"/>
      <w:bookmarkStart w:id="913" w:name="_Toc183790564"/>
      <w:bookmarkStart w:id="914" w:name="_Toc183882487"/>
      <w:r>
        <w:rPr>
          <w:rFonts w:hint="eastAsia" w:eastAsia="黑体"/>
          <w:bCs/>
          <w:szCs w:val="28"/>
        </w:rPr>
        <w:t>盾构法结构防水</w:t>
      </w:r>
      <w:bookmarkEnd w:id="906"/>
      <w:bookmarkEnd w:id="907"/>
      <w:bookmarkEnd w:id="908"/>
      <w:bookmarkEnd w:id="909"/>
      <w:bookmarkEnd w:id="910"/>
      <w:bookmarkEnd w:id="911"/>
      <w:bookmarkEnd w:id="912"/>
      <w:bookmarkEnd w:id="913"/>
      <w:bookmarkEnd w:id="914"/>
    </w:p>
    <w:p w14:paraId="75FAE01F">
      <w:pPr>
        <w:numPr>
          <w:ilvl w:val="2"/>
          <w:numId w:val="1"/>
        </w:numPr>
        <w:tabs>
          <w:tab w:val="left" w:pos="709"/>
          <w:tab w:val="left" w:pos="851"/>
          <w:tab w:val="left" w:pos="993"/>
        </w:tabs>
        <w:jc w:val="left"/>
        <w:outlineLvl w:val="2"/>
      </w:pPr>
      <w:r>
        <w:rPr>
          <w:rFonts w:hint="eastAsia"/>
        </w:rPr>
        <w:t>盾构法施工的隧道结构，宜采用钢筋混凝土管片、复合管片等装配式衬砌或现浇混凝土衬砌。衬砌管片应采用防水混凝土制作，其抗渗等级不应小于P10，氯离子扩散系数不宜大于3×10</w:t>
      </w:r>
      <w:r>
        <w:t></w:t>
      </w:r>
      <w:r>
        <w:rPr>
          <w:rFonts w:hint="eastAsia"/>
        </w:rPr>
        <w:t>12m2/s。当隧道处于侵蚀性介质的地层时，应采用耐侵蚀混凝土或在衬砌结构外表面涂刷耐侵蚀的防水涂层。</w:t>
      </w:r>
    </w:p>
    <w:p w14:paraId="34750ADC">
      <w:pPr>
        <w:numPr>
          <w:ilvl w:val="2"/>
          <w:numId w:val="1"/>
        </w:numPr>
        <w:tabs>
          <w:tab w:val="left" w:pos="709"/>
          <w:tab w:val="left" w:pos="851"/>
          <w:tab w:val="left" w:pos="993"/>
        </w:tabs>
        <w:jc w:val="left"/>
        <w:outlineLvl w:val="2"/>
      </w:pPr>
      <w:r>
        <w:rPr>
          <w:rFonts w:hint="eastAsia"/>
        </w:rPr>
        <w:t>隧道衬砌结构防水措施应符合表13.7.2的规定。</w:t>
      </w:r>
    </w:p>
    <w:p w14:paraId="092E6EAB">
      <w:pPr>
        <w:numPr>
          <w:ilvl w:val="2"/>
          <w:numId w:val="1"/>
        </w:numPr>
        <w:tabs>
          <w:tab w:val="left" w:pos="709"/>
          <w:tab w:val="left" w:pos="851"/>
          <w:tab w:val="left" w:pos="993"/>
        </w:tabs>
        <w:jc w:val="left"/>
        <w:outlineLvl w:val="2"/>
      </w:pPr>
      <w:r>
        <w:br w:type="page"/>
      </w:r>
    </w:p>
    <w:p w14:paraId="55585A4E">
      <w:pPr>
        <w:pStyle w:val="198"/>
      </w:pPr>
      <w:r>
        <mc:AlternateContent>
          <mc:Choice Requires="wps">
            <w:drawing>
              <wp:anchor distT="0" distB="0" distL="114300" distR="114300" simplePos="0" relativeHeight="251660288" behindDoc="0" locked="0" layoutInCell="1" allowOverlap="1">
                <wp:simplePos x="0" y="0"/>
                <wp:positionH relativeFrom="column">
                  <wp:posOffset>147955</wp:posOffset>
                </wp:positionH>
                <wp:positionV relativeFrom="paragraph">
                  <wp:posOffset>200660</wp:posOffset>
                </wp:positionV>
                <wp:extent cx="429260" cy="753745"/>
                <wp:effectExtent l="0" t="0" r="27940" b="2730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429260" cy="753745"/>
                        </a:xfrm>
                        <a:prstGeom prst="line">
                          <a:avLst/>
                        </a:prstGeom>
                        <a:noFill/>
                        <a:ln w="6350">
                          <a:solidFill>
                            <a:srgbClr val="000000"/>
                          </a:solidFill>
                          <a:round/>
                        </a:ln>
                      </wps:spPr>
                      <wps:bodyPr/>
                    </wps:wsp>
                  </a:graphicData>
                </a:graphic>
              </wp:anchor>
            </w:drawing>
          </mc:Choice>
          <mc:Fallback>
            <w:pict>
              <v:line id="_x0000_s1026" o:spid="_x0000_s1026" o:spt="20" style="position:absolute;left:0pt;margin-left:11.65pt;margin-top:15.8pt;height:59.35pt;width:33.8pt;z-index:251660288;mso-width-relative:page;mso-height-relative:page;" filled="f" stroked="t" coordsize="21600,21600" o:gfxdata="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jfFr9UA&#10;AAAIAQAADwAAAAAAAAABACAAAAAiAAAAZHJzL2Rvd25yZXYueG1sUEsBAhQAFAAAAAgAh07iQLD7&#10;C43pAQAArgMAAA4AAAAAAAAAAQAgAAAAJAEAAGRycy9lMm9Eb2MueG1sUEsFBgAAAAAGAAYAWQEA&#10;AH8FA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-141605</wp:posOffset>
                </wp:positionH>
                <wp:positionV relativeFrom="paragraph">
                  <wp:posOffset>568960</wp:posOffset>
                </wp:positionV>
                <wp:extent cx="717550" cy="390525"/>
                <wp:effectExtent l="0" t="0" r="25400" b="28575"/>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717550" cy="390525"/>
                        </a:xfrm>
                        <a:prstGeom prst="line">
                          <a:avLst/>
                        </a:prstGeom>
                        <a:noFill/>
                        <a:ln w="6350">
                          <a:solidFill>
                            <a:srgbClr val="000000"/>
                          </a:solidFill>
                          <a:round/>
                        </a:ln>
                      </wps:spPr>
                      <wps:bodyPr/>
                    </wps:wsp>
                  </a:graphicData>
                </a:graphic>
              </wp:anchor>
            </w:drawing>
          </mc:Choice>
          <mc:Fallback>
            <w:pict>
              <v:line id="_x0000_s1026" o:spid="_x0000_s1026" o:spt="20" style="position:absolute;left:0pt;margin-left:-11.15pt;margin-top:44.8pt;height:30.75pt;width:56.5pt;z-index:251661312;mso-width-relative:page;mso-height-relative:page;" filled="f" stroked="t" coordsize="21600,21600" o:gfxdata="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WzZ0g1gAA&#10;AAkBAAAPAAAAAAAAAAEAIAAAACIAAABkcnMvZG93bnJldi54bWxQSwECFAAUAAAACACHTuJARd5C&#10;EOcBAACuAwAADgAAAAAAAAABACAAAAAlAQAAZHJzL2Uyb0RvYy54bWxQSwUGAAAAAAYABgBZAQAA&#10;fgUAAAAA&#10;">
                <v:fill on="f" focussize="0,0"/>
                <v:stroke weight="0.5pt" color="#000000" joinstyle="round"/>
                <v:imagedata o:title=""/>
                <o:lock v:ext="edit" aspectratio="f"/>
              </v:line>
            </w:pict>
          </mc:Fallback>
        </mc:AlternateContent>
      </w:r>
      <w:r>
        <w:rPr>
          <w:rFonts w:hint="eastAsia"/>
        </w:rPr>
        <w:t>表13.7.2  盾构法修建的隧道防水措施</w:t>
      </w:r>
    </w:p>
    <w:tbl>
      <w:tblPr>
        <w:tblStyle w:val="88"/>
        <w:tblW w:w="65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490"/>
        <w:gridCol w:w="820"/>
        <w:gridCol w:w="820"/>
        <w:gridCol w:w="531"/>
        <w:gridCol w:w="600"/>
        <w:gridCol w:w="963"/>
        <w:gridCol w:w="1191"/>
      </w:tblGrid>
      <w:tr w14:paraId="363C9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150" w:type="dxa"/>
            <w:vMerge w:val="restart"/>
            <w:vAlign w:val="center"/>
          </w:tcPr>
          <w:p w14:paraId="398D476A">
            <w:pPr>
              <w:pStyle w:val="235"/>
              <w:rPr>
                <w:color w:val="auto"/>
              </w:rPr>
            </w:pPr>
            <w:r>
              <w:rPr>
                <w:rFonts w:hint="eastAsia"/>
                <w:color w:val="auto"/>
              </w:rPr>
              <w:t xml:space="preserve">       防水</w:t>
            </w:r>
          </w:p>
          <w:p w14:paraId="7BF9889E">
            <w:pPr>
              <w:pStyle w:val="235"/>
              <w:rPr>
                <w:color w:val="auto"/>
              </w:rPr>
            </w:pPr>
            <w:r>
              <w:rPr>
                <w:rFonts w:hint="eastAsia"/>
                <w:color w:val="auto"/>
              </w:rPr>
              <w:t xml:space="preserve">       措施</w:t>
            </w:r>
          </w:p>
          <w:p w14:paraId="2EFB10CF">
            <w:pPr>
              <w:pStyle w:val="235"/>
              <w:rPr>
                <w:color w:val="auto"/>
              </w:rPr>
            </w:pPr>
            <w:r>
              <w:rPr>
                <w:rFonts w:hint="eastAsia"/>
                <w:color w:val="auto"/>
              </w:rPr>
              <w:t>措施</w:t>
            </w:r>
          </w:p>
          <w:p w14:paraId="70C08EF7">
            <w:pPr>
              <w:pStyle w:val="235"/>
              <w:rPr>
                <w:color w:val="auto"/>
              </w:rPr>
            </w:pPr>
            <w:r>
              <w:rPr>
                <w:rFonts w:hint="eastAsia"/>
                <w:color w:val="auto"/>
              </w:rPr>
              <w:t>选择</w:t>
            </w:r>
          </w:p>
          <w:p w14:paraId="26399BA8">
            <w:pPr>
              <w:pStyle w:val="235"/>
              <w:jc w:val="both"/>
              <w:rPr>
                <w:color w:val="auto"/>
              </w:rPr>
            </w:pPr>
            <w:r>
              <w:rPr>
                <w:rFonts w:hint="eastAsia"/>
                <w:color w:val="auto"/>
              </w:rPr>
              <w:t>防水</w:t>
            </w:r>
          </w:p>
          <w:p w14:paraId="0B1554AD">
            <w:pPr>
              <w:pStyle w:val="235"/>
              <w:jc w:val="both"/>
              <w:rPr>
                <w:color w:val="auto"/>
              </w:rPr>
            </w:pPr>
            <w:r>
              <w:rPr>
                <w:rFonts w:hint="eastAsia"/>
                <w:color w:val="auto"/>
              </w:rPr>
              <w:t>等级</w:t>
            </w:r>
          </w:p>
        </w:tc>
        <w:tc>
          <w:tcPr>
            <w:tcW w:w="490" w:type="dxa"/>
            <w:vMerge w:val="restart"/>
            <w:vAlign w:val="center"/>
          </w:tcPr>
          <w:p w14:paraId="4C5E1FC1">
            <w:pPr>
              <w:pStyle w:val="235"/>
              <w:rPr>
                <w:color w:val="auto"/>
              </w:rPr>
            </w:pPr>
            <w:r>
              <w:rPr>
                <w:rFonts w:hint="eastAsia"/>
                <w:color w:val="auto"/>
              </w:rPr>
              <w:t>高精度</w:t>
            </w:r>
          </w:p>
          <w:p w14:paraId="51F4FDB6">
            <w:pPr>
              <w:pStyle w:val="235"/>
              <w:rPr>
                <w:color w:val="auto"/>
              </w:rPr>
            </w:pPr>
            <w:r>
              <w:rPr>
                <w:rFonts w:hint="eastAsia"/>
                <w:color w:val="auto"/>
              </w:rPr>
              <w:t>管片</w:t>
            </w:r>
          </w:p>
        </w:tc>
        <w:tc>
          <w:tcPr>
            <w:tcW w:w="2771" w:type="dxa"/>
            <w:gridSpan w:val="4"/>
            <w:vAlign w:val="center"/>
          </w:tcPr>
          <w:p w14:paraId="3EB61DB6">
            <w:pPr>
              <w:pStyle w:val="235"/>
              <w:rPr>
                <w:color w:val="auto"/>
              </w:rPr>
            </w:pPr>
            <w:r>
              <w:rPr>
                <w:rFonts w:hint="eastAsia"/>
                <w:color w:val="auto"/>
              </w:rPr>
              <w:t>接 缝 防 水</w:t>
            </w:r>
          </w:p>
        </w:tc>
        <w:tc>
          <w:tcPr>
            <w:tcW w:w="963" w:type="dxa"/>
            <w:vMerge w:val="restart"/>
            <w:vAlign w:val="center"/>
          </w:tcPr>
          <w:p w14:paraId="6B9EACDA">
            <w:pPr>
              <w:pStyle w:val="235"/>
              <w:rPr>
                <w:color w:val="auto"/>
              </w:rPr>
            </w:pPr>
            <w:r>
              <w:rPr>
                <w:rFonts w:hint="eastAsia"/>
                <w:color w:val="auto"/>
              </w:rPr>
              <w:t>混凝土内衬或其他内衬</w:t>
            </w:r>
          </w:p>
        </w:tc>
        <w:tc>
          <w:tcPr>
            <w:tcW w:w="1191" w:type="dxa"/>
            <w:vMerge w:val="restart"/>
            <w:vAlign w:val="center"/>
          </w:tcPr>
          <w:p w14:paraId="415A09F3">
            <w:pPr>
              <w:pStyle w:val="235"/>
              <w:rPr>
                <w:color w:val="auto"/>
              </w:rPr>
            </w:pPr>
            <w:r>
              <w:rPr>
                <w:rFonts w:hint="eastAsia"/>
                <w:color w:val="auto"/>
              </w:rPr>
              <w:t>外防水涂料</w:t>
            </w:r>
          </w:p>
        </w:tc>
      </w:tr>
      <w:tr w14:paraId="4DB8E8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1150" w:type="dxa"/>
            <w:vMerge w:val="continue"/>
            <w:tcBorders>
              <w:bottom w:val="single" w:color="auto" w:sz="8" w:space="0"/>
            </w:tcBorders>
            <w:vAlign w:val="center"/>
          </w:tcPr>
          <w:p w14:paraId="4DBAFAAC">
            <w:pPr>
              <w:pStyle w:val="235"/>
              <w:rPr>
                <w:color w:val="auto"/>
              </w:rPr>
            </w:pPr>
          </w:p>
        </w:tc>
        <w:tc>
          <w:tcPr>
            <w:tcW w:w="490" w:type="dxa"/>
            <w:vMerge w:val="continue"/>
            <w:tcBorders>
              <w:bottom w:val="single" w:color="auto" w:sz="8" w:space="0"/>
            </w:tcBorders>
            <w:vAlign w:val="center"/>
          </w:tcPr>
          <w:p w14:paraId="192F64B0">
            <w:pPr>
              <w:pStyle w:val="235"/>
              <w:rPr>
                <w:color w:val="auto"/>
              </w:rPr>
            </w:pPr>
          </w:p>
        </w:tc>
        <w:tc>
          <w:tcPr>
            <w:tcW w:w="820" w:type="dxa"/>
            <w:tcBorders>
              <w:bottom w:val="single" w:color="auto" w:sz="8" w:space="0"/>
            </w:tcBorders>
            <w:vAlign w:val="center"/>
          </w:tcPr>
          <w:p w14:paraId="4A36835C">
            <w:pPr>
              <w:pStyle w:val="235"/>
              <w:rPr>
                <w:color w:val="auto"/>
              </w:rPr>
            </w:pPr>
            <w:r>
              <w:rPr>
                <w:rFonts w:hint="eastAsia"/>
                <w:color w:val="auto"/>
              </w:rPr>
              <w:t>密</w:t>
            </w:r>
          </w:p>
          <w:p w14:paraId="285A4EF1">
            <w:pPr>
              <w:pStyle w:val="235"/>
              <w:rPr>
                <w:color w:val="auto"/>
              </w:rPr>
            </w:pPr>
            <w:r>
              <w:rPr>
                <w:rFonts w:hint="eastAsia"/>
                <w:color w:val="auto"/>
              </w:rPr>
              <w:t>封</w:t>
            </w:r>
          </w:p>
          <w:p w14:paraId="2B934A52">
            <w:pPr>
              <w:pStyle w:val="235"/>
              <w:rPr>
                <w:color w:val="auto"/>
              </w:rPr>
            </w:pPr>
            <w:r>
              <w:rPr>
                <w:rFonts w:hint="eastAsia"/>
                <w:color w:val="auto"/>
              </w:rPr>
              <w:t>垫</w:t>
            </w:r>
          </w:p>
        </w:tc>
        <w:tc>
          <w:tcPr>
            <w:tcW w:w="820" w:type="dxa"/>
            <w:tcBorders>
              <w:bottom w:val="single" w:color="auto" w:sz="8" w:space="0"/>
            </w:tcBorders>
            <w:vAlign w:val="center"/>
          </w:tcPr>
          <w:p w14:paraId="4C96EC4D">
            <w:pPr>
              <w:pStyle w:val="235"/>
              <w:rPr>
                <w:color w:val="auto"/>
              </w:rPr>
            </w:pPr>
            <w:r>
              <w:rPr>
                <w:rFonts w:hint="eastAsia"/>
                <w:color w:val="auto"/>
              </w:rPr>
              <w:t>嵌</w:t>
            </w:r>
          </w:p>
          <w:p w14:paraId="54F42EDF">
            <w:pPr>
              <w:pStyle w:val="235"/>
              <w:rPr>
                <w:color w:val="auto"/>
              </w:rPr>
            </w:pPr>
            <w:r>
              <w:rPr>
                <w:rFonts w:hint="eastAsia"/>
                <w:color w:val="auto"/>
              </w:rPr>
              <w:t>缝</w:t>
            </w:r>
          </w:p>
        </w:tc>
        <w:tc>
          <w:tcPr>
            <w:tcW w:w="531" w:type="dxa"/>
            <w:tcBorders>
              <w:bottom w:val="single" w:color="auto" w:sz="8" w:space="0"/>
            </w:tcBorders>
            <w:vAlign w:val="center"/>
          </w:tcPr>
          <w:p w14:paraId="36B7063E">
            <w:pPr>
              <w:pStyle w:val="235"/>
              <w:rPr>
                <w:color w:val="auto"/>
              </w:rPr>
            </w:pPr>
            <w:r>
              <w:rPr>
                <w:rFonts w:hint="eastAsia"/>
                <w:color w:val="auto"/>
              </w:rPr>
              <w:t>注入</w:t>
            </w:r>
          </w:p>
          <w:p w14:paraId="26773B36">
            <w:pPr>
              <w:pStyle w:val="235"/>
              <w:rPr>
                <w:color w:val="auto"/>
              </w:rPr>
            </w:pPr>
            <w:r>
              <w:rPr>
                <w:rFonts w:hint="eastAsia"/>
                <w:color w:val="auto"/>
              </w:rPr>
              <w:t>密封</w:t>
            </w:r>
          </w:p>
          <w:p w14:paraId="4727536B">
            <w:pPr>
              <w:pStyle w:val="235"/>
              <w:rPr>
                <w:color w:val="auto"/>
              </w:rPr>
            </w:pPr>
            <w:r>
              <w:rPr>
                <w:rFonts w:hint="eastAsia"/>
                <w:color w:val="auto"/>
              </w:rPr>
              <w:t>剂</w:t>
            </w:r>
          </w:p>
        </w:tc>
        <w:tc>
          <w:tcPr>
            <w:tcW w:w="600" w:type="dxa"/>
            <w:tcBorders>
              <w:bottom w:val="single" w:color="auto" w:sz="8" w:space="0"/>
            </w:tcBorders>
            <w:vAlign w:val="center"/>
          </w:tcPr>
          <w:p w14:paraId="4AB810AE">
            <w:pPr>
              <w:pStyle w:val="235"/>
              <w:rPr>
                <w:color w:val="auto"/>
              </w:rPr>
            </w:pPr>
            <w:r>
              <w:rPr>
                <w:rFonts w:hint="eastAsia"/>
                <w:color w:val="auto"/>
              </w:rPr>
              <w:t>螺孔</w:t>
            </w:r>
          </w:p>
          <w:p w14:paraId="1264B0C4">
            <w:pPr>
              <w:pStyle w:val="235"/>
              <w:rPr>
                <w:color w:val="auto"/>
              </w:rPr>
            </w:pPr>
            <w:r>
              <w:rPr>
                <w:rFonts w:hint="eastAsia"/>
                <w:color w:val="auto"/>
              </w:rPr>
              <w:t>密封</w:t>
            </w:r>
          </w:p>
          <w:p w14:paraId="3BDE029B">
            <w:pPr>
              <w:pStyle w:val="235"/>
              <w:rPr>
                <w:color w:val="auto"/>
              </w:rPr>
            </w:pPr>
            <w:r>
              <w:rPr>
                <w:rFonts w:hint="eastAsia"/>
                <w:color w:val="auto"/>
              </w:rPr>
              <w:t>圈</w:t>
            </w:r>
          </w:p>
        </w:tc>
        <w:tc>
          <w:tcPr>
            <w:tcW w:w="963" w:type="dxa"/>
            <w:vMerge w:val="continue"/>
            <w:tcBorders>
              <w:bottom w:val="single" w:color="auto" w:sz="8" w:space="0"/>
            </w:tcBorders>
            <w:vAlign w:val="center"/>
          </w:tcPr>
          <w:p w14:paraId="4F16BF03">
            <w:pPr>
              <w:pStyle w:val="235"/>
              <w:rPr>
                <w:color w:val="auto"/>
              </w:rPr>
            </w:pPr>
          </w:p>
        </w:tc>
        <w:tc>
          <w:tcPr>
            <w:tcW w:w="1191" w:type="dxa"/>
            <w:vMerge w:val="continue"/>
            <w:tcBorders>
              <w:bottom w:val="single" w:color="auto" w:sz="8" w:space="0"/>
            </w:tcBorders>
            <w:vAlign w:val="center"/>
          </w:tcPr>
          <w:p w14:paraId="36AAB39A">
            <w:pPr>
              <w:pStyle w:val="235"/>
              <w:rPr>
                <w:color w:val="auto"/>
              </w:rPr>
            </w:pPr>
          </w:p>
        </w:tc>
      </w:tr>
      <w:tr w14:paraId="6C6C1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150" w:type="dxa"/>
            <w:tcBorders>
              <w:top w:val="single" w:color="auto" w:sz="8" w:space="0"/>
              <w:bottom w:val="single" w:color="auto" w:sz="4" w:space="0"/>
            </w:tcBorders>
            <w:vAlign w:val="center"/>
          </w:tcPr>
          <w:p w14:paraId="49C7A962">
            <w:pPr>
              <w:pStyle w:val="235"/>
              <w:rPr>
                <w:color w:val="auto"/>
              </w:rPr>
            </w:pPr>
            <w:r>
              <w:rPr>
                <w:rFonts w:hint="eastAsia"/>
                <w:color w:val="auto"/>
              </w:rPr>
              <w:t>一级</w:t>
            </w:r>
          </w:p>
        </w:tc>
        <w:tc>
          <w:tcPr>
            <w:tcW w:w="490" w:type="dxa"/>
            <w:tcBorders>
              <w:top w:val="single" w:color="auto" w:sz="8" w:space="0"/>
              <w:bottom w:val="single" w:color="auto" w:sz="4" w:space="0"/>
            </w:tcBorders>
            <w:vAlign w:val="center"/>
          </w:tcPr>
          <w:p w14:paraId="0BB9F530">
            <w:pPr>
              <w:pStyle w:val="235"/>
              <w:rPr>
                <w:color w:val="auto"/>
              </w:rPr>
            </w:pPr>
            <w:r>
              <w:rPr>
                <w:rFonts w:hint="eastAsia"/>
                <w:color w:val="auto"/>
              </w:rPr>
              <w:t>必选</w:t>
            </w:r>
          </w:p>
        </w:tc>
        <w:tc>
          <w:tcPr>
            <w:tcW w:w="820" w:type="dxa"/>
            <w:tcBorders>
              <w:top w:val="single" w:color="auto" w:sz="8" w:space="0"/>
              <w:bottom w:val="single" w:color="auto" w:sz="4" w:space="0"/>
            </w:tcBorders>
            <w:vAlign w:val="center"/>
          </w:tcPr>
          <w:p w14:paraId="77FFEB15">
            <w:pPr>
              <w:pStyle w:val="235"/>
              <w:rPr>
                <w:color w:val="auto"/>
              </w:rPr>
            </w:pPr>
            <w:r>
              <w:rPr>
                <w:rFonts w:hint="eastAsia"/>
                <w:color w:val="auto"/>
              </w:rPr>
              <w:t>必选</w:t>
            </w:r>
          </w:p>
        </w:tc>
        <w:tc>
          <w:tcPr>
            <w:tcW w:w="820" w:type="dxa"/>
            <w:tcBorders>
              <w:top w:val="single" w:color="auto" w:sz="8" w:space="0"/>
              <w:bottom w:val="single" w:color="auto" w:sz="4" w:space="0"/>
            </w:tcBorders>
            <w:vAlign w:val="center"/>
          </w:tcPr>
          <w:p w14:paraId="2FEA6AC2">
            <w:pPr>
              <w:pStyle w:val="235"/>
              <w:rPr>
                <w:color w:val="auto"/>
              </w:rPr>
            </w:pPr>
            <w:r>
              <w:rPr>
                <w:rFonts w:hint="eastAsia"/>
                <w:color w:val="auto"/>
              </w:rPr>
              <w:t>可选</w:t>
            </w:r>
          </w:p>
        </w:tc>
        <w:tc>
          <w:tcPr>
            <w:tcW w:w="531" w:type="dxa"/>
            <w:tcBorders>
              <w:top w:val="single" w:color="auto" w:sz="8" w:space="0"/>
              <w:bottom w:val="single" w:color="auto" w:sz="4" w:space="0"/>
            </w:tcBorders>
            <w:vAlign w:val="center"/>
          </w:tcPr>
          <w:p w14:paraId="4F0E5E21">
            <w:pPr>
              <w:pStyle w:val="235"/>
              <w:rPr>
                <w:color w:val="auto"/>
              </w:rPr>
            </w:pPr>
            <w:r>
              <w:rPr>
                <w:rFonts w:hint="eastAsia"/>
                <w:color w:val="auto"/>
              </w:rPr>
              <w:t>可选</w:t>
            </w:r>
          </w:p>
        </w:tc>
        <w:tc>
          <w:tcPr>
            <w:tcW w:w="600" w:type="dxa"/>
            <w:tcBorders>
              <w:top w:val="single" w:color="auto" w:sz="8" w:space="0"/>
              <w:bottom w:val="single" w:color="auto" w:sz="4" w:space="0"/>
            </w:tcBorders>
            <w:vAlign w:val="center"/>
          </w:tcPr>
          <w:p w14:paraId="753E0707">
            <w:pPr>
              <w:pStyle w:val="235"/>
              <w:rPr>
                <w:color w:val="auto"/>
              </w:rPr>
            </w:pPr>
            <w:r>
              <w:rPr>
                <w:rFonts w:hint="eastAsia"/>
                <w:color w:val="auto"/>
              </w:rPr>
              <w:t>必选</w:t>
            </w:r>
          </w:p>
        </w:tc>
        <w:tc>
          <w:tcPr>
            <w:tcW w:w="963" w:type="dxa"/>
            <w:tcBorders>
              <w:top w:val="single" w:color="auto" w:sz="8" w:space="0"/>
              <w:bottom w:val="single" w:color="auto" w:sz="4" w:space="0"/>
            </w:tcBorders>
            <w:vAlign w:val="center"/>
          </w:tcPr>
          <w:p w14:paraId="67A09F16">
            <w:pPr>
              <w:pStyle w:val="235"/>
              <w:rPr>
                <w:color w:val="auto"/>
              </w:rPr>
            </w:pPr>
            <w:r>
              <w:rPr>
                <w:rFonts w:hint="eastAsia"/>
                <w:color w:val="auto"/>
              </w:rPr>
              <w:t>宜选</w:t>
            </w:r>
          </w:p>
        </w:tc>
        <w:tc>
          <w:tcPr>
            <w:tcW w:w="1191" w:type="dxa"/>
            <w:tcBorders>
              <w:top w:val="single" w:color="auto" w:sz="8" w:space="0"/>
              <w:bottom w:val="single" w:color="auto" w:sz="4" w:space="0"/>
            </w:tcBorders>
            <w:vAlign w:val="center"/>
          </w:tcPr>
          <w:p w14:paraId="1803FF76">
            <w:pPr>
              <w:pStyle w:val="235"/>
              <w:rPr>
                <w:color w:val="auto"/>
              </w:rPr>
            </w:pPr>
            <w:r>
              <w:rPr>
                <w:rFonts w:hint="eastAsia"/>
                <w:color w:val="auto"/>
              </w:rPr>
              <w:t>宜选</w:t>
            </w:r>
          </w:p>
        </w:tc>
      </w:tr>
      <w:tr w14:paraId="775AA5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150" w:type="dxa"/>
            <w:tcBorders>
              <w:top w:val="single" w:color="auto" w:sz="4" w:space="0"/>
            </w:tcBorders>
            <w:vAlign w:val="center"/>
          </w:tcPr>
          <w:p w14:paraId="0AC78819">
            <w:pPr>
              <w:pStyle w:val="235"/>
              <w:rPr>
                <w:color w:val="auto"/>
              </w:rPr>
            </w:pPr>
            <w:r>
              <w:rPr>
                <w:rFonts w:hint="eastAsia"/>
                <w:color w:val="auto"/>
              </w:rPr>
              <w:t>二级</w:t>
            </w:r>
          </w:p>
        </w:tc>
        <w:tc>
          <w:tcPr>
            <w:tcW w:w="490" w:type="dxa"/>
            <w:tcBorders>
              <w:top w:val="single" w:color="auto" w:sz="4" w:space="0"/>
            </w:tcBorders>
            <w:vAlign w:val="center"/>
          </w:tcPr>
          <w:p w14:paraId="23BCCD13">
            <w:pPr>
              <w:pStyle w:val="235"/>
              <w:rPr>
                <w:color w:val="auto"/>
              </w:rPr>
            </w:pPr>
            <w:r>
              <w:rPr>
                <w:rFonts w:hint="eastAsia"/>
                <w:color w:val="auto"/>
              </w:rPr>
              <w:t>必选</w:t>
            </w:r>
          </w:p>
        </w:tc>
        <w:tc>
          <w:tcPr>
            <w:tcW w:w="820" w:type="dxa"/>
            <w:tcBorders>
              <w:top w:val="single" w:color="auto" w:sz="4" w:space="0"/>
            </w:tcBorders>
            <w:vAlign w:val="center"/>
          </w:tcPr>
          <w:p w14:paraId="1D1408E7">
            <w:pPr>
              <w:pStyle w:val="235"/>
              <w:rPr>
                <w:color w:val="auto"/>
              </w:rPr>
            </w:pPr>
            <w:r>
              <w:rPr>
                <w:rFonts w:hint="eastAsia"/>
                <w:color w:val="auto"/>
              </w:rPr>
              <w:t>必选</w:t>
            </w:r>
          </w:p>
        </w:tc>
        <w:tc>
          <w:tcPr>
            <w:tcW w:w="820" w:type="dxa"/>
            <w:tcBorders>
              <w:top w:val="single" w:color="auto" w:sz="4" w:space="0"/>
            </w:tcBorders>
            <w:vAlign w:val="center"/>
          </w:tcPr>
          <w:p w14:paraId="24A645D5">
            <w:pPr>
              <w:pStyle w:val="235"/>
              <w:rPr>
                <w:color w:val="auto"/>
              </w:rPr>
            </w:pPr>
            <w:r>
              <w:rPr>
                <w:rFonts w:hint="eastAsia"/>
                <w:color w:val="auto"/>
              </w:rPr>
              <w:t>可选</w:t>
            </w:r>
          </w:p>
        </w:tc>
        <w:tc>
          <w:tcPr>
            <w:tcW w:w="531" w:type="dxa"/>
            <w:tcBorders>
              <w:top w:val="single" w:color="auto" w:sz="4" w:space="0"/>
            </w:tcBorders>
            <w:vAlign w:val="center"/>
          </w:tcPr>
          <w:p w14:paraId="19D1D3E6">
            <w:pPr>
              <w:pStyle w:val="235"/>
              <w:rPr>
                <w:color w:val="auto"/>
              </w:rPr>
            </w:pPr>
            <w:r>
              <w:rPr>
                <w:rFonts w:hint="eastAsia"/>
                <w:color w:val="auto"/>
              </w:rPr>
              <w:t>可选</w:t>
            </w:r>
          </w:p>
        </w:tc>
        <w:tc>
          <w:tcPr>
            <w:tcW w:w="600" w:type="dxa"/>
            <w:tcBorders>
              <w:top w:val="single" w:color="auto" w:sz="4" w:space="0"/>
            </w:tcBorders>
            <w:vAlign w:val="center"/>
          </w:tcPr>
          <w:p w14:paraId="21BAD807">
            <w:pPr>
              <w:pStyle w:val="235"/>
              <w:rPr>
                <w:color w:val="auto"/>
              </w:rPr>
            </w:pPr>
            <w:r>
              <w:rPr>
                <w:rFonts w:hint="eastAsia"/>
                <w:color w:val="auto"/>
              </w:rPr>
              <w:t>必选</w:t>
            </w:r>
          </w:p>
        </w:tc>
        <w:tc>
          <w:tcPr>
            <w:tcW w:w="963" w:type="dxa"/>
            <w:tcBorders>
              <w:top w:val="single" w:color="auto" w:sz="4" w:space="0"/>
            </w:tcBorders>
            <w:vAlign w:val="center"/>
          </w:tcPr>
          <w:p w14:paraId="17FE443C">
            <w:pPr>
              <w:pStyle w:val="235"/>
              <w:rPr>
                <w:color w:val="auto"/>
              </w:rPr>
            </w:pPr>
            <w:r>
              <w:rPr>
                <w:rFonts w:hint="eastAsia"/>
                <w:color w:val="auto"/>
              </w:rPr>
              <w:t>——</w:t>
            </w:r>
          </w:p>
        </w:tc>
        <w:tc>
          <w:tcPr>
            <w:tcW w:w="1191" w:type="dxa"/>
            <w:tcBorders>
              <w:top w:val="single" w:color="auto" w:sz="4" w:space="0"/>
            </w:tcBorders>
            <w:vAlign w:val="center"/>
          </w:tcPr>
          <w:p w14:paraId="108C7469">
            <w:pPr>
              <w:pStyle w:val="235"/>
              <w:rPr>
                <w:color w:val="auto"/>
              </w:rPr>
            </w:pPr>
            <w:r>
              <w:rPr>
                <w:rFonts w:hint="eastAsia"/>
                <w:color w:val="auto"/>
              </w:rPr>
              <w:t>对混凝土有中等及以上腐蚀的地层宜选</w:t>
            </w:r>
          </w:p>
        </w:tc>
      </w:tr>
    </w:tbl>
    <w:p w14:paraId="6B9E4CBF">
      <w:pPr>
        <w:spacing w:line="100" w:lineRule="exact"/>
        <w:ind w:firstLine="416" w:firstLineChars="200"/>
        <w:rPr>
          <w:spacing w:val="4"/>
          <w:sz w:val="20"/>
          <w:szCs w:val="18"/>
        </w:rPr>
      </w:pPr>
    </w:p>
    <w:p w14:paraId="32F32F01">
      <w:pPr>
        <w:numPr>
          <w:ilvl w:val="2"/>
          <w:numId w:val="1"/>
        </w:numPr>
        <w:tabs>
          <w:tab w:val="left" w:pos="709"/>
          <w:tab w:val="left" w:pos="851"/>
          <w:tab w:val="left" w:pos="993"/>
        </w:tabs>
        <w:jc w:val="left"/>
        <w:outlineLvl w:val="2"/>
      </w:pPr>
      <w:r>
        <w:rPr>
          <w:rFonts w:hint="eastAsia"/>
        </w:rPr>
        <w:t>管片宜进行混凝土氯离子扩散系数检测及单块抗渗检漏，并应满足设计要求后再使用。</w:t>
      </w:r>
    </w:p>
    <w:p w14:paraId="365EF754">
      <w:pPr>
        <w:numPr>
          <w:ilvl w:val="2"/>
          <w:numId w:val="1"/>
        </w:numPr>
        <w:tabs>
          <w:tab w:val="left" w:pos="709"/>
          <w:tab w:val="left" w:pos="851"/>
          <w:tab w:val="left" w:pos="993"/>
        </w:tabs>
        <w:jc w:val="left"/>
        <w:outlineLvl w:val="2"/>
      </w:pPr>
      <w:r>
        <w:rPr>
          <w:rFonts w:hint="eastAsia"/>
        </w:rPr>
        <w:t>管片应至少设置一道密封垫沟槽。接缝密封垫宜选择具有良好弹性或遇水膨胀性、耐久性、耐水性的橡胶类材料，其外形应与沟槽相匹配。</w:t>
      </w:r>
    </w:p>
    <w:p w14:paraId="744333AB">
      <w:pPr>
        <w:numPr>
          <w:ilvl w:val="2"/>
          <w:numId w:val="1"/>
        </w:numPr>
        <w:tabs>
          <w:tab w:val="left" w:pos="709"/>
          <w:tab w:val="left" w:pos="851"/>
          <w:tab w:val="left" w:pos="993"/>
        </w:tabs>
        <w:jc w:val="left"/>
        <w:outlineLvl w:val="2"/>
      </w:pPr>
      <w:r>
        <w:rPr>
          <w:rFonts w:hint="eastAsia"/>
        </w:rPr>
        <w:t>管片接缝密封垫应能被完全压入密封垫沟槽内，密封垫沟槽的截面积应为密封垫截面积的1倍～1.15倍。</w:t>
      </w:r>
    </w:p>
    <w:p w14:paraId="51222560">
      <w:pPr>
        <w:numPr>
          <w:ilvl w:val="2"/>
          <w:numId w:val="1"/>
        </w:numPr>
        <w:tabs>
          <w:tab w:val="left" w:pos="709"/>
          <w:tab w:val="left" w:pos="851"/>
          <w:tab w:val="left" w:pos="993"/>
        </w:tabs>
        <w:jc w:val="left"/>
        <w:outlineLvl w:val="2"/>
      </w:pPr>
      <w:r>
        <w:rPr>
          <w:rFonts w:hint="eastAsia"/>
        </w:rPr>
        <w:t>管片接缝密封垫应满足在计算的接缝最大张开量和估算的错位量下、埋深水头的3倍水压下不渗漏的技术要求；选用的接缝密封垫应进行一字缝或T字缝耐水压检测。</w:t>
      </w:r>
    </w:p>
    <w:p w14:paraId="2600B043">
      <w:pPr>
        <w:numPr>
          <w:ilvl w:val="2"/>
          <w:numId w:val="1"/>
        </w:numPr>
        <w:tabs>
          <w:tab w:val="left" w:pos="709"/>
          <w:tab w:val="left" w:pos="851"/>
          <w:tab w:val="left" w:pos="993"/>
        </w:tabs>
        <w:jc w:val="left"/>
        <w:outlineLvl w:val="2"/>
      </w:pPr>
      <w:r>
        <w:rPr>
          <w:rFonts w:hint="eastAsia"/>
        </w:rPr>
        <w:t>螺孔防水应符合下列规定：</w:t>
      </w:r>
    </w:p>
    <w:p w14:paraId="0376D2C2">
      <w:pPr>
        <w:pStyle w:val="7"/>
        <w:ind w:firstLine="420"/>
      </w:pPr>
      <w:r>
        <w:rPr>
          <w:rFonts w:hint="eastAsia"/>
        </w:rPr>
        <w:t>管片螺孔口应设置锥形倒角的螺孔密封圈沟槽；</w:t>
      </w:r>
    </w:p>
    <w:p w14:paraId="00801CD8">
      <w:pPr>
        <w:pStyle w:val="7"/>
        <w:ind w:firstLine="420"/>
      </w:pPr>
      <w:r>
        <w:rPr>
          <w:rFonts w:hint="eastAsia"/>
        </w:rPr>
        <w:t>螺孔密封圈的外形应与沟槽相匹配，并有利于压密止水或膨胀止水；</w:t>
      </w:r>
    </w:p>
    <w:p w14:paraId="4DDF3F11">
      <w:pPr>
        <w:pStyle w:val="7"/>
        <w:ind w:firstLine="420"/>
      </w:pPr>
      <w:r>
        <w:rPr>
          <w:rFonts w:hint="eastAsia"/>
        </w:rPr>
        <w:t>螺孔密封圈应采用合成橡胶或遇水膨胀橡胶制品。</w:t>
      </w:r>
    </w:p>
    <w:p w14:paraId="08835CA7">
      <w:pPr>
        <w:numPr>
          <w:ilvl w:val="2"/>
          <w:numId w:val="1"/>
        </w:numPr>
        <w:tabs>
          <w:tab w:val="left" w:pos="709"/>
          <w:tab w:val="left" w:pos="851"/>
          <w:tab w:val="left" w:pos="993"/>
        </w:tabs>
        <w:jc w:val="left"/>
        <w:outlineLvl w:val="2"/>
      </w:pPr>
      <w:r>
        <w:rPr>
          <w:rFonts w:hint="eastAsia"/>
        </w:rPr>
        <w:t>嵌缝防水应符合下列规定：</w:t>
      </w:r>
    </w:p>
    <w:p w14:paraId="328619B5">
      <w:pPr>
        <w:pStyle w:val="7"/>
        <w:ind w:firstLine="420"/>
      </w:pPr>
      <w:r>
        <w:rPr>
          <w:rFonts w:hint="eastAsia"/>
        </w:rPr>
        <w:t>在管片内侧环向与纵向边沿应设置嵌缝槽，其深宽比应大于2.5，槽深宜为25mm～55mm，单面槽宽宜为5mm～10mm；</w:t>
      </w:r>
    </w:p>
    <w:p w14:paraId="5D950094">
      <w:pPr>
        <w:pStyle w:val="7"/>
        <w:ind w:firstLine="420"/>
        <w:rPr>
          <w:rFonts w:ascii="Arial" w:hAnsi="Arial" w:cs="Arial"/>
          <w:szCs w:val="20"/>
        </w:rPr>
      </w:pPr>
      <w:r>
        <w:rPr>
          <w:rFonts w:hint="eastAsia" w:ascii="Arial" w:hAnsi="Arial" w:cs="Arial"/>
          <w:szCs w:val="20"/>
        </w:rPr>
        <w:t>嵌缝材料应具有良好的不透水性、潮湿基面粘结性、耐久性、弹性和抗下坠性；</w:t>
      </w:r>
    </w:p>
    <w:p w14:paraId="38442713">
      <w:pPr>
        <w:pStyle w:val="7"/>
        <w:ind w:firstLine="420"/>
      </w:pPr>
      <w:r>
        <w:rPr>
          <w:rFonts w:hint="eastAsia"/>
        </w:rPr>
        <w:t>应根据隧道使用功能及表13.7.2中的防水等级要求，确定嵌缝作业区范围，以及采取嵌缝堵水、引排水措施；</w:t>
      </w:r>
    </w:p>
    <w:p w14:paraId="299BE0AA">
      <w:pPr>
        <w:pStyle w:val="7"/>
        <w:ind w:firstLine="420"/>
      </w:pPr>
      <w:r>
        <w:rPr>
          <w:rFonts w:hint="eastAsia"/>
        </w:rPr>
        <w:t>嵌缝防水施工应在盾构千斤顶顶力影响范围外进行，并应根据盾构施工方法、隧道的稳定性确定嵌缝作业开始的时间；</w:t>
      </w:r>
    </w:p>
    <w:p w14:paraId="5C06AEA6">
      <w:pPr>
        <w:pStyle w:val="7"/>
        <w:ind w:firstLine="420"/>
      </w:pPr>
      <w:r>
        <w:rPr>
          <w:rFonts w:hint="eastAsia"/>
        </w:rPr>
        <w:t>嵌缝作业应在接缝堵漏和无明显渗水后进行，嵌缝槽表面混凝土如有缺损，应采用环氧砂浆或特种水泥修补，强度应达到或超过混凝土本体的强度。采用嵌缝材料嵌缝时，应先刷涂基层处理剂。嵌缝应密实、平整。</w:t>
      </w:r>
    </w:p>
    <w:p w14:paraId="07670ECB">
      <w:pPr>
        <w:numPr>
          <w:ilvl w:val="2"/>
          <w:numId w:val="1"/>
        </w:numPr>
        <w:tabs>
          <w:tab w:val="left" w:pos="709"/>
          <w:tab w:val="left" w:pos="851"/>
          <w:tab w:val="left" w:pos="993"/>
        </w:tabs>
        <w:jc w:val="left"/>
        <w:outlineLvl w:val="2"/>
      </w:pPr>
      <w:r>
        <w:rPr>
          <w:rFonts w:hint="eastAsia"/>
        </w:rPr>
        <w:t>复合式衬砌的内层衬砌混凝土浇筑前，应将外层管片的渗漏水引排或封堵。采用塑料防水板等夹层防水层的复合式衬砌，应根据隧道排水情况选用相应的缓冲层和防水板材料，并应按本规范第13.6条的有关规定执行。</w:t>
      </w:r>
    </w:p>
    <w:p w14:paraId="17AF3839">
      <w:pPr>
        <w:numPr>
          <w:ilvl w:val="2"/>
          <w:numId w:val="1"/>
        </w:numPr>
        <w:tabs>
          <w:tab w:val="left" w:pos="709"/>
          <w:tab w:val="left" w:pos="851"/>
          <w:tab w:val="left" w:pos="993"/>
        </w:tabs>
        <w:jc w:val="left"/>
        <w:outlineLvl w:val="2"/>
      </w:pPr>
      <w:r>
        <w:rPr>
          <w:rFonts w:hint="eastAsia"/>
        </w:rPr>
        <w:t>管片外防水涂层应符合下列规定：</w:t>
      </w:r>
    </w:p>
    <w:p w14:paraId="380C9835">
      <w:pPr>
        <w:pStyle w:val="7"/>
        <w:ind w:firstLine="420"/>
      </w:pPr>
      <w:r>
        <w:rPr>
          <w:rFonts w:hint="eastAsia"/>
        </w:rPr>
        <w:t>涂层应具有良好的耐化学腐蚀性、抗微生物侵蚀性和耐水性，且无毒或低毒；</w:t>
      </w:r>
    </w:p>
    <w:p w14:paraId="5637F741">
      <w:pPr>
        <w:pStyle w:val="7"/>
        <w:ind w:firstLine="420"/>
      </w:pPr>
      <w:r>
        <w:rPr>
          <w:rFonts w:hint="eastAsia"/>
        </w:rPr>
        <w:t>涂层应能在盾构密封用钢丝刷与钢板挤压条件下不损伤、不渗水；</w:t>
      </w:r>
    </w:p>
    <w:p w14:paraId="3C1555D3">
      <w:pPr>
        <w:pStyle w:val="7"/>
        <w:ind w:firstLine="420"/>
      </w:pPr>
      <w:r>
        <w:rPr>
          <w:rFonts w:hint="eastAsia"/>
        </w:rPr>
        <w:t>在管片外弧面混凝土裂缝宽度达到0.3mm时，涂层应能在最大埋深处水压或0.8MPa水压下不渗漏；</w:t>
      </w:r>
    </w:p>
    <w:p w14:paraId="198A57FF">
      <w:pPr>
        <w:pStyle w:val="7"/>
        <w:ind w:firstLine="420"/>
      </w:pPr>
      <w:r>
        <w:rPr>
          <w:rFonts w:hint="eastAsia"/>
        </w:rPr>
        <w:t>涂层应涂刷在衬砌背面和环、纵缝橡胶密封垫外侧的混凝土上。</w:t>
      </w:r>
    </w:p>
    <w:p w14:paraId="6B5E8B08">
      <w:pPr>
        <w:numPr>
          <w:ilvl w:val="2"/>
          <w:numId w:val="1"/>
        </w:numPr>
        <w:tabs>
          <w:tab w:val="left" w:pos="709"/>
          <w:tab w:val="left" w:pos="851"/>
          <w:tab w:val="left" w:pos="993"/>
        </w:tabs>
        <w:jc w:val="left"/>
        <w:outlineLvl w:val="2"/>
      </w:pPr>
      <w:r>
        <w:rPr>
          <w:rFonts w:hint="eastAsia"/>
        </w:rPr>
        <w:t>竖井与隧道结合处，可用刚性接头，但接缝宜采用柔性材料密封处理，并宜加固竖井洞圈周围土体。在软土地层距竖井结合处一定范围内的衬砌段，宜增设变形缝。变形缝环面应粘贴垫片，同时应采用适应变形量大的弹性密封垫。</w:t>
      </w:r>
    </w:p>
    <w:p w14:paraId="250890FE">
      <w:pPr>
        <w:numPr>
          <w:ilvl w:val="2"/>
          <w:numId w:val="1"/>
        </w:numPr>
        <w:tabs>
          <w:tab w:val="left" w:pos="709"/>
          <w:tab w:val="left" w:pos="851"/>
          <w:tab w:val="left" w:pos="993"/>
        </w:tabs>
        <w:jc w:val="left"/>
        <w:outlineLvl w:val="2"/>
      </w:pPr>
      <w:r>
        <w:rPr>
          <w:rFonts w:hint="eastAsia"/>
        </w:rPr>
        <w:t>顶管法结构防水应符合下列规定：</w:t>
      </w:r>
    </w:p>
    <w:p w14:paraId="54AF2714">
      <w:pPr>
        <w:pStyle w:val="7"/>
        <w:ind w:firstLine="420"/>
      </w:pPr>
      <w:r>
        <w:rPr>
          <w:rFonts w:hint="eastAsia"/>
        </w:rPr>
        <w:t>顶</w:t>
      </w:r>
      <w:r>
        <w:t>管法隧道应采用抗裂性和耐久性好的防水混凝土，防水混凝土的抗渗等级不</w:t>
      </w:r>
      <w:r>
        <w:rPr>
          <w:rFonts w:hint="eastAsia"/>
        </w:rPr>
        <w:t>应</w:t>
      </w:r>
      <w:r>
        <w:t>小于P10，氯离子扩散系数不宜大于3×10</w:t>
      </w:r>
      <w:r>
        <w:rPr>
          <w:vertAlign w:val="superscript"/>
        </w:rPr>
        <w:t>－12</w:t>
      </w:r>
      <w:r>
        <w:t>m</w:t>
      </w:r>
      <w:r>
        <w:rPr>
          <w:vertAlign w:val="superscript"/>
        </w:rPr>
        <w:t>2</w:t>
      </w:r>
      <w:r>
        <w:t>/s。当结构处于</w:t>
      </w:r>
      <w:r>
        <w:rPr>
          <w:rFonts w:hint="eastAsia"/>
        </w:rPr>
        <w:t>中等及以上</w:t>
      </w:r>
      <w:r>
        <w:t>侵蚀性介质中，应采取相适应的防腐措施。</w:t>
      </w:r>
    </w:p>
    <w:p w14:paraId="5E7B1D0E">
      <w:pPr>
        <w:pStyle w:val="7"/>
        <w:ind w:firstLine="420"/>
      </w:pPr>
      <w:r>
        <w:rPr>
          <w:rFonts w:hint="eastAsia"/>
        </w:rPr>
        <w:t>管节接头应设置弹性橡胶密封圈。密封圈的材料、规格应符合现行行业标准《橡胶密封件给、排水管及污水管道用接口密封圈材料规范》HG/T3091的有关规定。</w:t>
      </w:r>
    </w:p>
    <w:p w14:paraId="3416866A">
      <w:pPr>
        <w:pStyle w:val="7"/>
        <w:ind w:firstLine="420"/>
      </w:pPr>
      <w:r>
        <w:rPr>
          <w:rFonts w:hint="eastAsia"/>
        </w:rPr>
        <w:t>管节接头应满足结构的最大允许变形要求，且在长期的设计水压作用下保持不渗漏。</w:t>
      </w:r>
    </w:p>
    <w:p w14:paraId="5F2F72AA">
      <w:pPr>
        <w:pStyle w:val="7"/>
        <w:ind w:firstLine="420"/>
      </w:pPr>
      <w:r>
        <w:rPr>
          <w:rFonts w:hint="eastAsia"/>
        </w:rPr>
        <w:t>接头部位钢承口应采取防腐措施。</w:t>
      </w:r>
    </w:p>
    <w:p w14:paraId="3A4EBBA6">
      <w:pPr>
        <w:numPr>
          <w:ilvl w:val="1"/>
          <w:numId w:val="1"/>
        </w:numPr>
        <w:snapToGrid w:val="0"/>
        <w:spacing w:before="156" w:after="156" w:line="240" w:lineRule="auto"/>
        <w:jc w:val="center"/>
        <w:outlineLvl w:val="1"/>
        <w:rPr>
          <w:rFonts w:eastAsia="黑体"/>
          <w:bCs/>
          <w:szCs w:val="28"/>
        </w:rPr>
      </w:pPr>
      <w:bookmarkStart w:id="915" w:name="_Toc357929380"/>
      <w:bookmarkStart w:id="916" w:name="_Toc183888540"/>
      <w:bookmarkStart w:id="917" w:name="_Toc183765135"/>
      <w:bookmarkStart w:id="918" w:name="_Toc183882126"/>
      <w:bookmarkStart w:id="919" w:name="_Toc183882488"/>
      <w:bookmarkStart w:id="920" w:name="_Toc176189906"/>
      <w:bookmarkStart w:id="921" w:name="_Toc183683540"/>
      <w:bookmarkStart w:id="922" w:name="_Toc183888178"/>
      <w:bookmarkStart w:id="923" w:name="_Toc183790565"/>
      <w:r>
        <w:rPr>
          <w:rFonts w:hint="eastAsia" w:eastAsia="黑体"/>
          <w:bCs/>
          <w:szCs w:val="28"/>
        </w:rPr>
        <w:t>细部构造防水</w:t>
      </w:r>
      <w:bookmarkEnd w:id="915"/>
      <w:bookmarkEnd w:id="916"/>
      <w:bookmarkEnd w:id="917"/>
      <w:bookmarkEnd w:id="918"/>
      <w:bookmarkEnd w:id="919"/>
      <w:bookmarkEnd w:id="920"/>
      <w:bookmarkEnd w:id="921"/>
      <w:bookmarkEnd w:id="922"/>
      <w:bookmarkEnd w:id="923"/>
    </w:p>
    <w:p w14:paraId="7981AB9D">
      <w:pPr>
        <w:numPr>
          <w:ilvl w:val="2"/>
          <w:numId w:val="1"/>
        </w:numPr>
        <w:tabs>
          <w:tab w:val="left" w:pos="709"/>
          <w:tab w:val="left" w:pos="851"/>
          <w:tab w:val="left" w:pos="993"/>
        </w:tabs>
        <w:jc w:val="left"/>
        <w:outlineLvl w:val="2"/>
      </w:pPr>
      <w:r>
        <w:rPr>
          <w:rFonts w:hint="eastAsia"/>
        </w:rPr>
        <w:t>施工缝防水应符合下列规定：</w:t>
      </w:r>
    </w:p>
    <w:p w14:paraId="7EA19DD8">
      <w:pPr>
        <w:pStyle w:val="7"/>
        <w:ind w:firstLine="420"/>
      </w:pPr>
      <w:r>
        <w:rPr>
          <w:rFonts w:hint="eastAsia"/>
        </w:rPr>
        <w:t>明挖法结构的环向施工缝设置间距不宜大于24m；</w:t>
      </w:r>
    </w:p>
    <w:p w14:paraId="19315265">
      <w:pPr>
        <w:pStyle w:val="7"/>
        <w:ind w:firstLine="420"/>
      </w:pPr>
      <w:r>
        <w:rPr>
          <w:rFonts w:hint="eastAsia"/>
        </w:rPr>
        <w:t>墙体水平施工缝应留在高出底板表面不小于300mm的墙体上。拱（板）墙结合的水平施工缝宜留在拱（板）墙接缝线以下150mm～300mm处。施工缝距孔洞边缘不应小于300mm；</w:t>
      </w:r>
    </w:p>
    <w:p w14:paraId="1432A7F6">
      <w:pPr>
        <w:pStyle w:val="7"/>
        <w:ind w:firstLine="420"/>
      </w:pPr>
      <w:r>
        <w:rPr>
          <w:rFonts w:hint="eastAsia"/>
        </w:rPr>
        <w:t>水平施工缝浇灌混凝土前，应先将其表面浮浆和杂物清除，先铺净浆再涂刷界面处理剂或水泥基渗透结晶型防水涂料，再铺30mm～50mm厚的1∶1水泥砂浆，并应及时浇筑混凝土；垂直施工缝浇筑混凝土前，应将其表面凿毛并清理干净，涂刷混凝土界面处理剂或水泥基渗透结晶型防水涂料，并应及时浇筑混凝土；</w:t>
      </w:r>
    </w:p>
    <w:p w14:paraId="766255D7">
      <w:pPr>
        <w:pStyle w:val="7"/>
        <w:ind w:left="-137" w:firstLine="420"/>
      </w:pPr>
      <w:bookmarkStart w:id="924" w:name="OLE_LINK4"/>
      <w:r>
        <w:rPr>
          <w:rFonts w:hint="eastAsia"/>
        </w:rPr>
        <w:t>施工缝防水选用的中埋式止水构件应与混凝土具有较强的粘结性能</w:t>
      </w:r>
      <w:bookmarkEnd w:id="924"/>
      <w:r>
        <w:rPr>
          <w:rFonts w:hint="eastAsia"/>
        </w:rPr>
        <w:t>且便于现场施工。</w:t>
      </w:r>
    </w:p>
    <w:p w14:paraId="35841244">
      <w:pPr>
        <w:pStyle w:val="7"/>
        <w:ind w:left="-137" w:firstLine="420"/>
      </w:pPr>
      <w:r>
        <w:rPr>
          <w:rFonts w:hint="eastAsia"/>
        </w:rPr>
        <w:t>逆作法结构墙体水平施工缝以及通道接头环向施工缝宜采用中埋式止水带或遇水膨胀止水条（胶）并配合预埋注浆管的方法加强防水；</w:t>
      </w:r>
    </w:p>
    <w:p w14:paraId="26BD899B">
      <w:pPr>
        <w:pStyle w:val="7"/>
        <w:ind w:left="-137" w:firstLine="420"/>
      </w:pPr>
      <w:r>
        <w:rPr>
          <w:rFonts w:hint="eastAsia"/>
        </w:rPr>
        <w:t>楼板施工缝宜采用中埋式止水带、遇水膨胀止水条（胶）等加强防水。施工缝采取的防水措施应连续并与两侧侧墙施工缝的止水带可靠连接。</w:t>
      </w:r>
    </w:p>
    <w:p w14:paraId="5054BD0D">
      <w:pPr>
        <w:numPr>
          <w:ilvl w:val="2"/>
          <w:numId w:val="1"/>
        </w:numPr>
        <w:tabs>
          <w:tab w:val="left" w:pos="709"/>
          <w:tab w:val="left" w:pos="851"/>
          <w:tab w:val="left" w:pos="993"/>
        </w:tabs>
        <w:jc w:val="left"/>
        <w:outlineLvl w:val="2"/>
      </w:pPr>
      <w:r>
        <w:rPr>
          <w:rFonts w:hint="eastAsia"/>
        </w:rPr>
        <w:t>变形缝防水应符合下列规定：</w:t>
      </w:r>
    </w:p>
    <w:p w14:paraId="5DE568F9">
      <w:pPr>
        <w:pStyle w:val="7"/>
        <w:ind w:firstLine="420"/>
      </w:pPr>
      <w:r>
        <w:rPr>
          <w:rFonts w:hint="eastAsia"/>
        </w:rPr>
        <w:t>变形缝处的混凝土厚度不应小于300mm，当遇有变截面时，接缝两侧各500mm范围内的结构应进行等厚等强处理；</w:t>
      </w:r>
    </w:p>
    <w:p w14:paraId="44F8FCB6">
      <w:pPr>
        <w:pStyle w:val="7"/>
        <w:ind w:firstLine="420"/>
      </w:pPr>
      <w:r>
        <w:rPr>
          <w:rFonts w:hint="eastAsia"/>
        </w:rPr>
        <w:t>变形缝处采取的防水措施应能满足接缝两端结构产生的差异沉降及纵向伸缩时的密封防水要求；</w:t>
      </w:r>
    </w:p>
    <w:p w14:paraId="1F03AD4F">
      <w:pPr>
        <w:pStyle w:val="7"/>
        <w:ind w:firstLine="420"/>
      </w:pPr>
      <w:r>
        <w:t>变形缝部位设置的止水带应为中孔型</w:t>
      </w:r>
      <w:r>
        <w:rPr>
          <w:rFonts w:hint="eastAsia"/>
        </w:rPr>
        <w:t>、</w:t>
      </w:r>
      <w:r>
        <w:t>Ω型</w:t>
      </w:r>
      <w:r>
        <w:rPr>
          <w:rFonts w:hint="eastAsia"/>
        </w:rPr>
        <w:t>或其他能适应变形缝沉降及伸缩变形的止水带</w:t>
      </w:r>
      <w:r>
        <w:t>，宽度不宜小于300mm；</w:t>
      </w:r>
    </w:p>
    <w:p w14:paraId="6B1C6558">
      <w:pPr>
        <w:pStyle w:val="7"/>
        <w:ind w:firstLine="420"/>
      </w:pPr>
      <w:r>
        <w:rPr>
          <w:rFonts w:hint="eastAsia"/>
        </w:rPr>
        <w:t>顶板与侧墙的预留排水凹槽应贯通；</w:t>
      </w:r>
    </w:p>
    <w:p w14:paraId="3B68E345">
      <w:pPr>
        <w:pStyle w:val="7"/>
        <w:ind w:firstLine="420"/>
      </w:pPr>
      <w:r>
        <w:rPr>
          <w:rFonts w:hint="eastAsia"/>
        </w:rPr>
        <w:t>楼板变形缝宜采用密封胶嵌缝的方法加强防水。</w:t>
      </w:r>
    </w:p>
    <w:p w14:paraId="41E3A31C">
      <w:pPr>
        <w:numPr>
          <w:ilvl w:val="2"/>
          <w:numId w:val="1"/>
        </w:numPr>
        <w:tabs>
          <w:tab w:val="left" w:pos="709"/>
          <w:tab w:val="left" w:pos="851"/>
          <w:tab w:val="left" w:pos="993"/>
        </w:tabs>
        <w:jc w:val="left"/>
        <w:outlineLvl w:val="2"/>
      </w:pPr>
      <w:r>
        <w:rPr>
          <w:rFonts w:hint="eastAsia"/>
        </w:rPr>
        <w:t>后浇带防水应符合下列规定：</w:t>
      </w:r>
    </w:p>
    <w:p w14:paraId="54F5493B">
      <w:pPr>
        <w:pStyle w:val="7"/>
        <w:ind w:left="-137" w:firstLine="420"/>
      </w:pPr>
      <w:r>
        <w:rPr>
          <w:rFonts w:hint="eastAsia"/>
        </w:rPr>
        <w:t>后浇带应设在受力和变形较小的部位，宽度宜为700mm～1000mm；</w:t>
      </w:r>
    </w:p>
    <w:p w14:paraId="61073107">
      <w:pPr>
        <w:pStyle w:val="7"/>
        <w:ind w:firstLine="420"/>
      </w:pPr>
      <w:r>
        <w:rPr>
          <w:rFonts w:hint="eastAsia"/>
        </w:rPr>
        <w:t>后浇带可做成平直缝、阶梯型或楔形缝；后浇带应采用补偿收缩防水混凝土浇筑，其强度等级不应低于两侧混凝土；后浇带应在两侧混凝土龄期达到42</w:t>
      </w:r>
      <w:r>
        <w:rPr>
          <w:rFonts w:hint="eastAsia"/>
          <w:i/>
          <w:iCs/>
        </w:rPr>
        <w:t>d</w:t>
      </w:r>
      <w:r>
        <w:rPr>
          <w:rFonts w:hint="eastAsia"/>
        </w:rPr>
        <w:t>后再施工；</w:t>
      </w:r>
    </w:p>
    <w:p w14:paraId="6BF0B627">
      <w:pPr>
        <w:pStyle w:val="7"/>
        <w:ind w:firstLine="420"/>
      </w:pPr>
      <w:r>
        <w:rPr>
          <w:rFonts w:hint="eastAsia"/>
        </w:rPr>
        <w:t>后浇带两侧的接缝宜采用外贴式止水带、预埋注浆管、遇水膨胀止水条（胶）等方法加强防水。</w:t>
      </w:r>
    </w:p>
    <w:p w14:paraId="0C88E37E">
      <w:pPr>
        <w:numPr>
          <w:ilvl w:val="2"/>
          <w:numId w:val="1"/>
        </w:numPr>
        <w:tabs>
          <w:tab w:val="left" w:pos="709"/>
          <w:tab w:val="left" w:pos="851"/>
          <w:tab w:val="left" w:pos="993"/>
        </w:tabs>
        <w:jc w:val="left"/>
        <w:outlineLvl w:val="2"/>
      </w:pPr>
      <w:r>
        <w:rPr>
          <w:rFonts w:hint="eastAsia"/>
        </w:rPr>
        <w:t>桩头防水应符合下列规定：</w:t>
      </w:r>
    </w:p>
    <w:p w14:paraId="7A8C0CD8">
      <w:pPr>
        <w:pStyle w:val="7"/>
        <w:ind w:firstLine="420"/>
      </w:pPr>
      <w:r>
        <w:rPr>
          <w:rFonts w:hint="eastAsia"/>
        </w:rPr>
        <w:t>桩头选用的防水材料应具有能够增加混凝土的密实性、与桩头混凝土和钢筋的良好粘结性、耐水性和湿固化性等性能；</w:t>
      </w:r>
    </w:p>
    <w:p w14:paraId="69D5C3E3">
      <w:pPr>
        <w:pStyle w:val="7"/>
        <w:ind w:firstLine="420"/>
      </w:pPr>
      <w:r>
        <w:rPr>
          <w:rFonts w:hint="eastAsia"/>
        </w:rPr>
        <w:t>桩头刚性防水层与底板柔性防水层应形成连续、封闭的防水体系。</w:t>
      </w:r>
    </w:p>
    <w:p w14:paraId="48C8BA66">
      <w:pPr>
        <w:numPr>
          <w:ilvl w:val="2"/>
          <w:numId w:val="1"/>
        </w:numPr>
        <w:tabs>
          <w:tab w:val="left" w:pos="709"/>
          <w:tab w:val="left" w:pos="851"/>
          <w:tab w:val="left" w:pos="993"/>
        </w:tabs>
        <w:jc w:val="left"/>
        <w:outlineLvl w:val="2"/>
      </w:pPr>
      <w:r>
        <w:rPr>
          <w:rFonts w:hint="eastAsia"/>
        </w:rPr>
        <w:t>穿墙管防水应符合下列规定：</w:t>
      </w:r>
    </w:p>
    <w:p w14:paraId="57A3BA36">
      <w:pPr>
        <w:pStyle w:val="7"/>
        <w:ind w:firstLine="420"/>
        <w:rPr>
          <w:snapToGrid w:val="0"/>
        </w:rPr>
      </w:pPr>
      <w:r>
        <w:rPr>
          <w:rFonts w:hint="eastAsia"/>
          <w:snapToGrid w:val="0"/>
        </w:rPr>
        <w:t>穿墙管(盒)应在浇筑混凝土前预埋；</w:t>
      </w:r>
    </w:p>
    <w:p w14:paraId="3F2B9DAE">
      <w:pPr>
        <w:pStyle w:val="7"/>
        <w:ind w:firstLine="420"/>
        <w:rPr>
          <w:snapToGrid w:val="0"/>
        </w:rPr>
      </w:pPr>
      <w:r>
        <w:rPr>
          <w:rFonts w:hint="eastAsia"/>
          <w:snapToGrid w:val="0"/>
        </w:rPr>
        <w:t>穿墙管(盒)应采取可靠的防腐措施；</w:t>
      </w:r>
    </w:p>
    <w:p w14:paraId="074D03EA">
      <w:pPr>
        <w:pStyle w:val="7"/>
        <w:ind w:firstLine="420"/>
        <w:rPr>
          <w:snapToGrid w:val="0"/>
        </w:rPr>
      </w:pPr>
      <w:r>
        <w:rPr>
          <w:rFonts w:hint="eastAsia"/>
          <w:snapToGrid w:val="0"/>
        </w:rPr>
        <w:t>穿墙管(盒)穿过外设防水层处应采取可靠措施做好密封处理；</w:t>
      </w:r>
    </w:p>
    <w:p w14:paraId="309BEA78">
      <w:pPr>
        <w:pStyle w:val="7"/>
        <w:ind w:firstLine="420"/>
        <w:rPr>
          <w:snapToGrid w:val="0"/>
        </w:rPr>
      </w:pPr>
      <w:r>
        <w:rPr>
          <w:rFonts w:hint="eastAsia"/>
          <w:snapToGrid w:val="0"/>
        </w:rPr>
        <w:t>穿墙管线较多时，宜相对集中，并应采用穿墙盒方法。穿墙盒的封口钢板应与墙上的预埋角钢焊严，并应从钢板上的预留浇注孔注入柔性密封材料或细石混凝土；</w:t>
      </w:r>
    </w:p>
    <w:p w14:paraId="687EDBDA">
      <w:pPr>
        <w:pStyle w:val="7"/>
        <w:ind w:firstLine="420"/>
        <w:rPr>
          <w:snapToGrid w:val="0"/>
        </w:rPr>
      </w:pPr>
      <w:r>
        <w:rPr>
          <w:rFonts w:hint="eastAsia"/>
          <w:snapToGrid w:val="0"/>
        </w:rPr>
        <w:t>结构变形或管道伸缩量较小时，穿墙管可采用主管直接埋入混凝土内的固定式防水法，主管应加焊止水环或环绕遇水膨胀止水圈，并应在迎水面预留凹槽，槽内应采用密封材料嵌填密实；</w:t>
      </w:r>
    </w:p>
    <w:p w14:paraId="65C5275D">
      <w:pPr>
        <w:pStyle w:val="7"/>
        <w:ind w:firstLine="420"/>
        <w:rPr>
          <w:snapToGrid w:val="0"/>
        </w:rPr>
      </w:pPr>
      <w:r>
        <w:rPr>
          <w:rFonts w:hint="eastAsia"/>
          <w:snapToGrid w:val="0"/>
        </w:rPr>
        <w:t>穿墙管与内墙角、凹凸部位的距离应大于250mm。相邻穿墙管间的间距应大于300mm；</w:t>
      </w:r>
    </w:p>
    <w:p w14:paraId="57840D93">
      <w:pPr>
        <w:pStyle w:val="7"/>
        <w:ind w:firstLine="420"/>
        <w:rPr>
          <w:snapToGrid w:val="0"/>
        </w:rPr>
      </w:pPr>
      <w:r>
        <w:rPr>
          <w:rFonts w:hint="eastAsia"/>
          <w:snapToGrid w:val="0"/>
        </w:rPr>
        <w:t>穿墙管伸出外墙的部位，应采取防止回填时将管体损坏的措施。</w:t>
      </w:r>
    </w:p>
    <w:p w14:paraId="0009A4BC">
      <w:pPr>
        <w:numPr>
          <w:ilvl w:val="0"/>
          <w:numId w:val="1"/>
        </w:numPr>
        <w:spacing w:before="320" w:after="312" w:line="240" w:lineRule="auto"/>
        <w:ind w:left="420" w:hanging="420"/>
        <w:jc w:val="center"/>
        <w:outlineLvl w:val="0"/>
        <w:rPr>
          <w:bCs/>
          <w:snapToGrid w:val="0"/>
          <w:szCs w:val="28"/>
        </w:rPr>
        <w:sectPr>
          <w:footerReference r:id="rId22" w:type="default"/>
          <w:footerReference r:id="rId23" w:type="even"/>
          <w:pgSz w:w="7938" w:h="11510"/>
          <w:pgMar w:top="1247" w:right="907" w:bottom="1247" w:left="907" w:header="737" w:footer="737" w:gutter="0"/>
          <w:cols w:space="720" w:num="1"/>
          <w:titlePg/>
          <w:docGrid w:linePitch="286" w:charSpace="0"/>
        </w:sectPr>
      </w:pPr>
    </w:p>
    <w:bookmarkEnd w:id="843"/>
    <w:bookmarkEnd w:id="844"/>
    <w:bookmarkEnd w:id="845"/>
    <w:bookmarkEnd w:id="846"/>
    <w:bookmarkEnd w:id="847"/>
    <w:bookmarkEnd w:id="848"/>
    <w:p w14:paraId="0D017C18">
      <w:pPr>
        <w:pStyle w:val="3"/>
      </w:pPr>
      <w:bookmarkStart w:id="925" w:name="_Toc183735416"/>
      <w:bookmarkStart w:id="926" w:name="_Toc183882127"/>
      <w:bookmarkStart w:id="927" w:name="_Toc183765136"/>
      <w:bookmarkStart w:id="928" w:name="_Toc183882489"/>
      <w:bookmarkStart w:id="929" w:name="_Toc183699872"/>
      <w:bookmarkStart w:id="930" w:name="_Toc183888541"/>
      <w:bookmarkStart w:id="931" w:name="_Toc183888179"/>
      <w:bookmarkStart w:id="932" w:name="_Toc183790566"/>
      <w:bookmarkStart w:id="933" w:name="_Toc183683541"/>
      <w:bookmarkStart w:id="934" w:name="_Toc30604"/>
      <w:bookmarkStart w:id="935" w:name="_Toc168061723"/>
      <w:bookmarkStart w:id="936" w:name="_Toc168059468"/>
      <w:bookmarkStart w:id="937" w:name="_Toc168061276"/>
      <w:bookmarkStart w:id="938" w:name="_Toc23121"/>
      <w:bookmarkStart w:id="939" w:name="_Toc168061894"/>
      <w:bookmarkStart w:id="940" w:name="_Toc168061754"/>
      <w:bookmarkStart w:id="941" w:name="_Toc168061305"/>
      <w:bookmarkStart w:id="942" w:name="_Toc168059497"/>
      <w:bookmarkStart w:id="943" w:name="_Toc168061752"/>
      <w:bookmarkStart w:id="944" w:name="_Toc168061307"/>
      <w:bookmarkStart w:id="945" w:name="_Toc168059499"/>
      <w:r>
        <w:t>通风、空调与供暖</w:t>
      </w:r>
      <w:bookmarkEnd w:id="925"/>
      <w:bookmarkEnd w:id="926"/>
      <w:bookmarkEnd w:id="927"/>
      <w:bookmarkEnd w:id="928"/>
      <w:bookmarkEnd w:id="929"/>
      <w:bookmarkEnd w:id="930"/>
      <w:bookmarkEnd w:id="931"/>
      <w:bookmarkEnd w:id="932"/>
      <w:bookmarkEnd w:id="933"/>
    </w:p>
    <w:p w14:paraId="0D025640">
      <w:pPr>
        <w:numPr>
          <w:ilvl w:val="1"/>
          <w:numId w:val="1"/>
        </w:numPr>
        <w:snapToGrid w:val="0"/>
        <w:spacing w:before="156" w:after="156" w:line="240" w:lineRule="auto"/>
        <w:jc w:val="center"/>
        <w:outlineLvl w:val="1"/>
        <w:rPr>
          <w:rFonts w:eastAsia="黑体"/>
          <w:bCs/>
          <w:szCs w:val="28"/>
        </w:rPr>
      </w:pPr>
      <w:bookmarkStart w:id="946" w:name="_Toc168061702"/>
      <w:bookmarkStart w:id="947" w:name="_Toc183790567"/>
      <w:bookmarkStart w:id="948" w:name="_Toc168061255"/>
      <w:bookmarkStart w:id="949" w:name="_Toc183882128"/>
      <w:bookmarkStart w:id="950" w:name="_Toc174462054"/>
      <w:bookmarkStart w:id="951" w:name="_Toc168059447"/>
      <w:bookmarkStart w:id="952" w:name="_Toc183882490"/>
      <w:bookmarkStart w:id="953" w:name="_Toc183888180"/>
      <w:bookmarkStart w:id="954" w:name="_Toc183765137"/>
      <w:bookmarkStart w:id="955" w:name="_Toc183683542"/>
      <w:bookmarkStart w:id="956" w:name="_Toc183888542"/>
      <w:r>
        <w:rPr>
          <w:rFonts w:eastAsia="黑体"/>
          <w:bCs/>
          <w:szCs w:val="28"/>
        </w:rPr>
        <w:t>一般规定</w:t>
      </w:r>
      <w:bookmarkEnd w:id="946"/>
      <w:bookmarkEnd w:id="947"/>
      <w:bookmarkEnd w:id="948"/>
      <w:bookmarkEnd w:id="949"/>
      <w:bookmarkEnd w:id="950"/>
      <w:bookmarkEnd w:id="951"/>
      <w:bookmarkEnd w:id="952"/>
      <w:bookmarkEnd w:id="953"/>
      <w:bookmarkEnd w:id="954"/>
      <w:bookmarkEnd w:id="955"/>
      <w:bookmarkEnd w:id="956"/>
    </w:p>
    <w:p w14:paraId="2DB398DB">
      <w:pPr>
        <w:numPr>
          <w:ilvl w:val="2"/>
          <w:numId w:val="1"/>
        </w:numPr>
        <w:tabs>
          <w:tab w:val="left" w:pos="709"/>
          <w:tab w:val="left" w:pos="851"/>
          <w:tab w:val="left" w:pos="993"/>
        </w:tabs>
        <w:jc w:val="left"/>
        <w:outlineLvl w:val="2"/>
      </w:pPr>
      <w:r>
        <w:t>城市轨道交通内部空气环境应采用通风空调与供暖系统进行控制。</w:t>
      </w:r>
    </w:p>
    <w:p w14:paraId="5DFBD567">
      <w:pPr>
        <w:numPr>
          <w:ilvl w:val="2"/>
          <w:numId w:val="1"/>
        </w:numPr>
        <w:tabs>
          <w:tab w:val="left" w:pos="709"/>
          <w:tab w:val="left" w:pos="851"/>
          <w:tab w:val="left" w:pos="993"/>
        </w:tabs>
        <w:jc w:val="left"/>
        <w:outlineLvl w:val="2"/>
      </w:pPr>
      <w:r>
        <w:t>通风空调与供暖系统应保证城市轨道交通内部环境的空气质量、温度、湿度、气流组织、气流速度和噪声等满足人员的生理及心理条件要求和设备正常运转的需要。</w:t>
      </w:r>
    </w:p>
    <w:p w14:paraId="2136C1DD">
      <w:pPr>
        <w:numPr>
          <w:ilvl w:val="2"/>
          <w:numId w:val="1"/>
        </w:numPr>
        <w:tabs>
          <w:tab w:val="left" w:pos="709"/>
          <w:tab w:val="left" w:pos="851"/>
          <w:tab w:val="left" w:pos="993"/>
        </w:tabs>
        <w:jc w:val="left"/>
        <w:outlineLvl w:val="2"/>
      </w:pPr>
      <w:r>
        <w:t>通风空调与供暖系统应具有下列功能：</w:t>
      </w:r>
    </w:p>
    <w:p w14:paraId="4CB7EEE9">
      <w:pPr>
        <w:pStyle w:val="86"/>
        <w:ind w:firstLine="422"/>
        <w:rPr>
          <w:color w:val="auto"/>
        </w:rPr>
      </w:pPr>
      <w:r>
        <w:rPr>
          <w:b/>
          <w:color w:val="auto"/>
        </w:rPr>
        <w:t>1</w:t>
      </w:r>
      <w:r>
        <w:rPr>
          <w:rFonts w:hint="eastAsia"/>
          <w:b/>
          <w:color w:val="auto"/>
        </w:rPr>
        <w:t xml:space="preserve"> </w:t>
      </w:r>
      <w:r>
        <w:rPr>
          <w:rFonts w:hint="eastAsia"/>
          <w:color w:val="auto"/>
        </w:rPr>
        <w:t xml:space="preserve"> </w:t>
      </w:r>
      <w:r>
        <w:rPr>
          <w:color w:val="auto"/>
        </w:rPr>
        <w:t>正常运行时，内部空气环境应在规定标准范围内；</w:t>
      </w:r>
    </w:p>
    <w:p w14:paraId="47554041">
      <w:pPr>
        <w:pStyle w:val="86"/>
        <w:ind w:firstLine="422"/>
        <w:rPr>
          <w:color w:val="auto"/>
        </w:rPr>
      </w:pPr>
      <w:r>
        <w:rPr>
          <w:b/>
          <w:color w:val="auto"/>
        </w:rPr>
        <w:t>2</w:t>
      </w:r>
      <w:r>
        <w:rPr>
          <w:rFonts w:hint="eastAsia"/>
          <w:b/>
          <w:color w:val="auto"/>
        </w:rPr>
        <w:t xml:space="preserve"> </w:t>
      </w:r>
      <w:r>
        <w:rPr>
          <w:rFonts w:hint="eastAsia"/>
          <w:color w:val="auto"/>
        </w:rPr>
        <w:t xml:space="preserve"> </w:t>
      </w:r>
      <w:r>
        <w:rPr>
          <w:color w:val="auto"/>
        </w:rPr>
        <w:t>当列车阻塞在区间隧道内时，应确保对阻塞处进行有效通风；</w:t>
      </w:r>
    </w:p>
    <w:p w14:paraId="2C8ECEC3">
      <w:pPr>
        <w:pStyle w:val="86"/>
        <w:ind w:firstLine="422"/>
        <w:rPr>
          <w:color w:val="auto"/>
        </w:rPr>
      </w:pPr>
      <w:r>
        <w:rPr>
          <w:b/>
          <w:color w:val="auto"/>
        </w:rPr>
        <w:t>3</w:t>
      </w:r>
      <w:r>
        <w:rPr>
          <w:rFonts w:hint="eastAsia"/>
          <w:color w:val="auto"/>
        </w:rPr>
        <w:t xml:space="preserve">  </w:t>
      </w:r>
      <w:r>
        <w:rPr>
          <w:color w:val="auto"/>
        </w:rPr>
        <w:t>当列车在区间隧道发生火灾事故时，应具备防烟排烟及通风功能；</w:t>
      </w:r>
    </w:p>
    <w:p w14:paraId="7D9EDDD0">
      <w:pPr>
        <w:pStyle w:val="86"/>
        <w:ind w:firstLine="422"/>
        <w:rPr>
          <w:color w:val="auto"/>
        </w:rPr>
      </w:pPr>
      <w:r>
        <w:rPr>
          <w:rFonts w:hint="eastAsia"/>
          <w:b/>
          <w:color w:val="auto"/>
        </w:rPr>
        <w:t xml:space="preserve">4 </w:t>
      </w:r>
      <w:r>
        <w:rPr>
          <w:rFonts w:hint="eastAsia"/>
          <w:color w:val="auto"/>
        </w:rPr>
        <w:t xml:space="preserve"> </w:t>
      </w:r>
      <w:r>
        <w:rPr>
          <w:color w:val="auto"/>
        </w:rPr>
        <w:t>当车站内发生火灾事故时，应具备防烟排烟及通风功能。</w:t>
      </w:r>
    </w:p>
    <w:p w14:paraId="52B05FA2">
      <w:pPr>
        <w:numPr>
          <w:ilvl w:val="2"/>
          <w:numId w:val="1"/>
        </w:numPr>
        <w:tabs>
          <w:tab w:val="left" w:pos="709"/>
          <w:tab w:val="left" w:pos="851"/>
          <w:tab w:val="left" w:pos="993"/>
        </w:tabs>
        <w:jc w:val="left"/>
        <w:outlineLvl w:val="2"/>
      </w:pPr>
      <w:r>
        <w:t>地下线路空调系统制式应结合线路的运力、气候条件、人员舒适性要求</w:t>
      </w:r>
      <w:r>
        <w:rPr>
          <w:rFonts w:hint="eastAsia"/>
        </w:rPr>
        <w:t>、</w:t>
      </w:r>
      <w:r>
        <w:t>运行及维护费用等因素</w:t>
      </w:r>
      <w:r>
        <w:rPr>
          <w:rFonts w:hint="eastAsia"/>
        </w:rPr>
        <w:t>，</w:t>
      </w:r>
      <w:r>
        <w:t>进行综合技术经济比较确定。</w:t>
      </w:r>
    </w:p>
    <w:p w14:paraId="5351B96B">
      <w:pPr>
        <w:numPr>
          <w:ilvl w:val="2"/>
          <w:numId w:val="1"/>
        </w:numPr>
        <w:tabs>
          <w:tab w:val="left" w:pos="709"/>
          <w:tab w:val="left" w:pos="851"/>
          <w:tab w:val="left" w:pos="993"/>
        </w:tabs>
        <w:jc w:val="left"/>
        <w:outlineLvl w:val="2"/>
      </w:pPr>
      <w:r>
        <w:t>通风空调与供暖系统应按城市轨道交通预测的远期或控制期客流量和最大通过能力设计。具备分期实施条件时，设备应按近期和远期分别配置，并应分期实施。</w:t>
      </w:r>
    </w:p>
    <w:p w14:paraId="01432979">
      <w:pPr>
        <w:numPr>
          <w:ilvl w:val="2"/>
          <w:numId w:val="1"/>
        </w:numPr>
        <w:tabs>
          <w:tab w:val="left" w:pos="709"/>
          <w:tab w:val="left" w:pos="851"/>
          <w:tab w:val="left" w:pos="993"/>
        </w:tabs>
        <w:jc w:val="left"/>
        <w:outlineLvl w:val="2"/>
      </w:pPr>
      <w:r>
        <w:t>车辆基地、控制中心、主变电所等地面建筑在满足工艺要求的前提下，应符合地面建筑现行设计规范的有关规定。</w:t>
      </w:r>
    </w:p>
    <w:p w14:paraId="089AB424">
      <w:pPr>
        <w:numPr>
          <w:ilvl w:val="2"/>
          <w:numId w:val="1"/>
        </w:numPr>
        <w:tabs>
          <w:tab w:val="left" w:pos="709"/>
          <w:tab w:val="left" w:pos="851"/>
          <w:tab w:val="left" w:pos="993"/>
        </w:tabs>
        <w:jc w:val="left"/>
        <w:outlineLvl w:val="2"/>
      </w:pPr>
      <w:r>
        <w:t>通风空调与供暖系统的设备、管道及配件布置应为安装、操作、测量、调试和运营维修预留空间位置。</w:t>
      </w:r>
    </w:p>
    <w:p w14:paraId="31FD90DD">
      <w:pPr>
        <w:numPr>
          <w:ilvl w:val="2"/>
          <w:numId w:val="1"/>
        </w:numPr>
        <w:tabs>
          <w:tab w:val="left" w:pos="709"/>
          <w:tab w:val="left" w:pos="851"/>
          <w:tab w:val="left" w:pos="993"/>
        </w:tabs>
        <w:jc w:val="left"/>
        <w:outlineLvl w:val="2"/>
      </w:pPr>
      <w:r>
        <w:t>土建工程应为大型通风空调与</w:t>
      </w:r>
      <w:r>
        <w:rPr>
          <w:rFonts w:hint="eastAsia"/>
        </w:rPr>
        <w:t>供暖</w:t>
      </w:r>
      <w:r>
        <w:t>设备设置运输、安装通道和预留管线孔洞</w:t>
      </w:r>
      <w:r>
        <w:rPr>
          <w:rFonts w:hint="eastAsia"/>
        </w:rPr>
        <w:t>、</w:t>
      </w:r>
      <w:r>
        <w:t>安装起吊设施。</w:t>
      </w:r>
    </w:p>
    <w:p w14:paraId="67AB2DB6">
      <w:pPr>
        <w:numPr>
          <w:ilvl w:val="2"/>
          <w:numId w:val="1"/>
        </w:numPr>
        <w:tabs>
          <w:tab w:val="left" w:pos="709"/>
          <w:tab w:val="left" w:pos="851"/>
          <w:tab w:val="left" w:pos="993"/>
        </w:tabs>
        <w:jc w:val="left"/>
        <w:outlineLvl w:val="2"/>
      </w:pPr>
      <w:r>
        <w:t>通风与空调系统的机房应设置冲洗设施，空气处理设备及风系统管道内部应具备清洗、消毒的条件。</w:t>
      </w:r>
      <w:r>
        <w:rPr>
          <w:rFonts w:hint="eastAsia"/>
        </w:rPr>
        <w:t>空气过滤装置宜自动清洗，各系统的新风吸入口应设防护网和初效过滤器。</w:t>
      </w:r>
    </w:p>
    <w:p w14:paraId="2D0582E3">
      <w:pPr>
        <w:numPr>
          <w:ilvl w:val="2"/>
          <w:numId w:val="1"/>
        </w:numPr>
        <w:tabs>
          <w:tab w:val="left" w:pos="709"/>
          <w:tab w:val="left" w:pos="851"/>
          <w:tab w:val="left" w:pos="993"/>
        </w:tabs>
        <w:jc w:val="left"/>
        <w:outlineLvl w:val="2"/>
      </w:pPr>
      <w:r>
        <w:t>通风与空调系统的管材及保温材料、消声材料应采用A级不燃材料，当局部部位采用A级不燃材料有困难时，可采用B1级材料。管材及保温材料应具有防潮、防腐、防蛀、耐老化和无毒的性能。</w:t>
      </w:r>
    </w:p>
    <w:p w14:paraId="477AFF81">
      <w:pPr>
        <w:numPr>
          <w:ilvl w:val="2"/>
          <w:numId w:val="1"/>
        </w:numPr>
        <w:tabs>
          <w:tab w:val="left" w:pos="709"/>
          <w:tab w:val="left" w:pos="851"/>
          <w:tab w:val="left" w:pos="993"/>
        </w:tabs>
        <w:jc w:val="left"/>
        <w:outlineLvl w:val="2"/>
      </w:pPr>
      <w:r>
        <w:t>土建新风道应做防尘处理</w:t>
      </w:r>
      <w:r>
        <w:rPr>
          <w:rFonts w:hint="eastAsia"/>
        </w:rPr>
        <w:t>。</w:t>
      </w:r>
    </w:p>
    <w:p w14:paraId="54A8C4D0">
      <w:pPr>
        <w:numPr>
          <w:ilvl w:val="1"/>
          <w:numId w:val="1"/>
        </w:numPr>
        <w:snapToGrid w:val="0"/>
        <w:spacing w:before="156" w:after="156" w:line="240" w:lineRule="auto"/>
        <w:jc w:val="center"/>
        <w:outlineLvl w:val="1"/>
        <w:rPr>
          <w:rFonts w:eastAsia="黑体"/>
          <w:bCs/>
          <w:szCs w:val="28"/>
        </w:rPr>
      </w:pPr>
      <w:bookmarkStart w:id="957" w:name="_Toc174462055"/>
      <w:bookmarkStart w:id="958" w:name="_Toc168061256"/>
      <w:bookmarkStart w:id="959" w:name="_Toc168059448"/>
      <w:bookmarkStart w:id="960" w:name="_Toc168061703"/>
      <w:bookmarkStart w:id="961" w:name="_Toc183882491"/>
      <w:bookmarkStart w:id="962" w:name="_Toc183888181"/>
      <w:bookmarkStart w:id="963" w:name="_Toc183888543"/>
      <w:bookmarkStart w:id="964" w:name="_Toc183882129"/>
      <w:bookmarkStart w:id="965" w:name="_Toc183765138"/>
      <w:bookmarkStart w:id="966" w:name="_Toc183683543"/>
      <w:bookmarkStart w:id="967" w:name="_Toc183790568"/>
      <w:r>
        <w:rPr>
          <w:rFonts w:eastAsia="黑体"/>
          <w:bCs/>
          <w:szCs w:val="28"/>
        </w:rPr>
        <w:t>地下线</w:t>
      </w:r>
      <w:bookmarkEnd w:id="957"/>
      <w:bookmarkEnd w:id="958"/>
      <w:bookmarkEnd w:id="959"/>
      <w:bookmarkEnd w:id="960"/>
      <w:r>
        <w:rPr>
          <w:rFonts w:hint="eastAsia" w:eastAsia="黑体"/>
          <w:bCs/>
          <w:szCs w:val="28"/>
        </w:rPr>
        <w:t>路</w:t>
      </w:r>
      <w:bookmarkEnd w:id="961"/>
      <w:bookmarkEnd w:id="962"/>
      <w:bookmarkEnd w:id="963"/>
      <w:bookmarkEnd w:id="964"/>
      <w:bookmarkEnd w:id="965"/>
      <w:bookmarkEnd w:id="966"/>
      <w:bookmarkEnd w:id="967"/>
    </w:p>
    <w:p w14:paraId="69934E4E">
      <w:pPr>
        <w:jc w:val="center"/>
        <w:rPr>
          <w:b/>
        </w:rPr>
      </w:pPr>
      <w:r>
        <w:rPr>
          <w:b/>
        </w:rPr>
        <w:t>Ⅰ</w:t>
      </w:r>
      <w:r>
        <w:rPr>
          <w:rFonts w:hint="eastAsia"/>
          <w:b/>
        </w:rPr>
        <w:t xml:space="preserve">  </w:t>
      </w:r>
      <w:r>
        <w:rPr>
          <w:b/>
        </w:rPr>
        <w:t>室内外设计参数</w:t>
      </w:r>
    </w:p>
    <w:p w14:paraId="532FF202">
      <w:pPr>
        <w:numPr>
          <w:ilvl w:val="2"/>
          <w:numId w:val="1"/>
        </w:numPr>
        <w:tabs>
          <w:tab w:val="left" w:pos="709"/>
          <w:tab w:val="left" w:pos="851"/>
          <w:tab w:val="left" w:pos="993"/>
        </w:tabs>
        <w:jc w:val="left"/>
        <w:outlineLvl w:val="2"/>
      </w:pPr>
      <w:r>
        <w:t>在计算隧道通风风量时，室外空气计算温度应符合下列规定：</w:t>
      </w:r>
    </w:p>
    <w:p w14:paraId="7164113D">
      <w:pPr>
        <w:pStyle w:val="86"/>
        <w:ind w:firstLine="422"/>
        <w:rPr>
          <w:color w:val="auto"/>
        </w:rPr>
      </w:pPr>
      <w:r>
        <w:rPr>
          <w:b/>
          <w:color w:val="auto"/>
        </w:rPr>
        <w:t>1</w:t>
      </w:r>
      <w:r>
        <w:rPr>
          <w:rFonts w:hint="eastAsia"/>
          <w:b/>
          <w:color w:val="auto"/>
        </w:rPr>
        <w:t xml:space="preserve"> </w:t>
      </w:r>
      <w:r>
        <w:rPr>
          <w:rFonts w:hint="eastAsia"/>
          <w:color w:val="auto"/>
        </w:rPr>
        <w:t xml:space="preserve"> </w:t>
      </w:r>
      <w:r>
        <w:rPr>
          <w:color w:val="auto"/>
        </w:rPr>
        <w:t>夏季室外空气计算温度应为26.4℃；</w:t>
      </w:r>
    </w:p>
    <w:p w14:paraId="26F63B30">
      <w:pPr>
        <w:pStyle w:val="86"/>
        <w:ind w:firstLine="422"/>
        <w:rPr>
          <w:color w:val="auto"/>
        </w:rPr>
      </w:pPr>
      <w:r>
        <w:rPr>
          <w:b/>
          <w:color w:val="auto"/>
        </w:rPr>
        <w:t>2</w:t>
      </w:r>
      <w:r>
        <w:rPr>
          <w:rFonts w:hint="eastAsia"/>
          <w:b/>
          <w:color w:val="auto"/>
        </w:rPr>
        <w:t xml:space="preserve"> </w:t>
      </w:r>
      <w:r>
        <w:rPr>
          <w:rFonts w:hint="eastAsia"/>
          <w:color w:val="auto"/>
        </w:rPr>
        <w:t xml:space="preserve"> </w:t>
      </w:r>
      <w:r>
        <w:rPr>
          <w:color w:val="auto"/>
        </w:rPr>
        <w:t>冬季室外空气计算温度应为−3.6℃。</w:t>
      </w:r>
      <w:r>
        <w:rPr>
          <w:rFonts w:hint="eastAsia"/>
          <w:color w:val="auto"/>
        </w:rPr>
        <w:t xml:space="preserve"> </w:t>
      </w:r>
    </w:p>
    <w:p w14:paraId="4F4954D0">
      <w:pPr>
        <w:numPr>
          <w:ilvl w:val="2"/>
          <w:numId w:val="1"/>
        </w:numPr>
        <w:tabs>
          <w:tab w:val="left" w:pos="709"/>
          <w:tab w:val="left" w:pos="851"/>
          <w:tab w:val="left" w:pos="993"/>
        </w:tabs>
        <w:jc w:val="left"/>
        <w:outlineLvl w:val="2"/>
      </w:pPr>
      <w:r>
        <w:t>地下车站公共区夏季室外空气计算温度应符合下列规定：</w:t>
      </w:r>
    </w:p>
    <w:p w14:paraId="4B478821">
      <w:pPr>
        <w:pStyle w:val="86"/>
        <w:ind w:firstLine="422"/>
        <w:rPr>
          <w:color w:val="auto"/>
        </w:rPr>
      </w:pPr>
      <w:r>
        <w:rPr>
          <w:rFonts w:hint="eastAsia"/>
          <w:b/>
          <w:color w:val="auto"/>
        </w:rPr>
        <w:t xml:space="preserve">1 </w:t>
      </w:r>
      <w:r>
        <w:rPr>
          <w:rFonts w:hint="eastAsia"/>
          <w:color w:val="auto"/>
        </w:rPr>
        <w:t xml:space="preserve"> </w:t>
      </w:r>
      <w:r>
        <w:rPr>
          <w:color w:val="auto"/>
        </w:rPr>
        <w:t>夏季通风室外空气计算温度应为2</w:t>
      </w:r>
      <w:r>
        <w:rPr>
          <w:rFonts w:hint="eastAsia"/>
          <w:color w:val="auto"/>
        </w:rPr>
        <w:t>6</w:t>
      </w:r>
      <w:r>
        <w:rPr>
          <w:color w:val="auto"/>
        </w:rPr>
        <w:t>.4℃；</w:t>
      </w:r>
    </w:p>
    <w:p w14:paraId="123E284B">
      <w:pPr>
        <w:pStyle w:val="86"/>
        <w:ind w:firstLine="422"/>
        <w:rPr>
          <w:color w:val="auto"/>
        </w:rPr>
      </w:pPr>
      <w:r>
        <w:rPr>
          <w:rFonts w:hint="eastAsia"/>
          <w:b/>
          <w:color w:val="auto"/>
        </w:rPr>
        <w:t xml:space="preserve">2 </w:t>
      </w:r>
      <w:r>
        <w:rPr>
          <w:rFonts w:hint="eastAsia"/>
          <w:color w:val="auto"/>
        </w:rPr>
        <w:t xml:space="preserve"> 地下车站公共区</w:t>
      </w:r>
      <w:r>
        <w:rPr>
          <w:color w:val="auto"/>
        </w:rPr>
        <w:t>夏季</w:t>
      </w:r>
      <w:r>
        <w:rPr>
          <w:rFonts w:hint="eastAsia"/>
          <w:color w:val="auto"/>
        </w:rPr>
        <w:t>空气调节</w:t>
      </w:r>
      <w:r>
        <w:rPr>
          <w:color w:val="auto"/>
        </w:rPr>
        <w:t>室外空气计算温度</w:t>
      </w:r>
      <w:r>
        <w:rPr>
          <w:rFonts w:hint="eastAsia"/>
          <w:color w:val="auto"/>
        </w:rPr>
        <w:t>、湿度采用GB/T51357-2019附录B中数据。</w:t>
      </w:r>
    </w:p>
    <w:p w14:paraId="759C719A">
      <w:pPr>
        <w:numPr>
          <w:ilvl w:val="2"/>
          <w:numId w:val="1"/>
        </w:numPr>
        <w:tabs>
          <w:tab w:val="left" w:pos="709"/>
          <w:tab w:val="left" w:pos="851"/>
          <w:tab w:val="left" w:pos="993"/>
        </w:tabs>
        <w:jc w:val="left"/>
        <w:outlineLvl w:val="2"/>
      </w:pPr>
      <w:r>
        <w:t>地下车站公共区冬季通风室外空气计算温度应为−3.6</w:t>
      </w:r>
      <w:r>
        <w:rPr>
          <w:rFonts w:hint="eastAsia" w:ascii="宋体" w:hAnsi="宋体" w:cs="宋体"/>
        </w:rPr>
        <w:t>℃</w:t>
      </w:r>
      <w:r>
        <w:t>。</w:t>
      </w:r>
    </w:p>
    <w:p w14:paraId="0DBF0F2B">
      <w:pPr>
        <w:numPr>
          <w:ilvl w:val="2"/>
          <w:numId w:val="1"/>
        </w:numPr>
        <w:tabs>
          <w:tab w:val="left" w:pos="709"/>
          <w:tab w:val="left" w:pos="851"/>
          <w:tab w:val="left" w:pos="993"/>
        </w:tabs>
        <w:jc w:val="left"/>
        <w:outlineLvl w:val="2"/>
      </w:pPr>
      <w:bookmarkStart w:id="968" w:name="_bookmark244"/>
      <w:bookmarkEnd w:id="968"/>
      <w:bookmarkStart w:id="969" w:name="_bookmark102"/>
      <w:bookmarkEnd w:id="969"/>
      <w:r>
        <w:t>地下车站设备及管理用房的室外空气计算温度应符合下列规定：</w:t>
      </w:r>
    </w:p>
    <w:p w14:paraId="75B59F96">
      <w:pPr>
        <w:pStyle w:val="86"/>
        <w:ind w:firstLine="422"/>
        <w:rPr>
          <w:color w:val="auto"/>
        </w:rPr>
      </w:pPr>
      <w:r>
        <w:rPr>
          <w:b/>
          <w:color w:val="auto"/>
        </w:rPr>
        <w:t>1</w:t>
      </w:r>
      <w:r>
        <w:rPr>
          <w:rFonts w:hint="eastAsia"/>
          <w:b/>
          <w:color w:val="auto"/>
        </w:rPr>
        <w:t xml:space="preserve"> </w:t>
      </w:r>
      <w:r>
        <w:rPr>
          <w:rFonts w:hint="eastAsia"/>
          <w:color w:val="auto"/>
        </w:rPr>
        <w:t xml:space="preserve"> </w:t>
      </w:r>
      <w:r>
        <w:rPr>
          <w:color w:val="auto"/>
        </w:rPr>
        <w:t>夏季通风室外空气计算温度应为29.7℃；</w:t>
      </w:r>
    </w:p>
    <w:p w14:paraId="53B83BD2">
      <w:pPr>
        <w:pStyle w:val="86"/>
        <w:ind w:firstLine="422"/>
        <w:rPr>
          <w:color w:val="auto"/>
        </w:rPr>
      </w:pPr>
      <w:r>
        <w:rPr>
          <w:b/>
          <w:color w:val="auto"/>
        </w:rPr>
        <w:t>2</w:t>
      </w:r>
      <w:r>
        <w:rPr>
          <w:rFonts w:hint="eastAsia"/>
          <w:b/>
          <w:color w:val="auto"/>
        </w:rPr>
        <w:t xml:space="preserve"> </w:t>
      </w:r>
      <w:r>
        <w:rPr>
          <w:rFonts w:hint="eastAsia"/>
          <w:color w:val="auto"/>
        </w:rPr>
        <w:t xml:space="preserve"> </w:t>
      </w:r>
      <w:r>
        <w:rPr>
          <w:color w:val="auto"/>
        </w:rPr>
        <w:t>冬季通风室外空气计算温度应为−3.6℃；</w:t>
      </w:r>
    </w:p>
    <w:p w14:paraId="5DDBCAB8">
      <w:pPr>
        <w:pStyle w:val="86"/>
        <w:ind w:firstLine="422"/>
        <w:rPr>
          <w:color w:val="auto"/>
        </w:rPr>
      </w:pPr>
      <w:r>
        <w:rPr>
          <w:b/>
          <w:color w:val="auto"/>
        </w:rPr>
        <w:t>3</w:t>
      </w:r>
      <w:r>
        <w:rPr>
          <w:rFonts w:hint="eastAsia"/>
          <w:b/>
          <w:color w:val="auto"/>
        </w:rPr>
        <w:t xml:space="preserve"> </w:t>
      </w:r>
      <w:r>
        <w:rPr>
          <w:rFonts w:hint="eastAsia"/>
          <w:color w:val="auto"/>
        </w:rPr>
        <w:t xml:space="preserve"> </w:t>
      </w:r>
      <w:r>
        <w:rPr>
          <w:color w:val="auto"/>
        </w:rPr>
        <w:t>夏季空调室外空气计算干球温度应为33.5℃；</w:t>
      </w:r>
    </w:p>
    <w:p w14:paraId="53FCD01B">
      <w:pPr>
        <w:pStyle w:val="86"/>
        <w:ind w:firstLine="422"/>
        <w:rPr>
          <w:color w:val="auto"/>
        </w:rPr>
      </w:pPr>
      <w:r>
        <w:rPr>
          <w:b/>
          <w:color w:val="auto"/>
        </w:rPr>
        <w:t>4</w:t>
      </w:r>
      <w:r>
        <w:rPr>
          <w:rFonts w:hint="eastAsia"/>
          <w:b/>
          <w:color w:val="auto"/>
        </w:rPr>
        <w:t xml:space="preserve"> </w:t>
      </w:r>
      <w:r>
        <w:rPr>
          <w:rFonts w:hint="eastAsia"/>
          <w:color w:val="auto"/>
        </w:rPr>
        <w:t xml:space="preserve"> </w:t>
      </w:r>
      <w:r>
        <w:rPr>
          <w:color w:val="auto"/>
        </w:rPr>
        <w:t>夏季空调室外计算湿球温度应为26.4℃。</w:t>
      </w:r>
    </w:p>
    <w:p w14:paraId="24C87ECA">
      <w:pPr>
        <w:numPr>
          <w:ilvl w:val="2"/>
          <w:numId w:val="1"/>
        </w:numPr>
        <w:tabs>
          <w:tab w:val="left" w:pos="709"/>
          <w:tab w:val="left" w:pos="851"/>
          <w:tab w:val="left" w:pos="993"/>
        </w:tabs>
        <w:jc w:val="left"/>
        <w:outlineLvl w:val="2"/>
      </w:pPr>
      <w:r>
        <w:t>区间隧道内部夏季的最高温度应符合下列规定：</w:t>
      </w:r>
    </w:p>
    <w:p w14:paraId="3AB4E333">
      <w:pPr>
        <w:pStyle w:val="86"/>
        <w:ind w:firstLine="422"/>
        <w:rPr>
          <w:color w:val="auto"/>
        </w:rPr>
      </w:pPr>
      <w:r>
        <w:rPr>
          <w:b/>
          <w:color w:val="auto"/>
        </w:rPr>
        <w:t>1</w:t>
      </w:r>
      <w:r>
        <w:rPr>
          <w:rFonts w:hint="eastAsia"/>
          <w:b/>
          <w:color w:val="auto"/>
        </w:rPr>
        <w:t xml:space="preserve"> </w:t>
      </w:r>
      <w:r>
        <w:rPr>
          <w:rFonts w:hint="eastAsia"/>
          <w:color w:val="auto"/>
        </w:rPr>
        <w:t xml:space="preserve"> </w:t>
      </w:r>
      <w:r>
        <w:rPr>
          <w:color w:val="auto"/>
        </w:rPr>
        <w:t>列车车厢设置空调，车站设置非封闭型</w:t>
      </w:r>
      <w:r>
        <w:rPr>
          <w:rFonts w:hint="eastAsia"/>
          <w:color w:val="auto"/>
        </w:rPr>
        <w:t>站台屏蔽门</w:t>
      </w:r>
      <w:r>
        <w:rPr>
          <w:color w:val="auto"/>
        </w:rPr>
        <w:t>时，不得高于35℃；</w:t>
      </w:r>
    </w:p>
    <w:p w14:paraId="487CF0DF">
      <w:pPr>
        <w:pStyle w:val="86"/>
        <w:ind w:firstLine="422"/>
        <w:rPr>
          <w:color w:val="auto"/>
        </w:rPr>
      </w:pPr>
      <w:r>
        <w:rPr>
          <w:b/>
          <w:color w:val="auto"/>
        </w:rPr>
        <w:t>2</w:t>
      </w:r>
      <w:r>
        <w:rPr>
          <w:rFonts w:hint="eastAsia"/>
          <w:b/>
          <w:color w:val="auto"/>
        </w:rPr>
        <w:t xml:space="preserve"> </w:t>
      </w:r>
      <w:r>
        <w:rPr>
          <w:rFonts w:hint="eastAsia"/>
          <w:color w:val="auto"/>
        </w:rPr>
        <w:t xml:space="preserve"> </w:t>
      </w:r>
      <w:r>
        <w:rPr>
          <w:color w:val="auto"/>
        </w:rPr>
        <w:t>列车车厢设置空调，车站设置封闭</w:t>
      </w:r>
      <w:r>
        <w:rPr>
          <w:rFonts w:hint="eastAsia"/>
          <w:color w:val="auto"/>
        </w:rPr>
        <w:t>站台屏蔽门</w:t>
      </w:r>
      <w:r>
        <w:rPr>
          <w:color w:val="auto"/>
        </w:rPr>
        <w:t>时，不得高于40℃。</w:t>
      </w:r>
    </w:p>
    <w:p w14:paraId="7C317094">
      <w:pPr>
        <w:numPr>
          <w:ilvl w:val="2"/>
          <w:numId w:val="1"/>
        </w:numPr>
        <w:tabs>
          <w:tab w:val="left" w:pos="709"/>
          <w:tab w:val="left" w:pos="851"/>
          <w:tab w:val="left" w:pos="993"/>
        </w:tabs>
        <w:jc w:val="left"/>
        <w:outlineLvl w:val="2"/>
      </w:pPr>
      <w:r>
        <w:t>区间隧道内部冬季的平均温度应低于12</w:t>
      </w:r>
      <w:r>
        <w:rPr>
          <w:rFonts w:hint="eastAsia" w:ascii="宋体" w:hAnsi="宋体" w:cs="宋体"/>
        </w:rPr>
        <w:t>℃</w:t>
      </w:r>
      <w:r>
        <w:t>，但最低温度不应低于5</w:t>
      </w:r>
      <w:r>
        <w:rPr>
          <w:rFonts w:hint="eastAsia" w:ascii="宋体" w:hAnsi="宋体" w:cs="宋体"/>
        </w:rPr>
        <w:t>℃</w:t>
      </w:r>
      <w:r>
        <w:t>。</w:t>
      </w:r>
    </w:p>
    <w:p w14:paraId="0FB8C83E">
      <w:pPr>
        <w:numPr>
          <w:ilvl w:val="2"/>
          <w:numId w:val="1"/>
        </w:numPr>
        <w:tabs>
          <w:tab w:val="left" w:pos="709"/>
          <w:tab w:val="left" w:pos="851"/>
          <w:tab w:val="left" w:pos="993"/>
        </w:tabs>
        <w:jc w:val="left"/>
        <w:outlineLvl w:val="2"/>
      </w:pPr>
      <w:bookmarkStart w:id="970" w:name="_Hlk176094727"/>
      <w:r>
        <w:t>地下车站公共区夏季</w:t>
      </w:r>
      <w:r>
        <w:rPr>
          <w:rFonts w:hint="eastAsia"/>
        </w:rPr>
        <w:t>空调</w:t>
      </w:r>
      <w:r>
        <w:t>室内空气计算温度和相对湿度应符合下列规定：</w:t>
      </w:r>
    </w:p>
    <w:p w14:paraId="3EE6AA58">
      <w:pPr>
        <w:pStyle w:val="7"/>
        <w:ind w:firstLine="420"/>
      </w:pPr>
      <w:r>
        <w:t>站厅</w:t>
      </w:r>
      <w:r>
        <w:rPr>
          <w:rFonts w:hint="eastAsia"/>
        </w:rPr>
        <w:t>公共区夏季空调室内</w:t>
      </w:r>
      <w:r>
        <w:t>空气计算温度</w:t>
      </w:r>
      <w:r>
        <w:rPr>
          <w:rFonts w:hint="eastAsia"/>
        </w:rPr>
        <w:t>为30</w:t>
      </w:r>
      <w:r>
        <w:rPr>
          <w:rFonts w:hint="eastAsia" w:ascii="宋体" w:hAnsi="宋体" w:cs="宋体"/>
        </w:rPr>
        <w:t>℃</w:t>
      </w:r>
      <w:r>
        <w:rPr>
          <w:rFonts w:hint="eastAsia"/>
        </w:rPr>
        <w:t>，</w:t>
      </w:r>
      <w:r>
        <w:t>相对湿度应控制在40%~70%之间。</w:t>
      </w:r>
      <w:bookmarkEnd w:id="970"/>
    </w:p>
    <w:p w14:paraId="3221D82C">
      <w:pPr>
        <w:pStyle w:val="7"/>
        <w:ind w:firstLine="420"/>
      </w:pPr>
      <w:r>
        <w:t>站</w:t>
      </w:r>
      <w:r>
        <w:rPr>
          <w:rFonts w:hint="eastAsia"/>
        </w:rPr>
        <w:t>台公共区夏季空调室内</w:t>
      </w:r>
      <w:r>
        <w:t>空气计算温度</w:t>
      </w:r>
      <w:r>
        <w:rPr>
          <w:rFonts w:hint="eastAsia"/>
        </w:rPr>
        <w:t>为28</w:t>
      </w:r>
      <w:r>
        <w:rPr>
          <w:rFonts w:hint="eastAsia" w:ascii="宋体" w:hAnsi="宋体" w:cs="宋体"/>
        </w:rPr>
        <w:t>℃</w:t>
      </w:r>
      <w:r>
        <w:rPr>
          <w:rFonts w:hint="eastAsia"/>
        </w:rPr>
        <w:t>，</w:t>
      </w:r>
      <w:r>
        <w:t>相对湿度应控制在40%~70%之间。</w:t>
      </w:r>
    </w:p>
    <w:p w14:paraId="576EE088">
      <w:pPr>
        <w:numPr>
          <w:ilvl w:val="2"/>
          <w:numId w:val="1"/>
        </w:numPr>
        <w:tabs>
          <w:tab w:val="left" w:pos="709"/>
          <w:tab w:val="left" w:pos="851"/>
          <w:tab w:val="left" w:pos="993"/>
        </w:tabs>
        <w:jc w:val="left"/>
        <w:outlineLvl w:val="2"/>
      </w:pPr>
      <w:r>
        <w:t>地下车站公共区冬季室内空气计算温度应按12</w:t>
      </w:r>
      <w:r>
        <w:rPr>
          <w:rFonts w:hint="eastAsia"/>
        </w:rPr>
        <w:t>℃</w:t>
      </w:r>
      <w:r>
        <w:t>设计。</w:t>
      </w:r>
    </w:p>
    <w:p w14:paraId="53A8A55C">
      <w:pPr>
        <w:numPr>
          <w:ilvl w:val="2"/>
          <w:numId w:val="1"/>
        </w:numPr>
        <w:tabs>
          <w:tab w:val="left" w:pos="709"/>
          <w:tab w:val="left" w:pos="851"/>
          <w:tab w:val="left" w:pos="993"/>
        </w:tabs>
        <w:jc w:val="left"/>
        <w:outlineLvl w:val="2"/>
      </w:pPr>
      <w:r>
        <w:t>当地下车站公共区通风与空调系统某一局部失效时，站厅和站台的温度不应高于35</w:t>
      </w:r>
      <w:r>
        <w:rPr>
          <w:rFonts w:hint="eastAsia"/>
        </w:rPr>
        <w:t>℃</w:t>
      </w:r>
      <w:r>
        <w:t>，且不宜低于12</w:t>
      </w:r>
      <w:r>
        <w:rPr>
          <w:rFonts w:hint="eastAsia"/>
        </w:rPr>
        <w:t>℃</w:t>
      </w:r>
      <w:r>
        <w:t>。</w:t>
      </w:r>
    </w:p>
    <w:p w14:paraId="07DCA01A">
      <w:pPr>
        <w:numPr>
          <w:ilvl w:val="2"/>
          <w:numId w:val="1"/>
        </w:numPr>
        <w:tabs>
          <w:tab w:val="left" w:pos="709"/>
          <w:tab w:val="left" w:pos="851"/>
          <w:tab w:val="left" w:pos="993"/>
        </w:tabs>
        <w:jc w:val="left"/>
        <w:outlineLvl w:val="2"/>
      </w:pPr>
      <w:r>
        <w:t>地下车站设备及管理用房的室内计算温度、相对湿度和换气次数应符合表1</w:t>
      </w:r>
      <w:r>
        <w:rPr>
          <w:rFonts w:hint="eastAsia"/>
        </w:rPr>
        <w:t>4</w:t>
      </w:r>
      <w:r>
        <w:t>.2.10的规定：</w:t>
      </w:r>
    </w:p>
    <w:p w14:paraId="35F6CB94">
      <w:pPr>
        <w:pStyle w:val="196"/>
      </w:pPr>
      <w:r>
        <w:t>表1</w:t>
      </w:r>
      <w:r>
        <w:rPr>
          <w:rFonts w:hint="eastAsia"/>
        </w:rPr>
        <w:t>4</w:t>
      </w:r>
      <w:r>
        <w:t>.2.10</w:t>
      </w:r>
      <w:r>
        <w:rPr>
          <w:rFonts w:hint="eastAsia"/>
        </w:rPr>
        <w:t xml:space="preserve">  </w:t>
      </w:r>
      <w:r>
        <w:t>地下车站设备及管理用房计算温度、相对湿度与换气次数</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132"/>
        <w:gridCol w:w="625"/>
        <w:gridCol w:w="888"/>
        <w:gridCol w:w="852"/>
        <w:gridCol w:w="843"/>
      </w:tblGrid>
      <w:tr w14:paraId="40F5B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3132" w:type="dxa"/>
            <w:vMerge w:val="restart"/>
            <w:tcBorders>
              <w:left w:val="single" w:color="000000" w:sz="6" w:space="0"/>
              <w:bottom w:val="nil"/>
            </w:tcBorders>
            <w:vAlign w:val="center"/>
          </w:tcPr>
          <w:p w14:paraId="57ECC734">
            <w:pPr>
              <w:pStyle w:val="175"/>
              <w:rPr>
                <w:color w:val="auto"/>
              </w:rPr>
            </w:pPr>
            <w:r>
              <w:rPr>
                <w:color w:val="auto"/>
              </w:rPr>
              <mc:AlternateContent>
                <mc:Choice Requires="wps">
                  <w:drawing>
                    <wp:anchor distT="0" distB="0" distL="114300" distR="114300" simplePos="0" relativeHeight="251664384" behindDoc="0" locked="0" layoutInCell="1" allowOverlap="1">
                      <wp:simplePos x="0" y="0"/>
                      <wp:positionH relativeFrom="page">
                        <wp:posOffset>802640</wp:posOffset>
                      </wp:positionH>
                      <wp:positionV relativeFrom="page">
                        <wp:posOffset>1449070</wp:posOffset>
                      </wp:positionV>
                      <wp:extent cx="12700" cy="48895"/>
                      <wp:effectExtent l="0" t="0" r="6350" b="8255"/>
                      <wp:wrapNone/>
                      <wp:docPr id="692243812" name="矩形 1"/>
                      <wp:cNvGraphicFramePr/>
                      <a:graphic xmlns:a="http://schemas.openxmlformats.org/drawingml/2006/main">
                        <a:graphicData uri="http://schemas.microsoft.com/office/word/2010/wordprocessingShape">
                          <wps:wsp>
                            <wps:cNvSpPr>
                              <a:spLocks noChangeArrowheads="1"/>
                            </wps:cNvSpPr>
                            <wps:spPr bwMode="auto">
                              <a:xfrm>
                                <a:off x="0" y="0"/>
                                <a:ext cx="12700" cy="4889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矩形 1" o:spid="_x0000_s1026" o:spt="1" style="position:absolute;left:0pt;margin-left:63.2pt;margin-top:114.1pt;height:3.85pt;width:1pt;mso-position-horizontal-relative:page;mso-position-vertical-relative:page;z-index:251664384;mso-width-relative:page;mso-height-relative:page;" fillcolor="#000000" filled="t" stroked="f" coordsize="21600,21600" o:gfxdata="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Py4k2AAA&#10;AAsBAAAPAAAAAAAAAAEAIAAAACIAAABkcnMvZG93bnJldi54bWxQSwECFAAUAAAACACHTuJASvCd&#10;xh4CAAArBAAADgAAAAAAAAABACAAAAAnAQAAZHJzL2Uyb0RvYy54bWxQSwUGAAAAAAYABgBZAQAA&#10;twUAAAAA&#10;">
                      <v:fill on="t" focussize="0,0"/>
                      <v:stroke on="f"/>
                      <v:imagedata o:title=""/>
                      <o:lock v:ext="edit" aspectratio="f"/>
                    </v:rect>
                  </w:pict>
                </mc:Fallback>
              </mc:AlternateContent>
            </w:r>
            <w:r>
              <w:rPr>
                <w:color w:val="auto"/>
              </w:rPr>
              <w:t>房间名称</w:t>
            </w:r>
          </w:p>
        </w:tc>
        <w:tc>
          <w:tcPr>
            <w:tcW w:w="625" w:type="dxa"/>
            <w:vAlign w:val="center"/>
          </w:tcPr>
          <w:p w14:paraId="31A2F8F2">
            <w:pPr>
              <w:pStyle w:val="175"/>
              <w:rPr>
                <w:color w:val="auto"/>
              </w:rPr>
            </w:pPr>
            <w:r>
              <w:rPr>
                <w:color w:val="auto"/>
              </w:rPr>
              <w:t>冬季</w:t>
            </w:r>
          </w:p>
        </w:tc>
        <w:tc>
          <w:tcPr>
            <w:tcW w:w="1740" w:type="dxa"/>
            <w:gridSpan w:val="2"/>
            <w:vAlign w:val="center"/>
          </w:tcPr>
          <w:p w14:paraId="54353AB3">
            <w:pPr>
              <w:pStyle w:val="175"/>
              <w:rPr>
                <w:color w:val="auto"/>
              </w:rPr>
            </w:pPr>
            <w:r>
              <w:rPr>
                <w:color w:val="auto"/>
              </w:rPr>
              <w:t>夏季</w:t>
            </w:r>
          </w:p>
        </w:tc>
        <w:tc>
          <w:tcPr>
            <w:tcW w:w="843" w:type="dxa"/>
            <w:tcBorders>
              <w:right w:val="single" w:color="000000" w:sz="6" w:space="0"/>
            </w:tcBorders>
            <w:vAlign w:val="center"/>
          </w:tcPr>
          <w:p w14:paraId="1919B641">
            <w:pPr>
              <w:pStyle w:val="175"/>
              <w:rPr>
                <w:color w:val="auto"/>
              </w:rPr>
            </w:pPr>
          </w:p>
          <w:p w14:paraId="0A718B32">
            <w:pPr>
              <w:pStyle w:val="175"/>
              <w:rPr>
                <w:color w:val="auto"/>
              </w:rPr>
            </w:pPr>
            <w:r>
              <w:rPr>
                <w:rFonts w:hint="eastAsia"/>
                <w:color w:val="auto"/>
              </w:rPr>
              <w:t>最</w:t>
            </w:r>
            <w:r>
              <w:rPr>
                <w:color w:val="auto"/>
              </w:rPr>
              <w:t>小</w:t>
            </w:r>
            <w:r>
              <w:rPr>
                <w:rFonts w:hint="eastAsia"/>
                <w:color w:val="auto"/>
              </w:rPr>
              <w:t>通风</w:t>
            </w:r>
            <w:r>
              <w:rPr>
                <w:color w:val="auto"/>
              </w:rPr>
              <w:t>换气次数</w:t>
            </w:r>
          </w:p>
        </w:tc>
      </w:tr>
      <w:tr w14:paraId="6043B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3" w:hRule="atLeast"/>
          <w:jc w:val="center"/>
        </w:trPr>
        <w:tc>
          <w:tcPr>
            <w:tcW w:w="3132" w:type="dxa"/>
            <w:vMerge w:val="continue"/>
            <w:tcBorders>
              <w:top w:val="nil"/>
              <w:left w:val="single" w:color="000000" w:sz="6" w:space="0"/>
            </w:tcBorders>
            <w:vAlign w:val="center"/>
          </w:tcPr>
          <w:p w14:paraId="2E7D5E9F">
            <w:pPr>
              <w:pStyle w:val="175"/>
              <w:rPr>
                <w:color w:val="auto"/>
              </w:rPr>
            </w:pPr>
          </w:p>
        </w:tc>
        <w:tc>
          <w:tcPr>
            <w:tcW w:w="625" w:type="dxa"/>
            <w:vAlign w:val="center"/>
          </w:tcPr>
          <w:p w14:paraId="1AA3B482">
            <w:pPr>
              <w:pStyle w:val="175"/>
              <w:rPr>
                <w:color w:val="auto"/>
              </w:rPr>
            </w:pPr>
            <w:r>
              <w:rPr>
                <w:color w:val="auto"/>
              </w:rPr>
              <w:t>计算温度</w:t>
            </w:r>
          </w:p>
          <w:p w14:paraId="1550A24A">
            <w:pPr>
              <w:pStyle w:val="175"/>
              <w:rPr>
                <w:color w:val="auto"/>
              </w:rPr>
            </w:pPr>
            <w:r>
              <w:rPr>
                <w:color w:val="auto"/>
              </w:rPr>
              <w:t>(℃)</w:t>
            </w:r>
          </w:p>
        </w:tc>
        <w:tc>
          <w:tcPr>
            <w:tcW w:w="888" w:type="dxa"/>
            <w:vAlign w:val="center"/>
          </w:tcPr>
          <w:p w14:paraId="516EBA29">
            <w:pPr>
              <w:pStyle w:val="175"/>
              <w:rPr>
                <w:color w:val="auto"/>
              </w:rPr>
            </w:pPr>
            <w:r>
              <w:rPr>
                <w:color w:val="auto"/>
              </w:rPr>
              <w:t>计算温度</w:t>
            </w:r>
          </w:p>
          <w:p w14:paraId="1FE8A976">
            <w:pPr>
              <w:pStyle w:val="175"/>
              <w:rPr>
                <w:color w:val="auto"/>
              </w:rPr>
            </w:pPr>
            <w:r>
              <w:rPr>
                <w:color w:val="auto"/>
              </w:rPr>
              <w:t>(℃)</w:t>
            </w:r>
          </w:p>
        </w:tc>
        <w:tc>
          <w:tcPr>
            <w:tcW w:w="852" w:type="dxa"/>
            <w:vAlign w:val="center"/>
          </w:tcPr>
          <w:p w14:paraId="3BB9E34B">
            <w:pPr>
              <w:pStyle w:val="175"/>
              <w:rPr>
                <w:color w:val="auto"/>
              </w:rPr>
            </w:pPr>
            <w:r>
              <w:rPr>
                <w:color w:val="auto"/>
              </w:rPr>
              <w:t>相对湿度</w:t>
            </w:r>
          </w:p>
          <w:p w14:paraId="65517C66">
            <w:pPr>
              <w:pStyle w:val="175"/>
              <w:rPr>
                <w:color w:val="auto"/>
              </w:rPr>
            </w:pPr>
            <w:r>
              <w:rPr>
                <w:color w:val="auto"/>
              </w:rPr>
              <w:t>(%)</w:t>
            </w:r>
          </w:p>
        </w:tc>
        <w:tc>
          <w:tcPr>
            <w:tcW w:w="843" w:type="dxa"/>
            <w:vAlign w:val="center"/>
          </w:tcPr>
          <w:p w14:paraId="021E5230">
            <w:pPr>
              <w:pStyle w:val="175"/>
              <w:rPr>
                <w:color w:val="auto"/>
              </w:rPr>
            </w:pPr>
            <w:r>
              <w:rPr>
                <w:rFonts w:hint="eastAsia"/>
                <w:color w:val="auto"/>
              </w:rPr>
              <w:t>(次/h)</w:t>
            </w:r>
          </w:p>
        </w:tc>
      </w:tr>
      <w:tr w14:paraId="031C1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9" w:hRule="atLeast"/>
          <w:jc w:val="center"/>
        </w:trPr>
        <w:tc>
          <w:tcPr>
            <w:tcW w:w="3132" w:type="dxa"/>
            <w:tcBorders>
              <w:left w:val="single" w:color="000000" w:sz="6" w:space="0"/>
            </w:tcBorders>
            <w:vAlign w:val="center"/>
          </w:tcPr>
          <w:p w14:paraId="218E422E">
            <w:pPr>
              <w:pStyle w:val="175"/>
              <w:rPr>
                <w:color w:val="auto"/>
              </w:rPr>
            </w:pPr>
            <w:r>
              <w:rPr>
                <w:color w:val="auto"/>
              </w:rPr>
              <w:t>站长室、站务室、值班室、休息室</w:t>
            </w:r>
            <w:r>
              <w:rPr>
                <w:rFonts w:hint="eastAsia"/>
                <w:color w:val="auto"/>
              </w:rPr>
              <w:t>、</w:t>
            </w:r>
            <w:r>
              <w:rPr>
                <w:color w:val="auto"/>
              </w:rPr>
              <w:t>更衣室、修理间、清扫员室</w:t>
            </w:r>
            <w:r>
              <w:rPr>
                <w:rFonts w:hint="eastAsia"/>
                <w:color w:val="auto"/>
              </w:rPr>
              <w:t>、</w:t>
            </w:r>
            <w:r>
              <w:rPr>
                <w:color w:val="auto"/>
              </w:rPr>
              <w:t>公共安全室、会议交接班室</w:t>
            </w:r>
          </w:p>
        </w:tc>
        <w:tc>
          <w:tcPr>
            <w:tcW w:w="625" w:type="dxa"/>
            <w:vAlign w:val="center"/>
          </w:tcPr>
          <w:p w14:paraId="698DB494">
            <w:pPr>
              <w:pStyle w:val="175"/>
              <w:rPr>
                <w:color w:val="auto"/>
              </w:rPr>
            </w:pPr>
            <w:r>
              <w:rPr>
                <w:color w:val="auto"/>
              </w:rPr>
              <w:t>18</w:t>
            </w:r>
          </w:p>
        </w:tc>
        <w:tc>
          <w:tcPr>
            <w:tcW w:w="888" w:type="dxa"/>
            <w:vAlign w:val="center"/>
          </w:tcPr>
          <w:p w14:paraId="7C5571BF">
            <w:pPr>
              <w:pStyle w:val="175"/>
              <w:rPr>
                <w:color w:val="auto"/>
              </w:rPr>
            </w:pPr>
            <w:r>
              <w:rPr>
                <w:color w:val="auto"/>
              </w:rPr>
              <w:t>2</w:t>
            </w:r>
            <w:r>
              <w:rPr>
                <w:rFonts w:hint="eastAsia"/>
                <w:color w:val="auto"/>
              </w:rPr>
              <w:t>6</w:t>
            </w:r>
          </w:p>
        </w:tc>
        <w:tc>
          <w:tcPr>
            <w:tcW w:w="852" w:type="dxa"/>
            <w:vAlign w:val="center"/>
          </w:tcPr>
          <w:p w14:paraId="74F9A05F">
            <w:pPr>
              <w:pStyle w:val="175"/>
              <w:rPr>
                <w:color w:val="auto"/>
              </w:rPr>
            </w:pPr>
            <w:r>
              <w:rPr>
                <w:color w:val="auto"/>
              </w:rPr>
              <w:t>＜65</w:t>
            </w:r>
          </w:p>
        </w:tc>
        <w:tc>
          <w:tcPr>
            <w:tcW w:w="843" w:type="dxa"/>
            <w:vAlign w:val="center"/>
          </w:tcPr>
          <w:p w14:paraId="278A639C">
            <w:pPr>
              <w:pStyle w:val="175"/>
              <w:rPr>
                <w:color w:val="auto"/>
              </w:rPr>
            </w:pPr>
            <w:r>
              <w:rPr>
                <w:color w:val="auto"/>
              </w:rPr>
              <w:t>6</w:t>
            </w:r>
          </w:p>
        </w:tc>
      </w:tr>
      <w:tr w14:paraId="5EA15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atLeast"/>
          <w:jc w:val="center"/>
        </w:trPr>
        <w:tc>
          <w:tcPr>
            <w:tcW w:w="3132" w:type="dxa"/>
            <w:tcBorders>
              <w:left w:val="single" w:color="000000" w:sz="6" w:space="0"/>
            </w:tcBorders>
            <w:vAlign w:val="center"/>
          </w:tcPr>
          <w:p w14:paraId="68C4615E">
            <w:pPr>
              <w:pStyle w:val="175"/>
              <w:rPr>
                <w:color w:val="auto"/>
              </w:rPr>
            </w:pPr>
            <w:r>
              <w:rPr>
                <w:color w:val="auto"/>
              </w:rPr>
              <w:t>车站综合控制室、广播室、变电所控制室、人防控制室</w:t>
            </w:r>
            <w:r>
              <w:rPr>
                <w:rFonts w:hint="eastAsia"/>
                <w:color w:val="auto"/>
              </w:rPr>
              <w:t>、</w:t>
            </w:r>
            <w:r>
              <w:rPr>
                <w:color w:val="auto"/>
              </w:rPr>
              <w:t>售票室、票务室</w:t>
            </w:r>
          </w:p>
        </w:tc>
        <w:tc>
          <w:tcPr>
            <w:tcW w:w="625" w:type="dxa"/>
            <w:vAlign w:val="center"/>
          </w:tcPr>
          <w:p w14:paraId="50D83FB9">
            <w:pPr>
              <w:pStyle w:val="175"/>
              <w:rPr>
                <w:color w:val="auto"/>
              </w:rPr>
            </w:pPr>
            <w:r>
              <w:rPr>
                <w:color w:val="auto"/>
              </w:rPr>
              <w:t>18</w:t>
            </w:r>
          </w:p>
        </w:tc>
        <w:tc>
          <w:tcPr>
            <w:tcW w:w="888" w:type="dxa"/>
            <w:vAlign w:val="center"/>
          </w:tcPr>
          <w:p w14:paraId="13116E42">
            <w:pPr>
              <w:pStyle w:val="175"/>
              <w:rPr>
                <w:color w:val="auto"/>
              </w:rPr>
            </w:pPr>
            <w:r>
              <w:rPr>
                <w:color w:val="auto"/>
              </w:rPr>
              <w:t>2</w:t>
            </w:r>
            <w:r>
              <w:rPr>
                <w:rFonts w:hint="eastAsia"/>
                <w:color w:val="auto"/>
              </w:rPr>
              <w:t>6</w:t>
            </w:r>
          </w:p>
        </w:tc>
        <w:tc>
          <w:tcPr>
            <w:tcW w:w="852" w:type="dxa"/>
            <w:vAlign w:val="center"/>
          </w:tcPr>
          <w:p w14:paraId="1EBF897C">
            <w:pPr>
              <w:pStyle w:val="175"/>
              <w:rPr>
                <w:color w:val="auto"/>
              </w:rPr>
            </w:pPr>
            <w:r>
              <w:rPr>
                <w:color w:val="auto"/>
              </w:rPr>
              <w:t>40~60</w:t>
            </w:r>
          </w:p>
        </w:tc>
        <w:tc>
          <w:tcPr>
            <w:tcW w:w="843" w:type="dxa"/>
            <w:vAlign w:val="center"/>
          </w:tcPr>
          <w:p w14:paraId="350A13AB">
            <w:pPr>
              <w:pStyle w:val="175"/>
              <w:rPr>
                <w:color w:val="auto"/>
              </w:rPr>
            </w:pPr>
            <w:r>
              <w:rPr>
                <w:color w:val="auto"/>
              </w:rPr>
              <w:t>6</w:t>
            </w:r>
          </w:p>
        </w:tc>
      </w:tr>
      <w:tr w14:paraId="188DA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2" w:hRule="atLeast"/>
          <w:jc w:val="center"/>
        </w:trPr>
        <w:tc>
          <w:tcPr>
            <w:tcW w:w="3132" w:type="dxa"/>
            <w:tcBorders>
              <w:left w:val="single" w:color="000000" w:sz="6" w:space="0"/>
            </w:tcBorders>
            <w:vAlign w:val="center"/>
          </w:tcPr>
          <w:p w14:paraId="6E3D041E">
            <w:pPr>
              <w:pStyle w:val="175"/>
              <w:rPr>
                <w:color w:val="auto"/>
              </w:rPr>
            </w:pPr>
            <w:r>
              <w:rPr>
                <w:color w:val="auto"/>
              </w:rPr>
              <w:t>通信设备室、通信电源室、信号设备室、信号电源室、公安通信设备室、民用通信设备室</w:t>
            </w:r>
            <w:r>
              <w:rPr>
                <w:rFonts w:hint="eastAsia"/>
                <w:color w:val="auto"/>
              </w:rPr>
              <w:t>、弱电整合房间、屏蔽门设备室、综合监控设备室、</w:t>
            </w:r>
            <w:r>
              <w:rPr>
                <w:color w:val="auto"/>
              </w:rPr>
              <w:t>车票分类/编码室、自动售检票设备室、配电室(</w:t>
            </w:r>
            <w:r>
              <w:rPr>
                <w:rFonts w:hint="eastAsia"/>
                <w:color w:val="auto"/>
              </w:rPr>
              <w:t>内</w:t>
            </w:r>
            <w:r>
              <w:rPr>
                <w:color w:val="auto"/>
              </w:rPr>
              <w:t>设</w:t>
            </w:r>
            <w:r>
              <w:rPr>
                <w:rFonts w:hint="eastAsia"/>
                <w:color w:val="auto"/>
              </w:rPr>
              <w:t>蓄</w:t>
            </w:r>
            <w:r>
              <w:rPr>
                <w:color w:val="auto"/>
              </w:rPr>
              <w:t>电池)、</w:t>
            </w:r>
            <w:r>
              <w:rPr>
                <w:rFonts w:hint="eastAsia"/>
                <w:color w:val="auto"/>
              </w:rPr>
              <w:t>通风空调（</w:t>
            </w:r>
            <w:r>
              <w:rPr>
                <w:color w:val="auto"/>
              </w:rPr>
              <w:t>环控</w:t>
            </w:r>
            <w:r>
              <w:rPr>
                <w:rFonts w:hint="eastAsia"/>
                <w:color w:val="auto"/>
              </w:rPr>
              <w:t>）</w:t>
            </w:r>
            <w:r>
              <w:rPr>
                <w:color w:val="auto"/>
              </w:rPr>
              <w:t>电控室</w:t>
            </w:r>
          </w:p>
        </w:tc>
        <w:tc>
          <w:tcPr>
            <w:tcW w:w="625" w:type="dxa"/>
            <w:vAlign w:val="center"/>
          </w:tcPr>
          <w:p w14:paraId="35D3DFD8">
            <w:pPr>
              <w:pStyle w:val="175"/>
              <w:rPr>
                <w:color w:val="auto"/>
              </w:rPr>
            </w:pPr>
            <w:r>
              <w:rPr>
                <w:color w:val="auto"/>
              </w:rPr>
              <w:t>1</w:t>
            </w:r>
            <w:r>
              <w:rPr>
                <w:rFonts w:hint="eastAsia"/>
                <w:color w:val="auto"/>
              </w:rPr>
              <w:t>6</w:t>
            </w:r>
          </w:p>
        </w:tc>
        <w:tc>
          <w:tcPr>
            <w:tcW w:w="888" w:type="dxa"/>
            <w:vAlign w:val="center"/>
          </w:tcPr>
          <w:p w14:paraId="1C3F3F82">
            <w:pPr>
              <w:pStyle w:val="175"/>
              <w:rPr>
                <w:color w:val="auto"/>
              </w:rPr>
            </w:pPr>
            <w:r>
              <w:rPr>
                <w:color w:val="auto"/>
              </w:rPr>
              <w:t>27</w:t>
            </w:r>
          </w:p>
        </w:tc>
        <w:tc>
          <w:tcPr>
            <w:tcW w:w="852" w:type="dxa"/>
            <w:vAlign w:val="center"/>
          </w:tcPr>
          <w:p w14:paraId="41741021">
            <w:pPr>
              <w:pStyle w:val="175"/>
              <w:rPr>
                <w:color w:val="auto"/>
              </w:rPr>
            </w:pPr>
            <w:r>
              <w:rPr>
                <w:color w:val="auto"/>
              </w:rPr>
              <w:t>40~60</w:t>
            </w:r>
          </w:p>
        </w:tc>
        <w:tc>
          <w:tcPr>
            <w:tcW w:w="843" w:type="dxa"/>
            <w:vAlign w:val="center"/>
          </w:tcPr>
          <w:p w14:paraId="1C9B9AC8">
            <w:pPr>
              <w:pStyle w:val="175"/>
              <w:rPr>
                <w:color w:val="auto"/>
              </w:rPr>
            </w:pPr>
            <w:r>
              <w:rPr>
                <w:color w:val="auto"/>
              </w:rPr>
              <w:t>6</w:t>
            </w:r>
          </w:p>
        </w:tc>
      </w:tr>
      <w:tr w14:paraId="7AEEE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5" w:hRule="atLeast"/>
          <w:jc w:val="center"/>
        </w:trPr>
        <w:tc>
          <w:tcPr>
            <w:tcW w:w="3132" w:type="dxa"/>
            <w:tcBorders>
              <w:left w:val="single" w:color="000000" w:sz="6" w:space="0"/>
            </w:tcBorders>
            <w:vAlign w:val="center"/>
          </w:tcPr>
          <w:p w14:paraId="0D5F9FDC">
            <w:pPr>
              <w:pStyle w:val="175"/>
              <w:rPr>
                <w:color w:val="auto"/>
              </w:rPr>
            </w:pPr>
            <w:r>
              <w:rPr>
                <w:color w:val="auto"/>
              </w:rPr>
              <w:t>蓄电池室</w:t>
            </w:r>
            <w:r>
              <w:rPr>
                <w:rFonts w:hint="eastAsia"/>
                <w:color w:val="auto"/>
              </w:rPr>
              <w:t>、</w:t>
            </w:r>
            <w:r>
              <w:rPr>
                <w:color w:val="auto"/>
              </w:rPr>
              <w:t>UPS设备室</w:t>
            </w:r>
          </w:p>
        </w:tc>
        <w:tc>
          <w:tcPr>
            <w:tcW w:w="625" w:type="dxa"/>
            <w:vAlign w:val="center"/>
          </w:tcPr>
          <w:p w14:paraId="288483E7">
            <w:pPr>
              <w:pStyle w:val="175"/>
              <w:rPr>
                <w:color w:val="auto"/>
              </w:rPr>
            </w:pPr>
            <w:r>
              <w:rPr>
                <w:color w:val="auto"/>
              </w:rPr>
              <w:t>16</w:t>
            </w:r>
          </w:p>
        </w:tc>
        <w:tc>
          <w:tcPr>
            <w:tcW w:w="888" w:type="dxa"/>
            <w:vAlign w:val="center"/>
          </w:tcPr>
          <w:p w14:paraId="7EC50B9B">
            <w:pPr>
              <w:pStyle w:val="175"/>
              <w:rPr>
                <w:color w:val="auto"/>
              </w:rPr>
            </w:pPr>
            <w:r>
              <w:rPr>
                <w:color w:val="auto"/>
              </w:rPr>
              <w:t>27</w:t>
            </w:r>
          </w:p>
        </w:tc>
        <w:tc>
          <w:tcPr>
            <w:tcW w:w="852" w:type="dxa"/>
            <w:vAlign w:val="center"/>
          </w:tcPr>
          <w:p w14:paraId="685B3F94">
            <w:pPr>
              <w:pStyle w:val="175"/>
              <w:rPr>
                <w:color w:val="auto"/>
              </w:rPr>
            </w:pPr>
            <w:r>
              <w:rPr>
                <w:color w:val="auto"/>
              </w:rPr>
              <w:t>—</w:t>
            </w:r>
          </w:p>
        </w:tc>
        <w:tc>
          <w:tcPr>
            <w:tcW w:w="843" w:type="dxa"/>
            <w:vAlign w:val="center"/>
          </w:tcPr>
          <w:p w14:paraId="0FA2FDCA">
            <w:pPr>
              <w:pStyle w:val="175"/>
              <w:rPr>
                <w:color w:val="auto"/>
              </w:rPr>
            </w:pPr>
            <w:r>
              <w:rPr>
                <w:rFonts w:hint="eastAsia"/>
                <w:color w:val="auto"/>
              </w:rPr>
              <w:t>10</w:t>
            </w:r>
          </w:p>
        </w:tc>
      </w:tr>
    </w:tbl>
    <w:p w14:paraId="3B021395">
      <w:pPr>
        <w:pStyle w:val="196"/>
      </w:pPr>
      <w:r>
        <w:t>表1</w:t>
      </w:r>
      <w:r>
        <w:rPr>
          <w:rFonts w:hint="eastAsia"/>
        </w:rPr>
        <w:t>4</w:t>
      </w:r>
      <w:r>
        <w:t>.2.10</w:t>
      </w:r>
      <w:r>
        <w:rPr>
          <w:rFonts w:hint="eastAsia"/>
        </w:rPr>
        <w:t xml:space="preserve">  </w:t>
      </w:r>
      <w:r>
        <w:t>地下车站设备及管理用房计算温度、相对湿度与换气次数（续表）</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132"/>
        <w:gridCol w:w="625"/>
        <w:gridCol w:w="888"/>
        <w:gridCol w:w="852"/>
        <w:gridCol w:w="843"/>
      </w:tblGrid>
      <w:tr w14:paraId="33A22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3132" w:type="dxa"/>
            <w:vMerge w:val="restart"/>
            <w:tcBorders>
              <w:left w:val="single" w:color="000000" w:sz="6" w:space="0"/>
              <w:bottom w:val="nil"/>
            </w:tcBorders>
            <w:vAlign w:val="center"/>
          </w:tcPr>
          <w:p w14:paraId="59B61C9C">
            <w:pPr>
              <w:pStyle w:val="175"/>
              <w:rPr>
                <w:color w:val="auto"/>
              </w:rPr>
            </w:pPr>
            <w:r>
              <w:rPr>
                <w:color w:val="auto"/>
              </w:rPr>
              <mc:AlternateContent>
                <mc:Choice Requires="wps">
                  <w:drawing>
                    <wp:anchor distT="0" distB="0" distL="114300" distR="114300" simplePos="0" relativeHeight="251684864" behindDoc="0" locked="0" layoutInCell="1" allowOverlap="1">
                      <wp:simplePos x="0" y="0"/>
                      <wp:positionH relativeFrom="page">
                        <wp:posOffset>802640</wp:posOffset>
                      </wp:positionH>
                      <wp:positionV relativeFrom="page">
                        <wp:posOffset>1449070</wp:posOffset>
                      </wp:positionV>
                      <wp:extent cx="12700" cy="48895"/>
                      <wp:effectExtent l="0" t="0" r="6350" b="8255"/>
                      <wp:wrapNone/>
                      <wp:docPr id="31" name="矩形 1"/>
                      <wp:cNvGraphicFramePr/>
                      <a:graphic xmlns:a="http://schemas.openxmlformats.org/drawingml/2006/main">
                        <a:graphicData uri="http://schemas.microsoft.com/office/word/2010/wordprocessingShape">
                          <wps:wsp>
                            <wps:cNvSpPr>
                              <a:spLocks noChangeArrowheads="1"/>
                            </wps:cNvSpPr>
                            <wps:spPr bwMode="auto">
                              <a:xfrm>
                                <a:off x="0" y="0"/>
                                <a:ext cx="12700" cy="4889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矩形 1" o:spid="_x0000_s1026" o:spt="1" style="position:absolute;left:0pt;margin-left:63.2pt;margin-top:114.1pt;height:3.85pt;width:1pt;mso-position-horizontal-relative:page;mso-position-vertical-relative:page;z-index:251684864;mso-width-relative:page;mso-height-relative:page;" fillcolor="#000000" filled="t" stroked="f" coordsize="21600,21600" o:gfxdata="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Py4k2AAAAAsBAAAP&#10;AAAAAAAAAAEAIAAAACIAAABkcnMvZG93bnJldi54bWxQSwECFAAUAAAACACHTuJAUglYHxgCAAAk&#10;BAAADgAAAAAAAAABACAAAAAnAQAAZHJzL2Uyb0RvYy54bWxQSwUGAAAAAAYABgBZAQAAsQUAAAAA&#10;">
                      <v:fill on="t" focussize="0,0"/>
                      <v:stroke on="f"/>
                      <v:imagedata o:title=""/>
                      <o:lock v:ext="edit" aspectratio="f"/>
                    </v:rect>
                  </w:pict>
                </mc:Fallback>
              </mc:AlternateContent>
            </w:r>
            <w:r>
              <w:rPr>
                <w:color w:val="auto"/>
              </w:rPr>
              <w:t>房间名称</w:t>
            </w:r>
          </w:p>
        </w:tc>
        <w:tc>
          <w:tcPr>
            <w:tcW w:w="625" w:type="dxa"/>
            <w:vAlign w:val="center"/>
          </w:tcPr>
          <w:p w14:paraId="3A747293">
            <w:pPr>
              <w:pStyle w:val="175"/>
              <w:rPr>
                <w:color w:val="auto"/>
              </w:rPr>
            </w:pPr>
            <w:r>
              <w:rPr>
                <w:color w:val="auto"/>
              </w:rPr>
              <w:t>冬季</w:t>
            </w:r>
          </w:p>
        </w:tc>
        <w:tc>
          <w:tcPr>
            <w:tcW w:w="1740" w:type="dxa"/>
            <w:gridSpan w:val="2"/>
            <w:vAlign w:val="center"/>
          </w:tcPr>
          <w:p w14:paraId="205C4C71">
            <w:pPr>
              <w:pStyle w:val="175"/>
              <w:rPr>
                <w:color w:val="auto"/>
              </w:rPr>
            </w:pPr>
            <w:r>
              <w:rPr>
                <w:color w:val="auto"/>
              </w:rPr>
              <w:t>夏季</w:t>
            </w:r>
          </w:p>
        </w:tc>
        <w:tc>
          <w:tcPr>
            <w:tcW w:w="843" w:type="dxa"/>
            <w:tcBorders>
              <w:right w:val="single" w:color="000000" w:sz="6" w:space="0"/>
            </w:tcBorders>
            <w:vAlign w:val="center"/>
          </w:tcPr>
          <w:p w14:paraId="0FED5921">
            <w:pPr>
              <w:pStyle w:val="175"/>
              <w:rPr>
                <w:color w:val="auto"/>
              </w:rPr>
            </w:pPr>
          </w:p>
          <w:p w14:paraId="1F8104CE">
            <w:pPr>
              <w:pStyle w:val="175"/>
              <w:rPr>
                <w:color w:val="auto"/>
              </w:rPr>
            </w:pPr>
            <w:r>
              <w:rPr>
                <w:rFonts w:hint="eastAsia"/>
                <w:color w:val="auto"/>
              </w:rPr>
              <w:t>最</w:t>
            </w:r>
            <w:r>
              <w:rPr>
                <w:color w:val="auto"/>
              </w:rPr>
              <w:t>小</w:t>
            </w:r>
            <w:r>
              <w:rPr>
                <w:rFonts w:hint="eastAsia"/>
                <w:color w:val="auto"/>
              </w:rPr>
              <w:t>通风</w:t>
            </w:r>
            <w:r>
              <w:rPr>
                <w:color w:val="auto"/>
              </w:rPr>
              <w:t>换气次数</w:t>
            </w:r>
          </w:p>
        </w:tc>
      </w:tr>
      <w:tr w14:paraId="1FA25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3" w:hRule="atLeast"/>
          <w:jc w:val="center"/>
        </w:trPr>
        <w:tc>
          <w:tcPr>
            <w:tcW w:w="3132" w:type="dxa"/>
            <w:vMerge w:val="continue"/>
            <w:tcBorders>
              <w:top w:val="nil"/>
              <w:left w:val="single" w:color="000000" w:sz="6" w:space="0"/>
            </w:tcBorders>
            <w:vAlign w:val="center"/>
          </w:tcPr>
          <w:p w14:paraId="6EC12437">
            <w:pPr>
              <w:pStyle w:val="175"/>
              <w:rPr>
                <w:color w:val="auto"/>
              </w:rPr>
            </w:pPr>
          </w:p>
        </w:tc>
        <w:tc>
          <w:tcPr>
            <w:tcW w:w="625" w:type="dxa"/>
            <w:vAlign w:val="center"/>
          </w:tcPr>
          <w:p w14:paraId="029753E9">
            <w:pPr>
              <w:pStyle w:val="175"/>
              <w:rPr>
                <w:color w:val="auto"/>
              </w:rPr>
            </w:pPr>
            <w:r>
              <w:rPr>
                <w:color w:val="auto"/>
              </w:rPr>
              <w:t>计算温度</w:t>
            </w:r>
          </w:p>
          <w:p w14:paraId="027AC3ED">
            <w:pPr>
              <w:pStyle w:val="175"/>
              <w:rPr>
                <w:color w:val="auto"/>
              </w:rPr>
            </w:pPr>
            <w:r>
              <w:rPr>
                <w:color w:val="auto"/>
              </w:rPr>
              <w:t>(℃)</w:t>
            </w:r>
          </w:p>
        </w:tc>
        <w:tc>
          <w:tcPr>
            <w:tcW w:w="888" w:type="dxa"/>
            <w:vAlign w:val="center"/>
          </w:tcPr>
          <w:p w14:paraId="3ABB0A01">
            <w:pPr>
              <w:pStyle w:val="175"/>
              <w:rPr>
                <w:color w:val="auto"/>
              </w:rPr>
            </w:pPr>
            <w:r>
              <w:rPr>
                <w:color w:val="auto"/>
              </w:rPr>
              <w:t>计算温度</w:t>
            </w:r>
          </w:p>
          <w:p w14:paraId="347BADF6">
            <w:pPr>
              <w:pStyle w:val="175"/>
              <w:rPr>
                <w:color w:val="auto"/>
              </w:rPr>
            </w:pPr>
            <w:r>
              <w:rPr>
                <w:color w:val="auto"/>
              </w:rPr>
              <w:t>(℃)</w:t>
            </w:r>
          </w:p>
        </w:tc>
        <w:tc>
          <w:tcPr>
            <w:tcW w:w="852" w:type="dxa"/>
            <w:vAlign w:val="center"/>
          </w:tcPr>
          <w:p w14:paraId="07CD9442">
            <w:pPr>
              <w:pStyle w:val="175"/>
              <w:rPr>
                <w:color w:val="auto"/>
              </w:rPr>
            </w:pPr>
            <w:r>
              <w:rPr>
                <w:color w:val="auto"/>
              </w:rPr>
              <w:t>相对湿度</w:t>
            </w:r>
          </w:p>
          <w:p w14:paraId="74BD4BF0">
            <w:pPr>
              <w:pStyle w:val="175"/>
              <w:rPr>
                <w:color w:val="auto"/>
              </w:rPr>
            </w:pPr>
            <w:r>
              <w:rPr>
                <w:color w:val="auto"/>
              </w:rPr>
              <w:t>(%)</w:t>
            </w:r>
          </w:p>
        </w:tc>
        <w:tc>
          <w:tcPr>
            <w:tcW w:w="843" w:type="dxa"/>
            <w:vAlign w:val="center"/>
          </w:tcPr>
          <w:p w14:paraId="1D173D96">
            <w:pPr>
              <w:pStyle w:val="175"/>
              <w:rPr>
                <w:color w:val="auto"/>
              </w:rPr>
            </w:pPr>
            <w:r>
              <w:rPr>
                <w:rFonts w:hint="eastAsia"/>
                <w:color w:val="auto"/>
              </w:rPr>
              <w:t>(次/h)</w:t>
            </w:r>
          </w:p>
        </w:tc>
      </w:tr>
      <w:tr w14:paraId="3D961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5" w:hRule="atLeast"/>
          <w:jc w:val="center"/>
        </w:trPr>
        <w:tc>
          <w:tcPr>
            <w:tcW w:w="3132" w:type="dxa"/>
            <w:tcBorders>
              <w:left w:val="single" w:color="000000" w:sz="6" w:space="0"/>
            </w:tcBorders>
            <w:vAlign w:val="center"/>
          </w:tcPr>
          <w:p w14:paraId="333CAAC4">
            <w:pPr>
              <w:pStyle w:val="175"/>
              <w:rPr>
                <w:color w:val="auto"/>
              </w:rPr>
            </w:pPr>
            <w:r>
              <w:rPr>
                <w:color w:val="auto"/>
              </w:rPr>
              <w:t>机械室、配电室(</w:t>
            </w:r>
            <w:r>
              <w:rPr>
                <w:rFonts w:hint="eastAsia"/>
                <w:color w:val="auto"/>
              </w:rPr>
              <w:t>内</w:t>
            </w:r>
            <w:r>
              <w:rPr>
                <w:color w:val="auto"/>
              </w:rPr>
              <w:t>无</w:t>
            </w:r>
            <w:r>
              <w:rPr>
                <w:rFonts w:hint="eastAsia"/>
                <w:color w:val="auto"/>
              </w:rPr>
              <w:t>蓄</w:t>
            </w:r>
            <w:r>
              <w:rPr>
                <w:color w:val="auto"/>
              </w:rPr>
              <w:t>电池)</w:t>
            </w:r>
          </w:p>
        </w:tc>
        <w:tc>
          <w:tcPr>
            <w:tcW w:w="625" w:type="dxa"/>
            <w:vAlign w:val="center"/>
          </w:tcPr>
          <w:p w14:paraId="396FE8E9">
            <w:pPr>
              <w:pStyle w:val="175"/>
              <w:rPr>
                <w:color w:val="auto"/>
              </w:rPr>
            </w:pPr>
            <w:r>
              <w:rPr>
                <w:color w:val="auto"/>
              </w:rPr>
              <w:t>16</w:t>
            </w:r>
          </w:p>
        </w:tc>
        <w:tc>
          <w:tcPr>
            <w:tcW w:w="888" w:type="dxa"/>
            <w:vAlign w:val="center"/>
          </w:tcPr>
          <w:p w14:paraId="154705F8">
            <w:pPr>
              <w:pStyle w:val="175"/>
              <w:rPr>
                <w:color w:val="auto"/>
              </w:rPr>
            </w:pPr>
            <w:r>
              <w:rPr>
                <w:color w:val="auto"/>
              </w:rPr>
              <w:t>36</w:t>
            </w:r>
          </w:p>
        </w:tc>
        <w:tc>
          <w:tcPr>
            <w:tcW w:w="852" w:type="dxa"/>
            <w:vAlign w:val="center"/>
          </w:tcPr>
          <w:p w14:paraId="60BCADF8">
            <w:pPr>
              <w:pStyle w:val="175"/>
              <w:rPr>
                <w:color w:val="auto"/>
              </w:rPr>
            </w:pPr>
            <w:r>
              <w:rPr>
                <w:color w:val="auto"/>
              </w:rPr>
              <w:t>—</w:t>
            </w:r>
          </w:p>
        </w:tc>
        <w:tc>
          <w:tcPr>
            <w:tcW w:w="843" w:type="dxa"/>
            <w:vAlign w:val="center"/>
          </w:tcPr>
          <w:p w14:paraId="416AE9BF">
            <w:pPr>
              <w:pStyle w:val="175"/>
              <w:rPr>
                <w:color w:val="auto"/>
              </w:rPr>
            </w:pPr>
            <w:r>
              <w:rPr>
                <w:color w:val="auto"/>
              </w:rPr>
              <w:t>4</w:t>
            </w:r>
          </w:p>
        </w:tc>
      </w:tr>
      <w:tr w14:paraId="13DD6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jc w:val="center"/>
        </w:trPr>
        <w:tc>
          <w:tcPr>
            <w:tcW w:w="3132" w:type="dxa"/>
            <w:tcBorders>
              <w:left w:val="single" w:color="000000" w:sz="6" w:space="0"/>
            </w:tcBorders>
            <w:vAlign w:val="center"/>
          </w:tcPr>
          <w:p w14:paraId="423232D4">
            <w:pPr>
              <w:pStyle w:val="175"/>
              <w:rPr>
                <w:color w:val="auto"/>
              </w:rPr>
            </w:pPr>
            <w:r>
              <w:rPr>
                <w:color w:val="auto"/>
              </w:rPr>
              <w:t>降压变电所、牵引变电所</w:t>
            </w:r>
          </w:p>
        </w:tc>
        <w:tc>
          <w:tcPr>
            <w:tcW w:w="625" w:type="dxa"/>
            <w:vAlign w:val="center"/>
          </w:tcPr>
          <w:p w14:paraId="1AD4D6F2">
            <w:pPr>
              <w:pStyle w:val="175"/>
              <w:rPr>
                <w:color w:val="auto"/>
              </w:rPr>
            </w:pPr>
            <w:r>
              <w:rPr>
                <w:color w:val="auto"/>
              </w:rPr>
              <w:t>—</w:t>
            </w:r>
          </w:p>
        </w:tc>
        <w:tc>
          <w:tcPr>
            <w:tcW w:w="888" w:type="dxa"/>
            <w:vAlign w:val="center"/>
          </w:tcPr>
          <w:p w14:paraId="7246B2EA">
            <w:pPr>
              <w:pStyle w:val="175"/>
              <w:rPr>
                <w:color w:val="auto"/>
              </w:rPr>
            </w:pPr>
            <w:r>
              <w:rPr>
                <w:color w:val="auto"/>
              </w:rPr>
              <w:t>36</w:t>
            </w:r>
          </w:p>
        </w:tc>
        <w:tc>
          <w:tcPr>
            <w:tcW w:w="852" w:type="dxa"/>
            <w:vAlign w:val="center"/>
          </w:tcPr>
          <w:p w14:paraId="1D4AB345">
            <w:pPr>
              <w:pStyle w:val="175"/>
              <w:rPr>
                <w:color w:val="auto"/>
              </w:rPr>
            </w:pPr>
            <w:r>
              <w:rPr>
                <w:color w:val="auto"/>
              </w:rPr>
              <w:t>—</w:t>
            </w:r>
          </w:p>
        </w:tc>
        <w:tc>
          <w:tcPr>
            <w:tcW w:w="843" w:type="dxa"/>
            <w:tcBorders>
              <w:right w:val="single" w:color="000000" w:sz="6" w:space="0"/>
            </w:tcBorders>
            <w:vAlign w:val="center"/>
          </w:tcPr>
          <w:p w14:paraId="55CC2612">
            <w:pPr>
              <w:pStyle w:val="175"/>
              <w:rPr>
                <w:color w:val="auto"/>
              </w:rPr>
            </w:pPr>
            <w:r>
              <w:rPr>
                <w:color w:val="auto"/>
              </w:rPr>
              <w:t>按排除余热计算风量</w:t>
            </w:r>
          </w:p>
        </w:tc>
      </w:tr>
      <w:tr w14:paraId="2AA50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3" w:hRule="atLeast"/>
          <w:jc w:val="center"/>
        </w:trPr>
        <w:tc>
          <w:tcPr>
            <w:tcW w:w="3132" w:type="dxa"/>
            <w:tcBorders>
              <w:left w:val="single" w:color="000000" w:sz="6" w:space="0"/>
            </w:tcBorders>
            <w:vAlign w:val="center"/>
          </w:tcPr>
          <w:p w14:paraId="3114480E">
            <w:pPr>
              <w:pStyle w:val="175"/>
              <w:rPr>
                <w:color w:val="auto"/>
              </w:rPr>
            </w:pPr>
            <w:r>
              <w:rPr>
                <w:rFonts w:hint="eastAsia"/>
                <w:color w:val="auto"/>
              </w:rPr>
              <w:t>盥洗室</w:t>
            </w:r>
          </w:p>
        </w:tc>
        <w:tc>
          <w:tcPr>
            <w:tcW w:w="625" w:type="dxa"/>
            <w:vAlign w:val="center"/>
          </w:tcPr>
          <w:p w14:paraId="721D02DF">
            <w:pPr>
              <w:pStyle w:val="175"/>
              <w:rPr>
                <w:color w:val="auto"/>
              </w:rPr>
            </w:pPr>
            <w:r>
              <w:rPr>
                <w:rFonts w:hint="eastAsia"/>
                <w:color w:val="auto"/>
              </w:rPr>
              <w:t>12</w:t>
            </w:r>
          </w:p>
        </w:tc>
        <w:tc>
          <w:tcPr>
            <w:tcW w:w="888" w:type="dxa"/>
            <w:vAlign w:val="center"/>
          </w:tcPr>
          <w:p w14:paraId="5E041148">
            <w:pPr>
              <w:pStyle w:val="175"/>
              <w:rPr>
                <w:color w:val="auto"/>
              </w:rPr>
            </w:pPr>
            <w:r>
              <w:rPr>
                <w:color w:val="auto"/>
              </w:rPr>
              <w:t>—</w:t>
            </w:r>
          </w:p>
        </w:tc>
        <w:tc>
          <w:tcPr>
            <w:tcW w:w="852" w:type="dxa"/>
            <w:vAlign w:val="center"/>
          </w:tcPr>
          <w:p w14:paraId="5D17E320">
            <w:pPr>
              <w:pStyle w:val="175"/>
              <w:rPr>
                <w:color w:val="auto"/>
              </w:rPr>
            </w:pPr>
            <w:r>
              <w:rPr>
                <w:color w:val="auto"/>
              </w:rPr>
              <w:t>—</w:t>
            </w:r>
          </w:p>
        </w:tc>
        <w:tc>
          <w:tcPr>
            <w:tcW w:w="843" w:type="dxa"/>
            <w:vAlign w:val="center"/>
          </w:tcPr>
          <w:p w14:paraId="78713902">
            <w:pPr>
              <w:pStyle w:val="175"/>
              <w:rPr>
                <w:color w:val="auto"/>
              </w:rPr>
            </w:pPr>
            <w:r>
              <w:rPr>
                <w:rFonts w:hint="eastAsia"/>
                <w:color w:val="auto"/>
              </w:rPr>
              <w:t>4（排风）</w:t>
            </w:r>
          </w:p>
        </w:tc>
      </w:tr>
      <w:tr w14:paraId="6DF41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3" w:hRule="atLeast"/>
          <w:jc w:val="center"/>
        </w:trPr>
        <w:tc>
          <w:tcPr>
            <w:tcW w:w="3132" w:type="dxa"/>
            <w:tcBorders>
              <w:left w:val="single" w:color="000000" w:sz="6" w:space="0"/>
            </w:tcBorders>
            <w:vAlign w:val="center"/>
          </w:tcPr>
          <w:p w14:paraId="173C59BA">
            <w:pPr>
              <w:pStyle w:val="175"/>
              <w:rPr>
                <w:color w:val="auto"/>
              </w:rPr>
            </w:pPr>
            <w:r>
              <w:rPr>
                <w:rFonts w:hint="eastAsia"/>
                <w:color w:val="auto"/>
              </w:rPr>
              <w:t>厕所</w:t>
            </w:r>
          </w:p>
        </w:tc>
        <w:tc>
          <w:tcPr>
            <w:tcW w:w="625" w:type="dxa"/>
            <w:vAlign w:val="center"/>
          </w:tcPr>
          <w:p w14:paraId="014AFF0E">
            <w:pPr>
              <w:pStyle w:val="175"/>
              <w:rPr>
                <w:color w:val="auto"/>
              </w:rPr>
            </w:pPr>
            <w:r>
              <w:rPr>
                <w:rFonts w:hint="eastAsia"/>
                <w:color w:val="auto"/>
              </w:rPr>
              <w:t>12</w:t>
            </w:r>
          </w:p>
        </w:tc>
        <w:tc>
          <w:tcPr>
            <w:tcW w:w="888" w:type="dxa"/>
            <w:vAlign w:val="center"/>
          </w:tcPr>
          <w:p w14:paraId="35275E54">
            <w:pPr>
              <w:pStyle w:val="175"/>
              <w:rPr>
                <w:color w:val="auto"/>
              </w:rPr>
            </w:pPr>
            <w:r>
              <w:rPr>
                <w:rFonts w:hint="eastAsia"/>
                <w:color w:val="auto"/>
              </w:rPr>
              <w:t>27-28（若设空调）</w:t>
            </w:r>
          </w:p>
        </w:tc>
        <w:tc>
          <w:tcPr>
            <w:tcW w:w="852" w:type="dxa"/>
            <w:vAlign w:val="center"/>
          </w:tcPr>
          <w:p w14:paraId="425A96BB">
            <w:pPr>
              <w:pStyle w:val="175"/>
              <w:rPr>
                <w:color w:val="auto"/>
              </w:rPr>
            </w:pPr>
            <w:r>
              <w:rPr>
                <w:color w:val="auto"/>
              </w:rPr>
              <w:t>—</w:t>
            </w:r>
          </w:p>
        </w:tc>
        <w:tc>
          <w:tcPr>
            <w:tcW w:w="843" w:type="dxa"/>
            <w:vAlign w:val="center"/>
          </w:tcPr>
          <w:p w14:paraId="28555D96">
            <w:pPr>
              <w:pStyle w:val="175"/>
              <w:rPr>
                <w:color w:val="auto"/>
              </w:rPr>
            </w:pPr>
            <w:r>
              <w:rPr>
                <w:rFonts w:hint="eastAsia"/>
                <w:color w:val="auto"/>
              </w:rPr>
              <w:t>15（排风）</w:t>
            </w:r>
          </w:p>
        </w:tc>
      </w:tr>
      <w:tr w14:paraId="6264F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jc w:val="center"/>
        </w:trPr>
        <w:tc>
          <w:tcPr>
            <w:tcW w:w="3132" w:type="dxa"/>
            <w:tcBorders>
              <w:left w:val="single" w:color="000000" w:sz="6" w:space="0"/>
            </w:tcBorders>
            <w:vAlign w:val="center"/>
          </w:tcPr>
          <w:p w14:paraId="4821C28B">
            <w:pPr>
              <w:pStyle w:val="175"/>
              <w:rPr>
                <w:color w:val="auto"/>
              </w:rPr>
            </w:pPr>
            <w:r>
              <w:rPr>
                <w:color w:val="auto"/>
              </w:rPr>
              <w:t>污水泵房</w:t>
            </w:r>
          </w:p>
        </w:tc>
        <w:tc>
          <w:tcPr>
            <w:tcW w:w="625" w:type="dxa"/>
            <w:vAlign w:val="center"/>
          </w:tcPr>
          <w:p w14:paraId="52312CFB">
            <w:pPr>
              <w:pStyle w:val="175"/>
              <w:rPr>
                <w:color w:val="auto"/>
              </w:rPr>
            </w:pPr>
            <w:r>
              <w:rPr>
                <w:color w:val="auto"/>
              </w:rPr>
              <w:t>＞5</w:t>
            </w:r>
          </w:p>
        </w:tc>
        <w:tc>
          <w:tcPr>
            <w:tcW w:w="888" w:type="dxa"/>
            <w:vAlign w:val="center"/>
          </w:tcPr>
          <w:p w14:paraId="439774E5">
            <w:pPr>
              <w:pStyle w:val="175"/>
              <w:rPr>
                <w:color w:val="auto"/>
              </w:rPr>
            </w:pPr>
            <w:r>
              <w:rPr>
                <w:color w:val="auto"/>
              </w:rPr>
              <w:t>—</w:t>
            </w:r>
          </w:p>
        </w:tc>
        <w:tc>
          <w:tcPr>
            <w:tcW w:w="852" w:type="dxa"/>
            <w:vAlign w:val="center"/>
          </w:tcPr>
          <w:p w14:paraId="246C5B9F">
            <w:pPr>
              <w:pStyle w:val="175"/>
              <w:rPr>
                <w:color w:val="auto"/>
              </w:rPr>
            </w:pPr>
            <w:r>
              <w:rPr>
                <w:color w:val="auto"/>
              </w:rPr>
              <w:t>—</w:t>
            </w:r>
          </w:p>
        </w:tc>
        <w:tc>
          <w:tcPr>
            <w:tcW w:w="843" w:type="dxa"/>
            <w:vAlign w:val="center"/>
          </w:tcPr>
          <w:p w14:paraId="6C03A1D9">
            <w:pPr>
              <w:pStyle w:val="175"/>
              <w:rPr>
                <w:color w:val="auto"/>
              </w:rPr>
            </w:pPr>
            <w:r>
              <w:rPr>
                <w:rFonts w:hint="eastAsia"/>
                <w:color w:val="auto"/>
              </w:rPr>
              <w:t>10（排风）</w:t>
            </w:r>
          </w:p>
        </w:tc>
      </w:tr>
      <w:tr w14:paraId="5E42B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9" w:hRule="atLeast"/>
          <w:jc w:val="center"/>
        </w:trPr>
        <w:tc>
          <w:tcPr>
            <w:tcW w:w="3132" w:type="dxa"/>
            <w:tcBorders>
              <w:left w:val="single" w:color="000000" w:sz="6" w:space="0"/>
            </w:tcBorders>
            <w:vAlign w:val="center"/>
          </w:tcPr>
          <w:p w14:paraId="57B5A8E5">
            <w:pPr>
              <w:pStyle w:val="175"/>
              <w:rPr>
                <w:color w:val="auto"/>
              </w:rPr>
            </w:pPr>
            <w:r>
              <w:rPr>
                <w:rFonts w:hint="eastAsia"/>
                <w:color w:val="auto"/>
              </w:rPr>
              <w:t>制冷机房</w:t>
            </w:r>
          </w:p>
        </w:tc>
        <w:tc>
          <w:tcPr>
            <w:tcW w:w="625" w:type="dxa"/>
            <w:vAlign w:val="center"/>
          </w:tcPr>
          <w:p w14:paraId="6F1D4217">
            <w:pPr>
              <w:pStyle w:val="175"/>
              <w:rPr>
                <w:color w:val="auto"/>
              </w:rPr>
            </w:pPr>
            <w:r>
              <w:rPr>
                <w:color w:val="auto"/>
              </w:rPr>
              <w:t>＞5</w:t>
            </w:r>
          </w:p>
        </w:tc>
        <w:tc>
          <w:tcPr>
            <w:tcW w:w="888" w:type="dxa"/>
            <w:vAlign w:val="center"/>
          </w:tcPr>
          <w:p w14:paraId="507D5195">
            <w:pPr>
              <w:pStyle w:val="175"/>
              <w:rPr>
                <w:color w:val="auto"/>
              </w:rPr>
            </w:pPr>
            <w:r>
              <w:rPr>
                <w:color w:val="auto"/>
              </w:rPr>
              <w:t>—</w:t>
            </w:r>
          </w:p>
        </w:tc>
        <w:tc>
          <w:tcPr>
            <w:tcW w:w="852" w:type="dxa"/>
            <w:vAlign w:val="center"/>
          </w:tcPr>
          <w:p w14:paraId="72AFAA40">
            <w:pPr>
              <w:pStyle w:val="175"/>
              <w:rPr>
                <w:color w:val="auto"/>
              </w:rPr>
            </w:pPr>
            <w:r>
              <w:rPr>
                <w:color w:val="auto"/>
              </w:rPr>
              <w:t>—</w:t>
            </w:r>
          </w:p>
        </w:tc>
        <w:tc>
          <w:tcPr>
            <w:tcW w:w="843" w:type="dxa"/>
            <w:vAlign w:val="center"/>
          </w:tcPr>
          <w:p w14:paraId="58235362">
            <w:pPr>
              <w:pStyle w:val="175"/>
              <w:rPr>
                <w:color w:val="auto"/>
              </w:rPr>
            </w:pPr>
            <w:r>
              <w:rPr>
                <w:rFonts w:hint="eastAsia"/>
                <w:color w:val="auto"/>
              </w:rPr>
              <w:t>6</w:t>
            </w:r>
          </w:p>
        </w:tc>
      </w:tr>
      <w:tr w14:paraId="01A51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9" w:hRule="atLeast"/>
          <w:jc w:val="center"/>
        </w:trPr>
        <w:tc>
          <w:tcPr>
            <w:tcW w:w="3132" w:type="dxa"/>
            <w:tcBorders>
              <w:left w:val="single" w:color="000000" w:sz="6" w:space="0"/>
            </w:tcBorders>
            <w:vAlign w:val="center"/>
          </w:tcPr>
          <w:p w14:paraId="3FEAAB8D">
            <w:pPr>
              <w:pStyle w:val="175"/>
              <w:rPr>
                <w:color w:val="auto"/>
              </w:rPr>
            </w:pPr>
            <w:r>
              <w:rPr>
                <w:rFonts w:hint="eastAsia"/>
                <w:color w:val="auto"/>
              </w:rPr>
              <w:t>消防泵房、废水泵房</w:t>
            </w:r>
          </w:p>
        </w:tc>
        <w:tc>
          <w:tcPr>
            <w:tcW w:w="625" w:type="dxa"/>
            <w:vAlign w:val="center"/>
          </w:tcPr>
          <w:p w14:paraId="28C40E3A">
            <w:pPr>
              <w:pStyle w:val="175"/>
              <w:rPr>
                <w:color w:val="auto"/>
              </w:rPr>
            </w:pPr>
            <w:r>
              <w:rPr>
                <w:color w:val="auto"/>
              </w:rPr>
              <w:t>&gt;</w:t>
            </w:r>
            <w:r>
              <w:rPr>
                <w:rFonts w:hint="eastAsia"/>
                <w:color w:val="auto"/>
              </w:rPr>
              <w:t>5</w:t>
            </w:r>
          </w:p>
        </w:tc>
        <w:tc>
          <w:tcPr>
            <w:tcW w:w="888" w:type="dxa"/>
            <w:vAlign w:val="center"/>
          </w:tcPr>
          <w:p w14:paraId="04627DEC">
            <w:pPr>
              <w:pStyle w:val="175"/>
              <w:rPr>
                <w:color w:val="auto"/>
              </w:rPr>
            </w:pPr>
            <w:r>
              <w:rPr>
                <w:rFonts w:hint="eastAsia"/>
                <w:color w:val="auto"/>
              </w:rPr>
              <w:t>—</w:t>
            </w:r>
          </w:p>
        </w:tc>
        <w:tc>
          <w:tcPr>
            <w:tcW w:w="852" w:type="dxa"/>
            <w:vAlign w:val="center"/>
          </w:tcPr>
          <w:p w14:paraId="518578B6">
            <w:pPr>
              <w:pStyle w:val="175"/>
              <w:rPr>
                <w:color w:val="auto"/>
              </w:rPr>
            </w:pPr>
            <w:r>
              <w:rPr>
                <w:rFonts w:hint="eastAsia"/>
                <w:color w:val="auto"/>
              </w:rPr>
              <w:t>—</w:t>
            </w:r>
          </w:p>
        </w:tc>
        <w:tc>
          <w:tcPr>
            <w:tcW w:w="843" w:type="dxa"/>
            <w:vAlign w:val="center"/>
          </w:tcPr>
          <w:p w14:paraId="0874BDE1">
            <w:pPr>
              <w:pStyle w:val="175"/>
              <w:rPr>
                <w:color w:val="auto"/>
              </w:rPr>
            </w:pPr>
            <w:r>
              <w:rPr>
                <w:rFonts w:hint="eastAsia"/>
                <w:color w:val="auto"/>
              </w:rPr>
              <w:t>6（排风）</w:t>
            </w:r>
          </w:p>
        </w:tc>
      </w:tr>
      <w:tr w14:paraId="6A3FE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9" w:hRule="atLeast"/>
          <w:jc w:val="center"/>
        </w:trPr>
        <w:tc>
          <w:tcPr>
            <w:tcW w:w="3132" w:type="dxa"/>
            <w:tcBorders>
              <w:left w:val="single" w:color="000000" w:sz="6" w:space="0"/>
            </w:tcBorders>
            <w:vAlign w:val="center"/>
          </w:tcPr>
          <w:p w14:paraId="35CE8A9A">
            <w:pPr>
              <w:pStyle w:val="175"/>
              <w:rPr>
                <w:color w:val="auto"/>
              </w:rPr>
            </w:pPr>
            <w:r>
              <w:rPr>
                <w:rFonts w:hint="eastAsia"/>
                <w:color w:val="auto"/>
              </w:rPr>
              <w:t>通风空调机房</w:t>
            </w:r>
          </w:p>
        </w:tc>
        <w:tc>
          <w:tcPr>
            <w:tcW w:w="625" w:type="dxa"/>
            <w:vAlign w:val="center"/>
          </w:tcPr>
          <w:p w14:paraId="4FA7FB68">
            <w:pPr>
              <w:pStyle w:val="175"/>
              <w:rPr>
                <w:color w:val="auto"/>
              </w:rPr>
            </w:pPr>
            <w:r>
              <w:rPr>
                <w:color w:val="auto"/>
              </w:rPr>
              <w:t>—</w:t>
            </w:r>
          </w:p>
        </w:tc>
        <w:tc>
          <w:tcPr>
            <w:tcW w:w="888" w:type="dxa"/>
            <w:vAlign w:val="center"/>
          </w:tcPr>
          <w:p w14:paraId="7A649254">
            <w:pPr>
              <w:pStyle w:val="175"/>
              <w:rPr>
                <w:color w:val="auto"/>
              </w:rPr>
            </w:pPr>
            <w:r>
              <w:rPr>
                <w:color w:val="auto"/>
              </w:rPr>
              <w:t>—</w:t>
            </w:r>
          </w:p>
        </w:tc>
        <w:tc>
          <w:tcPr>
            <w:tcW w:w="852" w:type="dxa"/>
            <w:vAlign w:val="center"/>
          </w:tcPr>
          <w:p w14:paraId="7F4EA0A4">
            <w:pPr>
              <w:pStyle w:val="175"/>
              <w:rPr>
                <w:color w:val="auto"/>
              </w:rPr>
            </w:pPr>
            <w:r>
              <w:rPr>
                <w:color w:val="auto"/>
              </w:rPr>
              <w:t>—</w:t>
            </w:r>
          </w:p>
        </w:tc>
        <w:tc>
          <w:tcPr>
            <w:tcW w:w="843" w:type="dxa"/>
            <w:vAlign w:val="center"/>
          </w:tcPr>
          <w:p w14:paraId="0675A4CC">
            <w:pPr>
              <w:pStyle w:val="175"/>
              <w:rPr>
                <w:color w:val="auto"/>
              </w:rPr>
            </w:pPr>
            <w:r>
              <w:rPr>
                <w:rFonts w:hint="eastAsia"/>
                <w:color w:val="auto"/>
              </w:rPr>
              <w:t>6</w:t>
            </w:r>
          </w:p>
        </w:tc>
      </w:tr>
      <w:tr w14:paraId="76E84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3" w:hRule="atLeast"/>
          <w:jc w:val="center"/>
        </w:trPr>
        <w:tc>
          <w:tcPr>
            <w:tcW w:w="3132" w:type="dxa"/>
            <w:tcBorders>
              <w:left w:val="single" w:color="000000" w:sz="6" w:space="0"/>
            </w:tcBorders>
            <w:vAlign w:val="center"/>
          </w:tcPr>
          <w:p w14:paraId="313182A5">
            <w:pPr>
              <w:pStyle w:val="175"/>
              <w:rPr>
                <w:color w:val="auto"/>
              </w:rPr>
            </w:pPr>
            <w:r>
              <w:rPr>
                <w:color w:val="auto"/>
              </w:rPr>
              <w:t>清扫工具间、储藏室</w:t>
            </w:r>
            <w:r>
              <w:rPr>
                <w:rFonts w:hint="eastAsia"/>
                <w:color w:val="auto"/>
              </w:rPr>
              <w:t>、车站用品间</w:t>
            </w:r>
          </w:p>
        </w:tc>
        <w:tc>
          <w:tcPr>
            <w:tcW w:w="625" w:type="dxa"/>
            <w:vAlign w:val="center"/>
          </w:tcPr>
          <w:p w14:paraId="536DBFD8">
            <w:pPr>
              <w:pStyle w:val="175"/>
              <w:rPr>
                <w:color w:val="auto"/>
              </w:rPr>
            </w:pPr>
            <w:r>
              <w:rPr>
                <w:color w:val="auto"/>
              </w:rPr>
              <w:t>—</w:t>
            </w:r>
          </w:p>
        </w:tc>
        <w:tc>
          <w:tcPr>
            <w:tcW w:w="888" w:type="dxa"/>
            <w:vAlign w:val="center"/>
          </w:tcPr>
          <w:p w14:paraId="34659B62">
            <w:pPr>
              <w:pStyle w:val="175"/>
              <w:rPr>
                <w:color w:val="auto"/>
              </w:rPr>
            </w:pPr>
            <w:r>
              <w:rPr>
                <w:color w:val="auto"/>
              </w:rPr>
              <w:t>—</w:t>
            </w:r>
          </w:p>
        </w:tc>
        <w:tc>
          <w:tcPr>
            <w:tcW w:w="852" w:type="dxa"/>
            <w:vAlign w:val="center"/>
          </w:tcPr>
          <w:p w14:paraId="3906D73E">
            <w:pPr>
              <w:pStyle w:val="175"/>
              <w:rPr>
                <w:color w:val="auto"/>
              </w:rPr>
            </w:pPr>
            <w:r>
              <w:rPr>
                <w:color w:val="auto"/>
              </w:rPr>
              <w:t>—</w:t>
            </w:r>
          </w:p>
        </w:tc>
        <w:tc>
          <w:tcPr>
            <w:tcW w:w="843" w:type="dxa"/>
            <w:vAlign w:val="center"/>
          </w:tcPr>
          <w:p w14:paraId="567C3ACA">
            <w:pPr>
              <w:pStyle w:val="175"/>
              <w:rPr>
                <w:color w:val="auto"/>
              </w:rPr>
            </w:pPr>
            <w:r>
              <w:rPr>
                <w:rFonts w:hint="eastAsia"/>
                <w:color w:val="auto"/>
              </w:rPr>
              <w:t>4（排风）</w:t>
            </w:r>
          </w:p>
        </w:tc>
      </w:tr>
      <w:tr w14:paraId="7A75B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3" w:hRule="atLeast"/>
          <w:jc w:val="center"/>
        </w:trPr>
        <w:tc>
          <w:tcPr>
            <w:tcW w:w="3132" w:type="dxa"/>
            <w:tcBorders>
              <w:left w:val="single" w:color="000000" w:sz="6" w:space="0"/>
            </w:tcBorders>
            <w:vAlign w:val="center"/>
          </w:tcPr>
          <w:p w14:paraId="48C5BA90">
            <w:pPr>
              <w:pStyle w:val="175"/>
              <w:rPr>
                <w:color w:val="auto"/>
              </w:rPr>
            </w:pPr>
            <w:r>
              <w:rPr>
                <w:color w:val="auto"/>
              </w:rPr>
              <w:t>气瓶室</w:t>
            </w:r>
          </w:p>
        </w:tc>
        <w:tc>
          <w:tcPr>
            <w:tcW w:w="625" w:type="dxa"/>
            <w:vAlign w:val="center"/>
          </w:tcPr>
          <w:p w14:paraId="6493040C">
            <w:pPr>
              <w:pStyle w:val="175"/>
              <w:rPr>
                <w:color w:val="auto"/>
              </w:rPr>
            </w:pPr>
            <w:r>
              <w:rPr>
                <w:color w:val="auto"/>
              </w:rPr>
              <w:t>—</w:t>
            </w:r>
          </w:p>
        </w:tc>
        <w:tc>
          <w:tcPr>
            <w:tcW w:w="888" w:type="dxa"/>
            <w:vAlign w:val="center"/>
          </w:tcPr>
          <w:p w14:paraId="770F231D">
            <w:pPr>
              <w:pStyle w:val="175"/>
              <w:rPr>
                <w:color w:val="auto"/>
              </w:rPr>
            </w:pPr>
            <w:r>
              <w:rPr>
                <w:color w:val="auto"/>
              </w:rPr>
              <w:t>—</w:t>
            </w:r>
          </w:p>
        </w:tc>
        <w:tc>
          <w:tcPr>
            <w:tcW w:w="852" w:type="dxa"/>
            <w:vAlign w:val="center"/>
          </w:tcPr>
          <w:p w14:paraId="1AC2F8D0">
            <w:pPr>
              <w:pStyle w:val="175"/>
              <w:rPr>
                <w:color w:val="auto"/>
              </w:rPr>
            </w:pPr>
            <w:r>
              <w:rPr>
                <w:color w:val="auto"/>
              </w:rPr>
              <w:t>—</w:t>
            </w:r>
          </w:p>
        </w:tc>
        <w:tc>
          <w:tcPr>
            <w:tcW w:w="843" w:type="dxa"/>
            <w:vAlign w:val="center"/>
          </w:tcPr>
          <w:p w14:paraId="44CFFEFB">
            <w:pPr>
              <w:pStyle w:val="175"/>
              <w:rPr>
                <w:color w:val="auto"/>
              </w:rPr>
            </w:pPr>
            <w:r>
              <w:rPr>
                <w:rFonts w:hint="eastAsia"/>
                <w:color w:val="auto"/>
              </w:rPr>
              <w:t>6（排风）</w:t>
            </w:r>
          </w:p>
        </w:tc>
      </w:tr>
      <w:tr w14:paraId="6659F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3" w:hRule="atLeast"/>
          <w:jc w:val="center"/>
        </w:trPr>
        <w:tc>
          <w:tcPr>
            <w:tcW w:w="3132" w:type="dxa"/>
            <w:tcBorders>
              <w:left w:val="single" w:color="000000" w:sz="6" w:space="0"/>
            </w:tcBorders>
            <w:vAlign w:val="center"/>
          </w:tcPr>
          <w:p w14:paraId="121DBE24">
            <w:pPr>
              <w:pStyle w:val="175"/>
              <w:rPr>
                <w:color w:val="auto"/>
              </w:rPr>
            </w:pPr>
            <w:r>
              <w:rPr>
                <w:color w:val="auto"/>
              </w:rPr>
              <w:t>、废水泵房、消防泵房</w:t>
            </w:r>
          </w:p>
        </w:tc>
        <w:tc>
          <w:tcPr>
            <w:tcW w:w="625" w:type="dxa"/>
            <w:vAlign w:val="center"/>
          </w:tcPr>
          <w:p w14:paraId="1A14145E">
            <w:pPr>
              <w:pStyle w:val="175"/>
              <w:rPr>
                <w:color w:val="auto"/>
              </w:rPr>
            </w:pPr>
            <w:r>
              <w:rPr>
                <w:color w:val="auto"/>
              </w:rPr>
              <w:t>＞5</w:t>
            </w:r>
          </w:p>
        </w:tc>
        <w:tc>
          <w:tcPr>
            <w:tcW w:w="888" w:type="dxa"/>
            <w:vAlign w:val="center"/>
          </w:tcPr>
          <w:p w14:paraId="0F5E10D9">
            <w:pPr>
              <w:pStyle w:val="175"/>
              <w:rPr>
                <w:color w:val="auto"/>
              </w:rPr>
            </w:pPr>
            <w:r>
              <w:rPr>
                <w:color w:val="auto"/>
              </w:rPr>
              <w:t>—</w:t>
            </w:r>
          </w:p>
        </w:tc>
        <w:tc>
          <w:tcPr>
            <w:tcW w:w="852" w:type="dxa"/>
            <w:vAlign w:val="center"/>
          </w:tcPr>
          <w:p w14:paraId="26B91F3D">
            <w:pPr>
              <w:pStyle w:val="175"/>
              <w:rPr>
                <w:color w:val="auto"/>
              </w:rPr>
            </w:pPr>
            <w:r>
              <w:rPr>
                <w:color w:val="auto"/>
              </w:rPr>
              <w:t>—</w:t>
            </w:r>
          </w:p>
        </w:tc>
        <w:tc>
          <w:tcPr>
            <w:tcW w:w="843" w:type="dxa"/>
            <w:vAlign w:val="center"/>
          </w:tcPr>
          <w:p w14:paraId="26F028CD">
            <w:pPr>
              <w:pStyle w:val="175"/>
              <w:rPr>
                <w:color w:val="auto"/>
              </w:rPr>
            </w:pPr>
            <w:r>
              <w:rPr>
                <w:color w:val="auto"/>
              </w:rPr>
              <w:t>—</w:t>
            </w:r>
          </w:p>
        </w:tc>
      </w:tr>
    </w:tbl>
    <w:p w14:paraId="249CFB31">
      <w:pPr>
        <w:spacing w:line="240" w:lineRule="auto"/>
        <w:ind w:firstLine="300" w:firstLineChars="200"/>
        <w:jc w:val="left"/>
        <w:rPr>
          <w:sz w:val="15"/>
          <w:szCs w:val="15"/>
        </w:rPr>
      </w:pPr>
      <w:r>
        <w:rPr>
          <w:sz w:val="15"/>
          <w:szCs w:val="15"/>
        </w:rPr>
        <w:t>注：</w:t>
      </w:r>
      <w:r>
        <w:rPr>
          <w:rFonts w:hint="eastAsia"/>
          <w:sz w:val="15"/>
          <w:szCs w:val="15"/>
        </w:rPr>
        <w:t>1  表中</w:t>
      </w:r>
      <w:r>
        <w:rPr>
          <w:sz w:val="15"/>
          <w:szCs w:val="15"/>
        </w:rPr>
        <w:t>换气次数</w:t>
      </w:r>
      <w:r>
        <w:rPr>
          <w:rFonts w:hint="eastAsia"/>
          <w:sz w:val="15"/>
          <w:szCs w:val="15"/>
        </w:rPr>
        <w:t>为</w:t>
      </w:r>
      <w:r>
        <w:rPr>
          <w:sz w:val="15"/>
          <w:szCs w:val="15"/>
        </w:rPr>
        <w:t>通风工况下房间的最小换气标准</w:t>
      </w:r>
      <w:r>
        <w:rPr>
          <w:rFonts w:hint="eastAsia"/>
          <w:sz w:val="15"/>
          <w:szCs w:val="15"/>
        </w:rPr>
        <w:t>；</w:t>
      </w:r>
    </w:p>
    <w:p w14:paraId="355D4F1C">
      <w:pPr>
        <w:spacing w:line="240" w:lineRule="auto"/>
        <w:ind w:left="823" w:leftChars="285" w:hanging="225" w:hangingChars="150"/>
        <w:jc w:val="left"/>
        <w:rPr>
          <w:sz w:val="15"/>
          <w:szCs w:val="20"/>
        </w:rPr>
      </w:pPr>
      <w:r>
        <w:rPr>
          <w:rFonts w:hint="eastAsia"/>
          <w:sz w:val="15"/>
          <w:szCs w:val="20"/>
        </w:rPr>
        <w:t xml:space="preserve">2  </w:t>
      </w:r>
      <w:r>
        <w:rPr>
          <w:sz w:val="15"/>
          <w:szCs w:val="20"/>
        </w:rPr>
        <w:t>厕所排风量按每坑位</w:t>
      </w:r>
      <w:r>
        <w:rPr>
          <w:rFonts w:hint="eastAsia"/>
          <w:sz w:val="15"/>
          <w:szCs w:val="20"/>
        </w:rPr>
        <w:t>不小于</w:t>
      </w:r>
      <w:r>
        <w:rPr>
          <w:sz w:val="15"/>
          <w:szCs w:val="20"/>
        </w:rPr>
        <w:t>100m3/h</w:t>
      </w:r>
      <w:r>
        <w:rPr>
          <w:rFonts w:hint="eastAsia"/>
          <w:sz w:val="15"/>
          <w:szCs w:val="20"/>
        </w:rPr>
        <w:t>核算，其他房间设计通风量尚应按排除余热进行核算；</w:t>
      </w:r>
    </w:p>
    <w:p w14:paraId="57B0A383">
      <w:pPr>
        <w:spacing w:line="240" w:lineRule="auto"/>
        <w:ind w:left="823" w:leftChars="285" w:hanging="225" w:hangingChars="150"/>
        <w:jc w:val="left"/>
        <w:rPr>
          <w:sz w:val="15"/>
          <w:szCs w:val="20"/>
        </w:rPr>
      </w:pPr>
      <w:r>
        <w:rPr>
          <w:rFonts w:hint="eastAsia"/>
          <w:sz w:val="15"/>
          <w:szCs w:val="20"/>
        </w:rPr>
        <w:t>3 括号中注明排风的为机械排风换气次数，未注明排风的为机械送风与机械排风的换气次数。</w:t>
      </w:r>
    </w:p>
    <w:p w14:paraId="2E7DB73A">
      <w:pPr>
        <w:numPr>
          <w:ilvl w:val="2"/>
          <w:numId w:val="1"/>
        </w:numPr>
        <w:tabs>
          <w:tab w:val="left" w:pos="851"/>
          <w:tab w:val="left" w:pos="993"/>
        </w:tabs>
        <w:jc w:val="left"/>
        <w:outlineLvl w:val="2"/>
      </w:pPr>
      <w:r>
        <w:t>人员新风量应符合下列规定：</w:t>
      </w:r>
    </w:p>
    <w:p w14:paraId="27EAEF5C">
      <w:pPr>
        <w:pStyle w:val="86"/>
        <w:ind w:firstLine="422"/>
        <w:rPr>
          <w:color w:val="auto"/>
        </w:rPr>
      </w:pPr>
      <w:r>
        <w:rPr>
          <w:b/>
          <w:color w:val="auto"/>
        </w:rPr>
        <w:t>1</w:t>
      </w:r>
      <w:r>
        <w:rPr>
          <w:rFonts w:hint="eastAsia"/>
          <w:color w:val="auto"/>
        </w:rPr>
        <w:t xml:space="preserve">  </w:t>
      </w:r>
      <w:r>
        <w:rPr>
          <w:color w:val="auto"/>
        </w:rPr>
        <w:t>区间隧道内每个乘客每小时需供应的新鲜空气量不应少于20m</w:t>
      </w:r>
      <w:r>
        <w:rPr>
          <w:color w:val="auto"/>
          <w:vertAlign w:val="superscript"/>
        </w:rPr>
        <w:t>3</w:t>
      </w:r>
      <w:r>
        <w:rPr>
          <w:color w:val="auto"/>
        </w:rPr>
        <w:t>；</w:t>
      </w:r>
    </w:p>
    <w:p w14:paraId="7AED543D">
      <w:pPr>
        <w:pStyle w:val="86"/>
        <w:ind w:firstLine="422"/>
        <w:rPr>
          <w:color w:val="auto"/>
        </w:rPr>
      </w:pPr>
      <w:r>
        <w:rPr>
          <w:b/>
          <w:color w:val="auto"/>
        </w:rPr>
        <w:t>2</w:t>
      </w:r>
      <w:r>
        <w:rPr>
          <w:rFonts w:hint="eastAsia"/>
          <w:color w:val="auto"/>
        </w:rPr>
        <w:t xml:space="preserve">  </w:t>
      </w:r>
      <w:r>
        <w:rPr>
          <w:color w:val="auto"/>
        </w:rPr>
        <w:t>当地下车站公共区采用通风系统开式运行时，每个乘客每小时需供应的新鲜空气量不应少于30m</w:t>
      </w:r>
      <w:r>
        <w:rPr>
          <w:color w:val="auto"/>
          <w:vertAlign w:val="superscript"/>
        </w:rPr>
        <w:t>3</w:t>
      </w:r>
      <w:r>
        <w:rPr>
          <w:color w:val="auto"/>
        </w:rPr>
        <w:t>；当采用通风系统闭式运行时，其新鲜空气量不应少于20m</w:t>
      </w:r>
      <w:r>
        <w:rPr>
          <w:color w:val="auto"/>
          <w:vertAlign w:val="superscript"/>
        </w:rPr>
        <w:t>3</w:t>
      </w:r>
      <w:r>
        <w:rPr>
          <w:color w:val="auto"/>
        </w:rPr>
        <w:t>；</w:t>
      </w:r>
    </w:p>
    <w:p w14:paraId="7DC5B4B9">
      <w:pPr>
        <w:pStyle w:val="86"/>
        <w:ind w:firstLine="422"/>
        <w:rPr>
          <w:color w:val="auto"/>
        </w:rPr>
      </w:pPr>
      <w:r>
        <w:rPr>
          <w:b/>
          <w:color w:val="auto"/>
        </w:rPr>
        <w:t>3</w:t>
      </w:r>
      <w:r>
        <w:rPr>
          <w:rFonts w:hint="eastAsia"/>
          <w:color w:val="auto"/>
        </w:rPr>
        <w:t xml:space="preserve">  </w:t>
      </w:r>
      <w:r>
        <w:rPr>
          <w:color w:val="auto"/>
        </w:rPr>
        <w:t>当地下车站公共区采用空调系统时，每个乘客每小时需供应的新鲜空气量不应少于20m</w:t>
      </w:r>
      <w:r>
        <w:rPr>
          <w:color w:val="auto"/>
          <w:vertAlign w:val="superscript"/>
        </w:rPr>
        <w:t>3</w:t>
      </w:r>
      <w:r>
        <w:rPr>
          <w:color w:val="auto"/>
        </w:rPr>
        <w:t>；</w:t>
      </w:r>
    </w:p>
    <w:p w14:paraId="24B3141F">
      <w:pPr>
        <w:pStyle w:val="204"/>
        <w:ind w:firstLine="422"/>
        <w:rPr>
          <w:rFonts w:ascii="Times New Roman" w:hAnsi="Times New Roman" w:cs="Times New Roman"/>
          <w:sz w:val="21"/>
          <w:szCs w:val="18"/>
        </w:rPr>
      </w:pPr>
      <w:r>
        <w:rPr>
          <w:rFonts w:ascii="Times New Roman" w:hAnsi="Times New Roman" w:cs="Times New Roman"/>
          <w:b/>
          <w:sz w:val="21"/>
          <w:szCs w:val="18"/>
        </w:rPr>
        <w:t>4</w:t>
      </w:r>
      <w:r>
        <w:rPr>
          <w:rFonts w:hint="eastAsia" w:ascii="Times New Roman" w:hAnsi="Times New Roman" w:cs="Times New Roman"/>
          <w:sz w:val="21"/>
          <w:szCs w:val="18"/>
        </w:rPr>
        <w:t xml:space="preserve">  </w:t>
      </w:r>
      <w:r>
        <w:rPr>
          <w:rFonts w:ascii="Times New Roman" w:hAnsi="Times New Roman" w:cs="Times New Roman"/>
          <w:sz w:val="21"/>
          <w:szCs w:val="18"/>
        </w:rPr>
        <w:t>地下车站设备及管理用房内每个工作人员每小时需供应的新鲜空气量不应少于30m</w:t>
      </w:r>
      <w:r>
        <w:rPr>
          <w:rFonts w:ascii="Times New Roman" w:hAnsi="Times New Roman" w:cs="Times New Roman"/>
          <w:sz w:val="21"/>
          <w:szCs w:val="18"/>
          <w:vertAlign w:val="superscript"/>
        </w:rPr>
        <w:t>3</w:t>
      </w:r>
      <w:r>
        <w:rPr>
          <w:rFonts w:hint="eastAsia" w:ascii="Times New Roman" w:hAnsi="Times New Roman" w:cs="Times New Roman"/>
          <w:sz w:val="21"/>
          <w:szCs w:val="18"/>
        </w:rPr>
        <w:t>。</w:t>
      </w:r>
    </w:p>
    <w:p w14:paraId="0517A6EE">
      <w:pPr>
        <w:numPr>
          <w:ilvl w:val="2"/>
          <w:numId w:val="1"/>
        </w:numPr>
        <w:tabs>
          <w:tab w:val="left" w:pos="851"/>
          <w:tab w:val="left" w:pos="993"/>
        </w:tabs>
        <w:jc w:val="left"/>
        <w:outlineLvl w:val="2"/>
      </w:pPr>
      <w:r>
        <w:t>通风与空调系统的噪声应符合下列规定：</w:t>
      </w:r>
    </w:p>
    <w:p w14:paraId="776BBEBE">
      <w:pPr>
        <w:pStyle w:val="86"/>
        <w:ind w:firstLine="422"/>
        <w:rPr>
          <w:color w:val="auto"/>
        </w:rPr>
      </w:pPr>
      <w:r>
        <w:rPr>
          <w:b/>
          <w:color w:val="auto"/>
        </w:rPr>
        <w:t>1</w:t>
      </w:r>
      <w:r>
        <w:rPr>
          <w:rFonts w:hint="eastAsia"/>
          <w:color w:val="auto"/>
        </w:rPr>
        <w:t xml:space="preserve">  </w:t>
      </w:r>
      <w:r>
        <w:rPr>
          <w:color w:val="auto"/>
        </w:rPr>
        <w:t>通风与空调系统设备运转传至站厅、站台公共区的噪声不得超过70dB(A)；</w:t>
      </w:r>
    </w:p>
    <w:p w14:paraId="7B816765">
      <w:pPr>
        <w:pStyle w:val="86"/>
        <w:ind w:firstLine="422"/>
        <w:rPr>
          <w:color w:val="auto"/>
        </w:rPr>
      </w:pPr>
      <w:r>
        <w:rPr>
          <w:b/>
          <w:color w:val="auto"/>
        </w:rPr>
        <w:t>2</w:t>
      </w:r>
      <w:r>
        <w:rPr>
          <w:rFonts w:hint="eastAsia"/>
          <w:color w:val="auto"/>
        </w:rPr>
        <w:t xml:space="preserve">  </w:t>
      </w:r>
      <w:r>
        <w:rPr>
          <w:color w:val="auto"/>
        </w:rPr>
        <w:t>通风与空调设备传至各设备及管理用房内的噪声不得超过60dB(A)；</w:t>
      </w:r>
    </w:p>
    <w:p w14:paraId="2E688EF2">
      <w:pPr>
        <w:pStyle w:val="86"/>
        <w:ind w:firstLine="422"/>
        <w:rPr>
          <w:color w:val="auto"/>
        </w:rPr>
      </w:pPr>
      <w:r>
        <w:rPr>
          <w:b/>
          <w:color w:val="auto"/>
        </w:rPr>
        <w:t>3</w:t>
      </w:r>
      <w:r>
        <w:rPr>
          <w:rFonts w:hint="eastAsia"/>
          <w:color w:val="auto"/>
        </w:rPr>
        <w:t xml:space="preserve">  </w:t>
      </w:r>
      <w:r>
        <w:rPr>
          <w:color w:val="auto"/>
        </w:rPr>
        <w:t>通风与空调机房内的噪声不得超过90dB(A)。</w:t>
      </w:r>
    </w:p>
    <w:p w14:paraId="7C409A20">
      <w:pPr>
        <w:numPr>
          <w:ilvl w:val="2"/>
          <w:numId w:val="1"/>
        </w:numPr>
        <w:tabs>
          <w:tab w:val="left" w:pos="851"/>
          <w:tab w:val="left" w:pos="993"/>
        </w:tabs>
        <w:jc w:val="left"/>
        <w:outlineLvl w:val="2"/>
      </w:pPr>
      <w:r>
        <w:t>地下区间隧道及车站公共区空气中的CO</w:t>
      </w:r>
      <w:r>
        <w:rPr>
          <w:vertAlign w:val="subscript"/>
        </w:rPr>
        <w:t>2</w:t>
      </w:r>
      <w:r>
        <w:t>浓度应小于1.5‰，车站设备及管理用房</w:t>
      </w:r>
      <w:r>
        <w:rPr>
          <w:bCs/>
        </w:rPr>
        <w:t>空气</w:t>
      </w:r>
      <w:r>
        <w:t>中的CO2浓度应小于1.0‰。</w:t>
      </w:r>
    </w:p>
    <w:p w14:paraId="5565B103">
      <w:pPr>
        <w:numPr>
          <w:ilvl w:val="2"/>
          <w:numId w:val="1"/>
        </w:numPr>
        <w:tabs>
          <w:tab w:val="left" w:pos="851"/>
          <w:tab w:val="left" w:pos="993"/>
        </w:tabs>
        <w:jc w:val="left"/>
        <w:outlineLvl w:val="2"/>
      </w:pPr>
      <w:r>
        <w:t>地下车站公共区空气中可吸入颗粒物</w:t>
      </w:r>
      <w:r>
        <w:rPr>
          <w:rFonts w:hint="eastAsia"/>
        </w:rPr>
        <w:t>（PM</w:t>
      </w:r>
      <w:r>
        <w:rPr>
          <w:rFonts w:hint="eastAsia"/>
          <w:vertAlign w:val="subscript"/>
        </w:rPr>
        <w:t>10</w:t>
      </w:r>
      <w:r>
        <w:rPr>
          <w:rFonts w:hint="eastAsia"/>
        </w:rPr>
        <w:t>）</w:t>
      </w:r>
      <w:r>
        <w:t>的日平均浓度应小于0.25mg/m</w:t>
      </w:r>
      <w:r>
        <w:rPr>
          <w:vertAlign w:val="superscript"/>
        </w:rPr>
        <w:t>3</w:t>
      </w:r>
      <w:r>
        <w:t>，</w:t>
      </w:r>
      <w:r>
        <w:rPr>
          <w:rFonts w:hint="eastAsia"/>
        </w:rPr>
        <w:t>总悬浮颗粒物（T</w:t>
      </w:r>
      <w:r>
        <w:t>SP</w:t>
      </w:r>
      <w:r>
        <w:rPr>
          <w:rFonts w:hint="eastAsia"/>
        </w:rPr>
        <w:t>）的日平均浓度应小于0.</w:t>
      </w:r>
      <w:r>
        <w:t>30mg/m</w:t>
      </w:r>
      <w:r>
        <w:rPr>
          <w:vertAlign w:val="superscript"/>
        </w:rPr>
        <w:t>3</w:t>
      </w:r>
      <w:r>
        <w:rPr>
          <w:rFonts w:hint="eastAsia"/>
        </w:rPr>
        <w:t>；</w:t>
      </w:r>
      <w:r>
        <w:t>车站</w:t>
      </w:r>
      <w:r>
        <w:rPr>
          <w:bCs/>
        </w:rPr>
        <w:t>设备</w:t>
      </w:r>
      <w:r>
        <w:t>及管理用房空气中可吸入颗粒物</w:t>
      </w:r>
      <w:r>
        <w:rPr>
          <w:rFonts w:hint="eastAsia"/>
        </w:rPr>
        <w:t>（PM</w:t>
      </w:r>
      <w:r>
        <w:rPr>
          <w:rFonts w:hint="eastAsia"/>
          <w:vertAlign w:val="subscript"/>
        </w:rPr>
        <w:t>10</w:t>
      </w:r>
      <w:r>
        <w:rPr>
          <w:rFonts w:hint="eastAsia"/>
        </w:rPr>
        <w:t>）</w:t>
      </w:r>
      <w:r>
        <w:t>的日平均浓度应小于0.15mg/m</w:t>
      </w:r>
      <w:r>
        <w:rPr>
          <w:vertAlign w:val="superscript"/>
        </w:rPr>
        <w:t>3</w:t>
      </w:r>
      <w:r>
        <w:t>。</w:t>
      </w:r>
    </w:p>
    <w:p w14:paraId="3944B5CE">
      <w:pPr>
        <w:jc w:val="center"/>
        <w:rPr>
          <w:b/>
        </w:rPr>
      </w:pPr>
      <w:r>
        <w:rPr>
          <w:b/>
        </w:rPr>
        <w:t>Ⅱ</w:t>
      </w:r>
      <w:r>
        <w:rPr>
          <w:rFonts w:hint="eastAsia"/>
          <w:b/>
        </w:rPr>
        <w:t xml:space="preserve">  </w:t>
      </w:r>
      <w:r>
        <w:rPr>
          <w:b/>
        </w:rPr>
        <w:t>区间隧道通风系统</w:t>
      </w:r>
    </w:p>
    <w:p w14:paraId="1BFF6107">
      <w:pPr>
        <w:numPr>
          <w:ilvl w:val="2"/>
          <w:numId w:val="1"/>
        </w:numPr>
        <w:tabs>
          <w:tab w:val="left" w:pos="851"/>
          <w:tab w:val="left" w:pos="993"/>
        </w:tabs>
        <w:jc w:val="left"/>
        <w:outlineLvl w:val="2"/>
      </w:pPr>
      <w:r>
        <w:t>区间隧道正常通风应采用活塞通风，当活塞通风不能满足排除余热要求或布置活塞通风道有困难时，应设置机械通风系统。</w:t>
      </w:r>
    </w:p>
    <w:p w14:paraId="2F39FE12">
      <w:pPr>
        <w:numPr>
          <w:ilvl w:val="2"/>
          <w:numId w:val="1"/>
        </w:numPr>
        <w:tabs>
          <w:tab w:val="left" w:pos="851"/>
          <w:tab w:val="left" w:pos="993"/>
        </w:tabs>
        <w:jc w:val="left"/>
        <w:outlineLvl w:val="2"/>
      </w:pPr>
      <w:r>
        <w:rPr>
          <w:rFonts w:hint="eastAsia"/>
        </w:rPr>
        <w:t>列车行驶速度高于</w:t>
      </w:r>
      <w:r>
        <w:t>100km/h</w:t>
      </w:r>
      <w:r>
        <w:rPr>
          <w:rFonts w:hint="eastAsia"/>
        </w:rPr>
        <w:t>时，</w:t>
      </w:r>
      <w:r>
        <w:t>隧道通风系统宜设置双活塞风道</w:t>
      </w:r>
      <w:r>
        <w:rPr>
          <w:rFonts w:hint="eastAsia"/>
        </w:rPr>
        <w:t>。</w:t>
      </w:r>
    </w:p>
    <w:p w14:paraId="5ED4B8AD">
      <w:pPr>
        <w:numPr>
          <w:ilvl w:val="2"/>
          <w:numId w:val="1"/>
        </w:numPr>
        <w:tabs>
          <w:tab w:val="left" w:pos="851"/>
          <w:tab w:val="left" w:pos="993"/>
        </w:tabs>
        <w:jc w:val="left"/>
        <w:outlineLvl w:val="2"/>
      </w:pPr>
      <w:r>
        <w:t>区间隧道通风系统的进风应直接采自大气，排风应直接排出地面。</w:t>
      </w:r>
    </w:p>
    <w:p w14:paraId="21BDB145">
      <w:pPr>
        <w:numPr>
          <w:ilvl w:val="2"/>
          <w:numId w:val="1"/>
        </w:numPr>
        <w:tabs>
          <w:tab w:val="left" w:pos="851"/>
          <w:tab w:val="left" w:pos="993"/>
        </w:tabs>
        <w:jc w:val="left"/>
        <w:outlineLvl w:val="2"/>
      </w:pPr>
      <w:r>
        <w:t>火灾情况下同时存在两列车的区间隧道，当采用纵向通风排烟时，应设置区间通风道、通风井和通风排烟设备。</w:t>
      </w:r>
    </w:p>
    <w:p w14:paraId="0546778A">
      <w:pPr>
        <w:numPr>
          <w:ilvl w:val="2"/>
          <w:numId w:val="1"/>
        </w:numPr>
        <w:tabs>
          <w:tab w:val="left" w:pos="851"/>
          <w:tab w:val="left" w:pos="993"/>
        </w:tabs>
        <w:jc w:val="left"/>
        <w:outlineLvl w:val="2"/>
      </w:pPr>
      <w:r>
        <w:t>地下车站站台设封闭</w:t>
      </w:r>
      <w:r>
        <w:rPr>
          <w:rFonts w:hint="eastAsia"/>
        </w:rPr>
        <w:t>站台屏蔽门</w:t>
      </w:r>
      <w:r>
        <w:t>时，应在车站端部设置与室外连通的活塞风道；当车站每端只设置一条活塞风道时，活塞风道应连接出站隧道。</w:t>
      </w:r>
    </w:p>
    <w:p w14:paraId="7B64A9F1">
      <w:pPr>
        <w:numPr>
          <w:ilvl w:val="2"/>
          <w:numId w:val="1"/>
        </w:numPr>
        <w:tabs>
          <w:tab w:val="left" w:pos="851"/>
          <w:tab w:val="left" w:pos="993"/>
        </w:tabs>
        <w:jc w:val="left"/>
        <w:outlineLvl w:val="2"/>
      </w:pPr>
      <w:r>
        <w:t>地下车站站台设非封闭</w:t>
      </w:r>
      <w:r>
        <w:rPr>
          <w:rFonts w:hint="eastAsia"/>
        </w:rPr>
        <w:t>站台屏蔽门</w:t>
      </w:r>
      <w:r>
        <w:t>时，在单洞单线区间隧道的车站端部上、下行线路之间应设置活塞风迂回风道。</w:t>
      </w:r>
    </w:p>
    <w:p w14:paraId="5FD88752">
      <w:pPr>
        <w:numPr>
          <w:ilvl w:val="2"/>
          <w:numId w:val="1"/>
        </w:numPr>
        <w:tabs>
          <w:tab w:val="left" w:pos="709"/>
          <w:tab w:val="left" w:pos="794"/>
          <w:tab w:val="left" w:pos="935"/>
          <w:tab w:val="left" w:pos="1502"/>
        </w:tabs>
        <w:outlineLvl w:val="2"/>
        <w:rPr>
          <w:bCs/>
        </w:rPr>
      </w:pPr>
      <w:r>
        <w:rPr>
          <w:rFonts w:hint="eastAsia"/>
          <w:bCs/>
        </w:rPr>
        <w:t>车站设置活塞风道时，活塞风道的长度不宜大于40m。</w:t>
      </w:r>
    </w:p>
    <w:p w14:paraId="10CC4FE6">
      <w:pPr>
        <w:jc w:val="center"/>
        <w:rPr>
          <w:b/>
        </w:rPr>
      </w:pPr>
      <w:r>
        <w:rPr>
          <w:b/>
        </w:rPr>
        <w:t>Ⅲ</w:t>
      </w:r>
      <w:r>
        <w:rPr>
          <w:rFonts w:hint="eastAsia"/>
          <w:b/>
        </w:rPr>
        <w:t xml:space="preserve">  </w:t>
      </w:r>
      <w:r>
        <w:rPr>
          <w:b/>
        </w:rPr>
        <w:t>车站公共区通风与空调系统</w:t>
      </w:r>
    </w:p>
    <w:p w14:paraId="0921EEBE">
      <w:pPr>
        <w:numPr>
          <w:ilvl w:val="2"/>
          <w:numId w:val="1"/>
        </w:numPr>
        <w:tabs>
          <w:tab w:val="left" w:pos="851"/>
          <w:tab w:val="left" w:pos="993"/>
        </w:tabs>
        <w:jc w:val="left"/>
        <w:outlineLvl w:val="2"/>
      </w:pPr>
      <w:r>
        <w:t>地下车站的进风应直接采自大气，排风应直接排出地面。</w:t>
      </w:r>
    </w:p>
    <w:p w14:paraId="75D0ADBC">
      <w:pPr>
        <w:numPr>
          <w:ilvl w:val="2"/>
          <w:numId w:val="1"/>
        </w:numPr>
        <w:tabs>
          <w:tab w:val="left" w:pos="851"/>
          <w:tab w:val="left" w:pos="993"/>
        </w:tabs>
        <w:jc w:val="left"/>
        <w:outlineLvl w:val="2"/>
      </w:pPr>
      <w:r>
        <w:t>地下车站宜在列车停靠在车站时的发热部位设置排风系统。</w:t>
      </w:r>
    </w:p>
    <w:p w14:paraId="61A606C5">
      <w:pPr>
        <w:numPr>
          <w:ilvl w:val="2"/>
          <w:numId w:val="1"/>
        </w:numPr>
        <w:tabs>
          <w:tab w:val="left" w:pos="851"/>
          <w:tab w:val="left" w:pos="993"/>
        </w:tabs>
        <w:jc w:val="left"/>
        <w:outlineLvl w:val="2"/>
      </w:pPr>
      <w:r>
        <w:t>站厅和站台的瞬时风速不宜大于5m/s。</w:t>
      </w:r>
    </w:p>
    <w:p w14:paraId="395EAEF9">
      <w:pPr>
        <w:numPr>
          <w:ilvl w:val="2"/>
          <w:numId w:val="1"/>
        </w:numPr>
        <w:tabs>
          <w:tab w:val="left" w:pos="851"/>
          <w:tab w:val="left" w:pos="993"/>
        </w:tabs>
        <w:jc w:val="left"/>
        <w:outlineLvl w:val="2"/>
      </w:pPr>
      <w:r>
        <w:t>地下车站的出入口通道连续长度大于60m时，应采取通风措施</w:t>
      </w:r>
      <w:r>
        <w:rPr>
          <w:rFonts w:hint="eastAsia"/>
        </w:rPr>
        <w:t>；地下连接通道及连续长度大于100m的出入口通道应设置空调降温措施</w:t>
      </w:r>
      <w:r>
        <w:t>。</w:t>
      </w:r>
    </w:p>
    <w:p w14:paraId="006B6685">
      <w:pPr>
        <w:numPr>
          <w:ilvl w:val="2"/>
          <w:numId w:val="1"/>
        </w:numPr>
        <w:tabs>
          <w:tab w:val="left" w:pos="851"/>
          <w:tab w:val="left" w:pos="993"/>
        </w:tabs>
        <w:jc w:val="left"/>
        <w:outlineLvl w:val="2"/>
      </w:pPr>
      <w:r>
        <w:t>地下车站的出入口通道采取通风或其他降温措施时，其内部空气计算温度应小于31</w:t>
      </w:r>
      <w:r>
        <w:rPr>
          <w:rFonts w:hint="eastAsia"/>
        </w:rPr>
        <w:t>℃</w:t>
      </w:r>
      <w:r>
        <w:t>。</w:t>
      </w:r>
    </w:p>
    <w:p w14:paraId="3348AA8C">
      <w:pPr>
        <w:numPr>
          <w:ilvl w:val="2"/>
          <w:numId w:val="1"/>
        </w:numPr>
        <w:tabs>
          <w:tab w:val="left" w:pos="851"/>
          <w:tab w:val="left" w:pos="993"/>
        </w:tabs>
        <w:jc w:val="left"/>
        <w:outlineLvl w:val="2"/>
      </w:pPr>
      <w:r>
        <w:t>地下车站换乘通道</w:t>
      </w:r>
      <w:r>
        <w:rPr>
          <w:rFonts w:hint="eastAsia"/>
        </w:rPr>
        <w:t>、连接通道</w:t>
      </w:r>
      <w:r>
        <w:t>应设置空调系统。与站厅衔接的换乘通道的内部空气计算温度宜采用29</w:t>
      </w:r>
      <w:r>
        <w:rPr>
          <w:rFonts w:hint="eastAsia"/>
        </w:rPr>
        <w:t>℃</w:t>
      </w:r>
      <w:r>
        <w:t>，只与站台衔接的换乘通道的内部空气计算温度宜采用27</w:t>
      </w:r>
      <w:r>
        <w:rPr>
          <w:rFonts w:hint="eastAsia"/>
        </w:rPr>
        <w:t>℃</w:t>
      </w:r>
      <w:r>
        <w:t>；相对湿度均不应大于70%。</w:t>
      </w:r>
    </w:p>
    <w:p w14:paraId="05C3997A">
      <w:pPr>
        <w:numPr>
          <w:ilvl w:val="2"/>
          <w:numId w:val="1"/>
        </w:numPr>
        <w:tabs>
          <w:tab w:val="left" w:pos="851"/>
          <w:tab w:val="left" w:pos="993"/>
        </w:tabs>
        <w:jc w:val="left"/>
        <w:outlineLvl w:val="2"/>
      </w:pPr>
      <w:r>
        <w:t>当地下车站公共区通风机或车站排热风机与区间隧道风机合用时，在正常工况下风机应实现节能运行，并应满足区间隧道各种工况下对风机的风量和风压的要求。</w:t>
      </w:r>
    </w:p>
    <w:p w14:paraId="3BE3896B">
      <w:pPr>
        <w:jc w:val="center"/>
        <w:rPr>
          <w:b/>
        </w:rPr>
      </w:pPr>
      <w:bookmarkStart w:id="971" w:name="_bookmark103"/>
      <w:bookmarkEnd w:id="971"/>
      <w:bookmarkStart w:id="972" w:name="_bookmark245"/>
      <w:bookmarkEnd w:id="972"/>
      <w:r>
        <w:rPr>
          <w:b/>
        </w:rPr>
        <w:t>Ⅳ</w:t>
      </w:r>
      <w:r>
        <w:rPr>
          <w:rFonts w:hint="eastAsia"/>
          <w:b/>
        </w:rPr>
        <w:t xml:space="preserve">  </w:t>
      </w:r>
      <w:r>
        <w:rPr>
          <w:b/>
        </w:rPr>
        <w:t>地下车站设备及管理用房通风空调与供暖系统</w:t>
      </w:r>
    </w:p>
    <w:p w14:paraId="231B9086">
      <w:pPr>
        <w:numPr>
          <w:ilvl w:val="2"/>
          <w:numId w:val="1"/>
        </w:numPr>
        <w:tabs>
          <w:tab w:val="left" w:pos="709"/>
          <w:tab w:val="left" w:pos="794"/>
        </w:tabs>
        <w:jc w:val="left"/>
        <w:outlineLvl w:val="2"/>
      </w:pPr>
      <w:r>
        <w:t>地下车站的各类用房应根据其使用要求设置通风系统，必要时可设置空调</w:t>
      </w:r>
      <w:r>
        <w:rPr>
          <w:bCs/>
        </w:rPr>
        <w:t>系统</w:t>
      </w:r>
      <w:r>
        <w:t>；进风应直接采自大气，排风宜直接排出地面。</w:t>
      </w:r>
    </w:p>
    <w:p w14:paraId="73841AC6">
      <w:pPr>
        <w:numPr>
          <w:ilvl w:val="2"/>
          <w:numId w:val="1"/>
        </w:numPr>
        <w:tabs>
          <w:tab w:val="left" w:pos="709"/>
          <w:tab w:val="left" w:pos="794"/>
        </w:tabs>
        <w:jc w:val="left"/>
        <w:outlineLvl w:val="2"/>
      </w:pPr>
      <w:r>
        <w:t>车站综合控制室、综合监控设备室、信号设备室、通信设备室、民用通信</w:t>
      </w:r>
      <w:r>
        <w:rPr>
          <w:bCs/>
        </w:rPr>
        <w:t>设备</w:t>
      </w:r>
      <w:r>
        <w:t>室、公安通信设备室、变电所控制室、</w:t>
      </w:r>
      <w:r>
        <w:rPr>
          <w:rFonts w:hint="eastAsia"/>
        </w:rPr>
        <w:t>站台屏蔽门</w:t>
      </w:r>
      <w:r>
        <w:t>设备室、电源及蓄电池室应设置多联分体空调系统作为备用空调系统。</w:t>
      </w:r>
    </w:p>
    <w:p w14:paraId="2E0423AE">
      <w:pPr>
        <w:numPr>
          <w:ilvl w:val="2"/>
          <w:numId w:val="1"/>
        </w:numPr>
        <w:tabs>
          <w:tab w:val="left" w:pos="709"/>
          <w:tab w:val="left" w:pos="794"/>
        </w:tabs>
        <w:jc w:val="left"/>
        <w:outlineLvl w:val="2"/>
      </w:pPr>
      <w:r>
        <w:t>多联分体空调系统</w:t>
      </w:r>
      <w:r>
        <w:rPr>
          <w:rFonts w:hint="eastAsia"/>
        </w:rPr>
        <w:t>室外机优先设置在地面；</w:t>
      </w:r>
      <w:r>
        <w:t>当受条件限制，多联分体空调系统室外机无法设置在室外时，</w:t>
      </w:r>
      <w:r>
        <w:rPr>
          <w:rFonts w:hint="eastAsia"/>
        </w:rPr>
        <w:t>宜设</w:t>
      </w:r>
      <w:r>
        <w:t>置在排风井</w:t>
      </w:r>
      <w:r>
        <w:rPr>
          <w:rFonts w:hint="eastAsia"/>
        </w:rPr>
        <w:t>下</w:t>
      </w:r>
      <w:r>
        <w:t>。</w:t>
      </w:r>
    </w:p>
    <w:p w14:paraId="6FD98687">
      <w:pPr>
        <w:numPr>
          <w:ilvl w:val="2"/>
          <w:numId w:val="1"/>
        </w:numPr>
        <w:tabs>
          <w:tab w:val="left" w:pos="709"/>
          <w:tab w:val="left" w:pos="794"/>
        </w:tabs>
        <w:jc w:val="left"/>
        <w:outlineLvl w:val="2"/>
      </w:pPr>
      <w:r>
        <w:t>地下牵引变电所、降压变电所应设置机械通风系统，排风宜直接排至地面；通风量按排除余热量计算。当余热量很大，采用机械通风系统技术经济不合理时，可设置</w:t>
      </w:r>
      <w:r>
        <w:rPr>
          <w:rFonts w:hint="eastAsia"/>
        </w:rPr>
        <w:t>空调</w:t>
      </w:r>
      <w:r>
        <w:t>系统。</w:t>
      </w:r>
    </w:p>
    <w:p w14:paraId="070ACB5A">
      <w:pPr>
        <w:numPr>
          <w:ilvl w:val="2"/>
          <w:numId w:val="1"/>
        </w:numPr>
        <w:tabs>
          <w:tab w:val="left" w:pos="851"/>
          <w:tab w:val="left" w:pos="993"/>
        </w:tabs>
        <w:jc w:val="left"/>
        <w:outlineLvl w:val="2"/>
      </w:pPr>
      <w:r>
        <w:t>设备用房内的空调送风口、阀门及室内机应避开电气设备上方布置；风管宜避开电气设备上方布置。设备用房内的通风空调系统下排风管应避开</w:t>
      </w:r>
      <w:r>
        <w:rPr>
          <w:bCs/>
        </w:rPr>
        <w:t>设备</w:t>
      </w:r>
      <w:r>
        <w:t>运输通道及巡视检修通道，下排风管与变电所设备之间的最小水平距离应大于900mm。</w:t>
      </w:r>
    </w:p>
    <w:p w14:paraId="4427FB29">
      <w:pPr>
        <w:numPr>
          <w:ilvl w:val="2"/>
          <w:numId w:val="1"/>
        </w:numPr>
        <w:tabs>
          <w:tab w:val="left" w:pos="851"/>
          <w:tab w:val="left" w:pos="993"/>
        </w:tabs>
        <w:jc w:val="left"/>
        <w:outlineLvl w:val="2"/>
      </w:pPr>
      <w:r>
        <w:t>厕所、污水泵房应设置独立的机械排风、自然进风系统，所排出的气体应直接排出地面。</w:t>
      </w:r>
    </w:p>
    <w:p w14:paraId="4CDB27F7">
      <w:pPr>
        <w:numPr>
          <w:ilvl w:val="2"/>
          <w:numId w:val="1"/>
        </w:numPr>
        <w:tabs>
          <w:tab w:val="left" w:pos="851"/>
          <w:tab w:val="left" w:pos="993"/>
        </w:tabs>
        <w:jc w:val="left"/>
        <w:outlineLvl w:val="2"/>
      </w:pPr>
      <w:r>
        <w:t>设置气体灭火的房间的通风应符合下列规定：</w:t>
      </w:r>
    </w:p>
    <w:p w14:paraId="0E9900EE">
      <w:pPr>
        <w:pStyle w:val="86"/>
        <w:ind w:firstLine="422"/>
        <w:rPr>
          <w:color w:val="auto"/>
        </w:rPr>
      </w:pPr>
      <w:r>
        <w:rPr>
          <w:b/>
          <w:color w:val="auto"/>
        </w:rPr>
        <w:t>1</w:t>
      </w:r>
      <w:r>
        <w:rPr>
          <w:rFonts w:hint="eastAsia"/>
          <w:color w:val="auto"/>
        </w:rPr>
        <w:t xml:space="preserve">  </w:t>
      </w:r>
      <w:r>
        <w:rPr>
          <w:color w:val="auto"/>
        </w:rPr>
        <w:t>火灾时</w:t>
      </w:r>
      <w:r>
        <w:rPr>
          <w:rFonts w:hint="eastAsia"/>
          <w:color w:val="auto"/>
        </w:rPr>
        <w:t>，为本</w:t>
      </w:r>
      <w:r>
        <w:rPr>
          <w:color w:val="auto"/>
        </w:rPr>
        <w:t>房间</w:t>
      </w:r>
      <w:r>
        <w:rPr>
          <w:rFonts w:hint="eastAsia"/>
          <w:color w:val="auto"/>
        </w:rPr>
        <w:t>服务</w:t>
      </w:r>
      <w:r>
        <w:rPr>
          <w:color w:val="auto"/>
        </w:rPr>
        <w:t>的通风空调应能自动关闭；</w:t>
      </w:r>
    </w:p>
    <w:p w14:paraId="1EC567E8">
      <w:pPr>
        <w:pStyle w:val="86"/>
        <w:ind w:firstLine="422"/>
        <w:rPr>
          <w:color w:val="auto"/>
        </w:rPr>
      </w:pPr>
      <w:r>
        <w:rPr>
          <w:b/>
          <w:color w:val="auto"/>
        </w:rPr>
        <w:t>2</w:t>
      </w:r>
      <w:r>
        <w:rPr>
          <w:rFonts w:hint="eastAsia"/>
          <w:color w:val="auto"/>
        </w:rPr>
        <w:t xml:space="preserve">  </w:t>
      </w:r>
      <w:r>
        <w:rPr>
          <w:color w:val="auto"/>
        </w:rPr>
        <w:t>房间应设置机械通风系统，所排除的气体应直接排出地面。</w:t>
      </w:r>
    </w:p>
    <w:p w14:paraId="162FE0A9">
      <w:pPr>
        <w:numPr>
          <w:ilvl w:val="2"/>
          <w:numId w:val="1"/>
        </w:numPr>
        <w:tabs>
          <w:tab w:val="left" w:pos="851"/>
          <w:tab w:val="left" w:pos="993"/>
        </w:tabs>
        <w:jc w:val="left"/>
        <w:outlineLvl w:val="2"/>
      </w:pPr>
      <w:r>
        <w:t>设在尽端线、折返线内的局部设备及管理用房，应设置机械排风、自然进风系统。进风口应设在列车进站一侧，排风口应设在列车出站一侧，且进风口应设有滤尘装置。</w:t>
      </w:r>
    </w:p>
    <w:p w14:paraId="45CA81C5">
      <w:pPr>
        <w:jc w:val="center"/>
        <w:rPr>
          <w:b/>
        </w:rPr>
      </w:pPr>
      <w:r>
        <w:rPr>
          <w:b/>
        </w:rPr>
        <w:t>Ⅴ</w:t>
      </w:r>
      <w:r>
        <w:rPr>
          <w:rFonts w:hint="eastAsia"/>
          <w:b/>
        </w:rPr>
        <w:t xml:space="preserve">  </w:t>
      </w:r>
      <w:r>
        <w:rPr>
          <w:b/>
        </w:rPr>
        <w:t>空调冷源及水系统</w:t>
      </w:r>
    </w:p>
    <w:p w14:paraId="04E13C42">
      <w:pPr>
        <w:numPr>
          <w:ilvl w:val="2"/>
          <w:numId w:val="1"/>
        </w:numPr>
        <w:tabs>
          <w:tab w:val="left" w:pos="709"/>
          <w:tab w:val="left" w:pos="794"/>
        </w:tabs>
        <w:jc w:val="left"/>
        <w:outlineLvl w:val="2"/>
      </w:pPr>
      <w:r>
        <w:t>空调冷源设计应符合下列规定：</w:t>
      </w:r>
    </w:p>
    <w:p w14:paraId="4FD173B6">
      <w:pPr>
        <w:pStyle w:val="86"/>
        <w:ind w:firstLine="422"/>
        <w:rPr>
          <w:color w:val="auto"/>
        </w:rPr>
      </w:pPr>
      <w:r>
        <w:rPr>
          <w:b/>
          <w:color w:val="auto"/>
        </w:rPr>
        <w:t>1</w:t>
      </w:r>
      <w:r>
        <w:rPr>
          <w:rFonts w:hint="eastAsia"/>
          <w:b/>
          <w:color w:val="auto"/>
        </w:rPr>
        <w:t xml:space="preserve"> </w:t>
      </w:r>
      <w:r>
        <w:rPr>
          <w:rFonts w:hint="eastAsia"/>
          <w:color w:val="auto"/>
        </w:rPr>
        <w:t xml:space="preserve"> </w:t>
      </w:r>
      <w:r>
        <w:rPr>
          <w:color w:val="auto"/>
        </w:rPr>
        <w:t>空调系统的冷源宜采用自然冷源，无条件采用自然冷源时，可采用人工冷源；</w:t>
      </w:r>
    </w:p>
    <w:p w14:paraId="3150EEC0">
      <w:pPr>
        <w:pStyle w:val="86"/>
        <w:ind w:firstLine="422"/>
        <w:rPr>
          <w:color w:val="auto"/>
        </w:rPr>
      </w:pPr>
      <w:r>
        <w:rPr>
          <w:b/>
          <w:color w:val="auto"/>
        </w:rPr>
        <w:t>2</w:t>
      </w:r>
      <w:r>
        <w:rPr>
          <w:rFonts w:hint="eastAsia"/>
          <w:color w:val="auto"/>
        </w:rPr>
        <w:t xml:space="preserve">  </w:t>
      </w:r>
      <w:r>
        <w:rPr>
          <w:color w:val="auto"/>
        </w:rPr>
        <w:t>设于地下线路内的空调冷源设备应采用电动压缩式冷水机组或电动压缩式直接蒸发空调机组，不应采用直接燃烧型吸收式冷水机组；</w:t>
      </w:r>
    </w:p>
    <w:p w14:paraId="08E4093B">
      <w:pPr>
        <w:pStyle w:val="86"/>
        <w:ind w:firstLine="422"/>
        <w:rPr>
          <w:color w:val="auto"/>
        </w:rPr>
      </w:pPr>
      <w:r>
        <w:rPr>
          <w:b/>
          <w:color w:val="auto"/>
        </w:rPr>
        <w:t>3</w:t>
      </w:r>
      <w:r>
        <w:rPr>
          <w:rFonts w:hint="eastAsia"/>
          <w:color w:val="auto"/>
        </w:rPr>
        <w:t xml:space="preserve">  </w:t>
      </w:r>
      <w:r>
        <w:rPr>
          <w:color w:val="auto"/>
        </w:rPr>
        <w:t>冷水机组的选择应根据空调系统的负荷情况、运行时间、运行调节要求，结合制冷工质的种类、装机容量和节能效果等因素确定。</w:t>
      </w:r>
    </w:p>
    <w:p w14:paraId="2F42C8DE">
      <w:pPr>
        <w:pStyle w:val="86"/>
        <w:ind w:firstLine="422"/>
        <w:rPr>
          <w:color w:val="auto"/>
        </w:rPr>
      </w:pPr>
      <w:r>
        <w:rPr>
          <w:b/>
          <w:color w:val="auto"/>
        </w:rPr>
        <w:t>4</w:t>
      </w:r>
      <w:r>
        <w:rPr>
          <w:rFonts w:hint="eastAsia"/>
          <w:color w:val="auto"/>
        </w:rPr>
        <w:t xml:space="preserve">  </w:t>
      </w:r>
      <w:r>
        <w:rPr>
          <w:color w:val="auto"/>
        </w:rPr>
        <w:t>车站公共区与设备管理用房的空调系统冷源宜独立分别设置；</w:t>
      </w:r>
    </w:p>
    <w:p w14:paraId="3020BB79">
      <w:pPr>
        <w:pStyle w:val="86"/>
        <w:ind w:firstLine="422"/>
        <w:rPr>
          <w:color w:val="auto"/>
        </w:rPr>
      </w:pPr>
      <w:r>
        <w:rPr>
          <w:b/>
          <w:color w:val="auto"/>
        </w:rPr>
        <w:t>5</w:t>
      </w:r>
      <w:r>
        <w:rPr>
          <w:rFonts w:hint="eastAsia"/>
          <w:color w:val="auto"/>
        </w:rPr>
        <w:t xml:space="preserve">  </w:t>
      </w:r>
      <w:r>
        <w:rPr>
          <w:color w:val="auto"/>
        </w:rPr>
        <w:t>同期建设、开通期相差2年以内的换乘车站空调水系统可共享设置，共享的冷冻机房应设置在先期开通的线路范围内。</w:t>
      </w:r>
    </w:p>
    <w:p w14:paraId="72C4EE17">
      <w:pPr>
        <w:numPr>
          <w:ilvl w:val="2"/>
          <w:numId w:val="1"/>
        </w:numPr>
        <w:tabs>
          <w:tab w:val="left" w:pos="851"/>
          <w:tab w:val="left" w:pos="993"/>
        </w:tabs>
        <w:jc w:val="left"/>
        <w:outlineLvl w:val="2"/>
      </w:pPr>
      <w:r>
        <w:t>冷水机组的选择应符合下列规定：</w:t>
      </w:r>
    </w:p>
    <w:p w14:paraId="07EEE018">
      <w:pPr>
        <w:pStyle w:val="86"/>
        <w:ind w:firstLine="422"/>
        <w:rPr>
          <w:color w:val="auto"/>
        </w:rPr>
      </w:pPr>
      <w:r>
        <w:rPr>
          <w:b/>
          <w:color w:val="auto"/>
        </w:rPr>
        <w:t>1</w:t>
      </w:r>
      <w:r>
        <w:rPr>
          <w:rFonts w:hint="eastAsia"/>
          <w:color w:val="auto"/>
        </w:rPr>
        <w:t xml:space="preserve">  </w:t>
      </w:r>
      <w:r>
        <w:rPr>
          <w:color w:val="auto"/>
        </w:rPr>
        <w:t>车站公共区冷水机组台数应与负荷的变化规律相匹配，不宜少于2台，可不设置备用机组；</w:t>
      </w:r>
    </w:p>
    <w:p w14:paraId="7217B662">
      <w:pPr>
        <w:pStyle w:val="86"/>
        <w:ind w:firstLine="422"/>
        <w:rPr>
          <w:color w:val="auto"/>
        </w:rPr>
      </w:pPr>
      <w:r>
        <w:rPr>
          <w:b/>
          <w:color w:val="auto"/>
        </w:rPr>
        <w:t>2</w:t>
      </w:r>
      <w:r>
        <w:rPr>
          <w:rFonts w:hint="eastAsia"/>
          <w:b/>
          <w:color w:val="auto"/>
        </w:rPr>
        <w:t xml:space="preserve"> </w:t>
      </w:r>
      <w:r>
        <w:rPr>
          <w:rFonts w:hint="eastAsia"/>
          <w:color w:val="auto"/>
        </w:rPr>
        <w:t xml:space="preserve"> </w:t>
      </w:r>
      <w:r>
        <w:rPr>
          <w:color w:val="auto"/>
        </w:rPr>
        <w:t>车站公共区冷水机组应选用多机头联控型机组；</w:t>
      </w:r>
    </w:p>
    <w:p w14:paraId="12BCBA40">
      <w:pPr>
        <w:pStyle w:val="86"/>
        <w:ind w:firstLine="422"/>
        <w:rPr>
          <w:color w:val="auto"/>
        </w:rPr>
      </w:pPr>
      <w:r>
        <w:rPr>
          <w:b/>
          <w:color w:val="auto"/>
        </w:rPr>
        <w:t>3</w:t>
      </w:r>
      <w:r>
        <w:rPr>
          <w:rFonts w:hint="eastAsia"/>
          <w:color w:val="auto"/>
        </w:rPr>
        <w:t xml:space="preserve">  </w:t>
      </w:r>
      <w:r>
        <w:rPr>
          <w:color w:val="auto"/>
        </w:rPr>
        <w:t>冷负荷量小且分散时，可选用风冷式冷水机组；</w:t>
      </w:r>
    </w:p>
    <w:p w14:paraId="6D41EB69">
      <w:pPr>
        <w:pStyle w:val="86"/>
        <w:ind w:firstLine="422"/>
        <w:rPr>
          <w:color w:val="auto"/>
        </w:rPr>
      </w:pPr>
      <w:r>
        <w:rPr>
          <w:rFonts w:hint="eastAsia"/>
          <w:b/>
          <w:color w:val="auto"/>
        </w:rPr>
        <w:t>4</w:t>
      </w:r>
      <w:r>
        <w:rPr>
          <w:rFonts w:hint="eastAsia"/>
          <w:color w:val="auto"/>
        </w:rPr>
        <w:t xml:space="preserve">  </w:t>
      </w:r>
      <w:r>
        <w:rPr>
          <w:color w:val="auto"/>
        </w:rPr>
        <w:t>冷水机组应采用环保冷媒；</w:t>
      </w:r>
    </w:p>
    <w:p w14:paraId="14F103E6">
      <w:pPr>
        <w:pStyle w:val="86"/>
        <w:ind w:firstLine="422"/>
        <w:rPr>
          <w:color w:val="auto"/>
        </w:rPr>
      </w:pPr>
      <w:r>
        <w:rPr>
          <w:rFonts w:hint="eastAsia"/>
          <w:b/>
          <w:color w:val="auto"/>
        </w:rPr>
        <w:t>5</w:t>
      </w:r>
      <w:r>
        <w:rPr>
          <w:rFonts w:hint="eastAsia"/>
          <w:color w:val="auto"/>
        </w:rPr>
        <w:t xml:space="preserve">  </w:t>
      </w:r>
      <w:r>
        <w:rPr>
          <w:color w:val="auto"/>
        </w:rPr>
        <w:t>冷水机组宜选用制冷性能系数高的产品。</w:t>
      </w:r>
    </w:p>
    <w:p w14:paraId="7D2F3FA1">
      <w:pPr>
        <w:numPr>
          <w:ilvl w:val="2"/>
          <w:numId w:val="1"/>
        </w:numPr>
        <w:tabs>
          <w:tab w:val="left" w:pos="851"/>
          <w:tab w:val="left" w:pos="993"/>
        </w:tabs>
        <w:jc w:val="left"/>
        <w:outlineLvl w:val="2"/>
      </w:pPr>
      <w:r>
        <w:t>冷冻水</w:t>
      </w:r>
      <w:r>
        <w:rPr>
          <w:bCs/>
        </w:rPr>
        <w:t>系统设计</w:t>
      </w:r>
      <w:r>
        <w:t>应符合下列规定：</w:t>
      </w:r>
    </w:p>
    <w:p w14:paraId="18A902B8">
      <w:pPr>
        <w:pStyle w:val="86"/>
        <w:ind w:firstLine="422"/>
        <w:rPr>
          <w:color w:val="auto"/>
        </w:rPr>
      </w:pPr>
      <w:r>
        <w:rPr>
          <w:b/>
          <w:color w:val="auto"/>
        </w:rPr>
        <w:t>1</w:t>
      </w:r>
      <w:r>
        <w:rPr>
          <w:rFonts w:hint="eastAsia"/>
          <w:color w:val="auto"/>
        </w:rPr>
        <w:t xml:space="preserve">  </w:t>
      </w:r>
      <w:r>
        <w:rPr>
          <w:color w:val="auto"/>
        </w:rPr>
        <w:t>冷冻水系统应采用闭式水系统；</w:t>
      </w:r>
    </w:p>
    <w:p w14:paraId="26DA10CE">
      <w:pPr>
        <w:pStyle w:val="86"/>
        <w:ind w:firstLine="422"/>
        <w:rPr>
          <w:color w:val="auto"/>
        </w:rPr>
      </w:pPr>
      <w:r>
        <w:rPr>
          <w:b/>
          <w:color w:val="auto"/>
        </w:rPr>
        <w:t>2</w:t>
      </w:r>
      <w:r>
        <w:rPr>
          <w:rFonts w:hint="eastAsia"/>
          <w:color w:val="auto"/>
        </w:rPr>
        <w:t xml:space="preserve">  </w:t>
      </w:r>
      <w:r>
        <w:rPr>
          <w:color w:val="auto"/>
        </w:rPr>
        <w:t>冷冻水的补水量应为系统水容量的1%，补水点宜设在冷冻水泵的入口处；</w:t>
      </w:r>
    </w:p>
    <w:p w14:paraId="16C37F03">
      <w:pPr>
        <w:pStyle w:val="86"/>
        <w:ind w:firstLine="422"/>
        <w:rPr>
          <w:color w:val="auto"/>
        </w:rPr>
      </w:pPr>
      <w:r>
        <w:rPr>
          <w:b/>
          <w:color w:val="auto"/>
        </w:rPr>
        <w:t>3</w:t>
      </w:r>
      <w:r>
        <w:rPr>
          <w:rFonts w:hint="eastAsia"/>
          <w:b/>
          <w:color w:val="auto"/>
        </w:rPr>
        <w:t xml:space="preserve"> </w:t>
      </w:r>
      <w:r>
        <w:rPr>
          <w:rFonts w:hint="eastAsia"/>
          <w:color w:val="auto"/>
        </w:rPr>
        <w:t xml:space="preserve"> </w:t>
      </w:r>
      <w:r>
        <w:rPr>
          <w:color w:val="auto"/>
        </w:rPr>
        <w:t>冷冻水补水泵的扬程应比补水点压力高3~5m，小时流量应不少于系统水容量的4%~5%；</w:t>
      </w:r>
    </w:p>
    <w:p w14:paraId="64EC5733">
      <w:pPr>
        <w:pStyle w:val="86"/>
        <w:ind w:firstLine="422"/>
        <w:rPr>
          <w:color w:val="auto"/>
        </w:rPr>
      </w:pPr>
      <w:r>
        <w:rPr>
          <w:b/>
          <w:color w:val="auto"/>
        </w:rPr>
        <w:t>4</w:t>
      </w:r>
      <w:r>
        <w:rPr>
          <w:rFonts w:hint="eastAsia"/>
          <w:color w:val="auto"/>
        </w:rPr>
        <w:t xml:space="preserve">  </w:t>
      </w:r>
      <w:r>
        <w:rPr>
          <w:color w:val="auto"/>
        </w:rPr>
        <w:t>冷冻水泵宜与冷水机组匹配设置，可不设备用泵；</w:t>
      </w:r>
    </w:p>
    <w:p w14:paraId="59DA39CF">
      <w:pPr>
        <w:pStyle w:val="86"/>
        <w:ind w:firstLine="422"/>
        <w:rPr>
          <w:color w:val="auto"/>
        </w:rPr>
      </w:pPr>
      <w:r>
        <w:rPr>
          <w:b/>
          <w:color w:val="auto"/>
        </w:rPr>
        <w:t>5</w:t>
      </w:r>
      <w:r>
        <w:rPr>
          <w:rFonts w:hint="eastAsia"/>
          <w:color w:val="auto"/>
        </w:rPr>
        <w:t xml:space="preserve">  </w:t>
      </w:r>
      <w:r>
        <w:rPr>
          <w:color w:val="auto"/>
        </w:rPr>
        <w:t>冷冻水管应有保温措施，保温层厚度应保证其外表不结露。冷冻水管保温层外部宜设置金属保护层。</w:t>
      </w:r>
    </w:p>
    <w:p w14:paraId="23E8A4D3">
      <w:pPr>
        <w:numPr>
          <w:ilvl w:val="2"/>
          <w:numId w:val="1"/>
        </w:numPr>
        <w:tabs>
          <w:tab w:val="left" w:pos="851"/>
          <w:tab w:val="left" w:pos="993"/>
        </w:tabs>
        <w:jc w:val="left"/>
        <w:outlineLvl w:val="2"/>
      </w:pPr>
      <w:r>
        <w:t>冷却水</w:t>
      </w:r>
      <w:r>
        <w:rPr>
          <w:bCs/>
        </w:rPr>
        <w:t>系统设计</w:t>
      </w:r>
      <w:r>
        <w:t>应符合下列规定：</w:t>
      </w:r>
    </w:p>
    <w:p w14:paraId="2F07F856">
      <w:pPr>
        <w:pStyle w:val="86"/>
        <w:ind w:firstLine="422"/>
        <w:rPr>
          <w:color w:val="auto"/>
        </w:rPr>
      </w:pPr>
      <w:r>
        <w:rPr>
          <w:b/>
          <w:color w:val="auto"/>
        </w:rPr>
        <w:t>1</w:t>
      </w:r>
      <w:r>
        <w:rPr>
          <w:rFonts w:hint="eastAsia"/>
          <w:b/>
          <w:color w:val="auto"/>
        </w:rPr>
        <w:t xml:space="preserve"> </w:t>
      </w:r>
      <w:r>
        <w:rPr>
          <w:rFonts w:hint="eastAsia"/>
          <w:color w:val="auto"/>
        </w:rPr>
        <w:t xml:space="preserve"> </w:t>
      </w:r>
      <w:r>
        <w:rPr>
          <w:color w:val="auto"/>
        </w:rPr>
        <w:t>冷却水应循环使用；</w:t>
      </w:r>
    </w:p>
    <w:p w14:paraId="5FCED23B">
      <w:pPr>
        <w:pStyle w:val="86"/>
        <w:ind w:firstLine="422"/>
        <w:rPr>
          <w:color w:val="auto"/>
        </w:rPr>
      </w:pPr>
      <w:r>
        <w:rPr>
          <w:b/>
          <w:color w:val="auto"/>
        </w:rPr>
        <w:t>2</w:t>
      </w:r>
      <w:r>
        <w:rPr>
          <w:rFonts w:hint="eastAsia"/>
          <w:b/>
          <w:color w:val="auto"/>
        </w:rPr>
        <w:t xml:space="preserve"> </w:t>
      </w:r>
      <w:r>
        <w:rPr>
          <w:rFonts w:hint="eastAsia"/>
          <w:color w:val="auto"/>
        </w:rPr>
        <w:t xml:space="preserve"> </w:t>
      </w:r>
      <w:r>
        <w:rPr>
          <w:color w:val="auto"/>
        </w:rPr>
        <w:t>冷却水的水质应符合现行国家标准《工业循环冷却水处理设计规范》GB50050的有关规定；</w:t>
      </w:r>
    </w:p>
    <w:p w14:paraId="1C641D38">
      <w:pPr>
        <w:pStyle w:val="86"/>
        <w:ind w:firstLine="422"/>
        <w:rPr>
          <w:color w:val="auto"/>
        </w:rPr>
      </w:pPr>
      <w:r>
        <w:rPr>
          <w:b/>
          <w:color w:val="auto"/>
        </w:rPr>
        <w:t>3</w:t>
      </w:r>
      <w:r>
        <w:rPr>
          <w:rFonts w:hint="eastAsia"/>
          <w:b/>
          <w:color w:val="auto"/>
        </w:rPr>
        <w:t xml:space="preserve"> </w:t>
      </w:r>
      <w:r>
        <w:rPr>
          <w:rFonts w:hint="eastAsia"/>
          <w:color w:val="auto"/>
        </w:rPr>
        <w:t xml:space="preserve"> </w:t>
      </w:r>
      <w:r>
        <w:rPr>
          <w:color w:val="auto"/>
        </w:rPr>
        <w:t>冷却水的补水量宜采用系统循环水量的1-1.5%；</w:t>
      </w:r>
    </w:p>
    <w:p w14:paraId="47C1A384">
      <w:pPr>
        <w:pStyle w:val="86"/>
        <w:ind w:firstLine="422"/>
        <w:rPr>
          <w:color w:val="auto"/>
        </w:rPr>
      </w:pPr>
      <w:r>
        <w:rPr>
          <w:b/>
          <w:color w:val="auto"/>
        </w:rPr>
        <w:t>4</w:t>
      </w:r>
      <w:r>
        <w:rPr>
          <w:rFonts w:hint="eastAsia"/>
          <w:color w:val="auto"/>
        </w:rPr>
        <w:t xml:space="preserve">  </w:t>
      </w:r>
      <w:r>
        <w:rPr>
          <w:color w:val="auto"/>
        </w:rPr>
        <w:t>冷却水泵宜与冷水机组匹配设置，可不设备用泵；</w:t>
      </w:r>
    </w:p>
    <w:p w14:paraId="6AAAE54E">
      <w:pPr>
        <w:pStyle w:val="86"/>
        <w:ind w:firstLine="422"/>
        <w:rPr>
          <w:color w:val="auto"/>
        </w:rPr>
      </w:pPr>
      <w:r>
        <w:rPr>
          <w:b/>
          <w:color w:val="auto"/>
        </w:rPr>
        <w:t>5</w:t>
      </w:r>
      <w:r>
        <w:rPr>
          <w:rFonts w:hint="eastAsia"/>
          <w:color w:val="auto"/>
        </w:rPr>
        <w:t xml:space="preserve">  </w:t>
      </w:r>
      <w:r>
        <w:rPr>
          <w:color w:val="auto"/>
        </w:rPr>
        <w:t>冷却水管可不采取保温措施。</w:t>
      </w:r>
    </w:p>
    <w:p w14:paraId="392BBFD2">
      <w:pPr>
        <w:numPr>
          <w:ilvl w:val="2"/>
          <w:numId w:val="1"/>
        </w:numPr>
        <w:tabs>
          <w:tab w:val="left" w:pos="851"/>
          <w:tab w:val="left" w:pos="993"/>
        </w:tabs>
        <w:jc w:val="left"/>
        <w:outlineLvl w:val="2"/>
      </w:pPr>
      <w:r>
        <w:t>冷却塔的设置应符合下列规定：</w:t>
      </w:r>
    </w:p>
    <w:p w14:paraId="5E6AB700">
      <w:pPr>
        <w:pStyle w:val="86"/>
        <w:ind w:firstLine="0" w:firstLineChars="0"/>
        <w:rPr>
          <w:color w:val="auto"/>
        </w:rPr>
      </w:pPr>
      <w:r>
        <w:rPr>
          <w:b/>
          <w:color w:val="auto"/>
        </w:rPr>
        <w:t>1</w:t>
      </w:r>
      <w:r>
        <w:rPr>
          <w:rFonts w:hint="eastAsia"/>
          <w:color w:val="auto"/>
        </w:rPr>
        <w:t xml:space="preserve">  </w:t>
      </w:r>
      <w:r>
        <w:rPr>
          <w:color w:val="auto"/>
        </w:rPr>
        <w:t>冷却塔应设置在通风良好的地方，并与周围环境相协调，其噪声应符合现行国家标准</w:t>
      </w:r>
      <w:r>
        <w:rPr>
          <w:rFonts w:hint="eastAsia"/>
          <w:color w:val="auto"/>
        </w:rPr>
        <w:t>《声环境质量标准》</w:t>
      </w:r>
      <w:r>
        <w:rPr>
          <w:color w:val="auto"/>
        </w:rPr>
        <w:t>GB3096</w:t>
      </w:r>
      <w:r>
        <w:rPr>
          <w:rFonts w:hint="eastAsia"/>
          <w:color w:val="auto"/>
        </w:rPr>
        <w:t>的有关规定；</w:t>
      </w:r>
    </w:p>
    <w:p w14:paraId="3EFB616D">
      <w:pPr>
        <w:pStyle w:val="86"/>
        <w:ind w:firstLine="422"/>
        <w:rPr>
          <w:color w:val="auto"/>
        </w:rPr>
      </w:pPr>
      <w:r>
        <w:rPr>
          <w:b/>
          <w:color w:val="auto"/>
        </w:rPr>
        <w:t>2</w:t>
      </w:r>
      <w:r>
        <w:rPr>
          <w:rFonts w:hint="eastAsia"/>
          <w:b/>
          <w:color w:val="auto"/>
        </w:rPr>
        <w:t xml:space="preserve"> </w:t>
      </w:r>
      <w:r>
        <w:rPr>
          <w:rFonts w:hint="eastAsia"/>
          <w:color w:val="auto"/>
        </w:rPr>
        <w:t xml:space="preserve"> </w:t>
      </w:r>
      <w:r>
        <w:rPr>
          <w:color w:val="auto"/>
        </w:rPr>
        <w:t>多塔布置时，宜采用相同型号产品，其积水盘下应设连通管，每台冷却塔的进、出水管上应设电动阀；</w:t>
      </w:r>
    </w:p>
    <w:p w14:paraId="4CD5780D">
      <w:pPr>
        <w:pStyle w:val="86"/>
        <w:ind w:firstLine="422"/>
        <w:rPr>
          <w:color w:val="auto"/>
        </w:rPr>
      </w:pPr>
      <w:r>
        <w:rPr>
          <w:b/>
          <w:color w:val="auto"/>
        </w:rPr>
        <w:t>3</w:t>
      </w:r>
      <w:r>
        <w:rPr>
          <w:rFonts w:hint="eastAsia"/>
          <w:color w:val="auto"/>
        </w:rPr>
        <w:t xml:space="preserve">  结合室外地面建筑设置冷却塔时，应设置安全防护措施，并符合本规范第10.6节的有关规定。</w:t>
      </w:r>
    </w:p>
    <w:p w14:paraId="346B6251">
      <w:pPr>
        <w:pStyle w:val="5"/>
        <w:tabs>
          <w:tab w:val="left" w:pos="851"/>
          <w:tab w:val="clear" w:pos="630"/>
        </w:tabs>
      </w:pPr>
      <w:r>
        <w:rPr>
          <w:rFonts w:hint="eastAsia"/>
        </w:rPr>
        <w:t>风道内置式冷却塔的设置应符合下列规定：</w:t>
      </w:r>
    </w:p>
    <w:p w14:paraId="16A77DDE">
      <w:pPr>
        <w:pStyle w:val="86"/>
        <w:ind w:firstLine="422"/>
        <w:rPr>
          <w:color w:val="auto"/>
        </w:rPr>
      </w:pPr>
      <w:r>
        <w:rPr>
          <w:rFonts w:hint="eastAsia"/>
          <w:b/>
          <w:color w:val="auto"/>
        </w:rPr>
        <w:t>1</w:t>
      </w:r>
      <w:r>
        <w:rPr>
          <w:rFonts w:hint="eastAsia"/>
          <w:color w:val="auto"/>
        </w:rPr>
        <w:t xml:space="preserve">  冷却塔与冷却泵的高差应满足冷却水泵不发生汽蚀的要求；</w:t>
      </w:r>
    </w:p>
    <w:p w14:paraId="32946938">
      <w:pPr>
        <w:pStyle w:val="86"/>
        <w:ind w:firstLine="422"/>
        <w:rPr>
          <w:color w:val="auto"/>
        </w:rPr>
      </w:pPr>
      <w:r>
        <w:rPr>
          <w:rFonts w:hint="eastAsia"/>
          <w:b/>
          <w:color w:val="auto"/>
        </w:rPr>
        <w:t>2</w:t>
      </w:r>
      <w:r>
        <w:rPr>
          <w:rFonts w:hint="eastAsia"/>
          <w:color w:val="auto"/>
        </w:rPr>
        <w:t xml:space="preserve">  冷却塔选型应与新排风井位置相适应，保障冷却塔进出风通畅、避免气流短路。</w:t>
      </w:r>
    </w:p>
    <w:p w14:paraId="02954C55">
      <w:pPr>
        <w:pStyle w:val="5"/>
        <w:tabs>
          <w:tab w:val="left" w:pos="851"/>
          <w:tab w:val="clear" w:pos="630"/>
          <w:tab w:val="clear" w:pos="1701"/>
        </w:tabs>
      </w:pPr>
      <w:r>
        <w:t>空调水系统附件设置应符合下列规定：</w:t>
      </w:r>
    </w:p>
    <w:p w14:paraId="349E1B31">
      <w:pPr>
        <w:pStyle w:val="86"/>
        <w:ind w:firstLine="422"/>
        <w:rPr>
          <w:color w:val="auto"/>
        </w:rPr>
      </w:pPr>
      <w:r>
        <w:rPr>
          <w:b/>
          <w:color w:val="auto"/>
        </w:rPr>
        <w:t>1</w:t>
      </w:r>
      <w:r>
        <w:rPr>
          <w:rFonts w:hint="eastAsia"/>
          <w:b/>
          <w:color w:val="auto"/>
        </w:rPr>
        <w:t xml:space="preserve"> </w:t>
      </w:r>
      <w:r>
        <w:rPr>
          <w:rFonts w:hint="eastAsia"/>
          <w:color w:val="auto"/>
        </w:rPr>
        <w:t xml:space="preserve"> </w:t>
      </w:r>
      <w:r>
        <w:rPr>
          <w:color w:val="auto"/>
        </w:rPr>
        <w:t>空调冷冻水系统宜设置分水器和集水器；</w:t>
      </w:r>
    </w:p>
    <w:p w14:paraId="3085F721">
      <w:pPr>
        <w:pStyle w:val="86"/>
        <w:ind w:firstLine="422"/>
        <w:rPr>
          <w:color w:val="auto"/>
        </w:rPr>
      </w:pPr>
      <w:r>
        <w:rPr>
          <w:b/>
          <w:color w:val="auto"/>
        </w:rPr>
        <w:t>2</w:t>
      </w:r>
      <w:r>
        <w:rPr>
          <w:rFonts w:hint="eastAsia"/>
          <w:b/>
          <w:color w:val="auto"/>
        </w:rPr>
        <w:t xml:space="preserve"> </w:t>
      </w:r>
      <w:r>
        <w:rPr>
          <w:rFonts w:hint="eastAsia"/>
          <w:color w:val="auto"/>
        </w:rPr>
        <w:t xml:space="preserve"> </w:t>
      </w:r>
      <w:r>
        <w:rPr>
          <w:color w:val="auto"/>
        </w:rPr>
        <w:t>冷水机组、水泵等设备的入口处，应安装水过滤器或除污器；</w:t>
      </w:r>
    </w:p>
    <w:p w14:paraId="1E666CAE">
      <w:pPr>
        <w:pStyle w:val="86"/>
        <w:ind w:firstLine="422"/>
        <w:rPr>
          <w:color w:val="auto"/>
        </w:rPr>
      </w:pPr>
      <w:r>
        <w:rPr>
          <w:b/>
          <w:color w:val="auto"/>
        </w:rPr>
        <w:t>3</w:t>
      </w:r>
      <w:r>
        <w:rPr>
          <w:rFonts w:hint="eastAsia"/>
          <w:b/>
          <w:color w:val="auto"/>
        </w:rPr>
        <w:t xml:space="preserve"> </w:t>
      </w:r>
      <w:r>
        <w:rPr>
          <w:rFonts w:hint="eastAsia"/>
          <w:color w:val="auto"/>
        </w:rPr>
        <w:t xml:space="preserve"> </w:t>
      </w:r>
      <w:r>
        <w:rPr>
          <w:color w:val="auto"/>
        </w:rPr>
        <w:t>空调水系统应设置压力表和温度计等附件。</w:t>
      </w:r>
    </w:p>
    <w:p w14:paraId="5A6411D2">
      <w:pPr>
        <w:jc w:val="center"/>
        <w:rPr>
          <w:b/>
        </w:rPr>
      </w:pPr>
      <w:r>
        <w:rPr>
          <w:b/>
        </w:rPr>
        <w:t>Ⅵ</w:t>
      </w:r>
      <w:r>
        <w:rPr>
          <w:rFonts w:hint="eastAsia"/>
          <w:b/>
        </w:rPr>
        <w:t xml:space="preserve">  </w:t>
      </w:r>
      <w:r>
        <w:rPr>
          <w:b/>
        </w:rPr>
        <w:t>机房、风道及风亭</w:t>
      </w:r>
    </w:p>
    <w:p w14:paraId="4C0C917C">
      <w:pPr>
        <w:pStyle w:val="5"/>
        <w:tabs>
          <w:tab w:val="left" w:pos="851"/>
          <w:tab w:val="clear" w:pos="630"/>
          <w:tab w:val="clear" w:pos="1701"/>
        </w:tabs>
      </w:pPr>
      <w:r>
        <w:t>冷冻机房应设置在靠近空调负荷中心的位置，宜与空调机房综合布置，并符合本规范第9.5节的有关规定。</w:t>
      </w:r>
    </w:p>
    <w:p w14:paraId="193626FA">
      <w:pPr>
        <w:pStyle w:val="5"/>
        <w:tabs>
          <w:tab w:val="left" w:pos="851"/>
          <w:tab w:val="clear" w:pos="630"/>
          <w:tab w:val="clear" w:pos="1701"/>
        </w:tabs>
      </w:pPr>
      <w:r>
        <w:t>当车站土建风道较长时，宜利用其内部空间布置通风空调与供暖系统设备。</w:t>
      </w:r>
    </w:p>
    <w:p w14:paraId="4D8211FF">
      <w:pPr>
        <w:pStyle w:val="5"/>
        <w:tabs>
          <w:tab w:val="left" w:pos="851"/>
          <w:tab w:val="clear" w:pos="630"/>
          <w:tab w:val="clear" w:pos="1701"/>
        </w:tabs>
      </w:pPr>
      <w:r>
        <w:t>冷水机组四周应留有必要的操作和维修空间，冷冻机房内设备的布置间距应符合下列规定：</w:t>
      </w:r>
    </w:p>
    <w:p w14:paraId="11F940ED">
      <w:pPr>
        <w:pStyle w:val="86"/>
        <w:ind w:firstLine="422"/>
        <w:rPr>
          <w:color w:val="auto"/>
        </w:rPr>
      </w:pPr>
      <w:r>
        <w:rPr>
          <w:b/>
          <w:color w:val="auto"/>
        </w:rPr>
        <w:t>1</w:t>
      </w:r>
      <w:r>
        <w:rPr>
          <w:rFonts w:hint="eastAsia"/>
          <w:color w:val="auto"/>
        </w:rPr>
        <w:t xml:space="preserve">  </w:t>
      </w:r>
      <w:r>
        <w:rPr>
          <w:color w:val="auto"/>
        </w:rPr>
        <w:t>主要通道和操作通道的宽度应大于1.5m；</w:t>
      </w:r>
    </w:p>
    <w:p w14:paraId="223C7D0C">
      <w:pPr>
        <w:pStyle w:val="86"/>
        <w:ind w:firstLine="422"/>
        <w:rPr>
          <w:color w:val="auto"/>
        </w:rPr>
      </w:pPr>
      <w:r>
        <w:rPr>
          <w:b/>
          <w:color w:val="auto"/>
        </w:rPr>
        <w:t>2</w:t>
      </w:r>
      <w:r>
        <w:rPr>
          <w:rFonts w:hint="eastAsia"/>
          <w:color w:val="auto"/>
        </w:rPr>
        <w:t xml:space="preserve">  </w:t>
      </w:r>
      <w:r>
        <w:rPr>
          <w:color w:val="auto"/>
        </w:rPr>
        <w:t>冷水机组突缘部分与配电盘之间距离应大于1.5m；</w:t>
      </w:r>
    </w:p>
    <w:p w14:paraId="0595EAA3">
      <w:pPr>
        <w:pStyle w:val="86"/>
        <w:ind w:firstLine="422"/>
        <w:rPr>
          <w:color w:val="auto"/>
        </w:rPr>
      </w:pPr>
      <w:r>
        <w:rPr>
          <w:b/>
          <w:color w:val="auto"/>
        </w:rPr>
        <w:t>3</w:t>
      </w:r>
      <w:r>
        <w:rPr>
          <w:rFonts w:hint="eastAsia"/>
          <w:color w:val="auto"/>
        </w:rPr>
        <w:t xml:space="preserve">  </w:t>
      </w:r>
      <w:r>
        <w:rPr>
          <w:color w:val="auto"/>
        </w:rPr>
        <w:t>冷水机组突缘部分相互之间应大于1.2m；</w:t>
      </w:r>
    </w:p>
    <w:p w14:paraId="6357284F">
      <w:pPr>
        <w:pStyle w:val="86"/>
        <w:ind w:firstLine="422"/>
        <w:rPr>
          <w:color w:val="auto"/>
        </w:rPr>
      </w:pPr>
      <w:r>
        <w:rPr>
          <w:b/>
          <w:color w:val="auto"/>
        </w:rPr>
        <w:t>4</w:t>
      </w:r>
      <w:r>
        <w:rPr>
          <w:rFonts w:hint="eastAsia"/>
          <w:b/>
          <w:color w:val="auto"/>
        </w:rPr>
        <w:t xml:space="preserve"> </w:t>
      </w:r>
      <w:r>
        <w:rPr>
          <w:rFonts w:hint="eastAsia"/>
          <w:color w:val="auto"/>
        </w:rPr>
        <w:t xml:space="preserve"> </w:t>
      </w:r>
      <w:r>
        <w:rPr>
          <w:color w:val="auto"/>
        </w:rPr>
        <w:t>冷水机组与墙面之间距离应大于1.0m；</w:t>
      </w:r>
    </w:p>
    <w:p w14:paraId="21B24846">
      <w:pPr>
        <w:pStyle w:val="86"/>
        <w:ind w:firstLine="422"/>
        <w:rPr>
          <w:color w:val="auto"/>
        </w:rPr>
      </w:pPr>
      <w:r>
        <w:rPr>
          <w:b/>
          <w:color w:val="auto"/>
        </w:rPr>
        <w:t>5</w:t>
      </w:r>
      <w:r>
        <w:rPr>
          <w:rFonts w:hint="eastAsia"/>
          <w:color w:val="auto"/>
        </w:rPr>
        <w:t xml:space="preserve">  </w:t>
      </w:r>
      <w:r>
        <w:rPr>
          <w:color w:val="auto"/>
        </w:rPr>
        <w:t>非主要通道应大于1.0m；</w:t>
      </w:r>
    </w:p>
    <w:p w14:paraId="4F8B7CA5">
      <w:pPr>
        <w:pStyle w:val="86"/>
        <w:ind w:firstLine="422"/>
        <w:rPr>
          <w:color w:val="auto"/>
        </w:rPr>
      </w:pPr>
      <w:r>
        <w:rPr>
          <w:b/>
          <w:color w:val="auto"/>
        </w:rPr>
        <w:t>6</w:t>
      </w:r>
      <w:r>
        <w:rPr>
          <w:rFonts w:hint="eastAsia"/>
          <w:color w:val="auto"/>
        </w:rPr>
        <w:t xml:space="preserve">  </w:t>
      </w:r>
      <w:r>
        <w:rPr>
          <w:color w:val="auto"/>
        </w:rPr>
        <w:t>冷水机组前端应根据设备要求，留有蒸发器和冷凝器抽管空间。</w:t>
      </w:r>
    </w:p>
    <w:p w14:paraId="3539B044">
      <w:pPr>
        <w:pStyle w:val="5"/>
        <w:tabs>
          <w:tab w:val="left" w:pos="851"/>
          <w:tab w:val="clear" w:pos="630"/>
          <w:tab w:val="clear" w:pos="1701"/>
        </w:tabs>
      </w:pPr>
      <w:r>
        <w:t>冷冻机房及通风空调机房的内部空间应在满足机房内各种设备、管线布置的前提下，保证制冷空调设备的安装、维修、检修和测量的需要。</w:t>
      </w:r>
    </w:p>
    <w:p w14:paraId="012BF0E1">
      <w:pPr>
        <w:pStyle w:val="5"/>
        <w:tabs>
          <w:tab w:val="left" w:pos="851"/>
          <w:tab w:val="clear" w:pos="630"/>
          <w:tab w:val="clear" w:pos="1701"/>
        </w:tabs>
      </w:pPr>
      <w:r>
        <w:t>冷冻机房及通风空调机房内应设排水明沟和地漏。表冷器、空调机组凝结水管应接水封后再排至排水系统。空调设备的大流量泄水管宜直接引至废水泵房或设有防外溢措施的泄水槽。</w:t>
      </w:r>
    </w:p>
    <w:p w14:paraId="0DC4A8DB">
      <w:pPr>
        <w:pStyle w:val="5"/>
        <w:tabs>
          <w:tab w:val="left" w:pos="851"/>
          <w:tab w:val="clear" w:pos="630"/>
          <w:tab w:val="clear" w:pos="1701"/>
        </w:tabs>
      </w:pPr>
      <w:r>
        <w:t>通风空调机房应设置地面防、排水措施，管道穿越楼板处应设挡水措施。</w:t>
      </w:r>
    </w:p>
    <w:p w14:paraId="4C8E871E">
      <w:pPr>
        <w:pStyle w:val="5"/>
        <w:tabs>
          <w:tab w:val="left" w:pos="851"/>
          <w:tab w:val="clear" w:pos="630"/>
          <w:tab w:val="clear" w:pos="1701"/>
        </w:tabs>
      </w:pPr>
      <w:r>
        <w:t>土建风道及空调机组中的表冷器应设置冬季泄水保养及吹干防冻措施。</w:t>
      </w:r>
    </w:p>
    <w:p w14:paraId="12E259AA">
      <w:pPr>
        <w:pStyle w:val="5"/>
        <w:tabs>
          <w:tab w:val="left" w:pos="851"/>
          <w:tab w:val="clear" w:pos="630"/>
          <w:tab w:val="clear" w:pos="1701"/>
        </w:tabs>
      </w:pPr>
      <w:r>
        <w:t>通风空调系统的风亭设计应符合本规范第9.8节的有关规定。</w:t>
      </w:r>
    </w:p>
    <w:p w14:paraId="10967CC4">
      <w:pPr>
        <w:pStyle w:val="5"/>
        <w:tabs>
          <w:tab w:val="left" w:pos="851"/>
          <w:tab w:val="clear" w:pos="630"/>
          <w:tab w:val="clear" w:pos="1701"/>
        </w:tabs>
      </w:pPr>
      <w:r>
        <w:t>通风道和风井的风速不宜大于8m/s；站台下排风风道和列车顶部排风风道的风速不宜大于15m/s；风亭格栅的迎面风速不宜大于4m/s。</w:t>
      </w:r>
    </w:p>
    <w:p w14:paraId="783D32E8">
      <w:pPr>
        <w:pStyle w:val="5"/>
        <w:tabs>
          <w:tab w:val="left" w:pos="851"/>
          <w:tab w:val="clear" w:pos="630"/>
          <w:tab w:val="clear" w:pos="1701"/>
        </w:tabs>
      </w:pPr>
      <w:r>
        <w:t>风亭出口的噪声应符合现行国家标准《声环境质量标准》GB3096的有关规定。</w:t>
      </w:r>
    </w:p>
    <w:p w14:paraId="5ED6E7F7">
      <w:pPr>
        <w:jc w:val="center"/>
        <w:rPr>
          <w:b/>
        </w:rPr>
      </w:pPr>
      <w:bookmarkStart w:id="973" w:name="_bookmark246"/>
      <w:bookmarkEnd w:id="973"/>
      <w:bookmarkStart w:id="974" w:name="_bookmark104"/>
      <w:bookmarkEnd w:id="974"/>
      <w:r>
        <w:rPr>
          <w:b/>
        </w:rPr>
        <w:t>Ⅶ</w:t>
      </w:r>
      <w:r>
        <w:rPr>
          <w:rFonts w:hint="eastAsia"/>
          <w:b/>
        </w:rPr>
        <w:t xml:space="preserve">  </w:t>
      </w:r>
      <w:r>
        <w:rPr>
          <w:b/>
        </w:rPr>
        <w:t>供暖</w:t>
      </w:r>
    </w:p>
    <w:p w14:paraId="758DC7F8">
      <w:pPr>
        <w:pStyle w:val="5"/>
        <w:tabs>
          <w:tab w:val="left" w:pos="851"/>
          <w:tab w:val="clear" w:pos="630"/>
          <w:tab w:val="clear" w:pos="1701"/>
        </w:tabs>
      </w:pPr>
      <w:r>
        <w:t>地下车站公共区及区间隧道不宜设置供暖系统。</w:t>
      </w:r>
    </w:p>
    <w:p w14:paraId="5B3D5BBF">
      <w:pPr>
        <w:pStyle w:val="5"/>
        <w:tabs>
          <w:tab w:val="left" w:pos="851"/>
          <w:tab w:val="clear" w:pos="630"/>
          <w:tab w:val="clear" w:pos="1701"/>
        </w:tabs>
      </w:pPr>
      <w:r>
        <w:t>有工作人员的车站管理用房需供暖时，</w:t>
      </w:r>
      <w:bookmarkStart w:id="975" w:name="_Hlk176192632"/>
      <w:r>
        <w:rPr>
          <w:rFonts w:hint="eastAsia"/>
        </w:rPr>
        <w:t>宜</w:t>
      </w:r>
      <w:r>
        <w:t>采用</w:t>
      </w:r>
      <w:r>
        <w:rPr>
          <w:rFonts w:hint="eastAsia"/>
        </w:rPr>
        <w:t>空调热泵</w:t>
      </w:r>
      <w:r>
        <w:t>系统</w:t>
      </w:r>
      <w:r>
        <w:rPr>
          <w:rFonts w:hint="eastAsia"/>
        </w:rPr>
        <w:t>或</w:t>
      </w:r>
      <w:r>
        <w:t>局部电热供暖。</w:t>
      </w:r>
      <w:bookmarkEnd w:id="975"/>
    </w:p>
    <w:p w14:paraId="5BF58288">
      <w:pPr>
        <w:numPr>
          <w:ilvl w:val="1"/>
          <w:numId w:val="1"/>
        </w:numPr>
        <w:snapToGrid w:val="0"/>
        <w:spacing w:before="156" w:after="156" w:line="240" w:lineRule="auto"/>
        <w:jc w:val="center"/>
        <w:outlineLvl w:val="1"/>
        <w:rPr>
          <w:rFonts w:eastAsia="黑体"/>
          <w:bCs/>
          <w:szCs w:val="28"/>
        </w:rPr>
      </w:pPr>
      <w:bookmarkStart w:id="976" w:name="_Toc168061704"/>
      <w:bookmarkStart w:id="977" w:name="_Toc174462056"/>
      <w:bookmarkStart w:id="978" w:name="_Toc168061257"/>
      <w:bookmarkStart w:id="979" w:name="_Toc168059449"/>
      <w:bookmarkStart w:id="980" w:name="_Toc183790569"/>
      <w:bookmarkStart w:id="981" w:name="_Toc183888544"/>
      <w:bookmarkStart w:id="982" w:name="_Toc183882492"/>
      <w:bookmarkStart w:id="983" w:name="_Toc183765139"/>
      <w:bookmarkStart w:id="984" w:name="_Toc183882130"/>
      <w:bookmarkStart w:id="985" w:name="_Toc183683544"/>
      <w:bookmarkStart w:id="986" w:name="_Toc183888182"/>
      <w:r>
        <w:rPr>
          <w:rFonts w:eastAsia="黑体"/>
          <w:bCs/>
          <w:szCs w:val="28"/>
        </w:rPr>
        <w:t>高架</w:t>
      </w:r>
      <w:r>
        <w:rPr>
          <w:rFonts w:hint="eastAsia" w:eastAsia="黑体"/>
          <w:bCs/>
          <w:szCs w:val="28"/>
        </w:rPr>
        <w:t>与</w:t>
      </w:r>
      <w:r>
        <w:rPr>
          <w:rFonts w:eastAsia="黑体"/>
          <w:bCs/>
          <w:szCs w:val="28"/>
        </w:rPr>
        <w:t>地面</w:t>
      </w:r>
      <w:bookmarkEnd w:id="976"/>
      <w:bookmarkEnd w:id="977"/>
      <w:bookmarkEnd w:id="978"/>
      <w:bookmarkEnd w:id="979"/>
      <w:r>
        <w:rPr>
          <w:rFonts w:hint="eastAsia" w:eastAsia="黑体"/>
          <w:bCs/>
          <w:szCs w:val="28"/>
        </w:rPr>
        <w:t>线路</w:t>
      </w:r>
      <w:bookmarkEnd w:id="980"/>
      <w:bookmarkEnd w:id="981"/>
      <w:bookmarkEnd w:id="982"/>
      <w:bookmarkEnd w:id="983"/>
      <w:bookmarkEnd w:id="984"/>
      <w:bookmarkEnd w:id="985"/>
      <w:bookmarkEnd w:id="986"/>
    </w:p>
    <w:p w14:paraId="749D7491">
      <w:pPr>
        <w:jc w:val="center"/>
        <w:rPr>
          <w:b/>
        </w:rPr>
      </w:pPr>
      <w:r>
        <w:rPr>
          <w:b/>
        </w:rPr>
        <w:t>Ⅰ</w:t>
      </w:r>
      <w:r>
        <w:rPr>
          <w:rFonts w:hint="eastAsia"/>
          <w:b/>
        </w:rPr>
        <w:t xml:space="preserve">  </w:t>
      </w:r>
      <w:r>
        <w:rPr>
          <w:b/>
        </w:rPr>
        <w:t>室内外设计参数</w:t>
      </w:r>
    </w:p>
    <w:p w14:paraId="578DE4B9">
      <w:pPr>
        <w:pStyle w:val="5"/>
        <w:tabs>
          <w:tab w:val="left" w:pos="709"/>
          <w:tab w:val="clear" w:pos="630"/>
        </w:tabs>
      </w:pPr>
      <w:r>
        <w:t>夏季室外空气计算温度应符合下列规定：</w:t>
      </w:r>
    </w:p>
    <w:p w14:paraId="798C6565">
      <w:pPr>
        <w:pStyle w:val="86"/>
        <w:ind w:firstLine="422"/>
        <w:rPr>
          <w:color w:val="auto"/>
        </w:rPr>
      </w:pPr>
      <w:r>
        <w:rPr>
          <w:b/>
          <w:color w:val="auto"/>
        </w:rPr>
        <w:t>1</w:t>
      </w:r>
      <w:r>
        <w:rPr>
          <w:rFonts w:hint="eastAsia"/>
          <w:b/>
          <w:color w:val="auto"/>
        </w:rPr>
        <w:t xml:space="preserve"> </w:t>
      </w:r>
      <w:r>
        <w:rPr>
          <w:rFonts w:hint="eastAsia"/>
          <w:color w:val="auto"/>
        </w:rPr>
        <w:t xml:space="preserve"> </w:t>
      </w:r>
      <w:r>
        <w:rPr>
          <w:color w:val="auto"/>
        </w:rPr>
        <w:t>夏季通风室外空气计算温度应为29.7℃；</w:t>
      </w:r>
    </w:p>
    <w:p w14:paraId="1A1ACBE1">
      <w:pPr>
        <w:pStyle w:val="86"/>
        <w:ind w:firstLine="422"/>
        <w:rPr>
          <w:color w:val="auto"/>
        </w:rPr>
      </w:pPr>
      <w:r>
        <w:rPr>
          <w:b/>
          <w:color w:val="auto"/>
        </w:rPr>
        <w:t>2</w:t>
      </w:r>
      <w:r>
        <w:rPr>
          <w:rFonts w:hint="eastAsia"/>
          <w:color w:val="auto"/>
        </w:rPr>
        <w:t xml:space="preserve">  </w:t>
      </w:r>
      <w:r>
        <w:rPr>
          <w:color w:val="auto"/>
        </w:rPr>
        <w:t>夏季空调室外空气计算干球温度应为33.5℃；</w:t>
      </w:r>
    </w:p>
    <w:p w14:paraId="110C37B4">
      <w:pPr>
        <w:pStyle w:val="86"/>
        <w:ind w:firstLine="422"/>
        <w:rPr>
          <w:color w:val="auto"/>
        </w:rPr>
      </w:pPr>
      <w:r>
        <w:rPr>
          <w:b/>
          <w:color w:val="auto"/>
        </w:rPr>
        <w:t>3</w:t>
      </w:r>
      <w:r>
        <w:rPr>
          <w:rFonts w:hint="eastAsia"/>
          <w:color w:val="auto"/>
        </w:rPr>
        <w:t xml:space="preserve">  </w:t>
      </w:r>
      <w:r>
        <w:rPr>
          <w:color w:val="auto"/>
        </w:rPr>
        <w:t>夏季空调室外空气计算湿球温度应为26.4℃。</w:t>
      </w:r>
    </w:p>
    <w:p w14:paraId="1CC1BA60">
      <w:pPr>
        <w:pStyle w:val="5"/>
        <w:tabs>
          <w:tab w:val="left" w:pos="709"/>
          <w:tab w:val="clear" w:pos="630"/>
        </w:tabs>
      </w:pPr>
      <w:r>
        <w:t>冬季室外空气计算温度应符合下列规定：</w:t>
      </w:r>
    </w:p>
    <w:p w14:paraId="4F17C160">
      <w:pPr>
        <w:pStyle w:val="86"/>
        <w:ind w:firstLine="422"/>
        <w:rPr>
          <w:color w:val="auto"/>
        </w:rPr>
      </w:pPr>
      <w:r>
        <w:rPr>
          <w:b/>
          <w:color w:val="auto"/>
        </w:rPr>
        <w:t>1</w:t>
      </w:r>
      <w:r>
        <w:rPr>
          <w:rFonts w:hint="eastAsia"/>
          <w:b/>
          <w:color w:val="auto"/>
        </w:rPr>
        <w:t xml:space="preserve">  </w:t>
      </w:r>
      <w:r>
        <w:rPr>
          <w:color w:val="auto"/>
        </w:rPr>
        <w:t>冬季通风室外空气计算温度应为−3.6℃；</w:t>
      </w:r>
    </w:p>
    <w:p w14:paraId="5D626B2C">
      <w:pPr>
        <w:pStyle w:val="86"/>
        <w:ind w:firstLine="422"/>
        <w:rPr>
          <w:color w:val="auto"/>
        </w:rPr>
      </w:pPr>
      <w:r>
        <w:rPr>
          <w:b/>
          <w:color w:val="auto"/>
        </w:rPr>
        <w:t>2</w:t>
      </w:r>
      <w:r>
        <w:rPr>
          <w:rFonts w:hint="eastAsia"/>
          <w:color w:val="auto"/>
        </w:rPr>
        <w:t xml:space="preserve">  </w:t>
      </w:r>
      <w:r>
        <w:rPr>
          <w:color w:val="auto"/>
        </w:rPr>
        <w:t>冬季供暖室外空气计算温度应为−7.6℃。</w:t>
      </w:r>
    </w:p>
    <w:p w14:paraId="23B65505">
      <w:pPr>
        <w:pStyle w:val="5"/>
        <w:tabs>
          <w:tab w:val="left" w:pos="709"/>
          <w:tab w:val="clear" w:pos="630"/>
        </w:tabs>
      </w:pPr>
      <w:r>
        <w:t>站厅采用通风系统时，站厅内的夏季空气计算温度应为32</w:t>
      </w:r>
      <w:r>
        <w:rPr>
          <w:rFonts w:hint="eastAsia"/>
        </w:rPr>
        <w:t>℃</w:t>
      </w:r>
      <w:r>
        <w:t>。</w:t>
      </w:r>
    </w:p>
    <w:p w14:paraId="24E87915">
      <w:pPr>
        <w:pStyle w:val="5"/>
        <w:tabs>
          <w:tab w:val="left" w:pos="709"/>
          <w:tab w:val="clear" w:pos="630"/>
        </w:tabs>
      </w:pPr>
      <w:r>
        <w:t>站厅采用空调系统时，站厅内的夏季空气计算温度应为</w:t>
      </w:r>
      <w:r>
        <w:rPr>
          <w:rFonts w:hint="eastAsia"/>
        </w:rPr>
        <w:t>30℃</w:t>
      </w:r>
      <w:r>
        <w:t>，相对湿度不应大于70%。</w:t>
      </w:r>
    </w:p>
    <w:p w14:paraId="0579F36C">
      <w:pPr>
        <w:pStyle w:val="5"/>
        <w:tabs>
          <w:tab w:val="left" w:pos="709"/>
          <w:tab w:val="clear" w:pos="630"/>
        </w:tabs>
      </w:pPr>
      <w:r>
        <w:t>车站设备及管理用房夏季通风与空调的温度、湿度标准应符合表1</w:t>
      </w:r>
      <w:r>
        <w:rPr>
          <w:rFonts w:hint="eastAsia"/>
        </w:rPr>
        <w:t>4</w:t>
      </w:r>
      <w:r>
        <w:t>.2.10的规定。</w:t>
      </w:r>
    </w:p>
    <w:p w14:paraId="327C3314">
      <w:pPr>
        <w:pStyle w:val="5"/>
        <w:tabs>
          <w:tab w:val="left" w:pos="709"/>
          <w:tab w:val="clear" w:pos="630"/>
        </w:tabs>
      </w:pPr>
      <w:r>
        <w:t>车站卫生间、盥洗室冬季供暖室内设计温度应为12</w:t>
      </w:r>
      <w:r>
        <w:rPr>
          <w:rFonts w:hint="eastAsia"/>
        </w:rPr>
        <w:t>℃</w:t>
      </w:r>
      <w:r>
        <w:t>，其他车站管理用设计温度应为18</w:t>
      </w:r>
      <w:r>
        <w:rPr>
          <w:rFonts w:hint="eastAsia"/>
        </w:rPr>
        <w:t>℃</w:t>
      </w:r>
      <w:r>
        <w:t>，设备用房的设计温度应按工艺要求确定。</w:t>
      </w:r>
    </w:p>
    <w:p w14:paraId="61C04C9F">
      <w:pPr>
        <w:jc w:val="center"/>
        <w:rPr>
          <w:b/>
        </w:rPr>
      </w:pPr>
      <w:r>
        <w:rPr>
          <w:b/>
        </w:rPr>
        <w:t>Ⅱ</w:t>
      </w:r>
      <w:r>
        <w:rPr>
          <w:rFonts w:hint="eastAsia"/>
          <w:b/>
        </w:rPr>
        <w:t xml:space="preserve">  </w:t>
      </w:r>
      <w:r>
        <w:rPr>
          <w:b/>
        </w:rPr>
        <w:t>通风与空调</w:t>
      </w:r>
    </w:p>
    <w:p w14:paraId="29485F1B">
      <w:pPr>
        <w:pStyle w:val="5"/>
        <w:tabs>
          <w:tab w:val="left" w:pos="709"/>
          <w:tab w:val="clear" w:pos="630"/>
        </w:tabs>
      </w:pPr>
      <w:r>
        <w:t>地上车站公共区应采用自然通风，设备及管理用房宜采用自然通风；当不具备自然通风条件时，可设置机械通风或空调系统。</w:t>
      </w:r>
    </w:p>
    <w:p w14:paraId="58756580">
      <w:pPr>
        <w:pStyle w:val="5"/>
        <w:tabs>
          <w:tab w:val="left" w:pos="709"/>
          <w:tab w:val="clear" w:pos="630"/>
        </w:tabs>
      </w:pPr>
      <w:r>
        <w:t>站厅设置空调系统时，站厅通向站台的楼梯口、扶梯口处以及出入口宜设置风幕。</w:t>
      </w:r>
    </w:p>
    <w:p w14:paraId="2AC3BF69">
      <w:pPr>
        <w:pStyle w:val="5"/>
        <w:tabs>
          <w:tab w:val="left" w:pos="709"/>
          <w:tab w:val="clear" w:pos="630"/>
        </w:tabs>
      </w:pPr>
      <w:r>
        <w:t>地上变电所宜采用机械排风，自然进风的通风方式。自然进风口应设置滤尘设施及调节阀门。</w:t>
      </w:r>
    </w:p>
    <w:p w14:paraId="3292E5CE">
      <w:pPr>
        <w:pStyle w:val="5"/>
        <w:tabs>
          <w:tab w:val="left" w:pos="851"/>
          <w:tab w:val="clear" w:pos="630"/>
        </w:tabs>
      </w:pPr>
      <w:r>
        <w:t>设备及管理用房宜采用多联分体空调系统，管理用房与发热量大的设备用房的空调系统应分别设置。</w:t>
      </w:r>
    </w:p>
    <w:p w14:paraId="4886CE53">
      <w:pPr>
        <w:pStyle w:val="5"/>
        <w:tabs>
          <w:tab w:val="left" w:pos="851"/>
          <w:tab w:val="clear" w:pos="630"/>
        </w:tabs>
      </w:pPr>
      <w:r>
        <w:t>对于未纳入多联分体空调系统的站台值班室、站厅检票亭、变电所控制室等房间可设置局部的分体空调器。</w:t>
      </w:r>
    </w:p>
    <w:p w14:paraId="76A632B8">
      <w:pPr>
        <w:pStyle w:val="5"/>
        <w:tabs>
          <w:tab w:val="left" w:pos="851"/>
          <w:tab w:val="clear" w:pos="630"/>
        </w:tabs>
      </w:pPr>
      <w:r>
        <w:t>高架和地面区间应采用自然通风；区间设置全封闭声屏障时，应采取措施实现有效的自然通风。</w:t>
      </w:r>
    </w:p>
    <w:p w14:paraId="60F4C49D">
      <w:pPr>
        <w:jc w:val="center"/>
        <w:rPr>
          <w:b/>
        </w:rPr>
      </w:pPr>
      <w:r>
        <w:rPr>
          <w:b/>
        </w:rPr>
        <w:t>Ⅲ</w:t>
      </w:r>
      <w:r>
        <w:rPr>
          <w:rFonts w:hint="eastAsia"/>
          <w:b/>
        </w:rPr>
        <w:t xml:space="preserve">  </w:t>
      </w:r>
      <w:r>
        <w:rPr>
          <w:b/>
        </w:rPr>
        <w:t>供暖</w:t>
      </w:r>
    </w:p>
    <w:p w14:paraId="292799F9">
      <w:pPr>
        <w:pStyle w:val="5"/>
        <w:tabs>
          <w:tab w:val="left" w:pos="851"/>
          <w:tab w:val="clear" w:pos="630"/>
        </w:tabs>
      </w:pPr>
      <w:r>
        <w:t>地上车站公共区不应设置供暖系统，车站管理用房应设供暖装置。</w:t>
      </w:r>
    </w:p>
    <w:p w14:paraId="6F4A9E40">
      <w:pPr>
        <w:pStyle w:val="5"/>
        <w:tabs>
          <w:tab w:val="left" w:pos="851"/>
          <w:tab w:val="clear" w:pos="630"/>
        </w:tabs>
      </w:pPr>
      <w:r>
        <w:t>车站设备用房应根据工艺要求设供暖系统。</w:t>
      </w:r>
    </w:p>
    <w:p w14:paraId="1CA5F151">
      <w:pPr>
        <w:pStyle w:val="5"/>
        <w:tabs>
          <w:tab w:val="left" w:pos="851"/>
          <w:tab w:val="clear" w:pos="630"/>
        </w:tabs>
      </w:pPr>
      <w:r>
        <w:t>热源宜采用附近热网，无条件时可采用清洁能源供热设备。</w:t>
      </w:r>
    </w:p>
    <w:p w14:paraId="252771D7">
      <w:pPr>
        <w:pStyle w:val="5"/>
        <w:tabs>
          <w:tab w:val="left" w:pos="851"/>
          <w:tab w:val="clear" w:pos="630"/>
        </w:tabs>
      </w:pPr>
      <w:r>
        <w:t>在公共部位设置的局部电热供暖设备应设置防盗及防护措施。</w:t>
      </w:r>
    </w:p>
    <w:p w14:paraId="75470E88">
      <w:pPr>
        <w:numPr>
          <w:ilvl w:val="1"/>
          <w:numId w:val="1"/>
        </w:numPr>
        <w:snapToGrid w:val="0"/>
        <w:spacing w:before="156" w:after="156" w:line="240" w:lineRule="auto"/>
        <w:jc w:val="center"/>
        <w:outlineLvl w:val="1"/>
        <w:rPr>
          <w:rFonts w:eastAsia="黑体"/>
          <w:bCs/>
          <w:szCs w:val="28"/>
        </w:rPr>
      </w:pPr>
      <w:bookmarkStart w:id="987" w:name="_Toc168059450"/>
      <w:bookmarkStart w:id="988" w:name="_Toc183882131"/>
      <w:bookmarkStart w:id="989" w:name="_Toc174462057"/>
      <w:bookmarkStart w:id="990" w:name="_Toc168061705"/>
      <w:bookmarkStart w:id="991" w:name="_Toc183765140"/>
      <w:bookmarkStart w:id="992" w:name="_Toc183790570"/>
      <w:bookmarkStart w:id="993" w:name="_Toc183882493"/>
      <w:bookmarkStart w:id="994" w:name="_Toc183683545"/>
      <w:bookmarkStart w:id="995" w:name="_Toc183888183"/>
      <w:bookmarkStart w:id="996" w:name="_Toc183888545"/>
      <w:bookmarkStart w:id="997" w:name="_Toc168061258"/>
      <w:r>
        <w:rPr>
          <w:rFonts w:eastAsia="黑体"/>
          <w:bCs/>
          <w:szCs w:val="28"/>
        </w:rPr>
        <w:t>车辆基地</w:t>
      </w:r>
      <w:r>
        <w:rPr>
          <w:rFonts w:hint="eastAsia" w:eastAsia="黑体"/>
          <w:bCs/>
          <w:szCs w:val="28"/>
        </w:rPr>
        <w:t>与</w:t>
      </w:r>
      <w:r>
        <w:rPr>
          <w:rFonts w:eastAsia="黑体"/>
          <w:bCs/>
          <w:szCs w:val="28"/>
        </w:rPr>
        <w:t>控制中心</w:t>
      </w:r>
      <w:bookmarkEnd w:id="987"/>
      <w:bookmarkEnd w:id="988"/>
      <w:bookmarkEnd w:id="989"/>
      <w:bookmarkEnd w:id="990"/>
      <w:bookmarkEnd w:id="991"/>
      <w:bookmarkEnd w:id="992"/>
      <w:bookmarkEnd w:id="993"/>
      <w:bookmarkEnd w:id="994"/>
      <w:bookmarkEnd w:id="995"/>
      <w:bookmarkEnd w:id="996"/>
      <w:bookmarkEnd w:id="997"/>
    </w:p>
    <w:p w14:paraId="420577E9">
      <w:pPr>
        <w:pStyle w:val="5"/>
        <w:tabs>
          <w:tab w:val="left" w:pos="709"/>
          <w:tab w:val="clear" w:pos="630"/>
        </w:tabs>
      </w:pPr>
      <w:r>
        <w:t>车辆基地的停车库、列检库、洗车库、月检库等运用和检修生产设施库室的冬季供暖室内设计温度应为12</w:t>
      </w:r>
      <w:r>
        <w:rPr>
          <w:rFonts w:hint="eastAsia" w:ascii="宋体" w:hAnsi="宋体" w:cs="宋体"/>
        </w:rPr>
        <w:t>℃</w:t>
      </w:r>
      <w:r>
        <w:t>。夏季采用机械通风时，小时换气次数不宜小于1次；当房间高度大于6m时，机械通风量可按6m3/h·m2计算。</w:t>
      </w:r>
    </w:p>
    <w:p w14:paraId="66D5ECE6">
      <w:pPr>
        <w:pStyle w:val="5"/>
        <w:tabs>
          <w:tab w:val="left" w:pos="709"/>
          <w:tab w:val="clear" w:pos="630"/>
        </w:tabs>
      </w:pPr>
      <w:r>
        <w:t>车辆基地的室外供暖管线下穿厂区内的轨道时宜采用通行地沟的敷设方式。</w:t>
      </w:r>
    </w:p>
    <w:p w14:paraId="37EE29CB">
      <w:pPr>
        <w:pStyle w:val="5"/>
        <w:tabs>
          <w:tab w:val="left" w:pos="709"/>
          <w:tab w:val="clear" w:pos="630"/>
        </w:tabs>
      </w:pPr>
      <w:bookmarkStart w:id="998" w:name="_bookmark105"/>
      <w:bookmarkEnd w:id="998"/>
      <w:bookmarkStart w:id="999" w:name="_bookmark247"/>
      <w:bookmarkEnd w:id="999"/>
      <w:r>
        <w:t>控制中心内各条线路的设备机房应设置独立的空调系统，室内空调设计温度应为23</w:t>
      </w:r>
      <w:r>
        <w:rPr>
          <w:rFonts w:hint="eastAsia"/>
        </w:rPr>
        <w:t>℃</w:t>
      </w:r>
      <w:r>
        <w:t>±1</w:t>
      </w:r>
      <w:r>
        <w:rPr>
          <w:rFonts w:hint="eastAsia"/>
        </w:rPr>
        <w:t>℃</w:t>
      </w:r>
      <w:r>
        <w:t>，相对湿度应为40%~55%。</w:t>
      </w:r>
    </w:p>
    <w:p w14:paraId="46C61C59">
      <w:pPr>
        <w:pStyle w:val="5"/>
        <w:tabs>
          <w:tab w:val="left" w:pos="709"/>
          <w:tab w:val="clear" w:pos="630"/>
        </w:tabs>
      </w:pPr>
      <w:r>
        <w:t>控制中心的调度大厅、网管室、电源室等设备及管理用房的室内空调设计温度应为18~28</w:t>
      </w:r>
      <w:r>
        <w:rPr>
          <w:rFonts w:hint="eastAsia" w:ascii="宋体" w:hAnsi="宋体" w:cs="宋体"/>
        </w:rPr>
        <w:t>℃</w:t>
      </w:r>
      <w:r>
        <w:t>，相对湿度应为35%~65%。</w:t>
      </w:r>
    </w:p>
    <w:p w14:paraId="393A66BD">
      <w:pPr>
        <w:numPr>
          <w:ilvl w:val="1"/>
          <w:numId w:val="1"/>
        </w:numPr>
        <w:snapToGrid w:val="0"/>
        <w:spacing w:before="156" w:after="156" w:line="240" w:lineRule="auto"/>
        <w:jc w:val="center"/>
        <w:outlineLvl w:val="1"/>
        <w:rPr>
          <w:rFonts w:eastAsia="黑体"/>
          <w:bCs/>
          <w:szCs w:val="28"/>
        </w:rPr>
      </w:pPr>
      <w:bookmarkStart w:id="1000" w:name="_Toc183882132"/>
      <w:bookmarkStart w:id="1001" w:name="_Toc168059451"/>
      <w:bookmarkStart w:id="1002" w:name="_Toc168061259"/>
      <w:bookmarkStart w:id="1003" w:name="_Toc183765141"/>
      <w:bookmarkStart w:id="1004" w:name="_Toc183790571"/>
      <w:bookmarkStart w:id="1005" w:name="_Toc168061706"/>
      <w:bookmarkStart w:id="1006" w:name="_Toc183888184"/>
      <w:bookmarkStart w:id="1007" w:name="_Toc174462058"/>
      <w:bookmarkStart w:id="1008" w:name="_Toc183882494"/>
      <w:bookmarkStart w:id="1009" w:name="_Toc183888546"/>
      <w:bookmarkStart w:id="1010" w:name="_Toc183683546"/>
      <w:r>
        <w:rPr>
          <w:rFonts w:eastAsia="黑体"/>
          <w:bCs/>
          <w:szCs w:val="28"/>
        </w:rPr>
        <w:t>系统控制</w:t>
      </w:r>
      <w:bookmarkEnd w:id="1000"/>
      <w:bookmarkEnd w:id="1001"/>
      <w:bookmarkEnd w:id="1002"/>
      <w:bookmarkEnd w:id="1003"/>
      <w:bookmarkEnd w:id="1004"/>
      <w:bookmarkEnd w:id="1005"/>
      <w:bookmarkEnd w:id="1006"/>
      <w:bookmarkEnd w:id="1007"/>
      <w:bookmarkEnd w:id="1008"/>
      <w:bookmarkEnd w:id="1009"/>
      <w:bookmarkEnd w:id="1010"/>
    </w:p>
    <w:p w14:paraId="1084236D">
      <w:pPr>
        <w:pStyle w:val="5"/>
        <w:tabs>
          <w:tab w:val="left" w:pos="709"/>
          <w:tab w:val="clear" w:pos="630"/>
        </w:tabs>
      </w:pPr>
      <w:r>
        <w:t>区间隧道通风系统、地下车站公共区通风空调与供暖系统宜设就地控制、车站控制、中心控制的三级控制。</w:t>
      </w:r>
    </w:p>
    <w:p w14:paraId="384FBA01">
      <w:pPr>
        <w:ind w:firstLine="420" w:firstLineChars="200"/>
        <w:sectPr>
          <w:headerReference r:id="rId24" w:type="first"/>
          <w:footerReference r:id="rId27" w:type="first"/>
          <w:footerReference r:id="rId25" w:type="default"/>
          <w:footerReference r:id="rId26" w:type="even"/>
          <w:pgSz w:w="7938" w:h="11510"/>
          <w:pgMar w:top="1247" w:right="907" w:bottom="1247" w:left="907" w:header="737" w:footer="737" w:gutter="0"/>
          <w:cols w:space="720" w:num="1"/>
          <w:docGrid w:linePitch="272" w:charSpace="0"/>
        </w:sectPr>
      </w:pPr>
      <w:r>
        <w:t>地下车站设备管理用房通风空调与供暖系统、地上车站通风空调与供暖系统宜设就地控制、车站控制的两级控制。。</w:t>
      </w:r>
    </w:p>
    <w:p w14:paraId="659F950C">
      <w:pPr>
        <w:pStyle w:val="3"/>
      </w:pPr>
      <w:bookmarkStart w:id="1011" w:name="_Toc183882495"/>
      <w:bookmarkStart w:id="1012" w:name="_Toc183765142"/>
      <w:bookmarkStart w:id="1013" w:name="_Toc183790572"/>
      <w:bookmarkStart w:id="1014" w:name="_Toc183683547"/>
      <w:bookmarkStart w:id="1015" w:name="_Toc183699873"/>
      <w:bookmarkStart w:id="1016" w:name="_Toc183888185"/>
      <w:bookmarkStart w:id="1017" w:name="_Toc183735417"/>
      <w:bookmarkStart w:id="1018" w:name="_Toc183888547"/>
      <w:bookmarkStart w:id="1019" w:name="_Toc183882133"/>
      <w:r>
        <w:t>给水与排水</w:t>
      </w:r>
      <w:bookmarkEnd w:id="1011"/>
      <w:bookmarkEnd w:id="1012"/>
      <w:bookmarkEnd w:id="1013"/>
      <w:bookmarkEnd w:id="1014"/>
      <w:bookmarkEnd w:id="1015"/>
      <w:bookmarkEnd w:id="1016"/>
      <w:bookmarkEnd w:id="1017"/>
      <w:bookmarkEnd w:id="1018"/>
      <w:bookmarkEnd w:id="1019"/>
    </w:p>
    <w:p w14:paraId="3625E1A6">
      <w:pPr>
        <w:numPr>
          <w:ilvl w:val="1"/>
          <w:numId w:val="1"/>
        </w:numPr>
        <w:snapToGrid w:val="0"/>
        <w:spacing w:before="156" w:after="156" w:line="240" w:lineRule="auto"/>
        <w:jc w:val="center"/>
        <w:outlineLvl w:val="1"/>
        <w:rPr>
          <w:rFonts w:eastAsia="黑体"/>
          <w:bCs/>
          <w:szCs w:val="28"/>
        </w:rPr>
      </w:pPr>
      <w:bookmarkStart w:id="1020" w:name="_Toc168061261"/>
      <w:bookmarkStart w:id="1021" w:name="_Toc183790573"/>
      <w:bookmarkStart w:id="1022" w:name="_Toc183888548"/>
      <w:bookmarkStart w:id="1023" w:name="_Toc168059453"/>
      <w:bookmarkStart w:id="1024" w:name="_Toc168061708"/>
      <w:bookmarkStart w:id="1025" w:name="_Toc183765143"/>
      <w:bookmarkStart w:id="1026" w:name="_Toc183888186"/>
      <w:bookmarkStart w:id="1027" w:name="_Toc183683548"/>
      <w:bookmarkStart w:id="1028" w:name="_Toc183882134"/>
      <w:bookmarkStart w:id="1029" w:name="_Toc183882496"/>
      <w:r>
        <w:rPr>
          <w:rFonts w:eastAsia="黑体"/>
          <w:bCs/>
          <w:szCs w:val="28"/>
        </w:rPr>
        <w:t>一般规定</w:t>
      </w:r>
      <w:bookmarkEnd w:id="1020"/>
      <w:bookmarkEnd w:id="1021"/>
      <w:bookmarkEnd w:id="1022"/>
      <w:bookmarkEnd w:id="1023"/>
      <w:bookmarkEnd w:id="1024"/>
      <w:bookmarkEnd w:id="1025"/>
      <w:bookmarkEnd w:id="1026"/>
      <w:bookmarkEnd w:id="1027"/>
      <w:bookmarkEnd w:id="1028"/>
      <w:bookmarkEnd w:id="1029"/>
    </w:p>
    <w:p w14:paraId="664E738C">
      <w:pPr>
        <w:pStyle w:val="5"/>
        <w:tabs>
          <w:tab w:val="left" w:pos="709"/>
          <w:tab w:val="clear" w:pos="630"/>
        </w:tabs>
      </w:pPr>
      <w:r>
        <w:rPr>
          <w:rFonts w:hint="eastAsia"/>
        </w:rPr>
        <w:t>给水水源应采用城市自来水，并应充分利用城市自来水水压。当无城市自来水时，应采取其他可靠的给水水源。</w:t>
      </w:r>
    </w:p>
    <w:p w14:paraId="6AB39E52">
      <w:pPr>
        <w:pStyle w:val="5"/>
        <w:tabs>
          <w:tab w:val="left" w:pos="709"/>
          <w:tab w:val="clear" w:pos="630"/>
        </w:tabs>
      </w:pPr>
      <w:r>
        <w:rPr>
          <w:rFonts w:hint="eastAsia"/>
        </w:rPr>
        <w:t>各类污、废水的排放应符合现行北京市地方标准《水污染物综合排放标准》DB11/307的有关规定。</w:t>
      </w:r>
    </w:p>
    <w:p w14:paraId="07CD8F2D">
      <w:pPr>
        <w:pStyle w:val="5"/>
        <w:tabs>
          <w:tab w:val="left" w:pos="709"/>
          <w:tab w:val="clear" w:pos="630"/>
        </w:tabs>
      </w:pPr>
      <w:r>
        <w:rPr>
          <w:rFonts w:hint="eastAsia"/>
        </w:rPr>
        <w:t>给排水设计应坚持综合利用、节约用水的原则，节水设计应符合现行国家标准《民用建筑节水设计标准》GB 50555的有关规定。</w:t>
      </w:r>
    </w:p>
    <w:p w14:paraId="73FA6D96">
      <w:pPr>
        <w:pStyle w:val="5"/>
        <w:tabs>
          <w:tab w:val="left" w:pos="709"/>
          <w:tab w:val="clear" w:pos="630"/>
        </w:tabs>
      </w:pPr>
      <w:r>
        <w:rPr>
          <w:rFonts w:hint="eastAsia"/>
        </w:rPr>
        <w:t>给水系统应采取可靠的防水质污染措施，并应符合现行国家标准《建筑给水排水设计规范》GB 50015的有关规定。</w:t>
      </w:r>
    </w:p>
    <w:p w14:paraId="694B1531">
      <w:pPr>
        <w:pStyle w:val="5"/>
        <w:tabs>
          <w:tab w:val="left" w:pos="709"/>
          <w:tab w:val="clear" w:pos="630"/>
        </w:tabs>
      </w:pPr>
      <w:r>
        <w:rPr>
          <w:rFonts w:hint="eastAsia"/>
        </w:rPr>
        <w:t>给排水管道应符合下列规定：</w:t>
      </w:r>
    </w:p>
    <w:p w14:paraId="0078E2D4">
      <w:pPr>
        <w:pStyle w:val="7"/>
        <w:ind w:firstLine="420"/>
      </w:pPr>
      <w:r>
        <w:rPr>
          <w:rFonts w:hint="eastAsia"/>
        </w:rPr>
        <w:t>不应穿过变电所、通信信号机房、控制室、配电室等电气房间；</w:t>
      </w:r>
    </w:p>
    <w:p w14:paraId="38A29351">
      <w:pPr>
        <w:pStyle w:val="7"/>
        <w:ind w:firstLine="420"/>
      </w:pPr>
      <w:r>
        <w:rPr>
          <w:rFonts w:hint="eastAsia"/>
        </w:rPr>
        <w:t>不宜穿越变形缝；当必须穿越变形缝时，应采取变形补偿措施；</w:t>
      </w:r>
    </w:p>
    <w:p w14:paraId="4FFA5C06">
      <w:pPr>
        <w:pStyle w:val="7"/>
        <w:ind w:firstLine="420"/>
      </w:pPr>
      <w:r>
        <w:rPr>
          <w:rFonts w:hint="eastAsia"/>
        </w:rPr>
        <w:t>室外给排水管道宜敷设在冰冻线以下；</w:t>
      </w:r>
    </w:p>
    <w:p w14:paraId="52A93010">
      <w:pPr>
        <w:pStyle w:val="7"/>
        <w:ind w:firstLine="420"/>
      </w:pPr>
      <w:r>
        <w:rPr>
          <w:rFonts w:hint="eastAsia"/>
        </w:rPr>
        <w:t>应采取防止杂散电流腐蚀的措施；</w:t>
      </w:r>
    </w:p>
    <w:p w14:paraId="3FA5C681">
      <w:pPr>
        <w:pStyle w:val="7"/>
        <w:ind w:firstLine="420"/>
      </w:pPr>
      <w:r>
        <w:rPr>
          <w:rFonts w:hint="eastAsia"/>
        </w:rPr>
        <w:t>应喷涂色环、符号及箭头等标记；</w:t>
      </w:r>
    </w:p>
    <w:p w14:paraId="55BD23E5">
      <w:pPr>
        <w:pStyle w:val="7"/>
        <w:ind w:firstLine="420"/>
      </w:pPr>
      <w:r>
        <w:rPr>
          <w:rFonts w:hint="eastAsia"/>
        </w:rPr>
        <w:t>管道保温设置应符合本规范第30.3.7条的规定，保温材料应符合本规范第14.1节的相关规定。</w:t>
      </w:r>
    </w:p>
    <w:p w14:paraId="5416EAA5">
      <w:pPr>
        <w:pStyle w:val="5"/>
        <w:tabs>
          <w:tab w:val="left" w:pos="709"/>
          <w:tab w:val="clear" w:pos="630"/>
        </w:tabs>
        <w:rPr>
          <w:bCs/>
        </w:rPr>
      </w:pPr>
      <w:r>
        <w:rPr>
          <w:rFonts w:hint="eastAsia"/>
        </w:rPr>
        <w:t>室外各类给水阀门井、排水检查井等井盖应有城市轨道交通专用标识并有防盗功能。</w:t>
      </w:r>
    </w:p>
    <w:p w14:paraId="0E34AFB5">
      <w:pPr>
        <w:pStyle w:val="5"/>
        <w:tabs>
          <w:tab w:val="left" w:pos="709"/>
          <w:tab w:val="clear" w:pos="630"/>
        </w:tabs>
      </w:pPr>
      <w:r>
        <w:rPr>
          <w:rFonts w:hint="eastAsia"/>
        </w:rPr>
        <w:t>给排水系统宜按自动化管理实现智慧运维设计。</w:t>
      </w:r>
    </w:p>
    <w:p w14:paraId="16457E96"/>
    <w:p w14:paraId="0315ED14">
      <w:pPr>
        <w:numPr>
          <w:ilvl w:val="1"/>
          <w:numId w:val="1"/>
        </w:numPr>
        <w:snapToGrid w:val="0"/>
        <w:spacing w:before="156" w:after="156" w:line="240" w:lineRule="auto"/>
        <w:jc w:val="center"/>
        <w:outlineLvl w:val="1"/>
        <w:rPr>
          <w:rFonts w:eastAsia="黑体"/>
          <w:bCs/>
          <w:szCs w:val="28"/>
        </w:rPr>
      </w:pPr>
      <w:bookmarkStart w:id="1030" w:name="_Toc168061709"/>
      <w:bookmarkStart w:id="1031" w:name="_Toc183765144"/>
      <w:bookmarkStart w:id="1032" w:name="_Toc183882135"/>
      <w:bookmarkStart w:id="1033" w:name="_Toc183790574"/>
      <w:bookmarkStart w:id="1034" w:name="_Toc183888549"/>
      <w:bookmarkStart w:id="1035" w:name="_Toc168061262"/>
      <w:bookmarkStart w:id="1036" w:name="_Toc183888187"/>
      <w:bookmarkStart w:id="1037" w:name="_Toc183882497"/>
      <w:bookmarkStart w:id="1038" w:name="_Toc183683549"/>
      <w:bookmarkStart w:id="1039" w:name="_Toc168059454"/>
      <w:r>
        <w:rPr>
          <w:rFonts w:hint="eastAsia" w:eastAsia="黑体"/>
          <w:bCs/>
          <w:szCs w:val="28"/>
        </w:rPr>
        <w:t>车站与区间</w:t>
      </w:r>
      <w:r>
        <w:rPr>
          <w:rFonts w:eastAsia="黑体"/>
          <w:bCs/>
          <w:szCs w:val="28"/>
        </w:rPr>
        <w:t>给水</w:t>
      </w:r>
      <w:bookmarkEnd w:id="1030"/>
      <w:bookmarkEnd w:id="1031"/>
      <w:bookmarkEnd w:id="1032"/>
      <w:bookmarkEnd w:id="1033"/>
      <w:bookmarkEnd w:id="1034"/>
      <w:bookmarkEnd w:id="1035"/>
      <w:bookmarkEnd w:id="1036"/>
      <w:bookmarkEnd w:id="1037"/>
      <w:bookmarkEnd w:id="1038"/>
      <w:bookmarkEnd w:id="1039"/>
    </w:p>
    <w:p w14:paraId="7B34CEA9">
      <w:pPr>
        <w:pStyle w:val="5"/>
        <w:tabs>
          <w:tab w:val="left" w:pos="709"/>
          <w:tab w:val="clear" w:pos="630"/>
        </w:tabs>
      </w:pPr>
      <w:r>
        <w:rPr>
          <w:rFonts w:hint="eastAsia"/>
        </w:rPr>
        <w:t>用水量定额应采用下列标准：</w:t>
      </w:r>
    </w:p>
    <w:p w14:paraId="33E924A8">
      <w:pPr>
        <w:pStyle w:val="7"/>
        <w:ind w:firstLine="420"/>
      </w:pPr>
      <w:r>
        <w:rPr>
          <w:rFonts w:hint="eastAsia"/>
        </w:rPr>
        <w:t>工作人员生活用水量为40L/人·班，小时变化系数为1.2～1.5；</w:t>
      </w:r>
    </w:p>
    <w:p w14:paraId="123003CC">
      <w:pPr>
        <w:pStyle w:val="7"/>
        <w:ind w:firstLine="420"/>
      </w:pPr>
      <w:r>
        <w:rPr>
          <w:rFonts w:hint="eastAsia"/>
        </w:rPr>
        <w:t>空调水系统的补充水量为冷却水循环水量的1</w:t>
      </w:r>
      <w:r>
        <w:t>~</w:t>
      </w:r>
      <w:r>
        <w:rPr>
          <w:rFonts w:hint="eastAsia"/>
        </w:rPr>
        <w:t>2%；</w:t>
      </w:r>
    </w:p>
    <w:p w14:paraId="570E5684">
      <w:pPr>
        <w:pStyle w:val="7"/>
        <w:ind w:firstLine="420"/>
        <w:rPr>
          <w:szCs w:val="18"/>
        </w:rPr>
      </w:pPr>
      <w:r>
        <w:rPr>
          <w:rFonts w:hint="eastAsia"/>
        </w:rPr>
        <w:t>车站公共区及出入口通道冲洗用水量为2L/m2·次，每天按冲洗1次，每次用水量按冲洗1h计算；</w:t>
      </w:r>
    </w:p>
    <w:p w14:paraId="5C19E2A3">
      <w:pPr>
        <w:pStyle w:val="7"/>
        <w:ind w:firstLine="420"/>
      </w:pPr>
      <w:r>
        <w:rPr>
          <w:rFonts w:hint="eastAsia"/>
        </w:rPr>
        <w:t>车站公共卫生间用水量按器具小时用水量计算；</w:t>
      </w:r>
    </w:p>
    <w:p w14:paraId="68187B80">
      <w:pPr>
        <w:pStyle w:val="7"/>
        <w:ind w:firstLine="420"/>
      </w:pPr>
      <w:r>
        <w:rPr>
          <w:rFonts w:hint="eastAsia"/>
        </w:rPr>
        <w:t>生产用水量按工艺要求确定。</w:t>
      </w:r>
    </w:p>
    <w:p w14:paraId="0E46DA1C">
      <w:pPr>
        <w:pStyle w:val="5"/>
        <w:tabs>
          <w:tab w:val="left" w:pos="709"/>
          <w:tab w:val="clear" w:pos="630"/>
        </w:tabs>
      </w:pPr>
      <w:r>
        <w:rPr>
          <w:rFonts w:hint="eastAsia"/>
        </w:rPr>
        <w:t>水质应符合下列规定：</w:t>
      </w:r>
    </w:p>
    <w:p w14:paraId="4F2A1A45">
      <w:pPr>
        <w:pStyle w:val="7"/>
        <w:ind w:firstLine="420"/>
      </w:pPr>
      <w:r>
        <w:rPr>
          <w:rFonts w:hint="eastAsia"/>
        </w:rPr>
        <w:t>生活给水系统的水质，应符合现行国家标准《生活饮用水卫生标准》GB 5749的有关规定；</w:t>
      </w:r>
    </w:p>
    <w:p w14:paraId="1D3EA874">
      <w:pPr>
        <w:pStyle w:val="7"/>
        <w:ind w:firstLine="420"/>
      </w:pPr>
      <w:r>
        <w:rPr>
          <w:rFonts w:hint="eastAsia"/>
        </w:rPr>
        <w:t>生活杂用水系统的水质，应符合现行国家标准《城市污水再生利用 城市杂用水水质》GB/T 18920的有关规定；</w:t>
      </w:r>
    </w:p>
    <w:p w14:paraId="07D12663">
      <w:pPr>
        <w:pStyle w:val="7"/>
        <w:ind w:firstLine="420"/>
      </w:pPr>
      <w:r>
        <w:rPr>
          <w:rFonts w:hint="eastAsia"/>
        </w:rPr>
        <w:t>生产用水的水质应满足工艺的要求。</w:t>
      </w:r>
    </w:p>
    <w:p w14:paraId="7DBA58F0">
      <w:pPr>
        <w:pStyle w:val="5"/>
        <w:tabs>
          <w:tab w:val="left" w:pos="709"/>
          <w:tab w:val="clear" w:pos="630"/>
        </w:tabs>
      </w:pPr>
      <w:r>
        <w:rPr>
          <w:rFonts w:hint="eastAsia"/>
        </w:rPr>
        <w:t>水压应符合下列规定：</w:t>
      </w:r>
    </w:p>
    <w:p w14:paraId="70F2D922">
      <w:pPr>
        <w:pStyle w:val="7"/>
        <w:ind w:firstLine="420"/>
      </w:pPr>
      <w:r>
        <w:rPr>
          <w:rFonts w:hint="eastAsia"/>
        </w:rPr>
        <w:t>生活用水卫生器具的水压，应符合现行国家标准《建筑给水排水设计标准》GB 50015、《民用建筑节水设计标准》GB 50555的有关规定；</w:t>
      </w:r>
    </w:p>
    <w:p w14:paraId="2F80E790">
      <w:pPr>
        <w:pStyle w:val="7"/>
        <w:ind w:firstLine="420"/>
        <w:rPr>
          <w:szCs w:val="18"/>
        </w:rPr>
      </w:pPr>
      <w:r>
        <w:rPr>
          <w:rFonts w:hint="eastAsia"/>
          <w:szCs w:val="18"/>
        </w:rPr>
        <w:t>生产用水的水压按工艺要求确定。其他用水点处水压大于0.2MPa的配水支管应采取减压措施，并应满足用水器具工作压力的要求。</w:t>
      </w:r>
    </w:p>
    <w:p w14:paraId="7F403CAD">
      <w:pPr>
        <w:pStyle w:val="5"/>
        <w:tabs>
          <w:tab w:val="left" w:pos="709"/>
          <w:tab w:val="clear" w:pos="630"/>
        </w:tabs>
      </w:pPr>
      <w:r>
        <w:rPr>
          <w:rFonts w:hint="eastAsia"/>
        </w:rPr>
        <w:t>给水系统设计应符合下列规定：</w:t>
      </w:r>
    </w:p>
    <w:p w14:paraId="5E64AFFB">
      <w:pPr>
        <w:pStyle w:val="7"/>
        <w:ind w:firstLine="420"/>
        <w:rPr>
          <w:szCs w:val="18"/>
        </w:rPr>
      </w:pPr>
      <w:r>
        <w:rPr>
          <w:rFonts w:hint="eastAsia"/>
          <w:szCs w:val="18"/>
        </w:rPr>
        <w:t>地下车站、地面或高架车站生产、生活给水系统应充分利用市政水压供水，当市政水压或水量不满足要求时，应设置二次供水设施，并符合《建筑给水排水设计标准》GB50015及《二次供水工程技术规程》CJJ140的要求；</w:t>
      </w:r>
    </w:p>
    <w:p w14:paraId="57C02931">
      <w:pPr>
        <w:pStyle w:val="7"/>
        <w:ind w:firstLine="420"/>
      </w:pPr>
      <w:r>
        <w:rPr>
          <w:rFonts w:hint="eastAsia"/>
        </w:rPr>
        <w:t>车站内生产、生活给水系统应与消防给水系统分开设置；</w:t>
      </w:r>
    </w:p>
    <w:p w14:paraId="01F9240E">
      <w:pPr>
        <w:pStyle w:val="7"/>
        <w:ind w:firstLine="420"/>
      </w:pPr>
      <w:r>
        <w:rPr>
          <w:rFonts w:hint="eastAsia"/>
        </w:rPr>
        <w:t>车站内不同使用性质和计费的给水系统，应采用独立的给水系统；</w:t>
      </w:r>
    </w:p>
    <w:p w14:paraId="4DE8EC1A">
      <w:pPr>
        <w:pStyle w:val="7"/>
        <w:ind w:firstLine="420"/>
      </w:pPr>
      <w:r>
        <w:rPr>
          <w:rFonts w:hint="eastAsia"/>
        </w:rPr>
        <w:t>换乘车站内生产、生活给水系统宜共用给水水源。</w:t>
      </w:r>
    </w:p>
    <w:p w14:paraId="7BB67211">
      <w:pPr>
        <w:pStyle w:val="5"/>
        <w:tabs>
          <w:tab w:val="left" w:pos="709"/>
          <w:tab w:val="clear" w:pos="630"/>
        </w:tabs>
      </w:pPr>
      <w:r>
        <w:rPr>
          <w:rFonts w:hint="eastAsia"/>
        </w:rPr>
        <w:t>管道布置、附件和管材应符合下列规定：</w:t>
      </w:r>
    </w:p>
    <w:p w14:paraId="2142F81B">
      <w:pPr>
        <w:pStyle w:val="7"/>
        <w:ind w:firstLine="420"/>
      </w:pPr>
      <w:r>
        <w:rPr>
          <w:rFonts w:hint="eastAsia"/>
        </w:rPr>
        <w:t>车站内生产、生活给水系统应从车站给水引入总管上接出一根给水管，给水引入管宜通过风道引入车站；</w:t>
      </w:r>
    </w:p>
    <w:p w14:paraId="2134D616">
      <w:pPr>
        <w:pStyle w:val="7"/>
        <w:ind w:firstLine="420"/>
      </w:pPr>
      <w:r>
        <w:rPr>
          <w:rFonts w:hint="eastAsia"/>
        </w:rPr>
        <w:t>车站内生产、生活给水系统布置应成枝状；</w:t>
      </w:r>
    </w:p>
    <w:p w14:paraId="0305DF44">
      <w:pPr>
        <w:pStyle w:val="7"/>
        <w:ind w:firstLine="420"/>
        <w:rPr>
          <w:szCs w:val="18"/>
        </w:rPr>
      </w:pPr>
      <w:r>
        <w:rPr>
          <w:rFonts w:hint="eastAsia"/>
          <w:szCs w:val="18"/>
        </w:rPr>
        <w:t>消防水源引入管、生产生活给水引入管、冷冻机房给水管、冷却水系统补水管、卫生间给水管及便民用房给水管上宜设置电子远传水表；</w:t>
      </w:r>
    </w:p>
    <w:p w14:paraId="1352DBF1">
      <w:pPr>
        <w:pStyle w:val="7"/>
        <w:ind w:firstLine="420"/>
      </w:pPr>
      <w:r>
        <w:rPr>
          <w:rFonts w:hint="eastAsia"/>
        </w:rPr>
        <w:t>车站内非轨道交通用水，换乘车站不同线路的给水系统均应单独设置计量设施；</w:t>
      </w:r>
    </w:p>
    <w:p w14:paraId="6CCC74C8">
      <w:pPr>
        <w:pStyle w:val="7"/>
        <w:ind w:firstLine="420"/>
        <w:rPr>
          <w:szCs w:val="18"/>
        </w:rPr>
      </w:pPr>
      <w:r>
        <w:rPr>
          <w:rFonts w:hint="eastAsia"/>
          <w:szCs w:val="18"/>
        </w:rPr>
        <w:t>男、女公共卫生间、残疾人卫生间给水支管上应分别设置阀门，其他管段上阀门的设置应符合现行国家标准《建筑给水排水设计标准》GB50015的有关规定；</w:t>
      </w:r>
    </w:p>
    <w:p w14:paraId="7AA91164">
      <w:pPr>
        <w:pStyle w:val="7"/>
        <w:ind w:firstLine="420"/>
      </w:pPr>
      <w:r>
        <w:rPr>
          <w:rFonts w:hint="eastAsia"/>
        </w:rPr>
        <w:t>车站站台公共区两端宜设置冲洗水栓；</w:t>
      </w:r>
    </w:p>
    <w:p w14:paraId="430D2988">
      <w:pPr>
        <w:pStyle w:val="7"/>
        <w:ind w:firstLine="420"/>
        <w:rPr>
          <w:szCs w:val="18"/>
        </w:rPr>
      </w:pPr>
      <w:r>
        <w:rPr>
          <w:rFonts w:hint="eastAsia"/>
          <w:szCs w:val="18"/>
        </w:rPr>
        <w:t>车站设备用房及土建风道及风道内各用水点附近宜设置冲洗龙头和拖布池；多联机分体空调室外机附近宜设置清洗给水点、排水点；</w:t>
      </w:r>
    </w:p>
    <w:p w14:paraId="6AFF1827">
      <w:pPr>
        <w:pStyle w:val="7"/>
        <w:ind w:firstLine="420"/>
      </w:pPr>
      <w:r>
        <w:rPr>
          <w:rFonts w:hint="eastAsia"/>
        </w:rPr>
        <w:t>室外明装冷却水补水管应在最低点设置泄水阀；</w:t>
      </w:r>
    </w:p>
    <w:p w14:paraId="574E7086">
      <w:pPr>
        <w:pStyle w:val="7"/>
        <w:ind w:firstLine="420"/>
        <w:rPr>
          <w:szCs w:val="18"/>
        </w:rPr>
      </w:pPr>
      <w:r>
        <w:rPr>
          <w:rFonts w:hint="eastAsia"/>
          <w:szCs w:val="18"/>
        </w:rPr>
        <w:t>室内生产、生活给水宜优先采用薄壁不锈钢管、钢塑复合管或铜管，室外埋地给水管宜采用球墨铸铁给水管，采用其他管材和相应配件应符合生活饮用水卫生标准及国家有关规定；</w:t>
      </w:r>
    </w:p>
    <w:p w14:paraId="773FB54B">
      <w:pPr>
        <w:pStyle w:val="7"/>
        <w:ind w:firstLine="420"/>
        <w:rPr>
          <w:szCs w:val="18"/>
        </w:rPr>
      </w:pPr>
      <w:r>
        <w:rPr>
          <w:rFonts w:hint="eastAsia"/>
          <w:szCs w:val="18"/>
        </w:rPr>
        <w:t>卫生间内暗装的不锈钢管、钢塑复合管外壁应采取防腐措施。</w:t>
      </w:r>
    </w:p>
    <w:p w14:paraId="621AFEAC">
      <w:pPr>
        <w:pStyle w:val="5"/>
        <w:tabs>
          <w:tab w:val="left" w:pos="709"/>
          <w:tab w:val="clear" w:pos="630"/>
        </w:tabs>
      </w:pPr>
      <w:r>
        <w:rPr>
          <w:rFonts w:hint="eastAsia"/>
        </w:rPr>
        <w:t>给水管道最高点应设置排气装置，最低点应设置泄水阀</w:t>
      </w:r>
      <w:r>
        <w:t>。</w:t>
      </w:r>
    </w:p>
    <w:p w14:paraId="40A8F336">
      <w:pPr>
        <w:numPr>
          <w:ilvl w:val="1"/>
          <w:numId w:val="1"/>
        </w:numPr>
        <w:snapToGrid w:val="0"/>
        <w:spacing w:before="156" w:after="156" w:line="240" w:lineRule="auto"/>
        <w:jc w:val="center"/>
        <w:outlineLvl w:val="1"/>
        <w:rPr>
          <w:rFonts w:eastAsia="黑体"/>
          <w:bCs/>
          <w:szCs w:val="28"/>
        </w:rPr>
      </w:pPr>
      <w:bookmarkStart w:id="1040" w:name="_Toc183765145"/>
      <w:bookmarkStart w:id="1041" w:name="_Toc168059455"/>
      <w:bookmarkStart w:id="1042" w:name="_Toc168061263"/>
      <w:bookmarkStart w:id="1043" w:name="_Toc183683550"/>
      <w:bookmarkStart w:id="1044" w:name="_Toc183882498"/>
      <w:bookmarkStart w:id="1045" w:name="_Toc183888188"/>
      <w:bookmarkStart w:id="1046" w:name="_Toc168061710"/>
      <w:bookmarkStart w:id="1047" w:name="_Toc183882136"/>
      <w:bookmarkStart w:id="1048" w:name="_Toc183888550"/>
      <w:bookmarkStart w:id="1049" w:name="_Toc183790575"/>
      <w:r>
        <w:rPr>
          <w:rFonts w:hint="eastAsia" w:eastAsia="黑体"/>
          <w:bCs/>
          <w:szCs w:val="28"/>
        </w:rPr>
        <w:t>车站与区间</w:t>
      </w:r>
      <w:r>
        <w:rPr>
          <w:rFonts w:eastAsia="黑体"/>
          <w:bCs/>
          <w:szCs w:val="28"/>
        </w:rPr>
        <w:t>排水</w:t>
      </w:r>
      <w:bookmarkEnd w:id="1040"/>
      <w:bookmarkEnd w:id="1041"/>
      <w:bookmarkEnd w:id="1042"/>
      <w:bookmarkEnd w:id="1043"/>
      <w:bookmarkEnd w:id="1044"/>
      <w:bookmarkEnd w:id="1045"/>
      <w:bookmarkEnd w:id="1046"/>
      <w:bookmarkEnd w:id="1047"/>
      <w:bookmarkEnd w:id="1048"/>
      <w:bookmarkEnd w:id="1049"/>
    </w:p>
    <w:p w14:paraId="2C873995">
      <w:pPr>
        <w:pStyle w:val="5"/>
        <w:tabs>
          <w:tab w:val="left" w:pos="709"/>
          <w:tab w:val="clear" w:pos="630"/>
        </w:tabs>
      </w:pPr>
      <w:r>
        <w:rPr>
          <w:rFonts w:hint="eastAsia"/>
        </w:rPr>
        <w:t>排水量定额应符合下列规定：</w:t>
      </w:r>
    </w:p>
    <w:p w14:paraId="5AB8D03C">
      <w:pPr>
        <w:pStyle w:val="7"/>
        <w:ind w:firstLine="420"/>
      </w:pPr>
      <w:r>
        <w:rPr>
          <w:rFonts w:hint="eastAsia"/>
        </w:rPr>
        <w:t>生活排水系统定额应按生活用水量的95%计算，小时变化系数应为2.5；</w:t>
      </w:r>
    </w:p>
    <w:p w14:paraId="7F197618">
      <w:pPr>
        <w:pStyle w:val="7"/>
        <w:ind w:firstLine="420"/>
      </w:pPr>
      <w:r>
        <w:rPr>
          <w:rFonts w:hint="eastAsia"/>
        </w:rPr>
        <w:t>生产排水量应按工艺要求确定；</w:t>
      </w:r>
    </w:p>
    <w:p w14:paraId="0ED470EE">
      <w:pPr>
        <w:pStyle w:val="7"/>
        <w:ind w:firstLine="420"/>
      </w:pPr>
      <w:r>
        <w:rPr>
          <w:rFonts w:hint="eastAsia"/>
        </w:rPr>
        <w:t>冲洗和消防的废水排水量应与用水量相同；</w:t>
      </w:r>
    </w:p>
    <w:p w14:paraId="06FD17D5">
      <w:pPr>
        <w:pStyle w:val="7"/>
        <w:ind w:firstLine="420"/>
      </w:pPr>
      <w:r>
        <w:rPr>
          <w:rFonts w:hint="eastAsia"/>
        </w:rPr>
        <w:t>地上车站屋面排水管道的排水设计重现期应按北京地区10年一遇的暴雨强度计算，设计降雨历时应按5min计算，屋面雨水工程与溢流设施的总排水能力不应小于50年重现期的雨水量；</w:t>
      </w:r>
    </w:p>
    <w:p w14:paraId="3687F0CA">
      <w:pPr>
        <w:pStyle w:val="7"/>
        <w:ind w:firstLine="420"/>
        <w:rPr>
          <w:szCs w:val="18"/>
        </w:rPr>
      </w:pPr>
      <w:r>
        <w:rPr>
          <w:rFonts w:hint="eastAsia"/>
          <w:szCs w:val="18"/>
        </w:rPr>
        <w:t>地下车站敞开出入口、敞开风井及隧道洞口的雨水泵房、排水沟及排水管渠的排水能力按照不应小于北京地区100年一遇的暴雨强度计算，高架区间的雨水排水系统设计重现期按照不应小于50年一遇的暴雨强度计算，设计降雨历时应按计算确定；</w:t>
      </w:r>
    </w:p>
    <w:p w14:paraId="182D47E2">
      <w:pPr>
        <w:pStyle w:val="7"/>
        <w:ind w:firstLine="420"/>
        <w:rPr>
          <w:szCs w:val="18"/>
        </w:rPr>
      </w:pPr>
      <w:r>
        <w:rPr>
          <w:rFonts w:hint="eastAsia"/>
          <w:szCs w:val="18"/>
        </w:rPr>
        <w:t>北京地区暴雨强度公式按《海绵城市雨水控制与利用工程设计规范》</w:t>
      </w:r>
      <w:bookmarkStart w:id="1050" w:name="_Hlk149035476"/>
      <w:r>
        <w:rPr>
          <w:rFonts w:hint="eastAsia"/>
          <w:szCs w:val="18"/>
        </w:rPr>
        <w:t>DB11_685-2021</w:t>
      </w:r>
      <w:bookmarkEnd w:id="1050"/>
      <w:r>
        <w:rPr>
          <w:rFonts w:hint="eastAsia"/>
          <w:szCs w:val="18"/>
        </w:rPr>
        <w:t>附录B计算。</w:t>
      </w:r>
    </w:p>
    <w:p w14:paraId="1C2B5C0E">
      <w:pPr>
        <w:pStyle w:val="5"/>
        <w:tabs>
          <w:tab w:val="left" w:pos="709"/>
          <w:tab w:val="clear" w:pos="630"/>
        </w:tabs>
      </w:pPr>
      <w:r>
        <w:rPr>
          <w:rFonts w:hint="eastAsia"/>
        </w:rPr>
        <w:t>排水系统设计应符合下列规定：</w:t>
      </w:r>
    </w:p>
    <w:p w14:paraId="46774C58">
      <w:pPr>
        <w:pStyle w:val="7"/>
        <w:ind w:firstLine="420"/>
        <w:rPr>
          <w:szCs w:val="18"/>
        </w:rPr>
      </w:pPr>
      <w:r>
        <w:rPr>
          <w:rFonts w:hint="eastAsia"/>
          <w:szCs w:val="18"/>
        </w:rPr>
        <w:t>当地下车站设有离壁墙时，离壁墙内的排水地漏或排水管宜避开电气用房设置，并宜设置不小于600mmx600mm的检修门；</w:t>
      </w:r>
    </w:p>
    <w:p w14:paraId="69B89BD7">
      <w:pPr>
        <w:pStyle w:val="7"/>
        <w:ind w:firstLine="420"/>
        <w:rPr>
          <w:szCs w:val="18"/>
        </w:rPr>
      </w:pPr>
      <w:r>
        <w:rPr>
          <w:rFonts w:hint="eastAsia"/>
          <w:szCs w:val="18"/>
        </w:rPr>
        <w:t>生活污水及生活废水应单独排放；地下车站内的便民用房应预留压力排水管接至室外；车站冷却塔排水应接入市政污水管网；</w:t>
      </w:r>
    </w:p>
    <w:p w14:paraId="6A3F7912">
      <w:pPr>
        <w:pStyle w:val="7"/>
        <w:ind w:firstLine="420"/>
      </w:pPr>
      <w:r>
        <w:rPr>
          <w:rFonts w:hint="eastAsia"/>
        </w:rPr>
        <w:t>地下车站生产废水、结构渗漏水、冲洗及消防废水和口部雨水可集中并就近排放；</w:t>
      </w:r>
    </w:p>
    <w:p w14:paraId="20148BF2">
      <w:pPr>
        <w:pStyle w:val="7"/>
        <w:ind w:firstLine="420"/>
      </w:pPr>
      <w:r>
        <w:rPr>
          <w:rFonts w:hint="eastAsia"/>
        </w:rPr>
        <w:t>地面和高架车站的屋面雨水应单独排放；</w:t>
      </w:r>
    </w:p>
    <w:p w14:paraId="4F4985AD">
      <w:pPr>
        <w:pStyle w:val="7"/>
        <w:ind w:firstLine="420"/>
      </w:pPr>
      <w:r>
        <w:rPr>
          <w:rFonts w:hint="eastAsia"/>
        </w:rPr>
        <w:t>地下车站和区间的污水、废水和雨水应设排水泵提升排入城市排水系统；</w:t>
      </w:r>
    </w:p>
    <w:p w14:paraId="529A119E">
      <w:pPr>
        <w:pStyle w:val="7"/>
        <w:ind w:firstLine="420"/>
      </w:pPr>
      <w:r>
        <w:rPr>
          <w:rFonts w:hint="eastAsia"/>
        </w:rPr>
        <w:t>地面及高架车站的污水及废水、桥面雨水应按重力流排水方式设计，屋面雨水可按重力流或压力流设计。</w:t>
      </w:r>
    </w:p>
    <w:p w14:paraId="7BA2B715">
      <w:pPr>
        <w:pStyle w:val="5"/>
      </w:pPr>
      <w:r>
        <w:rPr>
          <w:rFonts w:hint="eastAsia"/>
        </w:rPr>
        <w:t>地下车站及区间泵房的设置应符合下列规定：</w:t>
      </w:r>
    </w:p>
    <w:p w14:paraId="2C5694EB">
      <w:pPr>
        <w:pStyle w:val="7"/>
        <w:ind w:firstLine="420"/>
      </w:pPr>
      <w:r>
        <w:rPr>
          <w:rFonts w:hint="eastAsia"/>
        </w:rPr>
        <w:t>区间隧道主排水泵房应设在线路实际坡度最低点，当区间排水沟的排水能力不能满足区间排水的要求时，应设辅助排水泵房。区间排水泵房应和区间联络通道或中间风井合建；</w:t>
      </w:r>
    </w:p>
    <w:p w14:paraId="109BD19E">
      <w:pPr>
        <w:pStyle w:val="7"/>
        <w:ind w:firstLine="420"/>
      </w:pPr>
      <w:r>
        <w:rPr>
          <w:rFonts w:hint="eastAsia"/>
        </w:rPr>
        <w:t>车站主排水泵房应设在车站线路坡度下坡方向的一端；</w:t>
      </w:r>
    </w:p>
    <w:p w14:paraId="44C5507F">
      <w:pPr>
        <w:pStyle w:val="7"/>
        <w:ind w:firstLine="420"/>
      </w:pPr>
      <w:r>
        <w:rPr>
          <w:rFonts w:hint="eastAsia"/>
        </w:rPr>
        <w:t>车站污水泵房应设在厕所附近；</w:t>
      </w:r>
    </w:p>
    <w:p w14:paraId="60ADF785">
      <w:pPr>
        <w:pStyle w:val="7"/>
        <w:ind w:firstLine="420"/>
      </w:pPr>
      <w:r>
        <w:rPr>
          <w:rFonts w:hint="eastAsia"/>
        </w:rPr>
        <w:t>局部排水泵房应设在自动扶梯基坑附近、站台板下等不能自流排水而又有可能集水的低洼处；</w:t>
      </w:r>
    </w:p>
    <w:p w14:paraId="0CFD8BED">
      <w:pPr>
        <w:pStyle w:val="7"/>
        <w:ind w:firstLine="420"/>
      </w:pPr>
      <w:r>
        <w:rPr>
          <w:rFonts w:hint="eastAsia"/>
        </w:rPr>
        <w:t>雨水泵房应设在敞开式风亭、敞开式出入口底部及隧道出洞口附近，隧道出洞口附近应在洞口道床的适当位置设横向截水沟，保证雨水导流至泵房集水池；</w:t>
      </w:r>
    </w:p>
    <w:p w14:paraId="75EDB812">
      <w:pPr>
        <w:pStyle w:val="7"/>
        <w:ind w:firstLine="420"/>
      </w:pPr>
      <w:r>
        <w:rPr>
          <w:rFonts w:hint="eastAsia"/>
        </w:rPr>
        <w:t>出洞口处雨水泵房应设置防汛电话；</w:t>
      </w:r>
    </w:p>
    <w:p w14:paraId="3BBB747D">
      <w:pPr>
        <w:pStyle w:val="7"/>
        <w:ind w:firstLine="420"/>
      </w:pPr>
      <w:r>
        <w:rPr>
          <w:rFonts w:hint="eastAsia"/>
        </w:rPr>
        <w:t>除局部排水泵房外，其他各类排水泵房内应设置起吊装置和电话。</w:t>
      </w:r>
    </w:p>
    <w:p w14:paraId="2170B342">
      <w:pPr>
        <w:pStyle w:val="7"/>
        <w:ind w:firstLine="420"/>
        <w:rPr>
          <w:szCs w:val="18"/>
        </w:rPr>
      </w:pPr>
      <w:r>
        <w:rPr>
          <w:rFonts w:hint="eastAsia"/>
        </w:rPr>
        <w:t>车站和区间主排水泵房、洞口雨水泵房的排水扬水管上宜预留快速接口，出水管末端宜设拍门等防倒灌设施。</w:t>
      </w:r>
    </w:p>
    <w:p w14:paraId="7B99A844">
      <w:pPr>
        <w:pStyle w:val="5"/>
        <w:tabs>
          <w:tab w:val="left" w:pos="709"/>
          <w:tab w:val="clear" w:pos="630"/>
        </w:tabs>
      </w:pPr>
      <w:r>
        <w:rPr>
          <w:rFonts w:hint="eastAsia"/>
        </w:rPr>
        <w:t>排水泵房集水池的设计应符合以下规定：</w:t>
      </w:r>
    </w:p>
    <w:p w14:paraId="50D928DF">
      <w:pPr>
        <w:pStyle w:val="7"/>
        <w:ind w:firstLine="420"/>
      </w:pPr>
      <w:r>
        <w:rPr>
          <w:rFonts w:hint="eastAsia"/>
        </w:rPr>
        <w:t>雨水泵房集水池的有效容积，不应小于最大一台水泵5min～10min的出水量；</w:t>
      </w:r>
    </w:p>
    <w:p w14:paraId="3601C9B4">
      <w:pPr>
        <w:pStyle w:val="7"/>
        <w:ind w:firstLine="420"/>
        <w:rPr>
          <w:szCs w:val="18"/>
        </w:rPr>
      </w:pPr>
      <w:r>
        <w:rPr>
          <w:rFonts w:hint="eastAsia"/>
          <w:szCs w:val="18"/>
        </w:rPr>
        <w:t>污水泵房集水池的有效容积不宜小于最大一台污水泵5min的出水量；采用密闭污水提升装置时总容积不宜小于1.20m</w:t>
      </w:r>
      <w:r>
        <w:rPr>
          <w:rFonts w:hint="eastAsia" w:cs="宋体"/>
          <w:vertAlign w:val="superscript"/>
        </w:rPr>
        <w:t>3</w:t>
      </w:r>
      <w:r>
        <w:rPr>
          <w:rFonts w:hint="eastAsia" w:cs="宋体"/>
        </w:rPr>
        <w:t>，</w:t>
      </w:r>
      <w:r>
        <w:rPr>
          <w:rFonts w:hint="eastAsia"/>
          <w:szCs w:val="18"/>
        </w:rPr>
        <w:t>总有效容积不宜小于0.65m</w:t>
      </w:r>
      <w:r>
        <w:rPr>
          <w:rFonts w:hint="eastAsia" w:cs="宋体"/>
          <w:vertAlign w:val="superscript"/>
        </w:rPr>
        <w:t>3</w:t>
      </w:r>
      <w:r>
        <w:rPr>
          <w:rFonts w:hint="eastAsia" w:cs="宋体"/>
        </w:rPr>
        <w:t>；</w:t>
      </w:r>
    </w:p>
    <w:p w14:paraId="7DA3DE4C">
      <w:pPr>
        <w:pStyle w:val="7"/>
        <w:ind w:firstLine="420"/>
      </w:pPr>
      <w:r>
        <w:rPr>
          <w:rFonts w:hint="eastAsia"/>
        </w:rPr>
        <w:t>消防泵房内集水坑的排水泵应按最大补水管流量选取，集水池的有效容积，不应小于最大一台排水泵5min的出水量；其他各类排水泵房的集水池有效容积，不应小于最大一台排水泵15min～20min的出水量；</w:t>
      </w:r>
    </w:p>
    <w:p w14:paraId="1293F6A2">
      <w:pPr>
        <w:pStyle w:val="7"/>
        <w:ind w:firstLine="420"/>
      </w:pPr>
      <w:r>
        <w:rPr>
          <w:rFonts w:hint="eastAsia"/>
        </w:rPr>
        <w:t>区间隧道最低点线路排水沟沟底至集水池池底的深度不应大于3m；</w:t>
      </w:r>
    </w:p>
    <w:p w14:paraId="5169636A">
      <w:pPr>
        <w:pStyle w:val="7"/>
        <w:ind w:firstLine="420"/>
        <w:rPr>
          <w:szCs w:val="18"/>
        </w:rPr>
      </w:pPr>
      <w:r>
        <w:rPr>
          <w:rFonts w:hint="eastAsia"/>
        </w:rPr>
        <w:t>排水泵房各类排水泵每小时启动次数，立式排水泵不宜超过6次，密闭污水提升装置、潜水泵不宜超过20次；</w:t>
      </w:r>
    </w:p>
    <w:p w14:paraId="5317CD0C">
      <w:pPr>
        <w:pStyle w:val="7"/>
        <w:ind w:firstLine="420"/>
      </w:pPr>
      <w:r>
        <w:rPr>
          <w:rFonts w:hint="eastAsia"/>
        </w:rPr>
        <w:t>集水池内应设置反冲洗管、人孔和爬梯，污水泵房集水池检修孔应采用密闭井盖；</w:t>
      </w:r>
    </w:p>
    <w:p w14:paraId="532222A5">
      <w:pPr>
        <w:pStyle w:val="7"/>
        <w:ind w:firstLine="420"/>
      </w:pPr>
      <w:r>
        <w:rPr>
          <w:rFonts w:hint="eastAsia"/>
        </w:rPr>
        <w:t>除局部排水泵房外，其他各类排水泵房的集水池底应设集水坑，坡向集水坑的坡度不宜小于10%。</w:t>
      </w:r>
    </w:p>
    <w:p w14:paraId="5F97F340">
      <w:pPr>
        <w:pStyle w:val="5"/>
        <w:tabs>
          <w:tab w:val="left" w:pos="709"/>
          <w:tab w:val="clear" w:pos="630"/>
        </w:tabs>
      </w:pPr>
      <w:r>
        <w:rPr>
          <w:rFonts w:hint="eastAsia"/>
        </w:rPr>
        <w:t>排水泵的设计应符合以下规定：</w:t>
      </w:r>
    </w:p>
    <w:p w14:paraId="635BB9E3">
      <w:pPr>
        <w:pStyle w:val="7"/>
        <w:ind w:firstLine="420"/>
      </w:pPr>
      <w:r>
        <w:rPr>
          <w:rFonts w:hint="eastAsia"/>
        </w:rPr>
        <w:t>车站、区间主排水泵房、辅助排水泵房应设两台排水泵，平时一台工作，必要时两台同时工作；排水泵的总排水能力，按消防时的排水量和结构渗漏水量之和确定。</w:t>
      </w:r>
    </w:p>
    <w:p w14:paraId="50F718EC">
      <w:pPr>
        <w:pStyle w:val="7"/>
        <w:ind w:firstLine="420"/>
      </w:pPr>
      <w:r>
        <w:rPr>
          <w:rFonts w:hint="eastAsia"/>
        </w:rPr>
        <w:t>车站污水泵房应设两台排水泵，一台工作，一台备用，每台排水泵的排水能力，不应小于生活排水设计秒流量。</w:t>
      </w:r>
    </w:p>
    <w:p w14:paraId="3283FF4F">
      <w:pPr>
        <w:pStyle w:val="7"/>
        <w:ind w:firstLine="420"/>
        <w:rPr>
          <w:szCs w:val="18"/>
        </w:rPr>
      </w:pPr>
      <w:r>
        <w:rPr>
          <w:rFonts w:hint="eastAsia"/>
          <w:szCs w:val="18"/>
        </w:rPr>
        <w:t>隧道洞口雨水泵房应设不小于三台排水泵，最大水量时三台泵同时工作，每台泵的排水能力应大于最大小时排水量的1/3；隧道内洞口雨水泵房处的雨水横截沟不宜少于三道，横截沟排水能力应不小于隧道洞口计算雨水排水量。</w:t>
      </w:r>
    </w:p>
    <w:p w14:paraId="0CE650EB">
      <w:pPr>
        <w:pStyle w:val="7"/>
        <w:ind w:firstLine="420"/>
      </w:pPr>
      <w:r>
        <w:rPr>
          <w:rFonts w:hint="eastAsia"/>
        </w:rPr>
        <w:t>车站局部排水泵房应设排水泵；设有两台排水泵时，平时一台工作，必要时两台泵同时工作；每台排水泵的排水能力，应大于最大小时排水量的1/2。</w:t>
      </w:r>
    </w:p>
    <w:p w14:paraId="7ABB0B54">
      <w:pPr>
        <w:pStyle w:val="7"/>
        <w:ind w:firstLine="420"/>
      </w:pPr>
      <w:r>
        <w:rPr>
          <w:rFonts w:hint="eastAsia"/>
        </w:rPr>
        <w:t>排水泵均应设计为自灌式。</w:t>
      </w:r>
    </w:p>
    <w:p w14:paraId="74AE8C0D">
      <w:pPr>
        <w:pStyle w:val="7"/>
        <w:ind w:firstLine="420"/>
      </w:pPr>
      <w:r>
        <w:rPr>
          <w:rFonts w:hint="eastAsia"/>
        </w:rPr>
        <w:t>与联络通道合建的区间主排水泵房和局部排水泵房的排水泵应采用潜水泵，车站主排水泵房的排水泵应采用立式泵。</w:t>
      </w:r>
    </w:p>
    <w:p w14:paraId="673FB659">
      <w:pPr>
        <w:pStyle w:val="5"/>
        <w:tabs>
          <w:tab w:val="left" w:pos="709"/>
          <w:tab w:val="clear" w:pos="630"/>
        </w:tabs>
      </w:pPr>
      <w:r>
        <w:rPr>
          <w:rFonts w:hint="eastAsia"/>
        </w:rPr>
        <w:t>地下车站污水泵房排水泵宜采用密闭式污水提升装置等节能环保型设备或卧式污水泵。</w:t>
      </w:r>
    </w:p>
    <w:p w14:paraId="12435644">
      <w:pPr>
        <w:pStyle w:val="5"/>
        <w:tabs>
          <w:tab w:val="left" w:pos="709"/>
          <w:tab w:val="clear" w:pos="630"/>
        </w:tabs>
      </w:pPr>
      <w:r>
        <w:rPr>
          <w:rFonts w:hint="eastAsia"/>
        </w:rPr>
        <w:t>管道布置、附件及管材应符合下列规定：</w:t>
      </w:r>
    </w:p>
    <w:p w14:paraId="3C5131B1">
      <w:pPr>
        <w:pStyle w:val="7"/>
        <w:ind w:firstLine="420"/>
      </w:pPr>
      <w:r>
        <w:rPr>
          <w:rFonts w:hint="eastAsia"/>
        </w:rPr>
        <w:t>车站排水泵房的压力排水管宜通过风道或人行通道接入城市排水系统，区间排水泵房及洞口雨水泵房的压力排水管宜通过中间风井或通过车站接入城市排水系统；</w:t>
      </w:r>
    </w:p>
    <w:p w14:paraId="11EC159E">
      <w:pPr>
        <w:pStyle w:val="7"/>
        <w:ind w:firstLine="420"/>
      </w:pPr>
      <w:r>
        <w:rPr>
          <w:rFonts w:hint="eastAsia"/>
        </w:rPr>
        <w:t>洞口雨水泵房宜设2根压力排水管，其他泵房宜设1根压力排水管；</w:t>
      </w:r>
    </w:p>
    <w:p w14:paraId="2905F85C">
      <w:pPr>
        <w:pStyle w:val="7"/>
        <w:ind w:firstLine="420"/>
        <w:rPr>
          <w:szCs w:val="18"/>
        </w:rPr>
      </w:pPr>
      <w:r>
        <w:rPr>
          <w:rFonts w:hint="eastAsia"/>
          <w:szCs w:val="18"/>
        </w:rPr>
        <w:t>车站污水泵房集水池(污水箱)及卫生间排水管应设置通气管，通气管应接至室外；地下站通气管宜沿风道或出入口接至室外；</w:t>
      </w:r>
    </w:p>
    <w:p w14:paraId="6515B078">
      <w:pPr>
        <w:pStyle w:val="7"/>
        <w:ind w:firstLine="420"/>
        <w:rPr>
          <w:szCs w:val="18"/>
        </w:rPr>
      </w:pPr>
      <w:r>
        <w:rPr>
          <w:rFonts w:hint="eastAsia"/>
          <w:szCs w:val="18"/>
        </w:rPr>
        <w:t>车站及区间主排水泵房、局部排水泵房集水池、污水泵房集水池、密闭污水提升装置宜设置投入式液位传感器，隧道出洞口雨水泵房、车站及区间主排水泵房宜增设液位仪作为超高水位报警备用；</w:t>
      </w:r>
    </w:p>
    <w:p w14:paraId="0C1FDDA3">
      <w:pPr>
        <w:pStyle w:val="7"/>
        <w:ind w:firstLine="420"/>
      </w:pPr>
      <w:r>
        <w:rPr>
          <w:rFonts w:hint="eastAsia"/>
        </w:rPr>
        <w:t>局部排水泵房排水管应设置泄水管；</w:t>
      </w:r>
    </w:p>
    <w:p w14:paraId="3D867B39">
      <w:pPr>
        <w:pStyle w:val="7"/>
        <w:ind w:firstLine="420"/>
      </w:pPr>
      <w:r>
        <w:rPr>
          <w:rFonts w:hint="eastAsia"/>
        </w:rPr>
        <w:t>通风空调机房排水宜就近接入车站主排水泵房；</w:t>
      </w:r>
    </w:p>
    <w:p w14:paraId="6B321EB5">
      <w:pPr>
        <w:pStyle w:val="7"/>
        <w:ind w:firstLine="420"/>
      </w:pPr>
      <w:r>
        <w:rPr>
          <w:rFonts w:hint="eastAsia"/>
        </w:rPr>
        <w:t>地下车站的空调机房、有通风空调设备的风道、站台板下应设置排水沟，通风空调机房排水沟的能力应满足空调设备泄水的要求；</w:t>
      </w:r>
    </w:p>
    <w:p w14:paraId="7CD10042">
      <w:pPr>
        <w:pStyle w:val="7"/>
        <w:ind w:firstLine="420"/>
      </w:pPr>
      <w:r>
        <w:rPr>
          <w:rFonts w:hint="eastAsia"/>
        </w:rPr>
        <w:t>接车站各类废水泵房的排水管或排水沟的入口处应设置排水篦子或格栅；</w:t>
      </w:r>
    </w:p>
    <w:p w14:paraId="7903E394">
      <w:pPr>
        <w:pStyle w:val="7"/>
        <w:ind w:firstLine="420"/>
      </w:pPr>
      <w:r>
        <w:rPr>
          <w:rFonts w:hint="eastAsia"/>
        </w:rPr>
        <w:t>沿车站站厅边墙，车站站台公共区每隔50m宜设一个DN50～DN100的地漏；</w:t>
      </w:r>
    </w:p>
    <w:p w14:paraId="253E8B7F">
      <w:pPr>
        <w:pStyle w:val="7"/>
        <w:ind w:firstLine="420"/>
      </w:pPr>
      <w:r>
        <w:rPr>
          <w:rFonts w:hint="eastAsia"/>
        </w:rPr>
        <w:t>地下车站从地面进入站厅的人行通道和站厅层相接部位，应设横截沟并在沟内设DN100排水地漏；</w:t>
      </w:r>
    </w:p>
    <w:p w14:paraId="6B7A3BCF">
      <w:pPr>
        <w:pStyle w:val="7"/>
        <w:ind w:firstLine="420"/>
      </w:pPr>
      <w:r>
        <w:rPr>
          <w:rFonts w:hint="eastAsia"/>
        </w:rPr>
        <w:t>当线路排水沟采取可靠防水措施时，车站生产废水及结构渗漏水可接入线路排水沟，接至线路排水沟的排水不应在道床上散水排放；</w:t>
      </w:r>
    </w:p>
    <w:p w14:paraId="4B5568A3">
      <w:pPr>
        <w:pStyle w:val="7"/>
        <w:ind w:firstLine="420"/>
      </w:pPr>
      <w:r>
        <w:rPr>
          <w:rFonts w:hint="eastAsia"/>
        </w:rPr>
        <w:t>硬聚氯乙稀排水管道穿越楼板及不同的防火分区时应设阻火圈；</w:t>
      </w:r>
    </w:p>
    <w:p w14:paraId="269C198C">
      <w:pPr>
        <w:pStyle w:val="7"/>
        <w:ind w:firstLine="420"/>
        <w:rPr>
          <w:szCs w:val="18"/>
        </w:rPr>
      </w:pPr>
      <w:r>
        <w:rPr>
          <w:rFonts w:hint="eastAsia"/>
          <w:szCs w:val="18"/>
        </w:rPr>
        <w:t>重力流排水管宜采用柔性接口机制排水铸铁管或阻燃型硬聚氯乙稀管及管件；</w:t>
      </w:r>
    </w:p>
    <w:p w14:paraId="4D8CCBA7">
      <w:pPr>
        <w:pStyle w:val="7"/>
        <w:ind w:firstLine="420"/>
      </w:pPr>
      <w:r>
        <w:rPr>
          <w:rFonts w:hint="eastAsia"/>
        </w:rPr>
        <w:t>压力排水管宜采用热镀锌钢管或钢塑复合管；</w:t>
      </w:r>
    </w:p>
    <w:p w14:paraId="2D6D9D8F">
      <w:pPr>
        <w:pStyle w:val="7"/>
        <w:ind w:firstLine="420"/>
      </w:pPr>
      <w:r>
        <w:rPr>
          <w:rFonts w:hint="eastAsia"/>
        </w:rPr>
        <w:t>虹吸压力流排水管宜采用承压塑料管或不锈钢管；</w:t>
      </w:r>
    </w:p>
    <w:p w14:paraId="61425342">
      <w:pPr>
        <w:pStyle w:val="7"/>
        <w:ind w:firstLine="420"/>
        <w:rPr>
          <w:szCs w:val="18"/>
        </w:rPr>
      </w:pPr>
      <w:r>
        <w:rPr>
          <w:rFonts w:hint="eastAsia"/>
          <w:szCs w:val="18"/>
        </w:rPr>
        <w:t>室外重力流埋地排水管宜采用埋地塑料管或钢筋混凝土管。</w:t>
      </w:r>
    </w:p>
    <w:p w14:paraId="488102C9">
      <w:pPr>
        <w:pStyle w:val="5"/>
        <w:tabs>
          <w:tab w:val="left" w:pos="709"/>
          <w:tab w:val="clear" w:pos="630"/>
        </w:tabs>
      </w:pPr>
      <w:r>
        <w:rPr>
          <w:rFonts w:hint="eastAsia"/>
        </w:rPr>
        <w:t>局部污水处理设施应符合下列规定：</w:t>
      </w:r>
    </w:p>
    <w:p w14:paraId="1854C3DF">
      <w:pPr>
        <w:pStyle w:val="7"/>
        <w:ind w:firstLine="420"/>
        <w:rPr>
          <w:szCs w:val="18"/>
        </w:rPr>
      </w:pPr>
      <w:r>
        <w:rPr>
          <w:rFonts w:hint="eastAsia"/>
          <w:szCs w:val="18"/>
        </w:rPr>
        <w:t>当车站周围有城市污水排水系统，且下游有市政污水处理厂时，征得当地排水部门同意，车站粪便污水应直接排入城市污水排水系统，不设化粪池；</w:t>
      </w:r>
    </w:p>
    <w:p w14:paraId="06EAF63E">
      <w:pPr>
        <w:pStyle w:val="7"/>
        <w:ind w:firstLine="420"/>
        <w:rPr>
          <w:szCs w:val="18"/>
        </w:rPr>
      </w:pPr>
      <w:r>
        <w:rPr>
          <w:rFonts w:hint="eastAsia"/>
          <w:szCs w:val="18"/>
        </w:rPr>
        <w:t>当车站周围无城市污水排水系统时，应符合现行北京市地方标准《水污染物综合排放标准》DB11/307的规定，车站粪便污水排放方案应满足环评要求并经当地排水部门的同意；</w:t>
      </w:r>
    </w:p>
    <w:p w14:paraId="7EF54CC9">
      <w:pPr>
        <w:pStyle w:val="7"/>
        <w:ind w:firstLine="420"/>
      </w:pPr>
      <w:r>
        <w:rPr>
          <w:rFonts w:hint="eastAsia"/>
          <w:szCs w:val="18"/>
        </w:rPr>
        <w:t>室外化粪池的设计应符合现行国家标准《室外排水设计标准》GB 50014的有关规定</w:t>
      </w:r>
      <w:r>
        <w:t>。</w:t>
      </w:r>
    </w:p>
    <w:p w14:paraId="238FB7ED">
      <w:pPr>
        <w:numPr>
          <w:ilvl w:val="1"/>
          <w:numId w:val="1"/>
        </w:numPr>
        <w:snapToGrid w:val="0"/>
        <w:spacing w:before="156" w:after="156" w:line="240" w:lineRule="auto"/>
        <w:jc w:val="center"/>
        <w:outlineLvl w:val="1"/>
        <w:rPr>
          <w:rFonts w:eastAsia="黑体"/>
          <w:bCs/>
          <w:szCs w:val="28"/>
        </w:rPr>
      </w:pPr>
      <w:bookmarkStart w:id="1051" w:name="_Toc168061264"/>
      <w:bookmarkStart w:id="1052" w:name="_Toc168059456"/>
      <w:bookmarkStart w:id="1053" w:name="_Toc183765146"/>
      <w:bookmarkStart w:id="1054" w:name="_Toc183790576"/>
      <w:bookmarkStart w:id="1055" w:name="_Toc168061711"/>
      <w:bookmarkStart w:id="1056" w:name="_Toc183882499"/>
      <w:bookmarkStart w:id="1057" w:name="_Toc183683551"/>
      <w:bookmarkStart w:id="1058" w:name="_Toc183888551"/>
      <w:bookmarkStart w:id="1059" w:name="_Toc183888189"/>
      <w:bookmarkStart w:id="1060" w:name="_Toc183882137"/>
      <w:r>
        <w:rPr>
          <w:rFonts w:eastAsia="黑体"/>
          <w:bCs/>
          <w:szCs w:val="28"/>
        </w:rPr>
        <w:t>车辆基地给水与排水</w:t>
      </w:r>
      <w:bookmarkEnd w:id="1051"/>
      <w:bookmarkEnd w:id="1052"/>
      <w:bookmarkEnd w:id="1053"/>
      <w:bookmarkEnd w:id="1054"/>
      <w:bookmarkEnd w:id="1055"/>
      <w:bookmarkEnd w:id="1056"/>
      <w:bookmarkEnd w:id="1057"/>
      <w:bookmarkEnd w:id="1058"/>
      <w:bookmarkEnd w:id="1059"/>
      <w:bookmarkEnd w:id="1060"/>
    </w:p>
    <w:p w14:paraId="5B8FD125">
      <w:pPr>
        <w:pStyle w:val="5"/>
        <w:tabs>
          <w:tab w:val="left" w:pos="709"/>
          <w:tab w:val="clear" w:pos="630"/>
        </w:tabs>
      </w:pPr>
      <w:r>
        <w:rPr>
          <w:rFonts w:hint="eastAsia"/>
        </w:rPr>
        <w:t>用（排）水量定额应符合下列规定：</w:t>
      </w:r>
    </w:p>
    <w:p w14:paraId="37574E4F">
      <w:pPr>
        <w:pStyle w:val="7"/>
        <w:ind w:firstLine="420"/>
      </w:pPr>
      <w:r>
        <w:rPr>
          <w:rFonts w:hint="eastAsia"/>
        </w:rPr>
        <w:t>生产、生活给排水系统用（排）水量定额应符合现行国家标准《建筑给水排水设计规范》GB 50015及《民用建筑节水设计标准》GB 50555的有关规定；</w:t>
      </w:r>
    </w:p>
    <w:p w14:paraId="2B640CAF">
      <w:pPr>
        <w:pStyle w:val="7"/>
        <w:ind w:firstLine="420"/>
      </w:pPr>
      <w:r>
        <w:rPr>
          <w:rFonts w:hint="eastAsia"/>
        </w:rPr>
        <w:t>生产工艺用（排）水量应按工艺要求确定；</w:t>
      </w:r>
    </w:p>
    <w:p w14:paraId="38476333">
      <w:pPr>
        <w:pStyle w:val="5"/>
        <w:tabs>
          <w:tab w:val="left" w:pos="709"/>
          <w:tab w:val="clear" w:pos="630"/>
        </w:tabs>
      </w:pPr>
      <w:r>
        <w:rPr>
          <w:rFonts w:hint="eastAsia"/>
        </w:rPr>
        <w:t>屋面雨水排水设计标准应符合下列规定：</w:t>
      </w:r>
    </w:p>
    <w:p w14:paraId="25B57C43">
      <w:pPr>
        <w:pStyle w:val="7"/>
        <w:ind w:firstLine="420"/>
      </w:pPr>
      <w:r>
        <w:rPr>
          <w:rFonts w:hint="eastAsia"/>
        </w:rPr>
        <w:t>一般性地面建筑屋面雨水量应按不小于北京地区5年一遇暴雨强度计算；</w:t>
      </w:r>
    </w:p>
    <w:p w14:paraId="3E6CDCEC">
      <w:pPr>
        <w:pStyle w:val="7"/>
        <w:ind w:firstLine="420"/>
      </w:pPr>
      <w:r>
        <w:rPr>
          <w:rFonts w:hint="eastAsia"/>
        </w:rPr>
        <w:t>大型厂(库)房、高层建筑屋面雨水应按照不小于北京地区10年一遇暴雨强度进行计算，设计降雨历时不小于5min；</w:t>
      </w:r>
    </w:p>
    <w:p w14:paraId="7164279E">
      <w:pPr>
        <w:pStyle w:val="7"/>
        <w:ind w:firstLine="420"/>
      </w:pPr>
      <w:r>
        <w:rPr>
          <w:rFonts w:hint="eastAsia"/>
        </w:rPr>
        <w:t>当运用库、检修库、物资总库及综合楼屋面设置外天沟时，屋面雨水工程和溢流设施总排水能力应满足当地不小于50年一遇暴雨重现期的排水量；</w:t>
      </w:r>
    </w:p>
    <w:p w14:paraId="2A50C918">
      <w:pPr>
        <w:pStyle w:val="7"/>
        <w:ind w:firstLine="420"/>
      </w:pPr>
      <w:r>
        <w:rPr>
          <w:rFonts w:hint="eastAsia"/>
        </w:rPr>
        <w:t>当运用库、检修库及物资总库屋面设置内天沟时，屋面雨水工程和溢流设施总排水能力应满足当地不小于100年一遇暴雨重现期的排水量。</w:t>
      </w:r>
    </w:p>
    <w:p w14:paraId="783F5862">
      <w:pPr>
        <w:pStyle w:val="5"/>
        <w:tabs>
          <w:tab w:val="left" w:pos="709"/>
          <w:tab w:val="clear" w:pos="630"/>
        </w:tabs>
      </w:pPr>
      <w:r>
        <w:rPr>
          <w:rFonts w:hint="eastAsia"/>
        </w:rPr>
        <w:t>给水系统设计应符合下列规定：</w:t>
      </w:r>
    </w:p>
    <w:p w14:paraId="312EB06C">
      <w:pPr>
        <w:pStyle w:val="7"/>
        <w:ind w:firstLine="420"/>
        <w:rPr>
          <w:szCs w:val="18"/>
        </w:rPr>
      </w:pPr>
      <w:r>
        <w:rPr>
          <w:rFonts w:hint="eastAsia"/>
          <w:szCs w:val="18"/>
        </w:rPr>
        <w:t>给水水源应采用城市自来水，当车辆基地周围无城市自来水时，应有其他可靠的水源。</w:t>
      </w:r>
    </w:p>
    <w:p w14:paraId="6732ECC8">
      <w:pPr>
        <w:pStyle w:val="7"/>
        <w:ind w:firstLine="420"/>
      </w:pPr>
      <w:r>
        <w:rPr>
          <w:rFonts w:hint="eastAsia"/>
        </w:rPr>
        <w:t>车辆基地内不同水质条件的生产、生活给水系统应采用分质供水系统，并单独设置计量设施。</w:t>
      </w:r>
    </w:p>
    <w:p w14:paraId="27B2B4C9">
      <w:pPr>
        <w:pStyle w:val="7"/>
        <w:ind w:firstLine="420"/>
        <w:rPr>
          <w:szCs w:val="18"/>
        </w:rPr>
      </w:pPr>
      <w:r>
        <w:rPr>
          <w:rFonts w:hint="eastAsia"/>
          <w:szCs w:val="18"/>
        </w:rPr>
        <w:t>车辆基地生产生活低区给水系统应充分利用市政水压；城市自来水的供水量和(或)供水压力不能满足车辆基地生产、生活给水系统的部分，应设给水加压设备，宜采用叠压或变频调速供水设备。</w:t>
      </w:r>
    </w:p>
    <w:p w14:paraId="0DCE4DBA">
      <w:pPr>
        <w:pStyle w:val="7"/>
        <w:ind w:firstLine="420"/>
      </w:pPr>
      <w:r>
        <w:rPr>
          <w:rFonts w:hint="eastAsia"/>
        </w:rPr>
        <w:t>当城市自来水提供两根给水引入管时，室外生产、生活系统宜与室外消防给水系统共用且布置成环状；当城市自来水提供一根给水引入管时，室外生产、生活和室外消防给水系统应分开布置，室内、外消防给水系统是否共用应经过技术经济比较确定。</w:t>
      </w:r>
    </w:p>
    <w:p w14:paraId="3E888FB8">
      <w:pPr>
        <w:pStyle w:val="7"/>
        <w:ind w:firstLine="420"/>
      </w:pPr>
      <w:r>
        <w:rPr>
          <w:rFonts w:hint="eastAsia"/>
        </w:rPr>
        <w:t>室内生产、生活给水系统应与消防给水系统分设。</w:t>
      </w:r>
    </w:p>
    <w:p w14:paraId="17FE53B2">
      <w:pPr>
        <w:ind w:firstLine="420" w:firstLineChars="200"/>
        <w:rPr>
          <w:szCs w:val="18"/>
        </w:rPr>
      </w:pPr>
      <w:r>
        <w:rPr>
          <w:rFonts w:hint="eastAsia"/>
          <w:szCs w:val="18"/>
        </w:rPr>
        <w:t>6车辆基地室外生产、生活给水系统应布置成环。</w:t>
      </w:r>
    </w:p>
    <w:p w14:paraId="12DDA2F1">
      <w:pPr>
        <w:ind w:firstLine="420" w:firstLineChars="200"/>
        <w:rPr>
          <w:szCs w:val="18"/>
        </w:rPr>
      </w:pPr>
      <w:r>
        <w:rPr>
          <w:rFonts w:hint="eastAsia"/>
          <w:szCs w:val="18"/>
        </w:rPr>
        <w:t>7车辆基地室外绿化用水、非亲水性景观用水和冲洗路面用水，应使用雨水或再生水。</w:t>
      </w:r>
    </w:p>
    <w:p w14:paraId="5BC0B1C5">
      <w:pPr>
        <w:pStyle w:val="5"/>
        <w:tabs>
          <w:tab w:val="left" w:pos="709"/>
          <w:tab w:val="clear" w:pos="630"/>
        </w:tabs>
      </w:pPr>
      <w:r>
        <w:rPr>
          <w:rFonts w:hint="eastAsia"/>
        </w:rPr>
        <w:t>排水系统设计应符合下列规定：</w:t>
      </w:r>
    </w:p>
    <w:p w14:paraId="0A70B194">
      <w:pPr>
        <w:pStyle w:val="7"/>
        <w:ind w:firstLine="420"/>
      </w:pPr>
      <w:r>
        <w:rPr>
          <w:rFonts w:hint="eastAsia"/>
        </w:rPr>
        <w:t>车辆基地的生产废水、生活污水宜集中后按重力流方式接入城市排水系统，如不能按重力流方式排放，则应设排水泵房提升并排入城市污水排水系统；</w:t>
      </w:r>
    </w:p>
    <w:p w14:paraId="20593A88">
      <w:pPr>
        <w:pStyle w:val="7"/>
        <w:ind w:firstLine="420"/>
      </w:pPr>
      <w:r>
        <w:rPr>
          <w:rFonts w:hint="eastAsia"/>
        </w:rPr>
        <w:t>当车辆基地附近有城市污水处理厂时，其内部的生产废水、生活污水应符合现行北京市地方标准《水污染物综合排放标准》DB11/307的规定经过处理达标后排入城市排水管网；</w:t>
      </w:r>
    </w:p>
    <w:p w14:paraId="1A273CFD">
      <w:pPr>
        <w:pStyle w:val="7"/>
        <w:ind w:firstLine="420"/>
      </w:pPr>
      <w:r>
        <w:rPr>
          <w:rFonts w:hint="eastAsia"/>
        </w:rPr>
        <w:t>当车辆基地附近无城市污水处理厂时，其内部的生产废水、生活污水应经过处理达标后作为中水回用；</w:t>
      </w:r>
    </w:p>
    <w:p w14:paraId="6E5B779F">
      <w:pPr>
        <w:pStyle w:val="7"/>
        <w:ind w:firstLine="420"/>
        <w:rPr>
          <w:szCs w:val="18"/>
        </w:rPr>
      </w:pPr>
      <w:r>
        <w:rPr>
          <w:rFonts w:hint="eastAsia"/>
          <w:szCs w:val="18"/>
        </w:rPr>
        <w:t>运用库、检修库等</w:t>
      </w:r>
      <w:r>
        <w:rPr>
          <w:rFonts w:hint="eastAsia"/>
        </w:rPr>
        <w:t>大型厂（库）房</w:t>
      </w:r>
      <w:r>
        <w:rPr>
          <w:rFonts w:hint="eastAsia"/>
          <w:szCs w:val="18"/>
        </w:rPr>
        <w:t>的屋面雨水排水宜采用</w:t>
      </w:r>
      <w:r>
        <w:rPr>
          <w:rFonts w:hint="eastAsia"/>
        </w:rPr>
        <w:t>满管压力流</w:t>
      </w:r>
      <w:r>
        <w:rPr>
          <w:rFonts w:hint="eastAsia"/>
          <w:szCs w:val="18"/>
        </w:rPr>
        <w:t>排水系统，其他屋面雨水排水宜采用重力流排水系统；</w:t>
      </w:r>
    </w:p>
    <w:p w14:paraId="4608F411">
      <w:pPr>
        <w:pStyle w:val="7"/>
        <w:ind w:firstLine="420"/>
        <w:rPr>
          <w:szCs w:val="18"/>
        </w:rPr>
      </w:pPr>
      <w:r>
        <w:rPr>
          <w:rFonts w:hint="eastAsia"/>
        </w:rPr>
        <w:t>车辆基地内运用设施、检修设施、试车线、室外电缆沟等局部低洼处应设排水设施。</w:t>
      </w:r>
    </w:p>
    <w:p w14:paraId="6087F9D4">
      <w:pPr>
        <w:pStyle w:val="7"/>
        <w:ind w:firstLine="420"/>
        <w:rPr>
          <w:szCs w:val="18"/>
        </w:rPr>
      </w:pPr>
      <w:r>
        <w:rPr>
          <w:rFonts w:hint="eastAsia"/>
          <w:szCs w:val="18"/>
        </w:rPr>
        <w:t>车辆基地应经过技术经济比较采用透水铺装、下凹式绿地、屋顶绿化及设置雨水集蓄设施等技术措施减少外排雨水量、对雨水进行重复利用，雨水排放应满足海绵城市及雨水综合利用的要求。</w:t>
      </w:r>
    </w:p>
    <w:p w14:paraId="5B88290F">
      <w:pPr>
        <w:pStyle w:val="7"/>
        <w:ind w:firstLine="420"/>
      </w:pPr>
      <w:r>
        <w:rPr>
          <w:rFonts w:hint="eastAsia"/>
        </w:rPr>
        <w:t>车辆基地有上盖开发时，上盖雨水与盖下场区雨水应分开独立设置，上盖雨水应独立排放至场外，不应进入盖下车辆基地，不应在基地内设置上盖雨水调蓄池或与基地雨水调蓄池共用。</w:t>
      </w:r>
    </w:p>
    <w:p w14:paraId="119C05A2">
      <w:pPr>
        <w:pStyle w:val="5"/>
        <w:tabs>
          <w:tab w:val="left" w:pos="709"/>
          <w:tab w:val="clear" w:pos="630"/>
        </w:tabs>
      </w:pPr>
      <w:r>
        <w:rPr>
          <w:rFonts w:hint="eastAsia"/>
        </w:rPr>
        <w:t>管道布置、附件及管材应符合下列规定：</w:t>
      </w:r>
    </w:p>
    <w:p w14:paraId="2990E1E2">
      <w:pPr>
        <w:pStyle w:val="7"/>
        <w:ind w:firstLine="420"/>
        <w:rPr>
          <w:szCs w:val="18"/>
        </w:rPr>
      </w:pPr>
      <w:r>
        <w:rPr>
          <w:rFonts w:hint="eastAsia"/>
          <w:szCs w:val="18"/>
        </w:rPr>
        <w:t>室外应设置用于再生水灌溉的阀门井；</w:t>
      </w:r>
    </w:p>
    <w:p w14:paraId="36366043">
      <w:pPr>
        <w:pStyle w:val="7"/>
        <w:ind w:firstLine="420"/>
      </w:pPr>
      <w:r>
        <w:rPr>
          <w:rFonts w:hint="eastAsia"/>
        </w:rPr>
        <w:t>排水管道不宜在室外明敷；</w:t>
      </w:r>
    </w:p>
    <w:p w14:paraId="5F17B6EA">
      <w:pPr>
        <w:pStyle w:val="7"/>
        <w:ind w:firstLine="420"/>
      </w:pPr>
      <w:r>
        <w:rPr>
          <w:rFonts w:hint="eastAsia"/>
        </w:rPr>
        <w:t>室外给排水及消防管道穿越车辆基地轨道时，应设防护套管或综合管沟；</w:t>
      </w:r>
    </w:p>
    <w:p w14:paraId="2BD12146">
      <w:pPr>
        <w:pStyle w:val="7"/>
        <w:ind w:firstLine="420"/>
      </w:pPr>
      <w:r>
        <w:rPr>
          <w:rFonts w:hint="eastAsia"/>
        </w:rPr>
        <w:t>给水和排水系统管道及附件的布置应符合现行国家标准《建筑给水排水设计规范》GB 50015的有关规定；</w:t>
      </w:r>
    </w:p>
    <w:p w14:paraId="10F65459">
      <w:pPr>
        <w:pStyle w:val="7"/>
        <w:ind w:firstLine="420"/>
        <w:rPr>
          <w:szCs w:val="18"/>
        </w:rPr>
      </w:pPr>
      <w:r>
        <w:rPr>
          <w:rFonts w:hint="eastAsia"/>
          <w:szCs w:val="18"/>
        </w:rPr>
        <w:t>室内生产、生活给水管宜采用不锈钢管、钢塑复合管；</w:t>
      </w:r>
    </w:p>
    <w:p w14:paraId="550E8C9C">
      <w:pPr>
        <w:pStyle w:val="7"/>
        <w:ind w:firstLine="420"/>
      </w:pPr>
      <w:r>
        <w:rPr>
          <w:rFonts w:hint="eastAsia"/>
        </w:rPr>
        <w:t>室外给水管宜采用球墨铸铁给水管和胶圈接口，变坡最高点设排气阀，最低点设泄水阀；</w:t>
      </w:r>
    </w:p>
    <w:p w14:paraId="2A3511F1">
      <w:pPr>
        <w:pStyle w:val="7"/>
        <w:ind w:firstLine="420"/>
      </w:pPr>
      <w:r>
        <w:rPr>
          <w:rFonts w:hint="eastAsia"/>
          <w:szCs w:val="18"/>
        </w:rPr>
        <w:t>室内重力流排水管道宜采用柔性接口机制排水铸铁管或建筑排水塑料管及相应管件，虹吸压力流排水管宜采用承压塑料管，室外排水管宜采用塑料管、钢筋混凝土管</w:t>
      </w:r>
      <w:r>
        <w:t>。</w:t>
      </w:r>
    </w:p>
    <w:p w14:paraId="50FE1926">
      <w:pPr>
        <w:numPr>
          <w:ilvl w:val="1"/>
          <w:numId w:val="1"/>
        </w:numPr>
        <w:snapToGrid w:val="0"/>
        <w:spacing w:before="156" w:after="156" w:line="240" w:lineRule="auto"/>
        <w:jc w:val="center"/>
        <w:outlineLvl w:val="1"/>
        <w:rPr>
          <w:rFonts w:eastAsia="黑体"/>
          <w:bCs/>
          <w:szCs w:val="28"/>
        </w:rPr>
      </w:pPr>
      <w:bookmarkStart w:id="1061" w:name="_Toc183882500"/>
      <w:bookmarkStart w:id="1062" w:name="_Toc183790577"/>
      <w:bookmarkStart w:id="1063" w:name="_Toc183683552"/>
      <w:bookmarkStart w:id="1064" w:name="_Toc168059457"/>
      <w:bookmarkStart w:id="1065" w:name="_Toc183888190"/>
      <w:bookmarkStart w:id="1066" w:name="_Toc183765147"/>
      <w:bookmarkStart w:id="1067" w:name="_Toc168061265"/>
      <w:bookmarkStart w:id="1068" w:name="_Toc183888552"/>
      <w:bookmarkStart w:id="1069" w:name="_Toc168061712"/>
      <w:bookmarkStart w:id="1070" w:name="_Toc183882138"/>
      <w:r>
        <w:rPr>
          <w:rFonts w:eastAsia="黑体"/>
          <w:bCs/>
          <w:szCs w:val="28"/>
        </w:rPr>
        <w:t>设备监控</w:t>
      </w:r>
      <w:bookmarkEnd w:id="1061"/>
      <w:bookmarkEnd w:id="1062"/>
      <w:bookmarkEnd w:id="1063"/>
      <w:bookmarkEnd w:id="1064"/>
      <w:bookmarkEnd w:id="1065"/>
      <w:bookmarkEnd w:id="1066"/>
      <w:bookmarkEnd w:id="1067"/>
      <w:bookmarkEnd w:id="1068"/>
      <w:bookmarkEnd w:id="1069"/>
      <w:bookmarkEnd w:id="1070"/>
    </w:p>
    <w:p w14:paraId="3F17B566">
      <w:pPr>
        <w:pStyle w:val="5"/>
        <w:tabs>
          <w:tab w:val="left" w:pos="709"/>
          <w:tab w:val="clear" w:pos="630"/>
        </w:tabs>
      </w:pPr>
      <w:r>
        <w:rPr>
          <w:rFonts w:hint="eastAsia"/>
        </w:rPr>
        <w:t>车站生产、生活给水设备应在车站综合控制室显示运行、手/自动及故障状态信息。</w:t>
      </w:r>
    </w:p>
    <w:p w14:paraId="0B96E7CB">
      <w:pPr>
        <w:pStyle w:val="5"/>
        <w:tabs>
          <w:tab w:val="left" w:pos="709"/>
          <w:tab w:val="clear" w:pos="630"/>
        </w:tabs>
      </w:pPr>
      <w:r>
        <w:rPr>
          <w:rFonts w:hint="eastAsia"/>
        </w:rPr>
        <w:t>排水泵应采用液位自动控制、就地控制两种控制方式；车站和区间主废水泵房排水泵，隧道出洞口雨水泵应能在车站综合控制室远程控制。</w:t>
      </w:r>
    </w:p>
    <w:p w14:paraId="37471324">
      <w:pPr>
        <w:pStyle w:val="5"/>
        <w:tabs>
          <w:tab w:val="left" w:pos="709"/>
          <w:tab w:val="clear" w:pos="630"/>
        </w:tabs>
      </w:pPr>
      <w:r>
        <w:rPr>
          <w:rFonts w:hint="eastAsia"/>
        </w:rPr>
        <w:t>排水设备应在车站综合控制室显示设备运行、手/自动、故障状态（含自动巡检故障状态）及液位信息。</w:t>
      </w:r>
    </w:p>
    <w:p w14:paraId="3CB60EFD"/>
    <w:p w14:paraId="2F69E19E">
      <w:pPr>
        <w:sectPr>
          <w:headerReference r:id="rId28" w:type="first"/>
          <w:footerReference r:id="rId31" w:type="first"/>
          <w:footerReference r:id="rId29" w:type="default"/>
          <w:footerReference r:id="rId30" w:type="even"/>
          <w:pgSz w:w="7938" w:h="11510"/>
          <w:pgMar w:top="1247" w:right="907" w:bottom="1247" w:left="907" w:header="737" w:footer="737" w:gutter="0"/>
          <w:cols w:space="720" w:num="1"/>
          <w:docGrid w:linePitch="272" w:charSpace="0"/>
        </w:sectPr>
      </w:pPr>
    </w:p>
    <w:p w14:paraId="0C013ED9">
      <w:pPr>
        <w:pStyle w:val="3"/>
      </w:pPr>
      <w:bookmarkStart w:id="1071" w:name="_Toc183699874"/>
      <w:bookmarkStart w:id="1072" w:name="_Toc183683553"/>
      <w:bookmarkStart w:id="1073" w:name="_Toc183790578"/>
      <w:bookmarkStart w:id="1074" w:name="_Toc183888191"/>
      <w:bookmarkStart w:id="1075" w:name="_Toc183888553"/>
      <w:bookmarkStart w:id="1076" w:name="_Toc183765148"/>
      <w:bookmarkStart w:id="1077" w:name="_Toc183735418"/>
      <w:bookmarkStart w:id="1078" w:name="_Toc183882139"/>
      <w:bookmarkStart w:id="1079" w:name="_Toc183882501"/>
      <w:r>
        <w:t>供</w:t>
      </w:r>
      <w:r>
        <w:rPr>
          <w:rFonts w:hint="eastAsia"/>
        </w:rPr>
        <w:t xml:space="preserve">    </w:t>
      </w:r>
      <w:r>
        <w:t>电</w:t>
      </w:r>
      <w:bookmarkEnd w:id="1071"/>
      <w:bookmarkEnd w:id="1072"/>
      <w:bookmarkEnd w:id="1073"/>
      <w:bookmarkEnd w:id="1074"/>
      <w:bookmarkEnd w:id="1075"/>
      <w:bookmarkEnd w:id="1076"/>
      <w:bookmarkEnd w:id="1077"/>
      <w:bookmarkEnd w:id="1078"/>
      <w:bookmarkEnd w:id="1079"/>
    </w:p>
    <w:p w14:paraId="26D4B325">
      <w:pPr>
        <w:numPr>
          <w:ilvl w:val="1"/>
          <w:numId w:val="1"/>
        </w:numPr>
        <w:snapToGrid w:val="0"/>
        <w:spacing w:before="156" w:after="156" w:line="240" w:lineRule="auto"/>
        <w:jc w:val="center"/>
        <w:outlineLvl w:val="1"/>
        <w:rPr>
          <w:rFonts w:eastAsia="黑体"/>
          <w:bCs/>
          <w:szCs w:val="28"/>
        </w:rPr>
      </w:pPr>
      <w:bookmarkStart w:id="1080" w:name="_Toc168059459"/>
      <w:bookmarkStart w:id="1081" w:name="_Toc183888554"/>
      <w:bookmarkStart w:id="1082" w:name="_Toc168061267"/>
      <w:bookmarkStart w:id="1083" w:name="_Toc183683554"/>
      <w:bookmarkStart w:id="1084" w:name="_Toc174611509"/>
      <w:bookmarkStart w:id="1085" w:name="_Toc183882140"/>
      <w:bookmarkStart w:id="1086" w:name="_Toc168061714"/>
      <w:bookmarkStart w:id="1087" w:name="_Toc174612516"/>
      <w:bookmarkStart w:id="1088" w:name="_Toc183888192"/>
      <w:bookmarkStart w:id="1089" w:name="_Toc183790579"/>
      <w:bookmarkStart w:id="1090" w:name="_Toc183765149"/>
      <w:bookmarkStart w:id="1091" w:name="_Toc183882502"/>
      <w:bookmarkStart w:id="1092" w:name="_Toc174611712"/>
      <w:r>
        <w:rPr>
          <w:rFonts w:eastAsia="黑体"/>
          <w:bCs/>
          <w:szCs w:val="28"/>
        </w:rPr>
        <w:t>一般规定</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48E961A4">
      <w:pPr>
        <w:pStyle w:val="5"/>
        <w:tabs>
          <w:tab w:val="left" w:pos="709"/>
          <w:tab w:val="clear" w:pos="630"/>
        </w:tabs>
      </w:pPr>
      <w:r>
        <w:rPr>
          <w:rFonts w:hint="eastAsia"/>
        </w:rPr>
        <w:t>城市</w:t>
      </w:r>
      <w:r>
        <w:t>轨道交通供电设计应以安全、可靠、环保、节能</w:t>
      </w:r>
      <w:r>
        <w:rPr>
          <w:rFonts w:hint="eastAsia"/>
        </w:rPr>
        <w:t>、</w:t>
      </w:r>
      <w:r>
        <w:t>经济</w:t>
      </w:r>
      <w:r>
        <w:rPr>
          <w:rFonts w:hint="eastAsia"/>
        </w:rPr>
        <w:t>及便于维修</w:t>
      </w:r>
      <w:r>
        <w:t>为原则。</w:t>
      </w:r>
    </w:p>
    <w:p w14:paraId="3C53AA31">
      <w:pPr>
        <w:pStyle w:val="5"/>
        <w:tabs>
          <w:tab w:val="left" w:pos="709"/>
          <w:tab w:val="clear" w:pos="630"/>
        </w:tabs>
      </w:pPr>
      <w:r>
        <w:t>供电系统宜结合线网进行电力资源共享设计，电力资源共享形式宜包括</w:t>
      </w:r>
      <w:r>
        <w:rPr>
          <w:rFonts w:hint="eastAsia"/>
        </w:rPr>
        <w:t>城市</w:t>
      </w:r>
      <w:r>
        <w:t>轨道交通线网内部共享、</w:t>
      </w:r>
      <w:r>
        <w:rPr>
          <w:rFonts w:hint="eastAsia"/>
        </w:rPr>
        <w:t>城市</w:t>
      </w:r>
      <w:r>
        <w:t>轨道交通线路与地区用户共享。</w:t>
      </w:r>
    </w:p>
    <w:p w14:paraId="70B4FCEE">
      <w:pPr>
        <w:pStyle w:val="5"/>
        <w:tabs>
          <w:tab w:val="left" w:pos="709"/>
          <w:tab w:val="clear" w:pos="630"/>
        </w:tabs>
      </w:pPr>
      <w:r>
        <w:rPr>
          <w:rFonts w:hint="eastAsia"/>
        </w:rPr>
        <w:t>供电系统规模应与线路最大运输及储备能力相匹配。设备实施应按列车运行的远期通过能力设计，达到规模所需的土建条件应按</w:t>
      </w:r>
      <w:r>
        <w:t>线路最大运输及储备能力</w:t>
      </w:r>
      <w:r>
        <w:rPr>
          <w:rFonts w:hint="eastAsia"/>
        </w:rPr>
        <w:t>进行预留</w:t>
      </w:r>
      <w:r>
        <w:t>。</w:t>
      </w:r>
    </w:p>
    <w:p w14:paraId="6A581C36">
      <w:pPr>
        <w:pStyle w:val="5"/>
        <w:tabs>
          <w:tab w:val="left" w:pos="709"/>
          <w:tab w:val="clear" w:pos="630"/>
        </w:tabs>
      </w:pPr>
      <w:r>
        <w:t>牵引用电负荷应为一级负荷；动力照明等用电负荷应分为</w:t>
      </w:r>
      <w:r>
        <w:rPr>
          <w:rFonts w:hint="eastAsia"/>
        </w:rPr>
        <w:t>特级负荷、</w:t>
      </w:r>
      <w:r>
        <w:t>一级负荷、二级负荷和三级负荷。</w:t>
      </w:r>
    </w:p>
    <w:p w14:paraId="513F373B">
      <w:pPr>
        <w:pStyle w:val="5"/>
        <w:tabs>
          <w:tab w:val="left" w:pos="709"/>
          <w:tab w:val="clear" w:pos="630"/>
        </w:tabs>
      </w:pPr>
      <w:r>
        <w:t>一级负荷应由</w:t>
      </w:r>
      <w:r>
        <w:rPr>
          <w:rFonts w:hint="eastAsia"/>
        </w:rPr>
        <w:t>两个</w:t>
      </w:r>
      <w:r>
        <w:t>电源供电</w:t>
      </w:r>
      <w:r>
        <w:rPr>
          <w:rFonts w:hint="eastAsia"/>
        </w:rPr>
        <w:t>，并应符合下列规定：</w:t>
      </w:r>
    </w:p>
    <w:p w14:paraId="0136B6B1">
      <w:pPr>
        <w:pStyle w:val="7"/>
        <w:ind w:firstLine="420"/>
      </w:pPr>
      <w:r>
        <w:rPr>
          <w:rFonts w:hint="eastAsia"/>
        </w:rPr>
        <w:t>当一个电源发生故障时，另一个电源不应同时受到损坏；</w:t>
      </w:r>
    </w:p>
    <w:p w14:paraId="2B0B5920">
      <w:pPr>
        <w:pStyle w:val="7"/>
        <w:ind w:firstLine="420"/>
      </w:pPr>
      <w:r>
        <w:rPr>
          <w:rFonts w:hint="eastAsia"/>
        </w:rPr>
        <w:t>每个电源的容量应满足全部一级、特级用电负荷的供电要求。</w:t>
      </w:r>
    </w:p>
    <w:p w14:paraId="6D66FCA3">
      <w:pPr>
        <w:pStyle w:val="5"/>
        <w:tabs>
          <w:tab w:val="left" w:pos="709"/>
          <w:tab w:val="clear" w:pos="630"/>
        </w:tabs>
      </w:pPr>
      <w:r>
        <w:rPr>
          <w:rFonts w:hint="eastAsia"/>
        </w:rPr>
        <w:t>特级用电负荷应由3个电源供电，并应符合下列规定：</w:t>
      </w:r>
    </w:p>
    <w:p w14:paraId="22F6E0A8">
      <w:pPr>
        <w:pStyle w:val="7"/>
        <w:ind w:firstLine="420"/>
      </w:pPr>
      <w:r>
        <w:rPr>
          <w:rFonts w:hint="eastAsia"/>
        </w:rPr>
        <w:t>3个电源应由满足一级负荷要求的两个电源和一个应急电源组成，且不应将其他负荷负荷接入应急电源；</w:t>
      </w:r>
    </w:p>
    <w:p w14:paraId="74154A65">
      <w:pPr>
        <w:pStyle w:val="7"/>
        <w:ind w:firstLine="420"/>
      </w:pPr>
      <w:r>
        <w:rPr>
          <w:rFonts w:hint="eastAsia"/>
        </w:rPr>
        <w:t>应急电源的容量应满足同时工作最大特级用电负荷的供电要求；</w:t>
      </w:r>
    </w:p>
    <w:p w14:paraId="6FD3FBD3">
      <w:pPr>
        <w:pStyle w:val="7"/>
        <w:ind w:firstLine="420"/>
      </w:pPr>
      <w:r>
        <w:rPr>
          <w:rFonts w:hint="eastAsia"/>
        </w:rPr>
        <w:t>应急电源的切换时间，应满足特级用电负荷允许最短中断供电时间的要求；</w:t>
      </w:r>
    </w:p>
    <w:p w14:paraId="3270C6AA">
      <w:pPr>
        <w:pStyle w:val="7"/>
        <w:ind w:firstLine="420"/>
      </w:pPr>
      <w:r>
        <w:rPr>
          <w:rFonts w:hint="eastAsia"/>
        </w:rPr>
        <w:t>应急电源的供电时间，应满足特级用电负荷最长持续运行时间的要求。</w:t>
      </w:r>
    </w:p>
    <w:p w14:paraId="2B8228B9">
      <w:pPr>
        <w:pStyle w:val="5"/>
        <w:tabs>
          <w:tab w:val="left" w:pos="709"/>
          <w:tab w:val="clear" w:pos="630"/>
        </w:tabs>
      </w:pPr>
      <w:r>
        <w:t>二级负荷供电</w:t>
      </w:r>
      <w:r>
        <w:rPr>
          <w:rFonts w:hint="eastAsia"/>
        </w:rPr>
        <w:t>应符合下列规定：</w:t>
      </w:r>
    </w:p>
    <w:p w14:paraId="3B610731">
      <w:pPr>
        <w:pStyle w:val="7"/>
        <w:ind w:firstLine="420"/>
      </w:pPr>
      <w:r>
        <w:t>车站宜采用双电源单回线路供电；</w:t>
      </w:r>
    </w:p>
    <w:p w14:paraId="145DAF4E">
      <w:pPr>
        <w:pStyle w:val="7"/>
        <w:ind w:firstLine="420"/>
      </w:pPr>
      <w:r>
        <w:t>车辆基地建筑物(变电所不在单体建筑内时)宜采用双回线路供电。</w:t>
      </w:r>
    </w:p>
    <w:p w14:paraId="691B0845">
      <w:pPr>
        <w:pStyle w:val="5"/>
        <w:tabs>
          <w:tab w:val="left" w:pos="709"/>
          <w:tab w:val="clear" w:pos="630"/>
        </w:tabs>
      </w:pPr>
      <w:r>
        <w:t>三级负荷应采用单电源单回路供电，当系统中一个电源失电时宜手动/自动切除。</w:t>
      </w:r>
    </w:p>
    <w:p w14:paraId="4D191D1A">
      <w:pPr>
        <w:pStyle w:val="5"/>
        <w:tabs>
          <w:tab w:val="left" w:pos="709"/>
          <w:tab w:val="clear" w:pos="630"/>
        </w:tabs>
      </w:pPr>
      <w:r>
        <w:t>供电系统中各类变电所均应由双重电源供电，</w:t>
      </w:r>
      <w:r>
        <w:rPr>
          <w:rFonts w:hint="eastAsia"/>
        </w:rPr>
        <w:t>同时还应符合下列规定：</w:t>
      </w:r>
    </w:p>
    <w:p w14:paraId="577E46B6">
      <w:pPr>
        <w:pStyle w:val="7"/>
        <w:ind w:firstLine="420"/>
      </w:pPr>
      <w:r>
        <w:t>降压变电所</w:t>
      </w:r>
      <w:r>
        <w:rPr>
          <w:rFonts w:hint="eastAsia"/>
        </w:rPr>
        <w:t>、直流制式牵引降压混合变电所</w:t>
      </w:r>
      <w:r>
        <w:t>每个进线电源的容量应满足供电范围内全部一、二级负荷的要求</w:t>
      </w:r>
      <w:r>
        <w:rPr>
          <w:rFonts w:hint="eastAsia"/>
        </w:rPr>
        <w:t>；</w:t>
      </w:r>
    </w:p>
    <w:p w14:paraId="226B8CE9">
      <w:pPr>
        <w:pStyle w:val="7"/>
        <w:ind w:firstLine="420"/>
      </w:pPr>
      <w:r>
        <w:rPr>
          <w:rFonts w:hint="eastAsia"/>
        </w:rPr>
        <w:t>交流制式牵引变电所、开闭所</w:t>
      </w:r>
      <w:r>
        <w:t>每个进线电源的容量应满足供电范围内全部</w:t>
      </w:r>
      <w:r>
        <w:rPr>
          <w:rFonts w:hint="eastAsia"/>
        </w:rPr>
        <w:t>牵引供电负荷</w:t>
      </w:r>
      <w:r>
        <w:t>的要求</w:t>
      </w:r>
      <w:r>
        <w:rPr>
          <w:rFonts w:hint="eastAsia"/>
        </w:rPr>
        <w:t>。</w:t>
      </w:r>
    </w:p>
    <w:p w14:paraId="1309837D">
      <w:pPr>
        <w:pStyle w:val="5"/>
        <w:tabs>
          <w:tab w:val="left" w:pos="851"/>
          <w:tab w:val="clear" w:pos="630"/>
        </w:tabs>
      </w:pPr>
      <w:r>
        <w:rPr>
          <w:rFonts w:hint="eastAsia"/>
        </w:rPr>
        <w:t>列车制动能量利用方案应纳入供电系统设计，设计方案应通过经济技术综合比较确定</w:t>
      </w:r>
      <w:r>
        <w:t>。</w:t>
      </w:r>
    </w:p>
    <w:p w14:paraId="6F0618C4">
      <w:pPr>
        <w:pStyle w:val="5"/>
        <w:tabs>
          <w:tab w:val="left" w:pos="851"/>
          <w:tab w:val="clear" w:pos="630"/>
        </w:tabs>
      </w:pPr>
      <w:r>
        <w:t>车辆基地应设置供电车间。</w:t>
      </w:r>
      <w:r>
        <w:rPr>
          <w:rFonts w:hint="eastAsia"/>
        </w:rPr>
        <w:t>沿线路每</w:t>
      </w:r>
      <w:r>
        <w:t>3~5座车站变电所设置一个</w:t>
      </w:r>
      <w:r>
        <w:rPr>
          <w:rFonts w:hint="eastAsia"/>
        </w:rPr>
        <w:t>维修</w:t>
      </w:r>
      <w:r>
        <w:t>中心，该中心应设于车站内。</w:t>
      </w:r>
    </w:p>
    <w:p w14:paraId="57F1068C">
      <w:pPr>
        <w:pStyle w:val="5"/>
        <w:tabs>
          <w:tab w:val="left" w:pos="851"/>
          <w:tab w:val="clear" w:pos="630"/>
        </w:tabs>
      </w:pPr>
      <w:r>
        <w:rPr>
          <w:rFonts w:hint="eastAsia"/>
        </w:rPr>
        <w:t>直流制式城市轨道交通的电气安全、接地安全和杂散电流防护安全应综合设计，当三者之间有矛盾时应满足电气安全和接地安全。</w:t>
      </w:r>
    </w:p>
    <w:p w14:paraId="5494FFB3">
      <w:pPr>
        <w:pStyle w:val="5"/>
        <w:tabs>
          <w:tab w:val="left" w:pos="851"/>
          <w:tab w:val="clear" w:pos="630"/>
        </w:tabs>
      </w:pPr>
      <w:r>
        <w:t>装备水平应与工程的功能要求和使用条件相适应。</w:t>
      </w:r>
    </w:p>
    <w:p w14:paraId="732263DF">
      <w:pPr>
        <w:pStyle w:val="5"/>
        <w:tabs>
          <w:tab w:val="left" w:pos="851"/>
          <w:tab w:val="clear" w:pos="630"/>
        </w:tabs>
      </w:pPr>
      <w:r>
        <w:t>外部电源引入点处功率因数应满足城市电力部门</w:t>
      </w:r>
      <w:r>
        <w:rPr>
          <w:rFonts w:hint="eastAsia"/>
        </w:rPr>
        <w:t>的</w:t>
      </w:r>
      <w:r>
        <w:t>要求。</w:t>
      </w:r>
    </w:p>
    <w:p w14:paraId="095E46CB">
      <w:pPr>
        <w:pStyle w:val="5"/>
        <w:tabs>
          <w:tab w:val="left" w:pos="851"/>
          <w:tab w:val="clear" w:pos="630"/>
        </w:tabs>
      </w:pPr>
      <w:r>
        <w:rPr>
          <w:rFonts w:hint="eastAsia"/>
        </w:rPr>
        <w:t>具备条件时可采用光伏发电等绿色能源作为补充电源。</w:t>
      </w:r>
      <w:r>
        <w:rPr>
          <w:rFonts w:hint="eastAsia" w:ascii="宋体" w:hAnsi="宋体"/>
          <w:spacing w:val="4"/>
          <w:szCs w:val="21"/>
        </w:rPr>
        <w:t>供电系统节能设计应符合本规范第</w:t>
      </w:r>
      <w:r>
        <w:rPr>
          <w:rFonts w:ascii="宋体" w:hAnsi="宋体"/>
          <w:spacing w:val="4"/>
          <w:szCs w:val="21"/>
        </w:rPr>
        <w:t>30</w:t>
      </w:r>
      <w:r>
        <w:rPr>
          <w:rFonts w:hint="eastAsia" w:ascii="宋体" w:hAnsi="宋体"/>
          <w:spacing w:val="4"/>
          <w:szCs w:val="21"/>
        </w:rPr>
        <w:t>章的相关规定。</w:t>
      </w:r>
    </w:p>
    <w:p w14:paraId="00CE9911">
      <w:pPr>
        <w:numPr>
          <w:ilvl w:val="1"/>
          <w:numId w:val="1"/>
        </w:numPr>
        <w:snapToGrid w:val="0"/>
        <w:spacing w:before="156" w:after="156" w:line="240" w:lineRule="auto"/>
        <w:jc w:val="center"/>
        <w:outlineLvl w:val="1"/>
        <w:rPr>
          <w:rFonts w:eastAsia="黑体"/>
          <w:bCs/>
          <w:szCs w:val="28"/>
        </w:rPr>
      </w:pPr>
      <w:bookmarkStart w:id="1093" w:name="_Toc183683555"/>
      <w:bookmarkStart w:id="1094" w:name="_Toc183790580"/>
      <w:bookmarkStart w:id="1095" w:name="_Toc183765150"/>
      <w:bookmarkStart w:id="1096" w:name="_Toc183888555"/>
      <w:bookmarkStart w:id="1097" w:name="_Toc183882141"/>
      <w:bookmarkStart w:id="1098" w:name="_Toc183882503"/>
      <w:bookmarkStart w:id="1099" w:name="_Toc183888193"/>
      <w:r>
        <w:rPr>
          <w:rFonts w:hint="eastAsia" w:eastAsia="黑体"/>
          <w:bCs/>
          <w:szCs w:val="28"/>
        </w:rPr>
        <w:t>牵引供电系统</w:t>
      </w:r>
      <w:bookmarkEnd w:id="1093"/>
      <w:bookmarkEnd w:id="1094"/>
      <w:bookmarkEnd w:id="1095"/>
      <w:bookmarkEnd w:id="1096"/>
      <w:bookmarkEnd w:id="1097"/>
      <w:bookmarkEnd w:id="1098"/>
      <w:bookmarkEnd w:id="1099"/>
    </w:p>
    <w:p w14:paraId="10D2C0F3">
      <w:pPr>
        <w:pStyle w:val="5"/>
        <w:tabs>
          <w:tab w:val="left" w:pos="709"/>
          <w:tab w:val="clear" w:pos="630"/>
        </w:tabs>
      </w:pPr>
      <w:r>
        <w:rPr>
          <w:rFonts w:hint="eastAsia"/>
        </w:rPr>
        <w:t>牵引供电制式可采用直流制式、交流制式和双流制式。直流制式的标称电压可分为</w:t>
      </w:r>
      <w:r>
        <w:t>1</w:t>
      </w:r>
      <w:r>
        <w:rPr>
          <w:rFonts w:hint="eastAsia"/>
        </w:rPr>
        <w:t>50</w:t>
      </w:r>
      <w:r>
        <w:t>0</w:t>
      </w:r>
      <w:r>
        <w:rPr>
          <w:rFonts w:hint="eastAsia"/>
        </w:rPr>
        <w:t>V和</w:t>
      </w:r>
      <w:r>
        <w:t>7</w:t>
      </w:r>
      <w:r>
        <w:rPr>
          <w:rFonts w:hint="eastAsia"/>
        </w:rPr>
        <w:t>50V，交流制式的标称电压为单相工频25kV。</w:t>
      </w:r>
    </w:p>
    <w:p w14:paraId="0040DE5C">
      <w:pPr>
        <w:pStyle w:val="5"/>
      </w:pPr>
      <w:r>
        <w:rPr>
          <w:rFonts w:hint="eastAsia"/>
        </w:rPr>
        <w:t>牵引</w:t>
      </w:r>
      <w:r>
        <w:t>供电制式</w:t>
      </w:r>
      <w:r>
        <w:rPr>
          <w:rFonts w:hint="eastAsia"/>
        </w:rPr>
        <w:t>及牵引</w:t>
      </w:r>
      <w:r>
        <w:t>电压</w:t>
      </w:r>
      <w:r>
        <w:rPr>
          <w:rFonts w:hint="eastAsia"/>
        </w:rPr>
        <w:t>应结合车辆受电要求、列车运行最高速度、牵引负荷容量、线路特点、经济性等因素综合分析确定。</w:t>
      </w:r>
    </w:p>
    <w:p w14:paraId="539F1140">
      <w:pPr>
        <w:pStyle w:val="5"/>
        <w:tabs>
          <w:tab w:val="left" w:pos="709"/>
          <w:tab w:val="clear" w:pos="630"/>
        </w:tabs>
      </w:pPr>
      <w:r>
        <w:rPr>
          <w:rFonts w:hint="eastAsia"/>
        </w:rPr>
        <w:t>当线路采用双流</w:t>
      </w:r>
      <w:r>
        <w:t>制式牵引</w:t>
      </w:r>
      <w:r>
        <w:rPr>
          <w:rFonts w:hint="eastAsia"/>
        </w:rPr>
        <w:t>供电</w:t>
      </w:r>
      <w:r>
        <w:t>或</w:t>
      </w:r>
      <w:r>
        <w:rPr>
          <w:rFonts w:hint="eastAsia"/>
        </w:rPr>
        <w:t>与不同牵引</w:t>
      </w:r>
      <w:r>
        <w:t>供电制式的线路存在贯通</w:t>
      </w:r>
      <w:r>
        <w:rPr>
          <w:rFonts w:hint="eastAsia"/>
        </w:rPr>
        <w:t>需求</w:t>
      </w:r>
      <w:r>
        <w:t>时</w:t>
      </w:r>
      <w:r>
        <w:rPr>
          <w:rFonts w:hint="eastAsia"/>
        </w:rPr>
        <w:t>，交流制式与直流制式的牵引供电系统间应设置制式转换区段，并应符合下列规定：</w:t>
      </w:r>
    </w:p>
    <w:p w14:paraId="1865B1B0">
      <w:pPr>
        <w:pStyle w:val="7"/>
        <w:ind w:firstLine="420"/>
      </w:pPr>
      <w:r>
        <w:rPr>
          <w:rFonts w:hint="eastAsia"/>
        </w:rPr>
        <w:t>交流制式与直流制式转换区段在满足行车检算要求的前提下，宜靠近直流牵引变电所。</w:t>
      </w:r>
    </w:p>
    <w:p w14:paraId="105E6690">
      <w:pPr>
        <w:pStyle w:val="7"/>
        <w:ind w:firstLine="420"/>
      </w:pPr>
      <w:r>
        <w:rPr>
          <w:rFonts w:hint="eastAsia"/>
        </w:rPr>
        <w:t>转换区段内交流制式与直流制式供电系统的接触网、回流轨均应设置绝缘分段。</w:t>
      </w:r>
    </w:p>
    <w:p w14:paraId="10914994">
      <w:pPr>
        <w:pStyle w:val="7"/>
        <w:ind w:firstLine="420"/>
      </w:pPr>
      <w:r>
        <w:rPr>
          <w:rFonts w:hint="eastAsia"/>
        </w:rPr>
        <w:t>交流制式与直流制式的接地系统应在转换区段采取电气隔离措施。</w:t>
      </w:r>
    </w:p>
    <w:p w14:paraId="30C06D23">
      <w:pPr>
        <w:pStyle w:val="7"/>
        <w:ind w:firstLine="420"/>
      </w:pPr>
      <w:r>
        <w:rPr>
          <w:rFonts w:hint="eastAsia"/>
        </w:rPr>
        <w:t>交流制式与直流制式对应的桥、隧、建筑物的结构钢筋间宜采取电气隔离措施。</w:t>
      </w:r>
    </w:p>
    <w:p w14:paraId="61279E4C">
      <w:pPr>
        <w:pStyle w:val="7"/>
        <w:ind w:firstLine="420"/>
      </w:pPr>
      <w:r>
        <w:rPr>
          <w:rFonts w:hint="eastAsia"/>
        </w:rPr>
        <w:t>交流制式与直流制式各自贯通全线的非电气金属管线在转换区段处应采取电气隔离措施。</w:t>
      </w:r>
    </w:p>
    <w:p w14:paraId="47F0A77F">
      <w:pPr>
        <w:pStyle w:val="7"/>
        <w:ind w:firstLine="420"/>
      </w:pPr>
      <w:r>
        <w:rPr>
          <w:rFonts w:hint="eastAsia"/>
        </w:rPr>
        <w:t>交流制式与直流制式牵引供电系统间不应相互越区供电。</w:t>
      </w:r>
    </w:p>
    <w:p w14:paraId="76567D76">
      <w:pPr>
        <w:pStyle w:val="5"/>
        <w:tabs>
          <w:tab w:val="left" w:pos="709"/>
          <w:tab w:val="clear" w:pos="630"/>
        </w:tabs>
        <w:rPr>
          <w:rFonts w:ascii="宋体" w:hAnsi="宋体"/>
          <w:spacing w:val="4"/>
          <w:szCs w:val="21"/>
        </w:rPr>
      </w:pPr>
      <w:r>
        <w:rPr>
          <w:rFonts w:hint="eastAsia"/>
        </w:rPr>
        <w:t>直流牵引供电系统电压的波动范围应符表1</w:t>
      </w:r>
      <w:r>
        <w:t>6.2.3</w:t>
      </w:r>
      <w:r>
        <w:rPr>
          <w:rFonts w:hint="eastAsia"/>
        </w:rPr>
        <w:t>的</w:t>
      </w:r>
      <w:r>
        <w:rPr>
          <w:rFonts w:hint="eastAsia" w:ascii="宋体" w:hAnsi="宋体"/>
          <w:spacing w:val="4"/>
          <w:szCs w:val="21"/>
        </w:rPr>
        <w:t>规定。</w:t>
      </w:r>
    </w:p>
    <w:p w14:paraId="6F181F43">
      <w:pPr>
        <w:spacing w:before="48" w:beforeLines="20"/>
        <w:jc w:val="center"/>
        <w:rPr>
          <w:szCs w:val="21"/>
        </w:rPr>
      </w:pPr>
      <w:r>
        <w:rPr>
          <w:rFonts w:hint="eastAsia"/>
          <w:szCs w:val="21"/>
        </w:rPr>
        <w:t>表1</w:t>
      </w:r>
      <w:r>
        <w:rPr>
          <w:szCs w:val="21"/>
        </w:rPr>
        <w:t>6.2.3</w:t>
      </w:r>
      <w:r>
        <w:rPr>
          <w:rFonts w:hint="eastAsia"/>
          <w:szCs w:val="21"/>
        </w:rPr>
        <w:t xml:space="preserve"> </w:t>
      </w:r>
      <w:r>
        <w:rPr>
          <w:szCs w:val="21"/>
        </w:rPr>
        <w:t xml:space="preserve">直流牵引供电系统电压及其波动范围(V)            </w:t>
      </w:r>
    </w:p>
    <w:tbl>
      <w:tblPr>
        <w:tblStyle w:val="88"/>
        <w:tblW w:w="446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6"/>
        <w:gridCol w:w="1476"/>
        <w:gridCol w:w="1476"/>
        <w:gridCol w:w="756"/>
      </w:tblGrid>
      <w:tr w14:paraId="06D9B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56" w:type="dxa"/>
            <w:vAlign w:val="center"/>
          </w:tcPr>
          <w:p w14:paraId="0B742FE0">
            <w:pPr>
              <w:pStyle w:val="173"/>
              <w:rPr>
                <w:color w:val="auto"/>
                <w:sz w:val="18"/>
                <w:szCs w:val="18"/>
              </w:rPr>
            </w:pPr>
            <w:r>
              <w:rPr>
                <w:color w:val="auto"/>
                <w:sz w:val="18"/>
                <w:szCs w:val="18"/>
              </w:rPr>
              <w:t>标称值</w:t>
            </w:r>
          </w:p>
        </w:tc>
        <w:tc>
          <w:tcPr>
            <w:tcW w:w="1476" w:type="dxa"/>
            <w:vAlign w:val="center"/>
          </w:tcPr>
          <w:p w14:paraId="035D5276">
            <w:pPr>
              <w:pStyle w:val="173"/>
              <w:rPr>
                <w:color w:val="auto"/>
                <w:sz w:val="18"/>
                <w:szCs w:val="18"/>
              </w:rPr>
            </w:pPr>
            <w:r>
              <w:rPr>
                <w:color w:val="auto"/>
                <w:sz w:val="18"/>
                <w:szCs w:val="18"/>
              </w:rPr>
              <w:t>最高值</w:t>
            </w:r>
            <w:r>
              <w:rPr>
                <w:rFonts w:hint="eastAsia"/>
                <w:color w:val="auto"/>
                <w:sz w:val="18"/>
                <w:szCs w:val="18"/>
              </w:rPr>
              <w:t>（长期）</w:t>
            </w:r>
          </w:p>
        </w:tc>
        <w:tc>
          <w:tcPr>
            <w:tcW w:w="1476" w:type="dxa"/>
            <w:vAlign w:val="center"/>
          </w:tcPr>
          <w:p w14:paraId="2E31212E">
            <w:pPr>
              <w:pStyle w:val="173"/>
              <w:rPr>
                <w:color w:val="auto"/>
                <w:sz w:val="18"/>
                <w:szCs w:val="18"/>
              </w:rPr>
            </w:pPr>
            <w:r>
              <w:rPr>
                <w:color w:val="auto"/>
                <w:sz w:val="18"/>
                <w:szCs w:val="18"/>
              </w:rPr>
              <w:t>最高值</w:t>
            </w:r>
            <w:r>
              <w:rPr>
                <w:rFonts w:hint="eastAsia"/>
                <w:color w:val="auto"/>
                <w:sz w:val="18"/>
                <w:szCs w:val="18"/>
              </w:rPr>
              <w:t>（短时）</w:t>
            </w:r>
          </w:p>
        </w:tc>
        <w:tc>
          <w:tcPr>
            <w:tcW w:w="756" w:type="dxa"/>
            <w:vAlign w:val="center"/>
          </w:tcPr>
          <w:p w14:paraId="2DD2B0E9">
            <w:pPr>
              <w:pStyle w:val="173"/>
              <w:rPr>
                <w:color w:val="auto"/>
                <w:sz w:val="18"/>
                <w:szCs w:val="18"/>
              </w:rPr>
            </w:pPr>
            <w:r>
              <w:rPr>
                <w:color w:val="auto"/>
                <w:sz w:val="18"/>
                <w:szCs w:val="18"/>
              </w:rPr>
              <w:t>最低值</w:t>
            </w:r>
          </w:p>
        </w:tc>
      </w:tr>
      <w:tr w14:paraId="648853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56" w:type="dxa"/>
            <w:vAlign w:val="center"/>
          </w:tcPr>
          <w:p w14:paraId="68E52B1B">
            <w:pPr>
              <w:pStyle w:val="173"/>
              <w:rPr>
                <w:color w:val="auto"/>
                <w:sz w:val="18"/>
                <w:szCs w:val="18"/>
              </w:rPr>
            </w:pPr>
            <w:r>
              <w:rPr>
                <w:color w:val="auto"/>
                <w:sz w:val="18"/>
                <w:szCs w:val="18"/>
              </w:rPr>
              <w:t>750</w:t>
            </w:r>
          </w:p>
        </w:tc>
        <w:tc>
          <w:tcPr>
            <w:tcW w:w="1476" w:type="dxa"/>
            <w:vAlign w:val="center"/>
          </w:tcPr>
          <w:p w14:paraId="3AB39090">
            <w:pPr>
              <w:pStyle w:val="173"/>
              <w:rPr>
                <w:color w:val="auto"/>
                <w:sz w:val="18"/>
                <w:szCs w:val="18"/>
              </w:rPr>
            </w:pPr>
            <w:r>
              <w:rPr>
                <w:color w:val="auto"/>
                <w:sz w:val="18"/>
                <w:szCs w:val="18"/>
              </w:rPr>
              <w:t>900</w:t>
            </w:r>
          </w:p>
        </w:tc>
        <w:tc>
          <w:tcPr>
            <w:tcW w:w="1476" w:type="dxa"/>
            <w:vAlign w:val="center"/>
          </w:tcPr>
          <w:p w14:paraId="15BDB16B">
            <w:pPr>
              <w:pStyle w:val="173"/>
              <w:rPr>
                <w:color w:val="auto"/>
                <w:sz w:val="18"/>
                <w:szCs w:val="18"/>
              </w:rPr>
            </w:pPr>
            <w:r>
              <w:rPr>
                <w:rFonts w:hint="eastAsia"/>
                <w:color w:val="auto"/>
                <w:sz w:val="18"/>
                <w:szCs w:val="18"/>
              </w:rPr>
              <w:t>1000</w:t>
            </w:r>
          </w:p>
        </w:tc>
        <w:tc>
          <w:tcPr>
            <w:tcW w:w="756" w:type="dxa"/>
            <w:vAlign w:val="center"/>
          </w:tcPr>
          <w:p w14:paraId="294C05D4">
            <w:pPr>
              <w:pStyle w:val="173"/>
              <w:rPr>
                <w:color w:val="auto"/>
                <w:sz w:val="18"/>
                <w:szCs w:val="18"/>
              </w:rPr>
            </w:pPr>
            <w:r>
              <w:rPr>
                <w:color w:val="auto"/>
                <w:sz w:val="18"/>
                <w:szCs w:val="18"/>
              </w:rPr>
              <w:t>500</w:t>
            </w:r>
          </w:p>
        </w:tc>
      </w:tr>
      <w:tr w14:paraId="2A45FA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56" w:type="dxa"/>
            <w:vAlign w:val="center"/>
          </w:tcPr>
          <w:p w14:paraId="5CE827E4">
            <w:pPr>
              <w:pStyle w:val="173"/>
              <w:rPr>
                <w:color w:val="auto"/>
                <w:sz w:val="18"/>
                <w:szCs w:val="18"/>
              </w:rPr>
            </w:pPr>
            <w:r>
              <w:rPr>
                <w:color w:val="auto"/>
                <w:sz w:val="18"/>
                <w:szCs w:val="18"/>
              </w:rPr>
              <w:t>1500</w:t>
            </w:r>
          </w:p>
        </w:tc>
        <w:tc>
          <w:tcPr>
            <w:tcW w:w="1476" w:type="dxa"/>
            <w:vAlign w:val="center"/>
          </w:tcPr>
          <w:p w14:paraId="514F38CF">
            <w:pPr>
              <w:pStyle w:val="173"/>
              <w:rPr>
                <w:color w:val="auto"/>
                <w:sz w:val="18"/>
                <w:szCs w:val="18"/>
              </w:rPr>
            </w:pPr>
            <w:r>
              <w:rPr>
                <w:color w:val="auto"/>
                <w:sz w:val="18"/>
                <w:szCs w:val="18"/>
              </w:rPr>
              <w:t>1800</w:t>
            </w:r>
          </w:p>
        </w:tc>
        <w:tc>
          <w:tcPr>
            <w:tcW w:w="1476" w:type="dxa"/>
            <w:vAlign w:val="center"/>
          </w:tcPr>
          <w:p w14:paraId="67433503">
            <w:pPr>
              <w:pStyle w:val="173"/>
              <w:rPr>
                <w:color w:val="auto"/>
                <w:sz w:val="18"/>
                <w:szCs w:val="18"/>
              </w:rPr>
            </w:pPr>
            <w:r>
              <w:rPr>
                <w:rFonts w:hint="eastAsia"/>
                <w:color w:val="auto"/>
                <w:sz w:val="18"/>
                <w:szCs w:val="18"/>
              </w:rPr>
              <w:t>1950</w:t>
            </w:r>
          </w:p>
        </w:tc>
        <w:tc>
          <w:tcPr>
            <w:tcW w:w="756" w:type="dxa"/>
            <w:vAlign w:val="center"/>
          </w:tcPr>
          <w:p w14:paraId="1855AFCD">
            <w:pPr>
              <w:pStyle w:val="173"/>
              <w:rPr>
                <w:color w:val="auto"/>
                <w:sz w:val="18"/>
                <w:szCs w:val="18"/>
              </w:rPr>
            </w:pPr>
            <w:r>
              <w:rPr>
                <w:color w:val="auto"/>
                <w:sz w:val="18"/>
                <w:szCs w:val="18"/>
              </w:rPr>
              <w:t>1000</w:t>
            </w:r>
          </w:p>
        </w:tc>
      </w:tr>
    </w:tbl>
    <w:p w14:paraId="59AEA952">
      <w:pPr>
        <w:pStyle w:val="5"/>
        <w:tabs>
          <w:tab w:val="left" w:pos="709"/>
          <w:tab w:val="clear" w:pos="630"/>
        </w:tabs>
      </w:pPr>
      <w:r>
        <w:rPr>
          <w:rFonts w:hint="eastAsia"/>
        </w:rPr>
        <w:t>直流牵引网应采用双导线制，正极、负极均不应接地。</w:t>
      </w:r>
    </w:p>
    <w:p w14:paraId="1CA28CE7">
      <w:pPr>
        <w:pStyle w:val="5"/>
        <w:tabs>
          <w:tab w:val="left" w:pos="709"/>
          <w:tab w:val="clear" w:pos="630"/>
        </w:tabs>
      </w:pPr>
      <w:r>
        <w:rPr>
          <w:rFonts w:hint="eastAsia"/>
        </w:rPr>
        <w:t>直流制式线路的</w:t>
      </w:r>
      <w:r>
        <w:t>牵引变电所的数量及其在线路上的分布应经计算分析比选后确定</w:t>
      </w:r>
      <w:r>
        <w:rPr>
          <w:rFonts w:hint="eastAsia"/>
        </w:rPr>
        <w:t>，</w:t>
      </w:r>
      <w:r>
        <w:t>车辆基地应设牵引变电所。</w:t>
      </w:r>
    </w:p>
    <w:p w14:paraId="230432CA">
      <w:pPr>
        <w:pStyle w:val="5"/>
        <w:tabs>
          <w:tab w:val="left" w:pos="709"/>
          <w:tab w:val="clear" w:pos="630"/>
        </w:tabs>
      </w:pPr>
      <w:r>
        <w:rPr>
          <w:rFonts w:hint="eastAsia"/>
        </w:rPr>
        <w:t>直流</w:t>
      </w:r>
      <w:r>
        <w:t>牵引负荷应根据远期设计行车高峰小时运力</w:t>
      </w:r>
      <w:r>
        <w:rPr>
          <w:rFonts w:hint="eastAsia"/>
        </w:rPr>
        <w:t>（</w:t>
      </w:r>
      <w:r>
        <w:t>行车密度、车辆编组</w:t>
      </w:r>
      <w:r>
        <w:rPr>
          <w:rFonts w:hint="eastAsia"/>
        </w:rPr>
        <w:t>）</w:t>
      </w:r>
      <w:r>
        <w:t>、车辆类型及特性、线路等条件进行计算</w:t>
      </w:r>
      <w:r>
        <w:rPr>
          <w:rFonts w:hint="eastAsia"/>
        </w:rPr>
        <w:t>确定</w:t>
      </w:r>
      <w:r>
        <w:t>。</w:t>
      </w:r>
    </w:p>
    <w:p w14:paraId="731D440D">
      <w:pPr>
        <w:pStyle w:val="5"/>
        <w:tabs>
          <w:tab w:val="left" w:pos="709"/>
          <w:tab w:val="clear" w:pos="630"/>
        </w:tabs>
      </w:pPr>
      <w:r>
        <w:rPr>
          <w:rFonts w:hint="eastAsia"/>
        </w:rPr>
        <w:t>直流制式</w:t>
      </w:r>
      <w:r>
        <w:t>牵引整流机组容量应按照远期设计行车高峰小时运力确定，同期安装。</w:t>
      </w:r>
    </w:p>
    <w:p w14:paraId="44C88A4D">
      <w:pPr>
        <w:pStyle w:val="5"/>
        <w:tabs>
          <w:tab w:val="left" w:pos="709"/>
          <w:tab w:val="clear" w:pos="630"/>
        </w:tabs>
      </w:pPr>
      <w:r>
        <w:t>牵引变电所的分布及容量应满足正线任一座牵引变电所退出时的远期设计行车高峰小时运力要求。</w:t>
      </w:r>
    </w:p>
    <w:p w14:paraId="5C6E953F">
      <w:pPr>
        <w:pStyle w:val="5"/>
        <w:tabs>
          <w:tab w:val="left" w:pos="851"/>
          <w:tab w:val="clear" w:pos="630"/>
        </w:tabs>
      </w:pPr>
      <w:r>
        <w:rPr>
          <w:rFonts w:hint="eastAsia"/>
        </w:rPr>
        <w:t>直流</w:t>
      </w:r>
      <w:r>
        <w:t>牵引制式</w:t>
      </w:r>
      <w:r>
        <w:rPr>
          <w:rFonts w:hint="eastAsia"/>
        </w:rPr>
        <w:t>在</w:t>
      </w:r>
      <w:r>
        <w:t>正常运行方式下，</w:t>
      </w:r>
      <w:r>
        <w:rPr>
          <w:rFonts w:hint="eastAsia"/>
        </w:rPr>
        <w:t>正线</w:t>
      </w:r>
      <w:r>
        <w:t>两座相邻牵引变电所对其同一供电分区应采用双边供电方式。</w:t>
      </w:r>
    </w:p>
    <w:p w14:paraId="19607399">
      <w:pPr>
        <w:pStyle w:val="5"/>
        <w:tabs>
          <w:tab w:val="left" w:pos="851"/>
          <w:tab w:val="clear" w:pos="630"/>
        </w:tabs>
      </w:pPr>
      <w:r>
        <w:rPr>
          <w:rFonts w:hint="eastAsia"/>
        </w:rPr>
        <w:t>对于直流牵引制式，正线</w:t>
      </w:r>
      <w:r>
        <w:t>线路中间牵引变电所退出，应由两侧相邻牵引变电所实施大双边供电</w:t>
      </w:r>
      <w:r>
        <w:rPr>
          <w:rFonts w:hint="eastAsia"/>
        </w:rPr>
        <w:t>；</w:t>
      </w:r>
      <w:r>
        <w:t>牵引变电所实施大双边供电时，纵联开关可采用直流快速断路器</w:t>
      </w:r>
      <w:r>
        <w:rPr>
          <w:rFonts w:hint="eastAsia"/>
        </w:rPr>
        <w:t>；车辆基地牵引变电所退出，应由正线邻近牵引变电所或牵引网对车辆基地支援供电。</w:t>
      </w:r>
    </w:p>
    <w:p w14:paraId="243F62AA">
      <w:pPr>
        <w:pStyle w:val="5"/>
        <w:tabs>
          <w:tab w:val="left" w:pos="851"/>
          <w:tab w:val="clear" w:pos="630"/>
        </w:tabs>
      </w:pPr>
      <w:r>
        <w:rPr>
          <w:rFonts w:hint="eastAsia"/>
        </w:rPr>
        <w:t>直流制式正线</w:t>
      </w:r>
      <w:r>
        <w:t>线路端部牵引变电所退出，宜采用下列任何一种运行方式：</w:t>
      </w:r>
    </w:p>
    <w:p w14:paraId="2EB8E26F">
      <w:pPr>
        <w:pStyle w:val="7"/>
        <w:ind w:firstLine="420"/>
      </w:pPr>
      <w:r>
        <w:t>线路端部上下行牵引网设置横联开关，由相邻牵引变电所实施单向大双边供电；</w:t>
      </w:r>
    </w:p>
    <w:p w14:paraId="05D38B87">
      <w:pPr>
        <w:pStyle w:val="7"/>
        <w:ind w:firstLine="420"/>
      </w:pPr>
      <w:r>
        <w:t>线路及车辆基地为地上形式并具备条件时，由车辆基地牵引变电所与线路端部牵引变电所相邻的牵引变电所实施大双边供电。</w:t>
      </w:r>
    </w:p>
    <w:p w14:paraId="1F9C6D4C">
      <w:pPr>
        <w:pStyle w:val="7"/>
        <w:ind w:firstLine="420"/>
      </w:pPr>
      <w:r>
        <w:rPr>
          <w:rFonts w:hint="eastAsia"/>
        </w:rPr>
        <w:t>当全线采用专用回流轨回流方案</w:t>
      </w:r>
      <w:r>
        <w:t>并具备条件</w:t>
      </w:r>
      <w:r>
        <w:rPr>
          <w:rFonts w:hint="eastAsia"/>
        </w:rPr>
        <w:t>时</w:t>
      </w:r>
      <w:r>
        <w:t>，由车辆基地牵引变电所与</w:t>
      </w:r>
      <w:r>
        <w:rPr>
          <w:rFonts w:hint="eastAsia"/>
        </w:rPr>
        <w:t>正线相邻</w:t>
      </w:r>
      <w:r>
        <w:t>牵引变电所相邻的牵引变电所实施大双边供电。</w:t>
      </w:r>
    </w:p>
    <w:p w14:paraId="4F19B960">
      <w:pPr>
        <w:pStyle w:val="5"/>
        <w:tabs>
          <w:tab w:val="left" w:pos="851"/>
          <w:tab w:val="clear" w:pos="630"/>
        </w:tabs>
      </w:pPr>
      <w:r>
        <w:rPr>
          <w:rFonts w:hint="eastAsia"/>
        </w:rPr>
        <w:t>直流制式</w:t>
      </w:r>
      <w:r>
        <w:t>牵引</w:t>
      </w:r>
      <w:r>
        <w:rPr>
          <w:rFonts w:hint="eastAsia"/>
        </w:rPr>
        <w:t>整流</w:t>
      </w:r>
      <w:r>
        <w:t>机组的负荷特性应符合GB50157</w:t>
      </w:r>
      <w:r>
        <w:rPr>
          <w:rFonts w:hint="eastAsia"/>
        </w:rPr>
        <w:t>中</w:t>
      </w:r>
      <w:r>
        <w:t>的规定</w:t>
      </w:r>
      <w:r>
        <w:rPr>
          <w:rFonts w:hint="eastAsia"/>
        </w:rPr>
        <w:t>，牵引整流机组的布置及电缆敷设应利于并列运行。</w:t>
      </w:r>
    </w:p>
    <w:p w14:paraId="28E97DA1">
      <w:pPr>
        <w:pStyle w:val="5"/>
        <w:tabs>
          <w:tab w:val="left" w:pos="851"/>
          <w:tab w:val="clear" w:pos="630"/>
        </w:tabs>
      </w:pPr>
      <w:r>
        <w:t>直流牵引系统及非线性用电设备所产生的谐波引起的电网电压正弦波形畸变率应予以控制，应符合GB/T14549的规定。</w:t>
      </w:r>
    </w:p>
    <w:p w14:paraId="20855697">
      <w:pPr>
        <w:pStyle w:val="5"/>
        <w:tabs>
          <w:tab w:val="left" w:pos="851"/>
          <w:tab w:val="clear" w:pos="630"/>
        </w:tabs>
      </w:pPr>
      <w:r>
        <w:rPr>
          <w:rFonts w:hint="eastAsia"/>
        </w:rPr>
        <w:t>交流制式牵引供电系统接触网的标称电压应为25kV，长期最高电压应为27.5kV，短时（5min）最高电压应为29kV，最低电压应为 20kV。</w:t>
      </w:r>
    </w:p>
    <w:p w14:paraId="3657B52C">
      <w:pPr>
        <w:pStyle w:val="5"/>
        <w:tabs>
          <w:tab w:val="left" w:pos="851"/>
          <w:tab w:val="clear" w:pos="630"/>
        </w:tabs>
      </w:pPr>
      <w:r>
        <w:rPr>
          <w:rFonts w:hint="eastAsia"/>
        </w:rPr>
        <w:t>交流制式牵引网供电方式宜采用带回流线的直接供电方式。</w:t>
      </w:r>
    </w:p>
    <w:p w14:paraId="5DCE3C6A">
      <w:pPr>
        <w:pStyle w:val="5"/>
        <w:tabs>
          <w:tab w:val="left" w:pos="851"/>
          <w:tab w:val="clear" w:pos="630"/>
        </w:tabs>
      </w:pPr>
      <w:r>
        <w:rPr>
          <w:rFonts w:hint="eastAsia"/>
        </w:rPr>
        <w:t>交流制式牵引变压器容量应根据近、远期牵引负荷计算确定，当牵引负荷近、远期相差较大时，宜分期实施。</w:t>
      </w:r>
    </w:p>
    <w:p w14:paraId="4BF089C5">
      <w:pPr>
        <w:pStyle w:val="5"/>
        <w:tabs>
          <w:tab w:val="left" w:pos="851"/>
          <w:tab w:val="clear" w:pos="630"/>
        </w:tabs>
      </w:pPr>
      <w:r>
        <w:rPr>
          <w:rFonts w:hint="eastAsia"/>
        </w:rPr>
        <w:t>交流制式接触网应采用同相单边供电，上、下行供电臂末端应设分区所实现上、下行接触网并联供电，两座相邻牵引变电所间的分区所应能实现该两座牵引变电所间越区供电。</w:t>
      </w:r>
    </w:p>
    <w:p w14:paraId="65E22D8B">
      <w:pPr>
        <w:pStyle w:val="5"/>
        <w:tabs>
          <w:tab w:val="left" w:pos="851"/>
          <w:tab w:val="clear" w:pos="630"/>
        </w:tabs>
      </w:pPr>
      <w:r>
        <w:rPr>
          <w:rFonts w:hint="eastAsia"/>
        </w:rPr>
        <w:t>交流制式的牵引变压器应采用固定备用方式，当一台牵引变压器退出运行时，另一台牵引变压器应能负担供电范围内的全部牵引负荷。</w:t>
      </w:r>
    </w:p>
    <w:p w14:paraId="30FA2BAD">
      <w:pPr>
        <w:pStyle w:val="5"/>
        <w:tabs>
          <w:tab w:val="left" w:pos="851"/>
          <w:tab w:val="clear" w:pos="630"/>
        </w:tabs>
      </w:pPr>
      <w:r>
        <w:rPr>
          <w:rFonts w:hint="eastAsia"/>
        </w:rPr>
        <w:t>交流制式牵引供电系统应采取减少负序、谐波对电力系统影响的措施。</w:t>
      </w:r>
    </w:p>
    <w:p w14:paraId="086A6132">
      <w:pPr>
        <w:numPr>
          <w:ilvl w:val="1"/>
          <w:numId w:val="1"/>
        </w:numPr>
        <w:snapToGrid w:val="0"/>
        <w:spacing w:before="156" w:after="156" w:line="240" w:lineRule="auto"/>
        <w:jc w:val="center"/>
        <w:outlineLvl w:val="1"/>
        <w:rPr>
          <w:rFonts w:eastAsia="黑体"/>
          <w:bCs/>
          <w:szCs w:val="28"/>
        </w:rPr>
      </w:pPr>
      <w:bookmarkStart w:id="1100" w:name="_Toc174611510"/>
      <w:bookmarkStart w:id="1101" w:name="_Toc183882142"/>
      <w:bookmarkStart w:id="1102" w:name="_Toc174611713"/>
      <w:bookmarkStart w:id="1103" w:name="_Toc183790581"/>
      <w:bookmarkStart w:id="1104" w:name="_Toc183888556"/>
      <w:bookmarkStart w:id="1105" w:name="_Toc174612517"/>
      <w:bookmarkStart w:id="1106" w:name="_Toc183765151"/>
      <w:bookmarkStart w:id="1107" w:name="_Toc183888194"/>
      <w:bookmarkStart w:id="1108" w:name="_Toc168061715"/>
      <w:bookmarkStart w:id="1109" w:name="_Toc168061268"/>
      <w:bookmarkStart w:id="1110" w:name="_Toc183683556"/>
      <w:bookmarkStart w:id="1111" w:name="_Toc168059460"/>
      <w:bookmarkStart w:id="1112" w:name="_Toc183882504"/>
      <w:r>
        <w:rPr>
          <w:rFonts w:eastAsia="黑体"/>
          <w:bCs/>
          <w:szCs w:val="28"/>
        </w:rPr>
        <w:t>外电源与中压供电网络</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741F6A5E">
      <w:pPr>
        <w:pStyle w:val="5"/>
        <w:tabs>
          <w:tab w:val="left" w:pos="709"/>
          <w:tab w:val="clear" w:pos="630"/>
        </w:tabs>
      </w:pPr>
      <w:r>
        <w:rPr>
          <w:rFonts w:hint="eastAsia"/>
        </w:rPr>
        <w:t>外部电源应根据城网电源条件和远期设计行车最大通过能力需求确定，可采用集中式、分散式或混合式供电。</w:t>
      </w:r>
    </w:p>
    <w:p w14:paraId="7440829E">
      <w:pPr>
        <w:pStyle w:val="5"/>
        <w:tabs>
          <w:tab w:val="left" w:pos="709"/>
          <w:tab w:val="clear" w:pos="630"/>
        </w:tabs>
      </w:pPr>
      <w:r>
        <w:t>采用集中式供电，高压电压等级应采用110/220kV，中压电压等级应为35kV</w:t>
      </w:r>
      <w:r>
        <w:rPr>
          <w:rFonts w:hint="eastAsia"/>
        </w:rPr>
        <w:t>；</w:t>
      </w:r>
      <w:r>
        <w:t>采用分散式供电，中压网络的电压等级应</w:t>
      </w:r>
      <w:r>
        <w:rPr>
          <w:rFonts w:hint="eastAsia"/>
        </w:rPr>
        <w:t>与北京电力部门的电网电压等级保持一致。</w:t>
      </w:r>
    </w:p>
    <w:p w14:paraId="69DFEBF2">
      <w:pPr>
        <w:pStyle w:val="5"/>
        <w:tabs>
          <w:tab w:val="left" w:pos="709"/>
          <w:tab w:val="clear" w:pos="630"/>
        </w:tabs>
      </w:pPr>
      <w:r>
        <w:t>主变电所、电源开闭所进线电源应为专线电源。</w:t>
      </w:r>
    </w:p>
    <w:p w14:paraId="4E6B8931">
      <w:pPr>
        <w:pStyle w:val="5"/>
        <w:tabs>
          <w:tab w:val="left" w:pos="709"/>
          <w:tab w:val="clear" w:pos="630"/>
        </w:tabs>
      </w:pPr>
      <w:r>
        <w:t>供电系统各类变电所的两个电源应来自两座不同的变电所，或来自具有两回及以上进线的同一座变电所的不同母线段。</w:t>
      </w:r>
    </w:p>
    <w:p w14:paraId="0E7AF452">
      <w:pPr>
        <w:pStyle w:val="5"/>
        <w:tabs>
          <w:tab w:val="left" w:pos="709"/>
          <w:tab w:val="clear" w:pos="630"/>
        </w:tabs>
      </w:pPr>
      <w:r>
        <w:t>采用分散式供电</w:t>
      </w:r>
      <w:r>
        <w:rPr>
          <w:rFonts w:hint="eastAsia"/>
        </w:rPr>
        <w:t>时</w:t>
      </w:r>
      <w:r>
        <w:t>，相邻电源开闭所电源不应引自城市电网同一座变电所。</w:t>
      </w:r>
    </w:p>
    <w:p w14:paraId="1DFBA743">
      <w:pPr>
        <w:pStyle w:val="5"/>
        <w:tabs>
          <w:tab w:val="left" w:pos="709"/>
          <w:tab w:val="clear" w:pos="630"/>
        </w:tabs>
      </w:pPr>
      <w:r>
        <w:t>主变电所、电源开闭所</w:t>
      </w:r>
      <w:r>
        <w:rPr>
          <w:rFonts w:hint="eastAsia"/>
        </w:rPr>
        <w:t>的分布</w:t>
      </w:r>
      <w:r>
        <w:t>应结合北京线网规划和建设时序进行共享设置。</w:t>
      </w:r>
    </w:p>
    <w:p w14:paraId="5A4C7507">
      <w:pPr>
        <w:pStyle w:val="5"/>
        <w:tabs>
          <w:tab w:val="left" w:pos="709"/>
          <w:tab w:val="clear" w:pos="630"/>
        </w:tabs>
      </w:pPr>
      <w:r>
        <w:t>主变电所、电源开闭所容量应根据共享设置要求、负荷潮流、中压电压等级等条件根据计算确定。</w:t>
      </w:r>
    </w:p>
    <w:p w14:paraId="42327685">
      <w:pPr>
        <w:pStyle w:val="5"/>
        <w:tabs>
          <w:tab w:val="left" w:pos="709"/>
          <w:tab w:val="clear" w:pos="630"/>
        </w:tabs>
      </w:pPr>
      <w:r>
        <w:t>主变电所宜设在本线路附近，并应</w:t>
      </w:r>
      <w:r>
        <w:rPr>
          <w:rFonts w:hint="eastAsia"/>
        </w:rPr>
        <w:t>就近</w:t>
      </w:r>
      <w:r>
        <w:t>向共享线路供电。主变电所的选址、一次接入方案、计量、调度和线路通道应会同城市规划和电力部门确定。</w:t>
      </w:r>
    </w:p>
    <w:p w14:paraId="24F99227">
      <w:pPr>
        <w:pStyle w:val="5"/>
        <w:tabs>
          <w:tab w:val="left" w:pos="709"/>
          <w:tab w:val="clear" w:pos="630"/>
        </w:tabs>
      </w:pPr>
      <w:r>
        <w:t>一座主变电所或电源开闭所退出，供电系统应</w:t>
      </w:r>
      <w:r>
        <w:rPr>
          <w:rFonts w:hint="eastAsia"/>
        </w:rPr>
        <w:t>符合下列规定</w:t>
      </w:r>
      <w:r>
        <w:t>：</w:t>
      </w:r>
    </w:p>
    <w:p w14:paraId="1568A0BC">
      <w:pPr>
        <w:pStyle w:val="7"/>
        <w:ind w:firstLine="420"/>
      </w:pPr>
      <w:r>
        <w:t>本线路相邻主变电所应越区供电，并应具备向退出运行的主变电所供电范围提供电源支援能力；</w:t>
      </w:r>
    </w:p>
    <w:p w14:paraId="69EB1979">
      <w:pPr>
        <w:pStyle w:val="7"/>
        <w:ind w:firstLine="420"/>
      </w:pPr>
      <w:r>
        <w:t>相邻电源开闭所应越区供电，并应满足相关供电范围内的一、二级负荷的用电需求。</w:t>
      </w:r>
    </w:p>
    <w:p w14:paraId="7B3D143D">
      <w:pPr>
        <w:pStyle w:val="5"/>
        <w:tabs>
          <w:tab w:val="left" w:pos="851"/>
          <w:tab w:val="clear" w:pos="630"/>
        </w:tabs>
      </w:pPr>
      <w:r>
        <w:rPr>
          <w:rFonts w:hint="eastAsia"/>
        </w:rPr>
        <w:t>中压网络应按列车运行的远期通过能力设计，对互为备用线路，当一路退出运行时，另一路应承担供电范围内的一、二级负荷的供电，线路末端电压损失应符合GB</w:t>
      </w:r>
      <w:r>
        <w:t xml:space="preserve">/T </w:t>
      </w:r>
      <w:r>
        <w:rPr>
          <w:rFonts w:hint="eastAsia"/>
        </w:rPr>
        <w:t>12325</w:t>
      </w:r>
      <w:r>
        <w:t>相应部分</w:t>
      </w:r>
      <w:r>
        <w:rPr>
          <w:rFonts w:hint="eastAsia"/>
        </w:rPr>
        <w:t>的规定。</w:t>
      </w:r>
    </w:p>
    <w:p w14:paraId="713E6DD4">
      <w:pPr>
        <w:pStyle w:val="5"/>
        <w:tabs>
          <w:tab w:val="left" w:pos="851"/>
          <w:tab w:val="clear" w:pos="630"/>
        </w:tabs>
      </w:pPr>
      <w:r>
        <w:t>中压网络供电分区划分应发挥中压电压等级的供电能力，并应按照建设、运营综合经济的合理性统筹考虑。</w:t>
      </w:r>
    </w:p>
    <w:p w14:paraId="03086005">
      <w:pPr>
        <w:pStyle w:val="5"/>
        <w:tabs>
          <w:tab w:val="left" w:pos="851"/>
          <w:tab w:val="clear" w:pos="630"/>
        </w:tabs>
      </w:pPr>
      <w:r>
        <w:t>中压网络电压等级相同时，相关联的不同线路间宜构成电源联络，构建线路之间电源</w:t>
      </w:r>
      <w:r>
        <w:rPr>
          <w:rFonts w:hint="eastAsia"/>
        </w:rPr>
        <w:t>应</w:t>
      </w:r>
      <w:r>
        <w:t>急支援关系</w:t>
      </w:r>
      <w:r>
        <w:rPr>
          <w:rFonts w:hint="eastAsia"/>
        </w:rPr>
        <w:t>。</w:t>
      </w:r>
    </w:p>
    <w:p w14:paraId="735858FC">
      <w:pPr>
        <w:pStyle w:val="5"/>
        <w:tabs>
          <w:tab w:val="left" w:pos="851"/>
          <w:tab w:val="clear" w:pos="630"/>
        </w:tabs>
      </w:pPr>
      <w:r>
        <w:t>供电系统继电保护配置应与中压供电网络一次接线以及运行方式协调配合。</w:t>
      </w:r>
    </w:p>
    <w:p w14:paraId="1F5AAC18">
      <w:pPr>
        <w:pStyle w:val="5"/>
        <w:tabs>
          <w:tab w:val="left" w:pos="851"/>
          <w:tab w:val="clear" w:pos="630"/>
        </w:tabs>
      </w:pPr>
      <w:r>
        <w:rPr>
          <w:rFonts w:hint="eastAsia"/>
        </w:rPr>
        <w:t>直流制式线路的供电系统中压网络应采用牵引、动力照明供电系统混合网络形式，并应为开环环网结构；交流制式线路的电力供电系统中压网络应为开环环网结构。</w:t>
      </w:r>
    </w:p>
    <w:p w14:paraId="7488D887">
      <w:pPr>
        <w:pStyle w:val="5"/>
        <w:tabs>
          <w:tab w:val="left" w:pos="851"/>
          <w:tab w:val="clear" w:pos="630"/>
        </w:tabs>
      </w:pPr>
      <w:r>
        <w:rPr>
          <w:rFonts w:hint="eastAsia"/>
        </w:rPr>
        <w:t>直流</w:t>
      </w:r>
      <w:r>
        <w:t>制式供电系统及交流制式的</w:t>
      </w:r>
      <w:r>
        <w:rPr>
          <w:rFonts w:hint="eastAsia"/>
        </w:rPr>
        <w:t>电力供电系统中，</w:t>
      </w:r>
      <w:r>
        <w:t>除车站</w:t>
      </w:r>
      <w:r>
        <w:rPr>
          <w:rFonts w:hint="eastAsia"/>
        </w:rPr>
        <w:t>及车辆基地</w:t>
      </w:r>
      <w:r>
        <w:t>内</w:t>
      </w:r>
      <w:r>
        <w:rPr>
          <w:rFonts w:hint="eastAsia"/>
        </w:rPr>
        <w:t>设置</w:t>
      </w:r>
      <w:r>
        <w:t>的跟随式降压变电所外，其他变电所应接入中压网络。</w:t>
      </w:r>
    </w:p>
    <w:p w14:paraId="40E79BA5">
      <w:pPr>
        <w:pStyle w:val="5"/>
        <w:tabs>
          <w:tab w:val="left" w:pos="851"/>
          <w:tab w:val="clear" w:pos="630"/>
        </w:tabs>
      </w:pPr>
      <w:r>
        <w:rPr>
          <w:rFonts w:hint="eastAsia"/>
        </w:rPr>
        <w:t>交流制式牵引变电所的进线电源应为110kV</w:t>
      </w:r>
      <w:r>
        <w:t>/220kV</w:t>
      </w:r>
      <w:r>
        <w:rPr>
          <w:rFonts w:hint="eastAsia"/>
        </w:rPr>
        <w:t>。</w:t>
      </w:r>
    </w:p>
    <w:p w14:paraId="104AD24D">
      <w:pPr>
        <w:pStyle w:val="5"/>
        <w:tabs>
          <w:tab w:val="left" w:pos="851"/>
          <w:tab w:val="clear" w:pos="630"/>
        </w:tabs>
      </w:pPr>
      <w:r>
        <w:rPr>
          <w:rFonts w:hint="eastAsia"/>
        </w:rPr>
        <w:t>交流制式牵引供电系统与电力供电系统宜共享外部电源。</w:t>
      </w:r>
    </w:p>
    <w:p w14:paraId="217280C8">
      <w:pPr>
        <w:pStyle w:val="5"/>
        <w:tabs>
          <w:tab w:val="left" w:pos="851"/>
          <w:tab w:val="clear" w:pos="630"/>
        </w:tabs>
      </w:pPr>
      <w:r>
        <w:t>外电源引入点处功率因数不</w:t>
      </w:r>
      <w:r>
        <w:rPr>
          <w:rFonts w:hint="eastAsia"/>
        </w:rPr>
        <w:t>应</w:t>
      </w:r>
      <w:r>
        <w:t>低于0.9，并避免过补偿。</w:t>
      </w:r>
    </w:p>
    <w:p w14:paraId="40C343F6">
      <w:pPr>
        <w:numPr>
          <w:ilvl w:val="1"/>
          <w:numId w:val="1"/>
        </w:numPr>
        <w:snapToGrid w:val="0"/>
        <w:spacing w:before="156" w:after="156" w:line="240" w:lineRule="auto"/>
        <w:jc w:val="center"/>
        <w:outlineLvl w:val="1"/>
        <w:rPr>
          <w:rFonts w:eastAsia="黑体"/>
          <w:bCs/>
          <w:szCs w:val="28"/>
        </w:rPr>
      </w:pPr>
      <w:bookmarkStart w:id="1113" w:name="_Toc183888557"/>
      <w:bookmarkStart w:id="1114" w:name="_Toc168061269"/>
      <w:bookmarkStart w:id="1115" w:name="_Toc183888195"/>
      <w:bookmarkStart w:id="1116" w:name="_Toc183765152"/>
      <w:bookmarkStart w:id="1117" w:name="_Toc183882505"/>
      <w:bookmarkStart w:id="1118" w:name="_Toc168061716"/>
      <w:bookmarkStart w:id="1119" w:name="_Toc183882143"/>
      <w:bookmarkStart w:id="1120" w:name="_Toc174611714"/>
      <w:bookmarkStart w:id="1121" w:name="_Toc168059461"/>
      <w:bookmarkStart w:id="1122" w:name="_Toc183683557"/>
      <w:bookmarkStart w:id="1123" w:name="_Toc174611511"/>
      <w:bookmarkStart w:id="1124" w:name="_Toc174612518"/>
      <w:bookmarkStart w:id="1125" w:name="_Toc183790582"/>
      <w:r>
        <w:rPr>
          <w:rFonts w:eastAsia="黑体"/>
          <w:bCs/>
          <w:szCs w:val="28"/>
        </w:rPr>
        <w:t>变电所</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1E12FCE6">
      <w:pPr>
        <w:pStyle w:val="5"/>
        <w:tabs>
          <w:tab w:val="left" w:pos="709"/>
          <w:tab w:val="clear" w:pos="630"/>
        </w:tabs>
      </w:pPr>
      <w:r>
        <w:rPr>
          <w:rFonts w:hint="eastAsia"/>
        </w:rPr>
        <w:t>直流制式变电所以及交流制式电力供电系统变电所选址应符合下列原则：</w:t>
      </w:r>
    </w:p>
    <w:p w14:paraId="597CD6CC">
      <w:pPr>
        <w:pStyle w:val="86"/>
        <w:ind w:firstLine="422"/>
        <w:rPr>
          <w:color w:val="auto"/>
        </w:rPr>
      </w:pPr>
      <w:r>
        <w:rPr>
          <w:rFonts w:hint="eastAsia"/>
          <w:b/>
          <w:color w:val="auto"/>
        </w:rPr>
        <w:t xml:space="preserve">1 </w:t>
      </w:r>
      <w:r>
        <w:rPr>
          <w:rFonts w:hint="eastAsia"/>
          <w:color w:val="auto"/>
        </w:rPr>
        <w:t xml:space="preserve"> 靠近负荷中心；</w:t>
      </w:r>
    </w:p>
    <w:p w14:paraId="254948BF">
      <w:pPr>
        <w:pStyle w:val="86"/>
        <w:ind w:firstLine="422"/>
        <w:rPr>
          <w:color w:val="auto"/>
        </w:rPr>
      </w:pPr>
      <w:r>
        <w:rPr>
          <w:rFonts w:hint="eastAsia"/>
          <w:b/>
          <w:color w:val="auto"/>
        </w:rPr>
        <w:t xml:space="preserve">2 </w:t>
      </w:r>
      <w:r>
        <w:rPr>
          <w:rFonts w:hint="eastAsia"/>
          <w:color w:val="auto"/>
        </w:rPr>
        <w:t xml:space="preserve"> 便于电缆线路引入、引出；</w:t>
      </w:r>
    </w:p>
    <w:p w14:paraId="07788BCD">
      <w:pPr>
        <w:pStyle w:val="86"/>
        <w:ind w:firstLine="422"/>
        <w:rPr>
          <w:color w:val="auto"/>
        </w:rPr>
      </w:pPr>
      <w:r>
        <w:rPr>
          <w:rFonts w:hint="eastAsia"/>
          <w:b/>
          <w:color w:val="auto"/>
        </w:rPr>
        <w:t>3</w:t>
      </w:r>
      <w:r>
        <w:rPr>
          <w:rFonts w:hint="eastAsia"/>
          <w:color w:val="auto"/>
        </w:rPr>
        <w:t xml:space="preserve">  便于设备运输；</w:t>
      </w:r>
    </w:p>
    <w:p w14:paraId="3697E4BB">
      <w:pPr>
        <w:pStyle w:val="86"/>
        <w:ind w:firstLine="422"/>
        <w:rPr>
          <w:color w:val="auto"/>
        </w:rPr>
      </w:pPr>
      <w:r>
        <w:rPr>
          <w:rFonts w:hint="eastAsia"/>
          <w:b/>
          <w:color w:val="auto"/>
        </w:rPr>
        <w:t>4</w:t>
      </w:r>
      <w:r>
        <w:rPr>
          <w:rFonts w:hint="eastAsia"/>
          <w:color w:val="auto"/>
        </w:rPr>
        <w:t xml:space="preserve">  独立设置的变电所，宜靠近线路，并应和城市规划相协调。该变电所与线路间应设置专用电缆通道。</w:t>
      </w:r>
    </w:p>
    <w:p w14:paraId="7C2EA8AE">
      <w:pPr>
        <w:pStyle w:val="86"/>
        <w:ind w:firstLine="422"/>
        <w:rPr>
          <w:color w:val="auto"/>
        </w:rPr>
      </w:pPr>
      <w:r>
        <w:rPr>
          <w:rFonts w:hint="eastAsia"/>
          <w:b/>
          <w:color w:val="auto"/>
        </w:rPr>
        <w:t>5</w:t>
      </w:r>
      <w:r>
        <w:rPr>
          <w:rFonts w:hint="eastAsia"/>
          <w:color w:val="auto"/>
        </w:rPr>
        <w:t xml:space="preserve">  其他要求执行本规范第10.4节相应部分的有关规定。</w:t>
      </w:r>
    </w:p>
    <w:p w14:paraId="250A17BE">
      <w:pPr>
        <w:pStyle w:val="5"/>
        <w:tabs>
          <w:tab w:val="left" w:pos="709"/>
          <w:tab w:val="clear" w:pos="630"/>
        </w:tabs>
      </w:pPr>
      <w:r>
        <w:t>主变电所高压侧宜采用线路-变压器组接线。</w:t>
      </w:r>
    </w:p>
    <w:p w14:paraId="0F3DA9AB">
      <w:pPr>
        <w:pStyle w:val="5"/>
        <w:tabs>
          <w:tab w:val="left" w:pos="709"/>
          <w:tab w:val="clear" w:pos="630"/>
        </w:tabs>
      </w:pPr>
      <w:r>
        <w:t>主变电所中压侧应采用分段单母线接线，共享时后建线路应设电源开闭所。</w:t>
      </w:r>
    </w:p>
    <w:p w14:paraId="4BA2D033">
      <w:pPr>
        <w:pStyle w:val="5"/>
        <w:tabs>
          <w:tab w:val="left" w:pos="709"/>
          <w:tab w:val="clear" w:pos="630"/>
        </w:tabs>
      </w:pPr>
      <w:r>
        <w:t>主变电所应设置两台主变压器，并宜按照远期设计行车高峰小时运力需求配置。</w:t>
      </w:r>
    </w:p>
    <w:p w14:paraId="401A0E84">
      <w:pPr>
        <w:pStyle w:val="5"/>
        <w:tabs>
          <w:tab w:val="left" w:pos="709"/>
          <w:tab w:val="clear" w:pos="630"/>
        </w:tabs>
      </w:pPr>
      <w:r>
        <w:t>当一台主变压器退出运行时，另一台主变压器应能负担供电范围内全部一、二级负荷的用电需求。</w:t>
      </w:r>
    </w:p>
    <w:p w14:paraId="42ABBD90">
      <w:pPr>
        <w:pStyle w:val="5"/>
        <w:tabs>
          <w:tab w:val="left" w:pos="709"/>
          <w:tab w:val="clear" w:pos="630"/>
        </w:tabs>
      </w:pPr>
      <w:r>
        <w:t>主变电所中压侧宜设动态无功补偿装置(SVG)。</w:t>
      </w:r>
    </w:p>
    <w:p w14:paraId="51940E76">
      <w:pPr>
        <w:pStyle w:val="5"/>
        <w:tabs>
          <w:tab w:val="left" w:pos="709"/>
          <w:tab w:val="clear" w:pos="630"/>
        </w:tabs>
      </w:pPr>
      <w:r>
        <w:t>电源开闭所宜设在</w:t>
      </w:r>
      <w:r>
        <w:rPr>
          <w:rFonts w:hint="eastAsia"/>
        </w:rPr>
        <w:t>车站或车辆基地内</w:t>
      </w:r>
      <w:r>
        <w:t>，</w:t>
      </w:r>
      <w:r>
        <w:rPr>
          <w:rFonts w:hint="eastAsia"/>
        </w:rPr>
        <w:t>直流制式</w:t>
      </w:r>
      <w:r>
        <w:t>牵引变电所宜设在车站内。当不具备条件时，</w:t>
      </w:r>
      <w:r>
        <w:rPr>
          <w:rFonts w:hint="eastAsia"/>
        </w:rPr>
        <w:t>直流制式</w:t>
      </w:r>
      <w:r>
        <w:t>牵引变电所可设在车站附近或区间。车站降压变电所应设在重负荷端，可分层布置；当技术经济合理时可设置跟随式降压变电所。</w:t>
      </w:r>
    </w:p>
    <w:p w14:paraId="37FB93D8">
      <w:pPr>
        <w:pStyle w:val="5"/>
        <w:tabs>
          <w:tab w:val="left" w:pos="709"/>
          <w:tab w:val="clear" w:pos="630"/>
        </w:tabs>
      </w:pPr>
      <w:r>
        <w:rPr>
          <w:rFonts w:hint="eastAsia"/>
        </w:rPr>
        <w:t>直流制式牵引变电所应与同址的降压变电所合建为牵引降压混合变电所。电源开闭所应与同址的牵引降压混合变电所或降压变电所合建</w:t>
      </w:r>
      <w:r>
        <w:t>。</w:t>
      </w:r>
    </w:p>
    <w:p w14:paraId="49638A2E">
      <w:pPr>
        <w:pStyle w:val="5"/>
        <w:tabs>
          <w:tab w:val="left" w:pos="709"/>
          <w:tab w:val="clear" w:pos="630"/>
        </w:tabs>
      </w:pPr>
      <w:r>
        <w:t>同站台换乘的车站降压变电所宜共享设置，并</w:t>
      </w:r>
      <w:r>
        <w:rPr>
          <w:rFonts w:hint="eastAsia"/>
        </w:rPr>
        <w:t>对共用机电设备的配电回路</w:t>
      </w:r>
      <w:r>
        <w:t>设置</w:t>
      </w:r>
      <w:r>
        <w:rPr>
          <w:rFonts w:hint="eastAsia"/>
        </w:rPr>
        <w:t>计量</w:t>
      </w:r>
      <w:r>
        <w:t>表计。</w:t>
      </w:r>
    </w:p>
    <w:p w14:paraId="0AB8CFD8">
      <w:pPr>
        <w:pStyle w:val="5"/>
        <w:tabs>
          <w:tab w:val="left" w:pos="851"/>
          <w:tab w:val="clear" w:pos="630"/>
        </w:tabs>
      </w:pPr>
      <w:r>
        <w:t>直流制式变电所</w:t>
      </w:r>
      <w:r>
        <w:rPr>
          <w:rFonts w:hint="eastAsia"/>
        </w:rPr>
        <w:t>、交流制式电力供电系统变电所</w:t>
      </w:r>
      <w:r>
        <w:t>的中压侧、低压侧应采用分段单母线接线。</w:t>
      </w:r>
      <w:r>
        <w:rPr>
          <w:rFonts w:hint="eastAsia"/>
        </w:rPr>
        <w:t>直流制式牵引变电所直流侧宜采用单母线接线；当采用两套牵引整流机组时，两套</w:t>
      </w:r>
      <w:r>
        <w:t>机组</w:t>
      </w:r>
      <w:r>
        <w:rPr>
          <w:rFonts w:hint="eastAsia"/>
        </w:rPr>
        <w:t>应接在同一段中压母线。</w:t>
      </w:r>
    </w:p>
    <w:p w14:paraId="6F0A4FBB">
      <w:pPr>
        <w:pStyle w:val="5"/>
        <w:tabs>
          <w:tab w:val="left" w:pos="851"/>
          <w:tab w:val="clear" w:pos="630"/>
        </w:tabs>
      </w:pPr>
      <w:r>
        <w:rPr>
          <w:rFonts w:hint="eastAsia"/>
        </w:rPr>
        <w:t>电源开闭所中压母线的每一段宜预留1面中压开关柜；变电所</w:t>
      </w:r>
      <w:r>
        <w:t>低压</w:t>
      </w:r>
      <w:r>
        <w:rPr>
          <w:rFonts w:hint="eastAsia"/>
        </w:rPr>
        <w:t>0</w:t>
      </w:r>
      <w:r>
        <w:t>.4k</w:t>
      </w:r>
      <w:r>
        <w:rPr>
          <w:rFonts w:hint="eastAsia"/>
        </w:rPr>
        <w:t>V</w:t>
      </w:r>
      <w:r>
        <w:t>母线</w:t>
      </w:r>
      <w:r>
        <w:rPr>
          <w:rFonts w:hint="eastAsia"/>
        </w:rPr>
        <w:t>的</w:t>
      </w:r>
      <w:r>
        <w:t>每</w:t>
      </w:r>
      <w:r>
        <w:rPr>
          <w:rFonts w:hint="eastAsia"/>
        </w:rPr>
        <w:t>一</w:t>
      </w:r>
      <w:r>
        <w:t>段应预留</w:t>
      </w:r>
      <w:r>
        <w:rPr>
          <w:rFonts w:hint="eastAsia"/>
        </w:rPr>
        <w:t>1</w:t>
      </w:r>
      <w:r>
        <w:t>面低压0.4kV开关柜安装条件</w:t>
      </w:r>
      <w:r>
        <w:rPr>
          <w:rFonts w:hint="eastAsia"/>
        </w:rPr>
        <w:t>，</w:t>
      </w:r>
      <w:r>
        <w:t>低压0.4kV开关柜宜预留总回路数20%~25%备用回路</w:t>
      </w:r>
      <w:r>
        <w:rPr>
          <w:rFonts w:hint="eastAsia"/>
        </w:rPr>
        <w:t>。</w:t>
      </w:r>
    </w:p>
    <w:p w14:paraId="79A1B6F6">
      <w:pPr>
        <w:pStyle w:val="5"/>
        <w:tabs>
          <w:tab w:val="left" w:pos="851"/>
          <w:tab w:val="clear" w:pos="630"/>
        </w:tabs>
      </w:pPr>
      <w:r>
        <w:t>牵引变电所直流进线开关应采用直流快速断路器。</w:t>
      </w:r>
    </w:p>
    <w:p w14:paraId="4BF4E949">
      <w:pPr>
        <w:pStyle w:val="5"/>
        <w:tabs>
          <w:tab w:val="left" w:pos="851"/>
          <w:tab w:val="clear" w:pos="630"/>
        </w:tabs>
      </w:pPr>
      <w:r>
        <w:t>变电所直流负母线与整流器之间宜采用手动隔离开关。</w:t>
      </w:r>
    </w:p>
    <w:p w14:paraId="0DA68158">
      <w:pPr>
        <w:pStyle w:val="5"/>
        <w:tabs>
          <w:tab w:val="left" w:pos="851"/>
          <w:tab w:val="clear" w:pos="630"/>
        </w:tabs>
      </w:pPr>
      <w:r>
        <w:t>跟随式降压变电所配电变压器电源侧应配置满足维护、测试和检修配电变压器时保障人身安全的隔离电器。</w:t>
      </w:r>
    </w:p>
    <w:p w14:paraId="47BCCF0E">
      <w:pPr>
        <w:pStyle w:val="5"/>
        <w:tabs>
          <w:tab w:val="left" w:pos="851"/>
          <w:tab w:val="clear" w:pos="630"/>
        </w:tabs>
      </w:pPr>
      <w:r>
        <w:t>配电变压器的容量选择应满足一台配电变压器退出运行时另一台配电变压器能负担供电范围内远期的一、二级负荷的用电需求。</w:t>
      </w:r>
    </w:p>
    <w:p w14:paraId="31602DDE">
      <w:pPr>
        <w:pStyle w:val="5"/>
        <w:tabs>
          <w:tab w:val="left" w:pos="851"/>
          <w:tab w:val="clear" w:pos="630"/>
        </w:tabs>
      </w:pPr>
      <w:r>
        <w:t>配电变压器土建基础宜按加大一级规格设计。</w:t>
      </w:r>
    </w:p>
    <w:p w14:paraId="51CC790F">
      <w:pPr>
        <w:pStyle w:val="5"/>
        <w:tabs>
          <w:tab w:val="left" w:pos="851"/>
          <w:tab w:val="clear" w:pos="630"/>
        </w:tabs>
      </w:pPr>
      <w:r>
        <w:t>条件允许</w:t>
      </w:r>
      <w:r>
        <w:rPr>
          <w:rFonts w:hint="eastAsia"/>
        </w:rPr>
        <w:t>时</w:t>
      </w:r>
      <w:r>
        <w:t>，变电所</w:t>
      </w:r>
      <w:r>
        <w:rPr>
          <w:rFonts w:hint="eastAsia"/>
        </w:rPr>
        <w:t>0</w:t>
      </w:r>
      <w:r>
        <w:t>.4k</w:t>
      </w:r>
      <w:r>
        <w:rPr>
          <w:rFonts w:hint="eastAsia"/>
        </w:rPr>
        <w:t>V</w:t>
      </w:r>
      <w:r>
        <w:t>低压开关柜宜双排面对面排列。</w:t>
      </w:r>
    </w:p>
    <w:p w14:paraId="2C4D255E">
      <w:pPr>
        <w:pStyle w:val="5"/>
        <w:tabs>
          <w:tab w:val="left" w:pos="851"/>
          <w:tab w:val="clear" w:pos="630"/>
        </w:tabs>
      </w:pPr>
      <w:r>
        <w:t>变电所低压侧宜设置母线隔离柜，并应设置满足维护、测试和检修低压母线分段开关室时保障人身安全的隔离电器。</w:t>
      </w:r>
    </w:p>
    <w:p w14:paraId="269F56B9">
      <w:pPr>
        <w:pStyle w:val="5"/>
        <w:tabs>
          <w:tab w:val="left" w:pos="851"/>
          <w:tab w:val="clear" w:pos="630"/>
        </w:tabs>
      </w:pPr>
      <w:r>
        <w:t>变电所低压进线、母线分段开关应配置电动操作机构，三级负荷宜配置电动操作机构。</w:t>
      </w:r>
    </w:p>
    <w:p w14:paraId="49CECD4D">
      <w:pPr>
        <w:pStyle w:val="5"/>
        <w:tabs>
          <w:tab w:val="left" w:pos="851"/>
          <w:tab w:val="clear" w:pos="630"/>
        </w:tabs>
      </w:pPr>
      <w:r>
        <w:t>变电所低压侧各三级负荷配电回路应满足电力调度独立切除或投入的需求。</w:t>
      </w:r>
    </w:p>
    <w:p w14:paraId="1DA6D180">
      <w:pPr>
        <w:pStyle w:val="5"/>
        <w:tabs>
          <w:tab w:val="left" w:pos="851"/>
          <w:tab w:val="clear" w:pos="630"/>
        </w:tabs>
      </w:pPr>
      <w:r>
        <w:t>地下车站变电所低压侧每段母线应预留人防电源接入的条件。</w:t>
      </w:r>
    </w:p>
    <w:p w14:paraId="23BFDCC4">
      <w:pPr>
        <w:pStyle w:val="5"/>
        <w:tabs>
          <w:tab w:val="left" w:pos="851"/>
          <w:tab w:val="clear" w:pos="630"/>
        </w:tabs>
      </w:pPr>
      <w:r>
        <w:t>变电所低压侧宜设置有源滤波装置。</w:t>
      </w:r>
    </w:p>
    <w:p w14:paraId="128506B3">
      <w:pPr>
        <w:pStyle w:val="5"/>
        <w:tabs>
          <w:tab w:val="left" w:pos="851"/>
          <w:tab w:val="clear" w:pos="630"/>
        </w:tabs>
      </w:pPr>
      <w:r>
        <w:t>变电所交直流电源屏的交流电源应引自变电所的两段低压母线，并应设双电源互投装置。</w:t>
      </w:r>
    </w:p>
    <w:p w14:paraId="145EBD0C">
      <w:pPr>
        <w:pStyle w:val="5"/>
        <w:tabs>
          <w:tab w:val="left" w:pos="851"/>
          <w:tab w:val="clear" w:pos="630"/>
        </w:tabs>
      </w:pPr>
      <w:r>
        <w:t>变电所直流操作电源应采用成套装置，正常运行时蓄电池宜处于浮充状态。蓄电池容量应满足交流停电情况下连续供电120min的要求。</w:t>
      </w:r>
    </w:p>
    <w:p w14:paraId="11873BCC">
      <w:pPr>
        <w:pStyle w:val="5"/>
        <w:tabs>
          <w:tab w:val="left" w:pos="851"/>
          <w:tab w:val="clear" w:pos="630"/>
        </w:tabs>
      </w:pPr>
      <w:r>
        <w:rPr>
          <w:rFonts w:hint="eastAsia"/>
        </w:rPr>
        <w:t>车站及车辆基地宜为通信系统、信号系统、综合监控系统、火灾自动报警系统、门禁系统、自动售检票系统、乘客信息系统设置UPS电源整合系统。</w:t>
      </w:r>
    </w:p>
    <w:p w14:paraId="0C0DAAB3">
      <w:pPr>
        <w:pStyle w:val="5"/>
      </w:pPr>
      <w:r>
        <w:rPr>
          <w:rFonts w:hint="eastAsia"/>
        </w:rPr>
        <w:t>过电压保护应符合GB/T50064、GB50057相应部分的规定。</w:t>
      </w:r>
    </w:p>
    <w:p w14:paraId="035A413D">
      <w:pPr>
        <w:pStyle w:val="5"/>
      </w:pPr>
      <w:r>
        <w:rPr>
          <w:rFonts w:hint="eastAsia"/>
        </w:rPr>
        <w:t>低压配电设计应符合GB50054相应部分的规定。</w:t>
      </w:r>
    </w:p>
    <w:p w14:paraId="38857B15">
      <w:pPr>
        <w:pStyle w:val="5"/>
      </w:pPr>
      <w:r>
        <w:t>变电所设备布置应满足设备运输、设备操作维护和电缆敷设的要求。</w:t>
      </w:r>
    </w:p>
    <w:p w14:paraId="73CF97C3">
      <w:pPr>
        <w:pStyle w:val="5"/>
        <w:tabs>
          <w:tab w:val="left" w:pos="851"/>
          <w:tab w:val="clear" w:pos="630"/>
        </w:tabs>
      </w:pPr>
      <w:r>
        <w:t>箱式变电所宜设置电话、视频监视。</w:t>
      </w:r>
    </w:p>
    <w:p w14:paraId="7DFE0A73">
      <w:pPr>
        <w:pStyle w:val="5"/>
        <w:tabs>
          <w:tab w:val="left" w:pos="851"/>
          <w:tab w:val="clear" w:pos="630"/>
        </w:tabs>
      </w:pPr>
      <w:r>
        <w:t>变</w:t>
      </w:r>
      <w:r>
        <w:rPr>
          <w:rFonts w:hint="eastAsia"/>
        </w:rPr>
        <w:t>电所设备房间布置及其他要求应符合本规范第</w:t>
      </w:r>
      <w:r>
        <w:t>10</w:t>
      </w:r>
      <w:r>
        <w:rPr>
          <w:rFonts w:hint="eastAsia"/>
        </w:rPr>
        <w:t>.</w:t>
      </w:r>
      <w:r>
        <w:t>4</w:t>
      </w:r>
      <w:r>
        <w:rPr>
          <w:rFonts w:hint="eastAsia"/>
        </w:rPr>
        <w:t>节的规定。直流制式变电所以及交流制式电力供电</w:t>
      </w:r>
      <w:r>
        <w:t>系统的变电所</w:t>
      </w:r>
      <w:r>
        <w:rPr>
          <w:rFonts w:hint="eastAsia"/>
        </w:rPr>
        <w:t>内设备布置应符合GB50157相应部分的规定。</w:t>
      </w:r>
    </w:p>
    <w:p w14:paraId="15E3CC4D">
      <w:pPr>
        <w:pStyle w:val="5"/>
        <w:tabs>
          <w:tab w:val="left" w:pos="851"/>
          <w:tab w:val="clear" w:pos="630"/>
        </w:tabs>
      </w:pPr>
      <w:r>
        <w:rPr>
          <w:rFonts w:hint="eastAsia"/>
        </w:rPr>
        <w:t>交流制式线路牵引供电系统的各类变电所选址应符合T</w:t>
      </w:r>
      <w:r>
        <w:t>B 1024</w:t>
      </w:r>
      <w:r>
        <w:rPr>
          <w:rFonts w:hint="eastAsia"/>
        </w:rPr>
        <w:t>中的规定。</w:t>
      </w:r>
    </w:p>
    <w:p w14:paraId="5F215673">
      <w:pPr>
        <w:pStyle w:val="5"/>
        <w:tabs>
          <w:tab w:val="left" w:pos="851"/>
          <w:tab w:val="clear" w:pos="630"/>
        </w:tabs>
        <w:rPr>
          <w:spacing w:val="4"/>
          <w:szCs w:val="21"/>
        </w:rPr>
      </w:pPr>
      <w:r>
        <w:rPr>
          <w:rFonts w:hint="eastAsia"/>
        </w:rPr>
        <w:t>交流制式牵引供电系统各类变电所的设备布置应符合</w:t>
      </w:r>
      <w:r>
        <w:t>GB 50060</w:t>
      </w:r>
      <w:r>
        <w:rPr>
          <w:rFonts w:hint="eastAsia"/>
        </w:rPr>
        <w:t>及T</w:t>
      </w:r>
      <w:r>
        <w:t>B10009</w:t>
      </w:r>
      <w:r>
        <w:rPr>
          <w:rFonts w:hint="eastAsia"/>
          <w:spacing w:val="4"/>
          <w:szCs w:val="21"/>
        </w:rPr>
        <w:t>相应部分的规定。</w:t>
      </w:r>
    </w:p>
    <w:p w14:paraId="1CFE67A0">
      <w:pPr>
        <w:numPr>
          <w:ilvl w:val="1"/>
          <w:numId w:val="1"/>
        </w:numPr>
        <w:snapToGrid w:val="0"/>
        <w:spacing w:before="156" w:after="156" w:line="240" w:lineRule="auto"/>
        <w:jc w:val="center"/>
        <w:outlineLvl w:val="1"/>
        <w:rPr>
          <w:rFonts w:eastAsia="黑体"/>
          <w:bCs/>
          <w:szCs w:val="28"/>
        </w:rPr>
      </w:pPr>
      <w:bookmarkStart w:id="1126" w:name="_Toc174611512"/>
      <w:bookmarkStart w:id="1127" w:name="_Toc183683558"/>
      <w:bookmarkStart w:id="1128" w:name="_Toc183790583"/>
      <w:bookmarkStart w:id="1129" w:name="_Toc183888196"/>
      <w:bookmarkStart w:id="1130" w:name="_Toc183882506"/>
      <w:bookmarkStart w:id="1131" w:name="_Toc168059462"/>
      <w:bookmarkStart w:id="1132" w:name="_Toc183888558"/>
      <w:bookmarkStart w:id="1133" w:name="_Toc174611715"/>
      <w:bookmarkStart w:id="1134" w:name="_Toc174612519"/>
      <w:bookmarkStart w:id="1135" w:name="_Toc168061270"/>
      <w:bookmarkStart w:id="1136" w:name="_Toc168061717"/>
      <w:bookmarkStart w:id="1137" w:name="_Toc183765153"/>
      <w:bookmarkStart w:id="1138" w:name="_Toc183882144"/>
      <w:r>
        <w:rPr>
          <w:rFonts w:eastAsia="黑体"/>
          <w:bCs/>
          <w:szCs w:val="28"/>
        </w:rPr>
        <w:t>牵引网</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66DA238A">
      <w:pPr>
        <w:pStyle w:val="5"/>
        <w:tabs>
          <w:tab w:val="left" w:pos="709"/>
          <w:tab w:val="clear" w:pos="630"/>
          <w:tab w:val="clear" w:pos="1701"/>
        </w:tabs>
      </w:pPr>
      <w:bookmarkStart w:id="1139" w:name="_Hlk183257886"/>
      <w:r>
        <w:rPr>
          <w:rFonts w:hint="eastAsia"/>
        </w:rPr>
        <w:t>通用要求</w:t>
      </w:r>
    </w:p>
    <w:p w14:paraId="59924ABC">
      <w:pPr>
        <w:numPr>
          <w:ilvl w:val="3"/>
          <w:numId w:val="1"/>
        </w:numPr>
        <w:jc w:val="left"/>
        <w:outlineLvl w:val="3"/>
        <w:rPr>
          <w:rFonts w:ascii="宋体" w:hAnsi="宋体"/>
          <w:szCs w:val="28"/>
        </w:rPr>
      </w:pPr>
      <w:bookmarkStart w:id="1140" w:name="_Hlk183596819"/>
      <w:r>
        <w:rPr>
          <w:rFonts w:hint="eastAsia" w:ascii="宋体" w:hAnsi="宋体"/>
          <w:szCs w:val="28"/>
        </w:rPr>
        <w:t>牵引网应由接触网、回流网组成。直流制式牵引网以走行轨或专用回流轨作为牵引电流的回流通路，应通过回流电缆与牵引变电所连接；交流制牵引网应设置独立的回流线或保护线作为钢轨的并联回流通道。</w:t>
      </w:r>
    </w:p>
    <w:bookmarkEnd w:id="1139"/>
    <w:bookmarkEnd w:id="1140"/>
    <w:p w14:paraId="5C49F3D3">
      <w:pPr>
        <w:numPr>
          <w:ilvl w:val="3"/>
          <w:numId w:val="1"/>
        </w:numPr>
        <w:jc w:val="left"/>
        <w:outlineLvl w:val="3"/>
        <w:rPr>
          <w:rFonts w:ascii="宋体" w:hAnsi="宋体"/>
          <w:szCs w:val="28"/>
        </w:rPr>
      </w:pPr>
      <w:r>
        <w:rPr>
          <w:rFonts w:ascii="宋体" w:hAnsi="宋体"/>
          <w:szCs w:val="28"/>
        </w:rPr>
        <w:t>接触网按安装位置的不同分为接触轨</w:t>
      </w:r>
      <w:r>
        <w:rPr>
          <w:rFonts w:hint="eastAsia" w:ascii="宋体" w:hAnsi="宋体"/>
          <w:szCs w:val="28"/>
        </w:rPr>
        <w:t>、</w:t>
      </w:r>
      <w:r>
        <w:rPr>
          <w:rFonts w:ascii="宋体" w:hAnsi="宋体"/>
          <w:szCs w:val="28"/>
        </w:rPr>
        <w:t>架空接触网。</w:t>
      </w:r>
    </w:p>
    <w:p w14:paraId="1C1BC437">
      <w:pPr>
        <w:numPr>
          <w:ilvl w:val="4"/>
          <w:numId w:val="1"/>
        </w:numPr>
        <w:ind w:firstLine="420"/>
        <w:jc w:val="left"/>
        <w:outlineLvl w:val="4"/>
        <w:rPr>
          <w:bCs/>
          <w:szCs w:val="28"/>
        </w:rPr>
      </w:pPr>
      <w:r>
        <w:rPr>
          <w:bCs/>
          <w:szCs w:val="28"/>
        </w:rPr>
        <w:t>接触轨按授流接触位置的不同可分为</w:t>
      </w:r>
      <w:r>
        <w:rPr>
          <w:rFonts w:hint="eastAsia"/>
          <w:bCs/>
          <w:szCs w:val="28"/>
        </w:rPr>
        <w:t>上部授流方式、下部授流方式和侧部授流方式</w:t>
      </w:r>
      <w:r>
        <w:rPr>
          <w:bCs/>
          <w:szCs w:val="28"/>
        </w:rPr>
        <w:t>。接触轨应采用钢铝复合材料等低电阻率产品；</w:t>
      </w:r>
    </w:p>
    <w:p w14:paraId="70432E4C">
      <w:pPr>
        <w:numPr>
          <w:ilvl w:val="4"/>
          <w:numId w:val="1"/>
        </w:numPr>
        <w:ind w:firstLine="420"/>
        <w:jc w:val="left"/>
        <w:outlineLvl w:val="4"/>
        <w:rPr>
          <w:bCs/>
          <w:szCs w:val="28"/>
        </w:rPr>
      </w:pPr>
      <w:r>
        <w:rPr>
          <w:bCs/>
          <w:szCs w:val="28"/>
        </w:rPr>
        <w:t>架空接触网按接触悬挂方式的不同分为柔性架空接触网</w:t>
      </w:r>
      <w:r>
        <w:rPr>
          <w:rFonts w:hint="eastAsia"/>
          <w:bCs/>
          <w:szCs w:val="28"/>
        </w:rPr>
        <w:t>、</w:t>
      </w:r>
      <w:r>
        <w:rPr>
          <w:bCs/>
          <w:szCs w:val="28"/>
        </w:rPr>
        <w:t>刚性架空接触网。接触线应采用铜合金接触线。</w:t>
      </w:r>
    </w:p>
    <w:p w14:paraId="5C53FBEA">
      <w:pPr>
        <w:numPr>
          <w:ilvl w:val="3"/>
          <w:numId w:val="1"/>
        </w:numPr>
        <w:jc w:val="left"/>
        <w:outlineLvl w:val="3"/>
        <w:rPr>
          <w:rFonts w:ascii="宋体" w:hAnsi="宋体"/>
          <w:szCs w:val="28"/>
        </w:rPr>
      </w:pPr>
      <w:r>
        <w:rPr>
          <w:rFonts w:ascii="宋体" w:hAnsi="宋体"/>
          <w:szCs w:val="28"/>
        </w:rPr>
        <w:t>牵引网应满足牵引供电系统各种运行方式下的载流量要求。</w:t>
      </w:r>
    </w:p>
    <w:p w14:paraId="1CF425D6">
      <w:pPr>
        <w:numPr>
          <w:ilvl w:val="3"/>
          <w:numId w:val="1"/>
        </w:numPr>
        <w:jc w:val="left"/>
        <w:outlineLvl w:val="3"/>
        <w:rPr>
          <w:rFonts w:ascii="宋体" w:hAnsi="宋体"/>
          <w:szCs w:val="28"/>
        </w:rPr>
      </w:pPr>
      <w:r>
        <w:rPr>
          <w:rFonts w:hint="eastAsia" w:ascii="宋体" w:hAnsi="宋体"/>
          <w:szCs w:val="28"/>
        </w:rPr>
        <w:t>直流制式</w:t>
      </w:r>
      <w:r>
        <w:rPr>
          <w:rFonts w:ascii="宋体" w:hAnsi="宋体"/>
          <w:szCs w:val="28"/>
        </w:rPr>
        <w:t>牵引变电所直流馈线快速断路器至接触网间应设置电动隔离开关：</w:t>
      </w:r>
    </w:p>
    <w:p w14:paraId="5D5C56CF">
      <w:pPr>
        <w:numPr>
          <w:ilvl w:val="4"/>
          <w:numId w:val="1"/>
        </w:numPr>
        <w:ind w:firstLine="420"/>
        <w:jc w:val="left"/>
        <w:outlineLvl w:val="4"/>
        <w:rPr>
          <w:bCs/>
          <w:szCs w:val="28"/>
        </w:rPr>
      </w:pPr>
      <w:r>
        <w:rPr>
          <w:bCs/>
          <w:szCs w:val="28"/>
        </w:rPr>
        <w:t>正线上行、下行电动隔离开关分别位于车站站台层的两端；</w:t>
      </w:r>
    </w:p>
    <w:p w14:paraId="3A7B3BC2">
      <w:pPr>
        <w:numPr>
          <w:ilvl w:val="4"/>
          <w:numId w:val="1"/>
        </w:numPr>
        <w:ind w:firstLine="420"/>
        <w:jc w:val="left"/>
        <w:outlineLvl w:val="4"/>
        <w:rPr>
          <w:bCs/>
          <w:szCs w:val="28"/>
        </w:rPr>
      </w:pPr>
      <w:r>
        <w:rPr>
          <w:bCs/>
          <w:szCs w:val="28"/>
        </w:rPr>
        <w:t>车辆基地电动隔离开关落地或架空接触网立柱安装；</w:t>
      </w:r>
    </w:p>
    <w:p w14:paraId="24B06548">
      <w:pPr>
        <w:numPr>
          <w:ilvl w:val="4"/>
          <w:numId w:val="1"/>
        </w:numPr>
        <w:ind w:firstLine="420"/>
        <w:jc w:val="left"/>
        <w:outlineLvl w:val="4"/>
        <w:rPr>
          <w:bCs/>
          <w:szCs w:val="28"/>
        </w:rPr>
      </w:pPr>
      <w:r>
        <w:rPr>
          <w:bCs/>
          <w:szCs w:val="28"/>
        </w:rPr>
        <w:t>正线电动隔离开关宜设置在独立的房间内，门应朝向站台外走道侧开启，电动隔离开关也可设置在车站盾构井处。</w:t>
      </w:r>
    </w:p>
    <w:p w14:paraId="1E2A52E6">
      <w:pPr>
        <w:numPr>
          <w:ilvl w:val="3"/>
          <w:numId w:val="1"/>
        </w:numPr>
        <w:jc w:val="left"/>
        <w:outlineLvl w:val="3"/>
        <w:rPr>
          <w:rFonts w:ascii="宋体" w:hAnsi="宋体"/>
          <w:szCs w:val="28"/>
        </w:rPr>
      </w:pPr>
      <w:r>
        <w:rPr>
          <w:rFonts w:hint="eastAsia" w:ascii="宋体" w:hAnsi="宋体"/>
          <w:szCs w:val="28"/>
        </w:rPr>
        <w:t>直流制式以下场所兼做回流的走行轨应设置钢轨绝缘接头：</w:t>
      </w:r>
    </w:p>
    <w:p w14:paraId="58BB0FEE">
      <w:pPr>
        <w:numPr>
          <w:ilvl w:val="4"/>
          <w:numId w:val="39"/>
        </w:numPr>
        <w:tabs>
          <w:tab w:val="left" w:pos="567"/>
        </w:tabs>
        <w:ind w:firstLine="420"/>
        <w:jc w:val="left"/>
        <w:outlineLvl w:val="4"/>
        <w:rPr>
          <w:bCs/>
          <w:szCs w:val="28"/>
        </w:rPr>
      </w:pPr>
      <w:r>
        <w:rPr>
          <w:rFonts w:hint="eastAsia"/>
          <w:bCs/>
          <w:szCs w:val="28"/>
        </w:rPr>
        <w:t>在正线与车辆基地的衔接处；</w:t>
      </w:r>
    </w:p>
    <w:p w14:paraId="1B5EF727">
      <w:pPr>
        <w:numPr>
          <w:ilvl w:val="4"/>
          <w:numId w:val="1"/>
        </w:numPr>
        <w:ind w:firstLine="420"/>
        <w:jc w:val="left"/>
        <w:outlineLvl w:val="4"/>
        <w:rPr>
          <w:bCs/>
          <w:szCs w:val="28"/>
        </w:rPr>
      </w:pPr>
      <w:r>
        <w:rPr>
          <w:rFonts w:hint="eastAsia"/>
          <w:bCs/>
          <w:szCs w:val="28"/>
        </w:rPr>
        <w:t>电气化库入口处；</w:t>
      </w:r>
    </w:p>
    <w:p w14:paraId="253C56E8">
      <w:pPr>
        <w:numPr>
          <w:ilvl w:val="4"/>
          <w:numId w:val="1"/>
        </w:numPr>
        <w:ind w:firstLine="420"/>
        <w:jc w:val="left"/>
        <w:outlineLvl w:val="4"/>
        <w:rPr>
          <w:bCs/>
          <w:szCs w:val="28"/>
        </w:rPr>
      </w:pPr>
      <w:r>
        <w:rPr>
          <w:rFonts w:hint="eastAsia"/>
          <w:bCs/>
          <w:szCs w:val="28"/>
        </w:rPr>
        <w:t>不同线路的联络线处；</w:t>
      </w:r>
    </w:p>
    <w:p w14:paraId="16DEBD8D">
      <w:pPr>
        <w:numPr>
          <w:ilvl w:val="4"/>
          <w:numId w:val="1"/>
        </w:numPr>
        <w:ind w:firstLine="420"/>
        <w:jc w:val="left"/>
        <w:outlineLvl w:val="4"/>
        <w:rPr>
          <w:bCs/>
          <w:szCs w:val="28"/>
        </w:rPr>
      </w:pPr>
      <w:bookmarkStart w:id="1141" w:name="_Hlk183596949"/>
      <w:r>
        <w:rPr>
          <w:rFonts w:hint="eastAsia"/>
          <w:bCs/>
          <w:szCs w:val="28"/>
        </w:rPr>
        <w:t>正线牵引变电所电分段处</w:t>
      </w:r>
      <w:bookmarkEnd w:id="1141"/>
      <w:r>
        <w:rPr>
          <w:rFonts w:hint="eastAsia"/>
          <w:bCs/>
          <w:szCs w:val="28"/>
        </w:rPr>
        <w:t>。</w:t>
      </w:r>
    </w:p>
    <w:p w14:paraId="7A1A97B2">
      <w:pPr>
        <w:numPr>
          <w:ilvl w:val="4"/>
          <w:numId w:val="1"/>
        </w:numPr>
        <w:ind w:firstLine="420"/>
        <w:jc w:val="left"/>
        <w:outlineLvl w:val="4"/>
        <w:rPr>
          <w:bCs/>
          <w:szCs w:val="28"/>
        </w:rPr>
      </w:pPr>
      <w:r>
        <w:rPr>
          <w:rFonts w:hint="eastAsia"/>
          <w:bCs/>
          <w:szCs w:val="28"/>
        </w:rPr>
        <w:t>电气化与非电气化区段衔接处。</w:t>
      </w:r>
    </w:p>
    <w:p w14:paraId="693A80D2">
      <w:pPr>
        <w:numPr>
          <w:ilvl w:val="3"/>
          <w:numId w:val="1"/>
        </w:numPr>
        <w:jc w:val="left"/>
        <w:outlineLvl w:val="3"/>
        <w:rPr>
          <w:rFonts w:ascii="宋体" w:hAnsi="宋体"/>
          <w:szCs w:val="28"/>
        </w:rPr>
      </w:pPr>
      <w:r>
        <w:rPr>
          <w:rFonts w:hint="eastAsia" w:ascii="宋体" w:hAnsi="宋体"/>
          <w:szCs w:val="28"/>
        </w:rPr>
        <w:t>对于</w:t>
      </w:r>
      <w:r>
        <w:rPr>
          <w:rFonts w:ascii="宋体" w:hAnsi="宋体"/>
          <w:szCs w:val="28"/>
        </w:rPr>
        <w:t>设车辆检查坑并有夜间检修作业的折返线</w:t>
      </w:r>
      <w:r>
        <w:rPr>
          <w:rFonts w:hint="eastAsia" w:ascii="宋体" w:hAnsi="宋体"/>
          <w:szCs w:val="28"/>
        </w:rPr>
        <w:t>，</w:t>
      </w:r>
      <w:r>
        <w:rPr>
          <w:rFonts w:ascii="宋体" w:hAnsi="宋体"/>
          <w:szCs w:val="28"/>
        </w:rPr>
        <w:t>其相应部分的接触网应单独分段，并应就地设置带接地的手动隔离开关；接触网应有主备两个电源，主电源直接来自邻近牵引变电所，备用电源来自一条正线接触网，主备电源均应通过隔离开关接至配电装置上。</w:t>
      </w:r>
      <w:r>
        <w:rPr>
          <w:rFonts w:hint="eastAsia" w:ascii="宋体" w:hAnsi="宋体"/>
          <w:szCs w:val="28"/>
        </w:rPr>
        <w:t>对于</w:t>
      </w:r>
      <w:r>
        <w:rPr>
          <w:rFonts w:ascii="宋体" w:hAnsi="宋体"/>
          <w:szCs w:val="28"/>
        </w:rPr>
        <w:t>不设车辆检查坑的折返线，其接触网供电应有主备两个电源，应通过就地设置的隔离开关与上、下行的正线接触网连接。</w:t>
      </w:r>
    </w:p>
    <w:p w14:paraId="046CED8E">
      <w:pPr>
        <w:numPr>
          <w:ilvl w:val="3"/>
          <w:numId w:val="1"/>
        </w:numPr>
        <w:jc w:val="left"/>
        <w:outlineLvl w:val="3"/>
        <w:rPr>
          <w:rFonts w:ascii="宋体" w:hAnsi="宋体"/>
          <w:szCs w:val="28"/>
        </w:rPr>
      </w:pPr>
      <w:r>
        <w:rPr>
          <w:rFonts w:hint="eastAsia" w:ascii="宋体" w:hAnsi="宋体"/>
          <w:szCs w:val="28"/>
        </w:rPr>
        <w:t>停车列检库、静调库、试车线的接触网，直流制式宜由牵引变电所直接馈电，交流制式宜由牵引变电所或开闭所直接馈电。</w:t>
      </w:r>
    </w:p>
    <w:p w14:paraId="61E21E53">
      <w:pPr>
        <w:numPr>
          <w:ilvl w:val="3"/>
          <w:numId w:val="1"/>
        </w:numPr>
        <w:jc w:val="left"/>
        <w:outlineLvl w:val="3"/>
        <w:rPr>
          <w:rFonts w:ascii="宋体" w:hAnsi="宋体"/>
          <w:szCs w:val="28"/>
        </w:rPr>
      </w:pPr>
      <w:r>
        <w:rPr>
          <w:rFonts w:ascii="宋体" w:hAnsi="宋体"/>
          <w:szCs w:val="28"/>
        </w:rPr>
        <w:t>上网电缆、回流电缆的根数及截面应根据牵引供电计算确定。</w:t>
      </w:r>
    </w:p>
    <w:p w14:paraId="3AB249C4">
      <w:pPr>
        <w:numPr>
          <w:ilvl w:val="4"/>
          <w:numId w:val="1"/>
        </w:numPr>
        <w:ind w:firstLine="420"/>
        <w:jc w:val="left"/>
        <w:outlineLvl w:val="4"/>
        <w:rPr>
          <w:bCs/>
          <w:szCs w:val="28"/>
        </w:rPr>
      </w:pPr>
      <w:r>
        <w:rPr>
          <w:bCs/>
          <w:szCs w:val="28"/>
        </w:rPr>
        <w:t>在正常运行方式下，应满足一根电缆断线条件下继续运行要求；</w:t>
      </w:r>
    </w:p>
    <w:p w14:paraId="64C4C875">
      <w:pPr>
        <w:numPr>
          <w:ilvl w:val="4"/>
          <w:numId w:val="1"/>
        </w:numPr>
        <w:ind w:firstLine="420"/>
        <w:jc w:val="left"/>
        <w:outlineLvl w:val="4"/>
        <w:rPr>
          <w:bCs/>
          <w:szCs w:val="28"/>
        </w:rPr>
      </w:pPr>
      <w:r>
        <w:rPr>
          <w:bCs/>
          <w:szCs w:val="28"/>
        </w:rPr>
        <w:t>在大双边供电方式下，应满足远期高峰小时牵引供电的运行要求。</w:t>
      </w:r>
    </w:p>
    <w:p w14:paraId="6C4B0BB0">
      <w:pPr>
        <w:numPr>
          <w:ilvl w:val="3"/>
          <w:numId w:val="1"/>
        </w:numPr>
        <w:jc w:val="left"/>
        <w:outlineLvl w:val="3"/>
        <w:rPr>
          <w:rFonts w:ascii="宋体" w:hAnsi="宋体"/>
          <w:szCs w:val="28"/>
        </w:rPr>
      </w:pPr>
      <w:r>
        <w:rPr>
          <w:rFonts w:ascii="宋体" w:hAnsi="宋体"/>
          <w:szCs w:val="28"/>
        </w:rPr>
        <w:t>与走行轨连接的回流电缆、均流电缆、道岔连接电缆应连接牢固可靠，接触面的过渡电阻值不应大于1m长度单根走行轨的电阻值。地上线均流线间距不宜大于300m，地下线均流线应结合联络通道位置设置，间距不宜大于600m。</w:t>
      </w:r>
    </w:p>
    <w:p w14:paraId="160C6151">
      <w:pPr>
        <w:numPr>
          <w:ilvl w:val="3"/>
          <w:numId w:val="1"/>
        </w:numPr>
        <w:jc w:val="left"/>
        <w:outlineLvl w:val="3"/>
        <w:rPr>
          <w:rFonts w:ascii="宋体" w:hAnsi="宋体"/>
          <w:szCs w:val="28"/>
        </w:rPr>
      </w:pPr>
      <w:r>
        <w:rPr>
          <w:rFonts w:ascii="宋体" w:hAnsi="宋体"/>
          <w:szCs w:val="28"/>
        </w:rPr>
        <w:t>抑制大气过电压接地的冲击接地电阻值不应大于10Ω。</w:t>
      </w:r>
    </w:p>
    <w:p w14:paraId="73FE15FF">
      <w:pPr>
        <w:numPr>
          <w:ilvl w:val="3"/>
          <w:numId w:val="1"/>
        </w:numPr>
        <w:jc w:val="left"/>
        <w:outlineLvl w:val="3"/>
        <w:rPr>
          <w:rFonts w:ascii="宋体" w:hAnsi="宋体"/>
          <w:szCs w:val="28"/>
        </w:rPr>
      </w:pPr>
      <w:r>
        <w:rPr>
          <w:rFonts w:hint="eastAsia" w:ascii="宋体" w:hAnsi="宋体"/>
          <w:szCs w:val="28"/>
        </w:rPr>
        <w:t>接触网供电分段设置应符合下列规定：</w:t>
      </w:r>
    </w:p>
    <w:p w14:paraId="759ED2F7">
      <w:pPr>
        <w:numPr>
          <w:ilvl w:val="4"/>
          <w:numId w:val="39"/>
        </w:numPr>
        <w:tabs>
          <w:tab w:val="left" w:pos="567"/>
        </w:tabs>
        <w:ind w:firstLine="420"/>
        <w:jc w:val="left"/>
        <w:outlineLvl w:val="4"/>
        <w:rPr>
          <w:bCs/>
          <w:szCs w:val="28"/>
        </w:rPr>
      </w:pPr>
      <w:r>
        <w:rPr>
          <w:rFonts w:hint="eastAsia"/>
          <w:bCs/>
          <w:szCs w:val="28"/>
        </w:rPr>
        <w:t>接触网供电分段应综合考虑维修、抢修的工艺要求和安全保障，以及故障状态下行车组织的要求。</w:t>
      </w:r>
    </w:p>
    <w:p w14:paraId="69104D55">
      <w:pPr>
        <w:numPr>
          <w:ilvl w:val="4"/>
          <w:numId w:val="1"/>
        </w:numPr>
        <w:ind w:firstLine="420"/>
        <w:jc w:val="left"/>
        <w:outlineLvl w:val="4"/>
        <w:rPr>
          <w:bCs/>
          <w:szCs w:val="28"/>
        </w:rPr>
      </w:pPr>
      <w:r>
        <w:rPr>
          <w:rFonts w:hint="eastAsia"/>
          <w:bCs/>
          <w:szCs w:val="28"/>
        </w:rPr>
        <w:t>直流制式接触网在</w:t>
      </w:r>
      <w:r>
        <w:rPr>
          <w:bCs/>
          <w:szCs w:val="28"/>
        </w:rPr>
        <w:t>车站牵引变电所</w:t>
      </w:r>
      <w:r>
        <w:rPr>
          <w:rFonts w:hint="eastAsia"/>
          <w:bCs/>
          <w:szCs w:val="28"/>
        </w:rPr>
        <w:t>的</w:t>
      </w:r>
      <w:r>
        <w:rPr>
          <w:bCs/>
          <w:szCs w:val="28"/>
        </w:rPr>
        <w:t>列车进站端</w:t>
      </w:r>
      <w:r>
        <w:rPr>
          <w:rFonts w:hint="eastAsia"/>
          <w:bCs/>
          <w:szCs w:val="28"/>
        </w:rPr>
        <w:t>、区间牵引变电所的直流电缆出口处、配线与正线的衔接处、正线与车辆基地的衔接处，不同线路的联络线处，车辆基地各电化库入口处，车辆基地场区线各供电分区之间等位置设置电分段。出入线接触网分段绝缘器或接触轨绝缘断口宜与轨道上设置的钢轨绝缘接头对应。</w:t>
      </w:r>
    </w:p>
    <w:p w14:paraId="31739C9B">
      <w:pPr>
        <w:numPr>
          <w:ilvl w:val="4"/>
          <w:numId w:val="1"/>
        </w:numPr>
        <w:ind w:firstLine="420"/>
        <w:jc w:val="left"/>
        <w:outlineLvl w:val="4"/>
        <w:rPr>
          <w:bCs/>
          <w:szCs w:val="28"/>
        </w:rPr>
      </w:pPr>
      <w:r>
        <w:rPr>
          <w:rFonts w:hint="eastAsia"/>
          <w:bCs/>
          <w:szCs w:val="28"/>
        </w:rPr>
        <w:t>交流制式接触网在供电臂首端和末端应设置电分相。电分相应综合考虑牵引供电能力、车辆编组、受电弓分布、线路条件、行车要求以及信号布点等因素设置，并应经行车组织检算列车过分相能力。电分相不宜设置在连续大坡道、变坡点、大电流及出站加速区段。接触网电分相应优先采用带中性段的空气绝缘锚段关节形式，当受线路条件等限制时可采用与行车速度相适应的器件式分相。</w:t>
      </w:r>
    </w:p>
    <w:p w14:paraId="3B4BC146">
      <w:pPr>
        <w:numPr>
          <w:ilvl w:val="4"/>
          <w:numId w:val="1"/>
        </w:numPr>
        <w:ind w:firstLine="420"/>
        <w:jc w:val="left"/>
        <w:outlineLvl w:val="4"/>
        <w:rPr>
          <w:bCs/>
          <w:szCs w:val="28"/>
        </w:rPr>
      </w:pPr>
      <w:r>
        <w:rPr>
          <w:rFonts w:hint="eastAsia"/>
          <w:bCs/>
          <w:szCs w:val="28"/>
        </w:rPr>
        <w:t>双流制式牵引网系统间应设置带无电区的过渡区段，过渡区段的设置应根据车辆切换方式、车辆编组、集电器的分布、信号设置及行车要求综合确定。当采用不停车切换方式时，过渡区段不宜设置在大坡道、小半径曲线段或低速区段；当采用停车切换方式时，过渡区段宜设置在车站区段；过渡区段应由相关专业设置切换警示标志牌以及应答装置。</w:t>
      </w:r>
    </w:p>
    <w:p w14:paraId="64426189">
      <w:pPr>
        <w:numPr>
          <w:ilvl w:val="3"/>
          <w:numId w:val="1"/>
        </w:numPr>
        <w:jc w:val="left"/>
        <w:outlineLvl w:val="3"/>
        <w:rPr>
          <w:rFonts w:ascii="宋体" w:hAnsi="宋体"/>
          <w:szCs w:val="28"/>
        </w:rPr>
      </w:pPr>
      <w:r>
        <w:rPr>
          <w:rFonts w:hint="eastAsia" w:ascii="宋体" w:hAnsi="宋体"/>
          <w:szCs w:val="28"/>
        </w:rPr>
        <w:t>采用直流牵引供电系统时，</w:t>
      </w:r>
      <w:r>
        <w:rPr>
          <w:rFonts w:ascii="宋体" w:hAnsi="宋体"/>
          <w:szCs w:val="28"/>
        </w:rPr>
        <w:t>当出、入段线较长时，出、入段线</w:t>
      </w:r>
      <w:r>
        <w:rPr>
          <w:rFonts w:hint="eastAsia" w:ascii="宋体" w:hAnsi="宋体"/>
          <w:szCs w:val="28"/>
        </w:rPr>
        <w:t>接触网</w:t>
      </w:r>
      <w:r>
        <w:rPr>
          <w:rFonts w:ascii="宋体" w:hAnsi="宋体"/>
          <w:szCs w:val="28"/>
        </w:rPr>
        <w:t>宜由正线邻近牵引变电所单独馈电。</w:t>
      </w:r>
    </w:p>
    <w:p w14:paraId="61A4AD11">
      <w:pPr>
        <w:numPr>
          <w:ilvl w:val="3"/>
          <w:numId w:val="1"/>
        </w:numPr>
        <w:jc w:val="left"/>
        <w:outlineLvl w:val="3"/>
        <w:rPr>
          <w:rFonts w:ascii="宋体" w:hAnsi="宋体"/>
          <w:szCs w:val="28"/>
        </w:rPr>
      </w:pPr>
      <w:r>
        <w:rPr>
          <w:rFonts w:hint="eastAsia" w:ascii="宋体" w:hAnsi="宋体"/>
          <w:szCs w:val="28"/>
        </w:rPr>
        <w:t>车辆基地停车列检库、检修线、场区、试车线应设置独立供电分区，场区供电分区和库内供电分区宜相对应。每个供电分区应设置上网电动隔离开关。停车列检库内供电分区不应少于2个。</w:t>
      </w:r>
    </w:p>
    <w:p w14:paraId="05905F63">
      <w:pPr>
        <w:numPr>
          <w:ilvl w:val="3"/>
          <w:numId w:val="1"/>
        </w:numPr>
        <w:jc w:val="left"/>
        <w:outlineLvl w:val="3"/>
        <w:rPr>
          <w:rFonts w:ascii="宋体" w:hAnsi="宋体"/>
          <w:szCs w:val="28"/>
        </w:rPr>
      </w:pPr>
      <w:r>
        <w:rPr>
          <w:rFonts w:ascii="宋体" w:hAnsi="宋体"/>
          <w:szCs w:val="28"/>
        </w:rPr>
        <w:t>场区供电分区的股道数宜为4个~6个，对于规模较小的停车场供电分区的数量不应少于2个。</w:t>
      </w:r>
    </w:p>
    <w:p w14:paraId="0EA81642">
      <w:pPr>
        <w:numPr>
          <w:ilvl w:val="3"/>
          <w:numId w:val="1"/>
        </w:numPr>
        <w:jc w:val="left"/>
        <w:outlineLvl w:val="3"/>
        <w:rPr>
          <w:rFonts w:ascii="宋体" w:hAnsi="宋体"/>
          <w:szCs w:val="28"/>
        </w:rPr>
      </w:pPr>
      <w:r>
        <w:rPr>
          <w:rFonts w:ascii="宋体" w:hAnsi="宋体"/>
          <w:szCs w:val="28"/>
        </w:rPr>
        <w:t>车辆基地各供电分区之间应设置联络隔离开关，车辆基地牵引用电不应受车辆基地牵引变电所退出的影响。</w:t>
      </w:r>
    </w:p>
    <w:p w14:paraId="616AABC7">
      <w:pPr>
        <w:numPr>
          <w:ilvl w:val="3"/>
          <w:numId w:val="1"/>
        </w:numPr>
        <w:jc w:val="left"/>
        <w:outlineLvl w:val="3"/>
        <w:rPr>
          <w:rFonts w:ascii="宋体" w:hAnsi="宋体"/>
          <w:szCs w:val="28"/>
        </w:rPr>
      </w:pPr>
      <w:r>
        <w:rPr>
          <w:rFonts w:hint="eastAsia" w:ascii="宋体" w:hAnsi="宋体"/>
          <w:szCs w:val="28"/>
        </w:rPr>
        <w:t>直流制式牵引网的架空地线应与牵引变电所接地装置连接，</w:t>
      </w:r>
      <w:r>
        <w:rPr>
          <w:rFonts w:ascii="宋体" w:hAnsi="宋体"/>
          <w:szCs w:val="28"/>
        </w:rPr>
        <w:t>地上线路架空地线进入牵引变电所前应采取防雷措施。</w:t>
      </w:r>
    </w:p>
    <w:p w14:paraId="544CEE46">
      <w:pPr>
        <w:numPr>
          <w:ilvl w:val="3"/>
          <w:numId w:val="1"/>
        </w:numPr>
        <w:jc w:val="left"/>
        <w:outlineLvl w:val="3"/>
        <w:rPr>
          <w:rFonts w:ascii="宋体" w:hAnsi="宋体"/>
          <w:szCs w:val="28"/>
        </w:rPr>
      </w:pPr>
      <w:r>
        <w:rPr>
          <w:rFonts w:hint="eastAsia" w:ascii="宋体" w:hAnsi="宋体"/>
          <w:szCs w:val="28"/>
        </w:rPr>
        <w:t>当采用接触轨供电时，场区供电分区的直流配电柜宜集中布置在牵引变电所附近，应有防雨雪措施。</w:t>
      </w:r>
    </w:p>
    <w:p w14:paraId="265DCC5F">
      <w:pPr>
        <w:numPr>
          <w:ilvl w:val="3"/>
          <w:numId w:val="1"/>
        </w:numPr>
        <w:jc w:val="left"/>
        <w:outlineLvl w:val="3"/>
        <w:rPr>
          <w:rFonts w:ascii="宋体" w:hAnsi="宋体"/>
          <w:szCs w:val="28"/>
        </w:rPr>
      </w:pPr>
      <w:r>
        <w:rPr>
          <w:rFonts w:ascii="宋体" w:hAnsi="宋体"/>
          <w:szCs w:val="28"/>
        </w:rPr>
        <w:t>正线与车辆基地衔接处的电动隔离开关柜附近应设置调度电话。</w:t>
      </w:r>
    </w:p>
    <w:p w14:paraId="77762349">
      <w:pPr>
        <w:numPr>
          <w:ilvl w:val="3"/>
          <w:numId w:val="1"/>
        </w:numPr>
        <w:jc w:val="left"/>
        <w:outlineLvl w:val="3"/>
        <w:rPr>
          <w:rFonts w:ascii="宋体" w:hAnsi="宋体"/>
          <w:szCs w:val="28"/>
        </w:rPr>
      </w:pPr>
      <w:r>
        <w:rPr>
          <w:rFonts w:ascii="宋体" w:hAnsi="宋体"/>
          <w:szCs w:val="28"/>
        </w:rPr>
        <w:t>车辆基地牵引网的设置要求应符合本规范第</w:t>
      </w:r>
      <w:r>
        <w:rPr>
          <w:rFonts w:hint="eastAsia" w:ascii="宋体" w:hAnsi="宋体"/>
          <w:szCs w:val="28"/>
        </w:rPr>
        <w:t>26</w:t>
      </w:r>
      <w:r>
        <w:rPr>
          <w:rFonts w:ascii="宋体" w:hAnsi="宋体"/>
          <w:szCs w:val="28"/>
        </w:rPr>
        <w:t>章的有关规定。</w:t>
      </w:r>
    </w:p>
    <w:p w14:paraId="0A34B25E">
      <w:pPr>
        <w:pStyle w:val="5"/>
        <w:tabs>
          <w:tab w:val="left" w:pos="709"/>
          <w:tab w:val="clear" w:pos="630"/>
          <w:tab w:val="clear" w:pos="1701"/>
        </w:tabs>
      </w:pPr>
      <w:r>
        <w:t>接触轨</w:t>
      </w:r>
    </w:p>
    <w:p w14:paraId="22AB6397">
      <w:pPr>
        <w:numPr>
          <w:ilvl w:val="3"/>
          <w:numId w:val="1"/>
        </w:numPr>
        <w:jc w:val="left"/>
        <w:outlineLvl w:val="3"/>
        <w:rPr>
          <w:rFonts w:ascii="宋体" w:hAnsi="宋体"/>
          <w:szCs w:val="28"/>
        </w:rPr>
      </w:pPr>
      <w:r>
        <w:rPr>
          <w:rFonts w:hint="eastAsia" w:ascii="宋体" w:hAnsi="宋体"/>
          <w:szCs w:val="28"/>
        </w:rPr>
        <w:t xml:space="preserve"> </w:t>
      </w:r>
      <w:r>
        <w:rPr>
          <w:rFonts w:ascii="宋体" w:hAnsi="宋体"/>
          <w:szCs w:val="28"/>
        </w:rPr>
        <w:t>地下区间横向联络通道处的接触轨应设置机械分段，连接电缆及机械分段长度不得影响人员横向穿行联络通道。</w:t>
      </w:r>
    </w:p>
    <w:p w14:paraId="24186E79">
      <w:pPr>
        <w:numPr>
          <w:ilvl w:val="3"/>
          <w:numId w:val="1"/>
        </w:numPr>
        <w:jc w:val="left"/>
        <w:outlineLvl w:val="3"/>
        <w:rPr>
          <w:rFonts w:ascii="宋体" w:hAnsi="宋体"/>
          <w:szCs w:val="28"/>
        </w:rPr>
      </w:pPr>
      <w:r>
        <w:rPr>
          <w:rFonts w:ascii="宋体" w:hAnsi="宋体"/>
          <w:szCs w:val="28"/>
        </w:rPr>
        <w:t>接触轨的锚段长度，应根据环境温度、载流温升、材料线胀系数、伸缩要求确定。</w:t>
      </w:r>
    </w:p>
    <w:p w14:paraId="5852F0E5">
      <w:pPr>
        <w:numPr>
          <w:ilvl w:val="3"/>
          <w:numId w:val="1"/>
        </w:numPr>
        <w:jc w:val="left"/>
        <w:outlineLvl w:val="3"/>
        <w:rPr>
          <w:rFonts w:ascii="宋体" w:hAnsi="宋体"/>
          <w:szCs w:val="28"/>
        </w:rPr>
      </w:pPr>
      <w:r>
        <w:rPr>
          <w:rFonts w:ascii="宋体" w:hAnsi="宋体"/>
          <w:szCs w:val="28"/>
        </w:rPr>
        <w:t>接触轨的支架间距应根据支架结构型式、道床型式、轨枕间距、短路电动力确定。</w:t>
      </w:r>
    </w:p>
    <w:p w14:paraId="00F07256">
      <w:pPr>
        <w:numPr>
          <w:ilvl w:val="3"/>
          <w:numId w:val="1"/>
        </w:numPr>
        <w:jc w:val="left"/>
        <w:outlineLvl w:val="3"/>
        <w:rPr>
          <w:rFonts w:ascii="宋体" w:hAnsi="宋体"/>
          <w:szCs w:val="28"/>
        </w:rPr>
      </w:pPr>
      <w:r>
        <w:rPr>
          <w:rFonts w:ascii="宋体" w:hAnsi="宋体"/>
          <w:szCs w:val="28"/>
        </w:rPr>
        <w:t>接触轨断轨处应设端部弯头。</w:t>
      </w:r>
    </w:p>
    <w:p w14:paraId="235F0B5C">
      <w:pPr>
        <w:numPr>
          <w:ilvl w:val="3"/>
          <w:numId w:val="1"/>
        </w:numPr>
        <w:jc w:val="left"/>
        <w:outlineLvl w:val="3"/>
        <w:rPr>
          <w:rFonts w:ascii="宋体" w:hAnsi="宋体"/>
          <w:szCs w:val="28"/>
        </w:rPr>
      </w:pPr>
      <w:r>
        <w:rPr>
          <w:rFonts w:ascii="宋体" w:hAnsi="宋体"/>
          <w:szCs w:val="28"/>
        </w:rPr>
        <w:t>场区各供电分区的接触轨布置和隔离开关设置应满足独立断电维修的安全要求。</w:t>
      </w:r>
    </w:p>
    <w:p w14:paraId="10439228">
      <w:pPr>
        <w:numPr>
          <w:ilvl w:val="3"/>
          <w:numId w:val="1"/>
        </w:numPr>
        <w:jc w:val="left"/>
        <w:outlineLvl w:val="3"/>
        <w:rPr>
          <w:rFonts w:ascii="宋体" w:hAnsi="宋体"/>
          <w:szCs w:val="28"/>
        </w:rPr>
      </w:pPr>
      <w:r>
        <w:rPr>
          <w:rFonts w:ascii="宋体" w:hAnsi="宋体"/>
          <w:szCs w:val="28"/>
        </w:rPr>
        <w:t>车辆基地各供电分区接触轨应有带电警示标识，不同供电分区的接触轨防护罩应以不同标识区分。</w:t>
      </w:r>
    </w:p>
    <w:p w14:paraId="0B4ABD52">
      <w:pPr>
        <w:numPr>
          <w:ilvl w:val="3"/>
          <w:numId w:val="1"/>
        </w:numPr>
        <w:jc w:val="left"/>
        <w:outlineLvl w:val="3"/>
        <w:rPr>
          <w:rFonts w:ascii="宋体" w:hAnsi="宋体"/>
          <w:szCs w:val="28"/>
        </w:rPr>
      </w:pPr>
      <w:r>
        <w:rPr>
          <w:rFonts w:ascii="宋体" w:hAnsi="宋体"/>
          <w:szCs w:val="28"/>
        </w:rPr>
        <w:t>接触轨电动隔离开关柜应具有观察窗和接触轨带电显示功能。</w:t>
      </w:r>
    </w:p>
    <w:p w14:paraId="4D4DB822">
      <w:pPr>
        <w:numPr>
          <w:ilvl w:val="3"/>
          <w:numId w:val="1"/>
        </w:numPr>
        <w:jc w:val="left"/>
        <w:outlineLvl w:val="3"/>
        <w:rPr>
          <w:rFonts w:ascii="宋体" w:hAnsi="宋体"/>
          <w:szCs w:val="28"/>
        </w:rPr>
      </w:pPr>
      <w:r>
        <w:rPr>
          <w:rFonts w:ascii="宋体" w:hAnsi="宋体"/>
          <w:szCs w:val="28"/>
        </w:rPr>
        <w:t>整体道床段</w:t>
      </w:r>
      <w:r>
        <w:rPr>
          <w:rFonts w:hint="eastAsia" w:ascii="宋体" w:hAnsi="宋体"/>
          <w:szCs w:val="28"/>
        </w:rPr>
        <w:t>接触轨</w:t>
      </w:r>
      <w:r>
        <w:rPr>
          <w:rFonts w:ascii="宋体" w:hAnsi="宋体"/>
          <w:szCs w:val="28"/>
        </w:rPr>
        <w:t>隔离开关柜外壳宜等电位接地。碎石道床段</w:t>
      </w:r>
      <w:r>
        <w:rPr>
          <w:rFonts w:hint="eastAsia" w:ascii="宋体" w:hAnsi="宋体"/>
          <w:szCs w:val="28"/>
        </w:rPr>
        <w:t>接触轨</w:t>
      </w:r>
      <w:r>
        <w:rPr>
          <w:rFonts w:ascii="宋体" w:hAnsi="宋体"/>
          <w:szCs w:val="28"/>
        </w:rPr>
        <w:t>隔离开关柜外壳宜直接接地，或与牵引变电所的接地母排直接连接。</w:t>
      </w:r>
    </w:p>
    <w:p w14:paraId="399DE188">
      <w:pPr>
        <w:numPr>
          <w:ilvl w:val="3"/>
          <w:numId w:val="1"/>
        </w:numPr>
        <w:jc w:val="left"/>
        <w:outlineLvl w:val="3"/>
        <w:rPr>
          <w:rFonts w:ascii="宋体" w:hAnsi="宋体"/>
          <w:szCs w:val="28"/>
        </w:rPr>
      </w:pPr>
      <w:r>
        <w:rPr>
          <w:rFonts w:ascii="宋体" w:hAnsi="宋体"/>
          <w:szCs w:val="28"/>
        </w:rPr>
        <w:t>接触轨支架宜采用复合材料支架。当采用金属支架时，应设置贯通的接地线。</w:t>
      </w:r>
    </w:p>
    <w:p w14:paraId="78E1F339">
      <w:pPr>
        <w:numPr>
          <w:ilvl w:val="3"/>
          <w:numId w:val="1"/>
        </w:numPr>
        <w:jc w:val="left"/>
        <w:outlineLvl w:val="3"/>
        <w:rPr>
          <w:rFonts w:ascii="宋体" w:hAnsi="宋体"/>
          <w:szCs w:val="28"/>
        </w:rPr>
      </w:pPr>
      <w:r>
        <w:rPr>
          <w:rFonts w:ascii="宋体" w:hAnsi="宋体"/>
          <w:szCs w:val="28"/>
        </w:rPr>
        <w:t>接触轨的支撑件应满足机械强度和绝缘耐压的要求，接触轨支撑件应满足人员短时踩踏的要求。</w:t>
      </w:r>
    </w:p>
    <w:p w14:paraId="0F3CC33A">
      <w:pPr>
        <w:pStyle w:val="5"/>
        <w:tabs>
          <w:tab w:val="left" w:pos="709"/>
          <w:tab w:val="clear" w:pos="630"/>
          <w:tab w:val="clear" w:pos="1701"/>
        </w:tabs>
        <w:rPr>
          <w:bCs/>
        </w:rPr>
      </w:pPr>
      <w:r>
        <w:t>架空接触网</w:t>
      </w:r>
    </w:p>
    <w:p w14:paraId="291A42BE">
      <w:pPr>
        <w:numPr>
          <w:ilvl w:val="3"/>
          <w:numId w:val="1"/>
        </w:numPr>
        <w:jc w:val="left"/>
        <w:outlineLvl w:val="3"/>
        <w:rPr>
          <w:rFonts w:ascii="宋体" w:hAnsi="宋体"/>
          <w:szCs w:val="28"/>
        </w:rPr>
      </w:pPr>
      <w:r>
        <w:rPr>
          <w:rFonts w:ascii="宋体" w:hAnsi="宋体"/>
          <w:szCs w:val="28"/>
        </w:rPr>
        <w:t>采用架空接触网的线路，地上线路宜采用柔性架空接触网，地下线路宜采用刚性架空接触网。接触网应保证列车在规定的行车速度内，可靠地向列车受电弓授电。</w:t>
      </w:r>
    </w:p>
    <w:p w14:paraId="6F7F2F1D">
      <w:pPr>
        <w:numPr>
          <w:ilvl w:val="3"/>
          <w:numId w:val="1"/>
        </w:numPr>
        <w:jc w:val="left"/>
        <w:outlineLvl w:val="3"/>
        <w:rPr>
          <w:rFonts w:ascii="宋体" w:hAnsi="宋体"/>
          <w:szCs w:val="28"/>
        </w:rPr>
      </w:pPr>
      <w:r>
        <w:rPr>
          <w:rFonts w:hint="eastAsia" w:ascii="宋体" w:hAnsi="宋体"/>
          <w:szCs w:val="28"/>
        </w:rPr>
        <w:t>柔性架空接触网的各类线材的安全系统应符合《铁路电力牵引供电设计规范》TB 10009的规定。</w:t>
      </w:r>
    </w:p>
    <w:p w14:paraId="7D3F5F4C">
      <w:pPr>
        <w:numPr>
          <w:ilvl w:val="3"/>
          <w:numId w:val="1"/>
        </w:numPr>
        <w:jc w:val="left"/>
        <w:outlineLvl w:val="3"/>
        <w:rPr>
          <w:rFonts w:ascii="宋体" w:hAnsi="宋体"/>
          <w:szCs w:val="28"/>
        </w:rPr>
      </w:pPr>
      <w:r>
        <w:rPr>
          <w:rFonts w:ascii="宋体" w:hAnsi="宋体"/>
          <w:szCs w:val="28"/>
        </w:rPr>
        <w:t>刚性架空接触网宜采用“Π”型铝合金汇流排。</w:t>
      </w:r>
    </w:p>
    <w:p w14:paraId="0337D8E1">
      <w:pPr>
        <w:numPr>
          <w:ilvl w:val="3"/>
          <w:numId w:val="1"/>
        </w:numPr>
        <w:jc w:val="left"/>
        <w:outlineLvl w:val="3"/>
        <w:rPr>
          <w:rFonts w:ascii="宋体" w:hAnsi="宋体"/>
          <w:szCs w:val="28"/>
        </w:rPr>
      </w:pPr>
      <w:r>
        <w:rPr>
          <w:rFonts w:hint="eastAsia" w:ascii="宋体" w:hAnsi="宋体"/>
          <w:szCs w:val="28"/>
        </w:rPr>
        <w:t>架空接触网导线高度应符合下列规定：</w:t>
      </w:r>
    </w:p>
    <w:p w14:paraId="1087E35E">
      <w:pPr>
        <w:numPr>
          <w:ilvl w:val="4"/>
          <w:numId w:val="1"/>
        </w:numPr>
        <w:ind w:firstLine="420"/>
        <w:jc w:val="left"/>
        <w:outlineLvl w:val="4"/>
        <w:rPr>
          <w:bCs/>
          <w:szCs w:val="28"/>
        </w:rPr>
      </w:pPr>
      <w:r>
        <w:rPr>
          <w:rFonts w:hint="eastAsia"/>
          <w:bCs/>
          <w:szCs w:val="28"/>
        </w:rPr>
        <w:t>直流制式架空接触网地上线路接触线距轨面的高度宜为4600mm，困难地段不应低于4400mm；车辆基地的地上线路接触线距轨面的高度宜为5000mm，电气化库内接触线距轨面的高度根据工艺电化要求确定。隧道内接触线距轨面的高度不应小于4040mm。</w:t>
      </w:r>
    </w:p>
    <w:p w14:paraId="482A4665">
      <w:pPr>
        <w:numPr>
          <w:ilvl w:val="4"/>
          <w:numId w:val="1"/>
        </w:numPr>
        <w:ind w:firstLine="420"/>
        <w:jc w:val="left"/>
        <w:outlineLvl w:val="4"/>
        <w:rPr>
          <w:bCs/>
          <w:szCs w:val="28"/>
        </w:rPr>
      </w:pPr>
      <w:r>
        <w:rPr>
          <w:rFonts w:hint="eastAsia"/>
          <w:bCs/>
          <w:szCs w:val="28"/>
        </w:rPr>
        <w:t>交流制式架空接触网接触线距轨面的高度应结合车辆限界、受电弓工作范围、空气绝缘距离、冰雪附加载荷、线路养护维修、施工误差等因素综合确定。</w:t>
      </w:r>
    </w:p>
    <w:p w14:paraId="18DB78D8">
      <w:pPr>
        <w:numPr>
          <w:ilvl w:val="3"/>
          <w:numId w:val="1"/>
        </w:numPr>
        <w:jc w:val="left"/>
        <w:outlineLvl w:val="3"/>
        <w:rPr>
          <w:rFonts w:ascii="宋体" w:hAnsi="宋体"/>
          <w:szCs w:val="28"/>
        </w:rPr>
      </w:pPr>
      <w:r>
        <w:rPr>
          <w:rFonts w:hint="eastAsia" w:ascii="宋体" w:hAnsi="宋体"/>
          <w:szCs w:val="28"/>
        </w:rPr>
        <w:t>柔性架空接触网的接触线高度变化时，最大坡度和最大坡度变化量应符合表16.5.3.5的规定。</w:t>
      </w:r>
      <w:r>
        <w:rPr>
          <w:rFonts w:ascii="宋体" w:hAnsi="宋体"/>
          <w:szCs w:val="28"/>
        </w:rPr>
        <w:t>正线刚性架空接触网</w:t>
      </w:r>
      <w:r>
        <w:rPr>
          <w:rFonts w:hint="eastAsia" w:ascii="宋体" w:hAnsi="宋体"/>
          <w:szCs w:val="28"/>
        </w:rPr>
        <w:t>接触线</w:t>
      </w:r>
      <w:r>
        <w:rPr>
          <w:rFonts w:ascii="宋体" w:hAnsi="宋体"/>
          <w:szCs w:val="28"/>
        </w:rPr>
        <w:t>最大坡度不应大于</w:t>
      </w:r>
      <w:r>
        <w:rPr>
          <w:rFonts w:hint="eastAsia" w:ascii="宋体" w:hAnsi="宋体"/>
          <w:szCs w:val="28"/>
        </w:rPr>
        <w:t>2</w:t>
      </w:r>
      <w:r>
        <w:rPr>
          <w:rFonts w:ascii="宋体" w:hAnsi="宋体"/>
          <w:szCs w:val="28"/>
        </w:rPr>
        <w:t>‰，</w:t>
      </w:r>
      <w:r>
        <w:rPr>
          <w:rFonts w:hint="eastAsia" w:ascii="宋体" w:hAnsi="宋体"/>
          <w:szCs w:val="28"/>
        </w:rPr>
        <w:t>最大</w:t>
      </w:r>
      <w:r>
        <w:rPr>
          <w:rFonts w:ascii="宋体" w:hAnsi="宋体"/>
          <w:szCs w:val="28"/>
        </w:rPr>
        <w:t>坡度变化不应大于</w:t>
      </w:r>
      <w:r>
        <w:rPr>
          <w:rFonts w:hint="eastAsia" w:ascii="宋体" w:hAnsi="宋体"/>
          <w:szCs w:val="28"/>
        </w:rPr>
        <w:t>1</w:t>
      </w:r>
      <w:r>
        <w:rPr>
          <w:rFonts w:ascii="宋体" w:hAnsi="宋体"/>
          <w:szCs w:val="28"/>
        </w:rPr>
        <w:t>‰；当线路运行速度</w:t>
      </w:r>
      <w:r>
        <w:rPr>
          <w:rFonts w:hint="eastAsia" w:ascii="宋体" w:hAnsi="宋体"/>
          <w:szCs w:val="28"/>
        </w:rPr>
        <w:t>超过</w:t>
      </w:r>
      <w:r>
        <w:rPr>
          <w:rFonts w:ascii="宋体" w:hAnsi="宋体"/>
          <w:szCs w:val="28"/>
        </w:rPr>
        <w:t>120km/h时，刚性架空接触网</w:t>
      </w:r>
      <w:r>
        <w:rPr>
          <w:rFonts w:hint="eastAsia" w:ascii="宋体" w:hAnsi="宋体"/>
          <w:szCs w:val="28"/>
        </w:rPr>
        <w:t>接触线</w:t>
      </w:r>
      <w:r>
        <w:rPr>
          <w:rFonts w:ascii="宋体" w:hAnsi="宋体"/>
          <w:szCs w:val="28"/>
        </w:rPr>
        <w:t>最大坡度不应大于</w:t>
      </w:r>
      <w:r>
        <w:rPr>
          <w:rFonts w:hint="eastAsia" w:ascii="宋体" w:hAnsi="宋体"/>
          <w:szCs w:val="28"/>
        </w:rPr>
        <w:t>1</w:t>
      </w:r>
      <w:r>
        <w:rPr>
          <w:rFonts w:ascii="宋体" w:hAnsi="宋体"/>
          <w:szCs w:val="28"/>
        </w:rPr>
        <w:t>‰，</w:t>
      </w:r>
      <w:r>
        <w:rPr>
          <w:rFonts w:hint="eastAsia" w:ascii="宋体" w:hAnsi="宋体"/>
          <w:szCs w:val="28"/>
        </w:rPr>
        <w:t>最大</w:t>
      </w:r>
      <w:r>
        <w:rPr>
          <w:rFonts w:ascii="宋体" w:hAnsi="宋体"/>
          <w:szCs w:val="28"/>
        </w:rPr>
        <w:t>坡度变化不应大于0.5‰。</w:t>
      </w:r>
    </w:p>
    <w:p w14:paraId="36B7BC61">
      <w:pPr>
        <w:jc w:val="center"/>
        <w:outlineLvl w:val="3"/>
        <w:rPr>
          <w:rFonts w:eastAsia="黑体"/>
          <w:sz w:val="18"/>
          <w:szCs w:val="18"/>
        </w:rPr>
      </w:pPr>
      <w:r>
        <w:rPr>
          <w:rFonts w:ascii="宋体" w:hAnsi="宋体"/>
          <w:szCs w:val="28"/>
        </w:rPr>
        <w:br w:type="page"/>
      </w:r>
      <w:r>
        <w:rPr>
          <w:rFonts w:eastAsia="黑体"/>
          <w:sz w:val="18"/>
          <w:szCs w:val="18"/>
        </w:rPr>
        <w:t>表</w:t>
      </w:r>
      <w:r>
        <w:rPr>
          <w:rFonts w:hint="eastAsia" w:eastAsia="黑体"/>
          <w:sz w:val="18"/>
          <w:szCs w:val="18"/>
        </w:rPr>
        <w:t>16.5.3.5  柔性接触线最大坡度及坡度变化</w:t>
      </w:r>
    </w:p>
    <w:tbl>
      <w:tblPr>
        <w:tblStyle w:val="88"/>
        <w:tblW w:w="5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690"/>
        <w:gridCol w:w="1985"/>
      </w:tblGrid>
      <w:tr w14:paraId="7775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90" w:type="dxa"/>
            <w:tcBorders>
              <w:top w:val="single" w:color="333333" w:sz="6" w:space="0"/>
              <w:left w:val="single" w:color="333333" w:sz="6" w:space="0"/>
              <w:bottom w:val="single" w:color="333333" w:sz="6" w:space="0"/>
              <w:right w:val="single" w:color="333333" w:sz="6" w:space="0"/>
            </w:tcBorders>
            <w:tcMar>
              <w:top w:w="0" w:type="dxa"/>
              <w:left w:w="0" w:type="dxa"/>
              <w:bottom w:w="0" w:type="dxa"/>
              <w:right w:w="0" w:type="dxa"/>
            </w:tcMar>
            <w:vAlign w:val="center"/>
          </w:tcPr>
          <w:p w14:paraId="41C29AC6">
            <w:pPr>
              <w:autoSpaceDE w:val="0"/>
              <w:autoSpaceDN w:val="0"/>
              <w:spacing w:line="240" w:lineRule="auto"/>
              <w:jc w:val="center"/>
              <w:rPr>
                <w:kern w:val="0"/>
                <w:sz w:val="15"/>
                <w:szCs w:val="15"/>
              </w:rPr>
            </w:pPr>
            <w:r>
              <w:rPr>
                <w:kern w:val="0"/>
                <w:sz w:val="15"/>
                <w:szCs w:val="15"/>
              </w:rPr>
              <w:t>列车速度</w:t>
            </w:r>
            <w:r>
              <w:rPr>
                <w:rFonts w:hint="eastAsia"/>
                <w:kern w:val="0"/>
                <w:sz w:val="15"/>
                <w:szCs w:val="15"/>
              </w:rPr>
              <w:t>（</w:t>
            </w:r>
            <w:r>
              <w:rPr>
                <w:kern w:val="0"/>
                <w:sz w:val="15"/>
                <w:szCs w:val="15"/>
              </w:rPr>
              <w:t>km/h</w:t>
            </w:r>
            <w:r>
              <w:rPr>
                <w:rFonts w:hint="eastAsia"/>
                <w:kern w:val="0"/>
                <w:sz w:val="15"/>
                <w:szCs w:val="15"/>
              </w:rPr>
              <w:t>）</w:t>
            </w:r>
          </w:p>
        </w:tc>
        <w:tc>
          <w:tcPr>
            <w:tcW w:w="1690" w:type="dxa"/>
            <w:tcBorders>
              <w:top w:val="single" w:color="333333" w:sz="6" w:space="0"/>
              <w:left w:val="single" w:color="333333" w:sz="6" w:space="0"/>
              <w:bottom w:val="single" w:color="333333" w:sz="6" w:space="0"/>
              <w:right w:val="single" w:color="333333" w:sz="6" w:space="0"/>
            </w:tcBorders>
            <w:tcMar>
              <w:top w:w="0" w:type="dxa"/>
              <w:left w:w="0" w:type="dxa"/>
              <w:bottom w:w="0" w:type="dxa"/>
              <w:right w:w="0" w:type="dxa"/>
            </w:tcMar>
            <w:vAlign w:val="center"/>
          </w:tcPr>
          <w:p w14:paraId="61B866FC">
            <w:pPr>
              <w:autoSpaceDE w:val="0"/>
              <w:autoSpaceDN w:val="0"/>
              <w:spacing w:line="240" w:lineRule="auto"/>
              <w:jc w:val="center"/>
              <w:rPr>
                <w:kern w:val="0"/>
                <w:sz w:val="15"/>
                <w:szCs w:val="15"/>
              </w:rPr>
            </w:pPr>
            <w:r>
              <w:rPr>
                <w:kern w:val="0"/>
                <w:sz w:val="15"/>
                <w:szCs w:val="15"/>
              </w:rPr>
              <w:t>接触线最大坡度</w:t>
            </w:r>
            <w:r>
              <w:rPr>
                <w:rFonts w:hint="eastAsia"/>
                <w:kern w:val="0"/>
                <w:sz w:val="15"/>
                <w:szCs w:val="15"/>
              </w:rPr>
              <w:t>（</w:t>
            </w:r>
            <w:r>
              <w:rPr>
                <w:kern w:val="0"/>
                <w:sz w:val="15"/>
                <w:szCs w:val="15"/>
              </w:rPr>
              <w:t>‰</w:t>
            </w:r>
            <w:r>
              <w:rPr>
                <w:rFonts w:hint="eastAsia"/>
                <w:kern w:val="0"/>
                <w:sz w:val="15"/>
                <w:szCs w:val="15"/>
              </w:rPr>
              <w:t>）</w:t>
            </w:r>
          </w:p>
        </w:tc>
        <w:tc>
          <w:tcPr>
            <w:tcW w:w="1985" w:type="dxa"/>
            <w:tcBorders>
              <w:top w:val="single" w:color="333333" w:sz="6" w:space="0"/>
              <w:left w:val="single" w:color="333333" w:sz="6" w:space="0"/>
              <w:bottom w:val="single" w:color="333333" w:sz="6" w:space="0"/>
              <w:right w:val="single" w:color="333333" w:sz="6" w:space="0"/>
            </w:tcBorders>
            <w:tcMar>
              <w:top w:w="0" w:type="dxa"/>
              <w:left w:w="0" w:type="dxa"/>
              <w:bottom w:w="0" w:type="dxa"/>
              <w:right w:w="0" w:type="dxa"/>
            </w:tcMar>
            <w:vAlign w:val="center"/>
          </w:tcPr>
          <w:p w14:paraId="7A53AF34">
            <w:pPr>
              <w:autoSpaceDE w:val="0"/>
              <w:autoSpaceDN w:val="0"/>
              <w:spacing w:line="240" w:lineRule="auto"/>
              <w:jc w:val="center"/>
              <w:rPr>
                <w:kern w:val="0"/>
                <w:sz w:val="15"/>
                <w:szCs w:val="15"/>
              </w:rPr>
            </w:pPr>
            <w:r>
              <w:rPr>
                <w:kern w:val="0"/>
                <w:sz w:val="15"/>
                <w:szCs w:val="15"/>
              </w:rPr>
              <w:t>接触线最大坡度变化</w:t>
            </w:r>
            <w:r>
              <w:rPr>
                <w:rFonts w:hint="eastAsia"/>
                <w:kern w:val="0"/>
                <w:sz w:val="15"/>
                <w:szCs w:val="15"/>
              </w:rPr>
              <w:t>（</w:t>
            </w:r>
            <w:r>
              <w:rPr>
                <w:kern w:val="0"/>
                <w:sz w:val="15"/>
                <w:szCs w:val="15"/>
              </w:rPr>
              <w:t>‰</w:t>
            </w:r>
            <w:r>
              <w:rPr>
                <w:rFonts w:hint="eastAsia"/>
                <w:kern w:val="0"/>
                <w:sz w:val="15"/>
                <w:szCs w:val="15"/>
              </w:rPr>
              <w:t>）</w:t>
            </w:r>
          </w:p>
        </w:tc>
      </w:tr>
      <w:tr w14:paraId="0CED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90" w:type="dxa"/>
            <w:tcBorders>
              <w:top w:val="single" w:color="333333" w:sz="6" w:space="0"/>
              <w:left w:val="single" w:color="333333" w:sz="6" w:space="0"/>
              <w:bottom w:val="single" w:color="333333" w:sz="6" w:space="0"/>
              <w:right w:val="single" w:color="333333" w:sz="6" w:space="0"/>
            </w:tcBorders>
            <w:tcMar>
              <w:top w:w="0" w:type="dxa"/>
              <w:left w:w="0" w:type="dxa"/>
              <w:bottom w:w="0" w:type="dxa"/>
              <w:right w:w="0" w:type="dxa"/>
            </w:tcMar>
            <w:vAlign w:val="center"/>
          </w:tcPr>
          <w:p w14:paraId="6CF24D1A">
            <w:pPr>
              <w:autoSpaceDE w:val="0"/>
              <w:autoSpaceDN w:val="0"/>
              <w:spacing w:line="240" w:lineRule="auto"/>
              <w:jc w:val="center"/>
              <w:rPr>
                <w:kern w:val="0"/>
                <w:sz w:val="15"/>
                <w:szCs w:val="15"/>
              </w:rPr>
            </w:pPr>
            <w:r>
              <w:rPr>
                <w:kern w:val="0"/>
                <w:sz w:val="15"/>
                <w:szCs w:val="15"/>
              </w:rPr>
              <w:t>10</w:t>
            </w:r>
          </w:p>
        </w:tc>
        <w:tc>
          <w:tcPr>
            <w:tcW w:w="1690" w:type="dxa"/>
            <w:tcBorders>
              <w:top w:val="single" w:color="CBCDD1" w:sz="6" w:space="0"/>
              <w:left w:val="single" w:color="333333" w:sz="6" w:space="0"/>
              <w:bottom w:val="single" w:color="333333" w:sz="6" w:space="0"/>
              <w:right w:val="single" w:color="333333" w:sz="6" w:space="0"/>
            </w:tcBorders>
            <w:tcMar>
              <w:top w:w="0" w:type="dxa"/>
              <w:left w:w="0" w:type="dxa"/>
              <w:bottom w:w="0" w:type="dxa"/>
              <w:right w:w="0" w:type="dxa"/>
            </w:tcMar>
            <w:vAlign w:val="center"/>
          </w:tcPr>
          <w:p w14:paraId="2684C6D3">
            <w:pPr>
              <w:autoSpaceDE w:val="0"/>
              <w:autoSpaceDN w:val="0"/>
              <w:spacing w:line="240" w:lineRule="auto"/>
              <w:jc w:val="center"/>
              <w:rPr>
                <w:kern w:val="0"/>
                <w:sz w:val="15"/>
                <w:szCs w:val="15"/>
              </w:rPr>
            </w:pPr>
            <w:r>
              <w:rPr>
                <w:kern w:val="0"/>
                <w:sz w:val="15"/>
                <w:szCs w:val="15"/>
              </w:rPr>
              <w:t>40</w:t>
            </w:r>
          </w:p>
        </w:tc>
        <w:tc>
          <w:tcPr>
            <w:tcW w:w="1985" w:type="dxa"/>
            <w:tcBorders>
              <w:top w:val="single" w:color="CBCDD1" w:sz="6" w:space="0"/>
              <w:left w:val="single" w:color="333333" w:sz="6" w:space="0"/>
              <w:bottom w:val="single" w:color="333333" w:sz="6" w:space="0"/>
              <w:right w:val="single" w:color="333333" w:sz="6" w:space="0"/>
            </w:tcBorders>
            <w:tcMar>
              <w:top w:w="0" w:type="dxa"/>
              <w:left w:w="0" w:type="dxa"/>
              <w:bottom w:w="0" w:type="dxa"/>
              <w:right w:w="0" w:type="dxa"/>
            </w:tcMar>
            <w:vAlign w:val="center"/>
          </w:tcPr>
          <w:p w14:paraId="4ECC412D">
            <w:pPr>
              <w:autoSpaceDE w:val="0"/>
              <w:autoSpaceDN w:val="0"/>
              <w:spacing w:line="240" w:lineRule="auto"/>
              <w:jc w:val="center"/>
              <w:rPr>
                <w:kern w:val="0"/>
                <w:sz w:val="15"/>
                <w:szCs w:val="15"/>
              </w:rPr>
            </w:pPr>
            <w:r>
              <w:rPr>
                <w:kern w:val="0"/>
                <w:sz w:val="15"/>
                <w:szCs w:val="15"/>
              </w:rPr>
              <w:t>20</w:t>
            </w:r>
          </w:p>
        </w:tc>
      </w:tr>
      <w:tr w14:paraId="3C91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90" w:type="dxa"/>
            <w:tcBorders>
              <w:top w:val="single" w:color="333333" w:sz="6" w:space="0"/>
              <w:left w:val="single" w:color="333333" w:sz="6" w:space="0"/>
              <w:bottom w:val="single" w:color="333333" w:sz="6" w:space="0"/>
              <w:right w:val="single" w:color="333333" w:sz="6" w:space="0"/>
            </w:tcBorders>
            <w:tcMar>
              <w:top w:w="0" w:type="dxa"/>
              <w:left w:w="0" w:type="dxa"/>
              <w:bottom w:w="0" w:type="dxa"/>
              <w:right w:w="0" w:type="dxa"/>
            </w:tcMar>
            <w:vAlign w:val="center"/>
          </w:tcPr>
          <w:p w14:paraId="05040E42">
            <w:pPr>
              <w:autoSpaceDE w:val="0"/>
              <w:autoSpaceDN w:val="0"/>
              <w:spacing w:line="240" w:lineRule="auto"/>
              <w:jc w:val="center"/>
              <w:rPr>
                <w:kern w:val="0"/>
                <w:sz w:val="15"/>
                <w:szCs w:val="15"/>
              </w:rPr>
            </w:pPr>
            <w:r>
              <w:rPr>
                <w:kern w:val="0"/>
                <w:sz w:val="15"/>
                <w:szCs w:val="15"/>
              </w:rPr>
              <w:t>30</w:t>
            </w:r>
          </w:p>
        </w:tc>
        <w:tc>
          <w:tcPr>
            <w:tcW w:w="1690" w:type="dxa"/>
            <w:tcBorders>
              <w:top w:val="single" w:color="CBCDD1" w:sz="6" w:space="0"/>
              <w:left w:val="single" w:color="333333" w:sz="6" w:space="0"/>
              <w:bottom w:val="single" w:color="333333" w:sz="6" w:space="0"/>
              <w:right w:val="single" w:color="333333" w:sz="6" w:space="0"/>
            </w:tcBorders>
            <w:tcMar>
              <w:top w:w="0" w:type="dxa"/>
              <w:left w:w="0" w:type="dxa"/>
              <w:bottom w:w="0" w:type="dxa"/>
              <w:right w:w="0" w:type="dxa"/>
            </w:tcMar>
            <w:vAlign w:val="center"/>
          </w:tcPr>
          <w:p w14:paraId="07A3A716">
            <w:pPr>
              <w:autoSpaceDE w:val="0"/>
              <w:autoSpaceDN w:val="0"/>
              <w:spacing w:line="240" w:lineRule="auto"/>
              <w:jc w:val="center"/>
              <w:rPr>
                <w:kern w:val="0"/>
                <w:sz w:val="15"/>
                <w:szCs w:val="15"/>
              </w:rPr>
            </w:pPr>
            <w:r>
              <w:rPr>
                <w:kern w:val="0"/>
                <w:sz w:val="15"/>
                <w:szCs w:val="15"/>
              </w:rPr>
              <w:t>20</w:t>
            </w:r>
          </w:p>
        </w:tc>
        <w:tc>
          <w:tcPr>
            <w:tcW w:w="1985" w:type="dxa"/>
            <w:tcBorders>
              <w:top w:val="single" w:color="CBCDD1" w:sz="6" w:space="0"/>
              <w:left w:val="single" w:color="333333" w:sz="6" w:space="0"/>
              <w:bottom w:val="single" w:color="333333" w:sz="6" w:space="0"/>
              <w:right w:val="single" w:color="333333" w:sz="6" w:space="0"/>
            </w:tcBorders>
            <w:tcMar>
              <w:top w:w="0" w:type="dxa"/>
              <w:left w:w="0" w:type="dxa"/>
              <w:bottom w:w="0" w:type="dxa"/>
              <w:right w:w="0" w:type="dxa"/>
            </w:tcMar>
            <w:vAlign w:val="center"/>
          </w:tcPr>
          <w:p w14:paraId="2C4DB7CF">
            <w:pPr>
              <w:autoSpaceDE w:val="0"/>
              <w:autoSpaceDN w:val="0"/>
              <w:spacing w:line="240" w:lineRule="auto"/>
              <w:jc w:val="center"/>
              <w:rPr>
                <w:kern w:val="0"/>
                <w:sz w:val="15"/>
                <w:szCs w:val="15"/>
              </w:rPr>
            </w:pPr>
            <w:r>
              <w:rPr>
                <w:kern w:val="0"/>
                <w:sz w:val="15"/>
                <w:szCs w:val="15"/>
              </w:rPr>
              <w:t>10</w:t>
            </w:r>
          </w:p>
        </w:tc>
      </w:tr>
      <w:tr w14:paraId="171D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90" w:type="dxa"/>
            <w:tcBorders>
              <w:top w:val="single" w:color="333333" w:sz="6" w:space="0"/>
              <w:left w:val="single" w:color="333333" w:sz="6" w:space="0"/>
              <w:bottom w:val="single" w:color="333333" w:sz="6" w:space="0"/>
              <w:right w:val="single" w:color="333333" w:sz="6" w:space="0"/>
            </w:tcBorders>
            <w:tcMar>
              <w:top w:w="0" w:type="dxa"/>
              <w:left w:w="0" w:type="dxa"/>
              <w:bottom w:w="0" w:type="dxa"/>
              <w:right w:w="0" w:type="dxa"/>
            </w:tcMar>
            <w:vAlign w:val="center"/>
          </w:tcPr>
          <w:p w14:paraId="2A279DA2">
            <w:pPr>
              <w:autoSpaceDE w:val="0"/>
              <w:autoSpaceDN w:val="0"/>
              <w:spacing w:line="240" w:lineRule="auto"/>
              <w:jc w:val="center"/>
              <w:rPr>
                <w:kern w:val="0"/>
                <w:sz w:val="15"/>
                <w:szCs w:val="15"/>
              </w:rPr>
            </w:pPr>
            <w:r>
              <w:rPr>
                <w:kern w:val="0"/>
                <w:sz w:val="15"/>
                <w:szCs w:val="15"/>
              </w:rPr>
              <w:t>60</w:t>
            </w:r>
          </w:p>
        </w:tc>
        <w:tc>
          <w:tcPr>
            <w:tcW w:w="1690" w:type="dxa"/>
            <w:tcBorders>
              <w:top w:val="single" w:color="CBCDD1" w:sz="6" w:space="0"/>
              <w:left w:val="single" w:color="333333" w:sz="6" w:space="0"/>
              <w:bottom w:val="single" w:color="333333" w:sz="6" w:space="0"/>
              <w:right w:val="single" w:color="333333" w:sz="6" w:space="0"/>
            </w:tcBorders>
            <w:tcMar>
              <w:top w:w="0" w:type="dxa"/>
              <w:left w:w="0" w:type="dxa"/>
              <w:bottom w:w="0" w:type="dxa"/>
              <w:right w:w="0" w:type="dxa"/>
            </w:tcMar>
            <w:vAlign w:val="center"/>
          </w:tcPr>
          <w:p w14:paraId="4CD71409">
            <w:pPr>
              <w:autoSpaceDE w:val="0"/>
              <w:autoSpaceDN w:val="0"/>
              <w:spacing w:line="240" w:lineRule="auto"/>
              <w:jc w:val="center"/>
              <w:rPr>
                <w:kern w:val="0"/>
                <w:sz w:val="15"/>
                <w:szCs w:val="15"/>
              </w:rPr>
            </w:pPr>
            <w:r>
              <w:rPr>
                <w:kern w:val="0"/>
                <w:sz w:val="15"/>
                <w:szCs w:val="15"/>
              </w:rPr>
              <w:t>10</w:t>
            </w:r>
          </w:p>
        </w:tc>
        <w:tc>
          <w:tcPr>
            <w:tcW w:w="1985" w:type="dxa"/>
            <w:tcBorders>
              <w:top w:val="single" w:color="CBCDD1" w:sz="6" w:space="0"/>
              <w:left w:val="single" w:color="333333" w:sz="6" w:space="0"/>
              <w:bottom w:val="single" w:color="333333" w:sz="6" w:space="0"/>
              <w:right w:val="single" w:color="333333" w:sz="6" w:space="0"/>
            </w:tcBorders>
            <w:tcMar>
              <w:top w:w="0" w:type="dxa"/>
              <w:left w:w="0" w:type="dxa"/>
              <w:bottom w:w="0" w:type="dxa"/>
              <w:right w:w="0" w:type="dxa"/>
            </w:tcMar>
            <w:vAlign w:val="center"/>
          </w:tcPr>
          <w:p w14:paraId="72288258">
            <w:pPr>
              <w:autoSpaceDE w:val="0"/>
              <w:autoSpaceDN w:val="0"/>
              <w:spacing w:line="240" w:lineRule="auto"/>
              <w:jc w:val="center"/>
              <w:rPr>
                <w:kern w:val="0"/>
                <w:sz w:val="15"/>
                <w:szCs w:val="15"/>
              </w:rPr>
            </w:pPr>
            <w:r>
              <w:rPr>
                <w:kern w:val="0"/>
                <w:sz w:val="15"/>
                <w:szCs w:val="15"/>
              </w:rPr>
              <w:t>5</w:t>
            </w:r>
          </w:p>
        </w:tc>
      </w:tr>
      <w:tr w14:paraId="413D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90" w:type="dxa"/>
            <w:tcBorders>
              <w:top w:val="single" w:color="333333" w:sz="6" w:space="0"/>
              <w:left w:val="single" w:color="333333" w:sz="6" w:space="0"/>
              <w:bottom w:val="single" w:color="auto" w:sz="4" w:space="0"/>
              <w:right w:val="single" w:color="333333" w:sz="6" w:space="0"/>
            </w:tcBorders>
            <w:tcMar>
              <w:top w:w="0" w:type="dxa"/>
              <w:left w:w="0" w:type="dxa"/>
              <w:bottom w:w="0" w:type="dxa"/>
              <w:right w:w="0" w:type="dxa"/>
            </w:tcMar>
            <w:vAlign w:val="center"/>
          </w:tcPr>
          <w:p w14:paraId="5EAFC975">
            <w:pPr>
              <w:autoSpaceDE w:val="0"/>
              <w:autoSpaceDN w:val="0"/>
              <w:spacing w:line="240" w:lineRule="auto"/>
              <w:jc w:val="center"/>
              <w:rPr>
                <w:kern w:val="0"/>
                <w:sz w:val="15"/>
                <w:szCs w:val="15"/>
              </w:rPr>
            </w:pPr>
            <w:r>
              <w:rPr>
                <w:kern w:val="0"/>
                <w:sz w:val="15"/>
                <w:szCs w:val="15"/>
              </w:rPr>
              <w:t>90</w:t>
            </w:r>
          </w:p>
        </w:tc>
        <w:tc>
          <w:tcPr>
            <w:tcW w:w="1690" w:type="dxa"/>
            <w:tcBorders>
              <w:top w:val="single" w:color="CBCDD1" w:sz="6" w:space="0"/>
              <w:left w:val="single" w:color="333333" w:sz="6" w:space="0"/>
              <w:bottom w:val="single" w:color="auto" w:sz="4" w:space="0"/>
              <w:right w:val="single" w:color="333333" w:sz="6" w:space="0"/>
            </w:tcBorders>
            <w:tcMar>
              <w:top w:w="0" w:type="dxa"/>
              <w:left w:w="0" w:type="dxa"/>
              <w:bottom w:w="0" w:type="dxa"/>
              <w:right w:w="0" w:type="dxa"/>
            </w:tcMar>
            <w:vAlign w:val="center"/>
          </w:tcPr>
          <w:p w14:paraId="18D06D91">
            <w:pPr>
              <w:autoSpaceDE w:val="0"/>
              <w:autoSpaceDN w:val="0"/>
              <w:spacing w:line="240" w:lineRule="auto"/>
              <w:jc w:val="center"/>
              <w:rPr>
                <w:kern w:val="0"/>
                <w:sz w:val="15"/>
                <w:szCs w:val="15"/>
              </w:rPr>
            </w:pPr>
            <w:r>
              <w:rPr>
                <w:kern w:val="0"/>
                <w:sz w:val="15"/>
                <w:szCs w:val="15"/>
              </w:rPr>
              <w:t>6</w:t>
            </w:r>
          </w:p>
        </w:tc>
        <w:tc>
          <w:tcPr>
            <w:tcW w:w="1985" w:type="dxa"/>
            <w:tcBorders>
              <w:top w:val="single" w:color="CBCDD1" w:sz="6" w:space="0"/>
              <w:left w:val="single" w:color="333333" w:sz="6" w:space="0"/>
              <w:bottom w:val="single" w:color="auto" w:sz="4" w:space="0"/>
              <w:right w:val="single" w:color="333333" w:sz="6" w:space="0"/>
            </w:tcBorders>
            <w:tcMar>
              <w:top w:w="0" w:type="dxa"/>
              <w:left w:w="0" w:type="dxa"/>
              <w:bottom w:w="0" w:type="dxa"/>
              <w:right w:w="0" w:type="dxa"/>
            </w:tcMar>
            <w:vAlign w:val="center"/>
          </w:tcPr>
          <w:p w14:paraId="0F0801E9">
            <w:pPr>
              <w:autoSpaceDE w:val="0"/>
              <w:autoSpaceDN w:val="0"/>
              <w:spacing w:line="240" w:lineRule="auto"/>
              <w:jc w:val="center"/>
              <w:rPr>
                <w:kern w:val="0"/>
                <w:sz w:val="15"/>
                <w:szCs w:val="15"/>
              </w:rPr>
            </w:pPr>
            <w:r>
              <w:rPr>
                <w:kern w:val="0"/>
                <w:sz w:val="15"/>
                <w:szCs w:val="15"/>
              </w:rPr>
              <w:t>3</w:t>
            </w:r>
          </w:p>
        </w:tc>
      </w:tr>
      <w:tr w14:paraId="2497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9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02420127">
            <w:pPr>
              <w:autoSpaceDE w:val="0"/>
              <w:autoSpaceDN w:val="0"/>
              <w:spacing w:line="240" w:lineRule="auto"/>
              <w:jc w:val="center"/>
              <w:rPr>
                <w:kern w:val="0"/>
                <w:sz w:val="15"/>
                <w:szCs w:val="15"/>
              </w:rPr>
            </w:pPr>
            <w:r>
              <w:rPr>
                <w:kern w:val="0"/>
                <w:sz w:val="15"/>
                <w:szCs w:val="15"/>
              </w:rPr>
              <w:t>100</w:t>
            </w:r>
          </w:p>
        </w:tc>
        <w:tc>
          <w:tcPr>
            <w:tcW w:w="169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932E92B">
            <w:pPr>
              <w:autoSpaceDE w:val="0"/>
              <w:autoSpaceDN w:val="0"/>
              <w:spacing w:line="240" w:lineRule="auto"/>
              <w:jc w:val="center"/>
              <w:rPr>
                <w:kern w:val="0"/>
                <w:sz w:val="15"/>
                <w:szCs w:val="15"/>
              </w:rPr>
            </w:pPr>
            <w:r>
              <w:rPr>
                <w:kern w:val="0"/>
                <w:sz w:val="15"/>
                <w:szCs w:val="15"/>
              </w:rPr>
              <w:t>5</w:t>
            </w:r>
          </w:p>
        </w:tc>
        <w:tc>
          <w:tcPr>
            <w:tcW w:w="198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127F2B5">
            <w:pPr>
              <w:autoSpaceDE w:val="0"/>
              <w:autoSpaceDN w:val="0"/>
              <w:spacing w:line="240" w:lineRule="auto"/>
              <w:jc w:val="center"/>
              <w:rPr>
                <w:kern w:val="0"/>
                <w:sz w:val="15"/>
                <w:szCs w:val="15"/>
              </w:rPr>
            </w:pPr>
            <w:r>
              <w:rPr>
                <w:kern w:val="0"/>
                <w:sz w:val="15"/>
                <w:szCs w:val="15"/>
              </w:rPr>
              <w:t>2</w:t>
            </w:r>
            <w:r>
              <w:rPr>
                <w:rFonts w:hint="eastAsia"/>
                <w:kern w:val="0"/>
                <w:sz w:val="15"/>
                <w:szCs w:val="15"/>
              </w:rPr>
              <w:t>.5</w:t>
            </w:r>
          </w:p>
        </w:tc>
      </w:tr>
      <w:tr w14:paraId="4C4A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9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074589D">
            <w:pPr>
              <w:autoSpaceDE w:val="0"/>
              <w:autoSpaceDN w:val="0"/>
              <w:spacing w:line="240" w:lineRule="auto"/>
              <w:jc w:val="center"/>
              <w:rPr>
                <w:kern w:val="0"/>
                <w:sz w:val="15"/>
                <w:szCs w:val="15"/>
              </w:rPr>
            </w:pPr>
            <w:r>
              <w:rPr>
                <w:rFonts w:hint="eastAsia"/>
                <w:kern w:val="0"/>
                <w:sz w:val="15"/>
                <w:szCs w:val="15"/>
              </w:rPr>
              <w:t>120</w:t>
            </w:r>
          </w:p>
        </w:tc>
        <w:tc>
          <w:tcPr>
            <w:tcW w:w="169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A78604B">
            <w:pPr>
              <w:autoSpaceDE w:val="0"/>
              <w:autoSpaceDN w:val="0"/>
              <w:spacing w:line="240" w:lineRule="auto"/>
              <w:jc w:val="center"/>
              <w:rPr>
                <w:kern w:val="0"/>
                <w:sz w:val="15"/>
                <w:szCs w:val="15"/>
              </w:rPr>
            </w:pPr>
            <w:r>
              <w:rPr>
                <w:rFonts w:hint="eastAsia"/>
                <w:kern w:val="0"/>
                <w:sz w:val="15"/>
                <w:szCs w:val="15"/>
              </w:rPr>
              <w:t>4</w:t>
            </w:r>
          </w:p>
        </w:tc>
        <w:tc>
          <w:tcPr>
            <w:tcW w:w="198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712EE3F">
            <w:pPr>
              <w:autoSpaceDE w:val="0"/>
              <w:autoSpaceDN w:val="0"/>
              <w:spacing w:line="240" w:lineRule="auto"/>
              <w:jc w:val="center"/>
              <w:rPr>
                <w:kern w:val="0"/>
                <w:sz w:val="15"/>
                <w:szCs w:val="15"/>
              </w:rPr>
            </w:pPr>
            <w:r>
              <w:rPr>
                <w:rFonts w:hint="eastAsia"/>
                <w:kern w:val="0"/>
                <w:sz w:val="15"/>
                <w:szCs w:val="15"/>
              </w:rPr>
              <w:t>2</w:t>
            </w:r>
          </w:p>
        </w:tc>
      </w:tr>
      <w:tr w14:paraId="4F300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9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718FC0C">
            <w:pPr>
              <w:autoSpaceDE w:val="0"/>
              <w:autoSpaceDN w:val="0"/>
              <w:spacing w:line="240" w:lineRule="auto"/>
              <w:jc w:val="center"/>
              <w:rPr>
                <w:kern w:val="0"/>
                <w:sz w:val="15"/>
                <w:szCs w:val="15"/>
              </w:rPr>
            </w:pPr>
            <w:r>
              <w:rPr>
                <w:rFonts w:hint="eastAsia"/>
                <w:kern w:val="0"/>
                <w:sz w:val="15"/>
                <w:szCs w:val="15"/>
              </w:rPr>
              <w:t>140</w:t>
            </w:r>
          </w:p>
        </w:tc>
        <w:tc>
          <w:tcPr>
            <w:tcW w:w="169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48A471A">
            <w:pPr>
              <w:autoSpaceDE w:val="0"/>
              <w:autoSpaceDN w:val="0"/>
              <w:spacing w:line="240" w:lineRule="auto"/>
              <w:jc w:val="center"/>
              <w:rPr>
                <w:kern w:val="0"/>
                <w:sz w:val="15"/>
                <w:szCs w:val="15"/>
              </w:rPr>
            </w:pPr>
            <w:r>
              <w:rPr>
                <w:rFonts w:hint="eastAsia"/>
                <w:kern w:val="0"/>
                <w:sz w:val="15"/>
                <w:szCs w:val="15"/>
              </w:rPr>
              <w:t>3.5</w:t>
            </w:r>
          </w:p>
        </w:tc>
        <w:tc>
          <w:tcPr>
            <w:tcW w:w="198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07D69C1F">
            <w:pPr>
              <w:autoSpaceDE w:val="0"/>
              <w:autoSpaceDN w:val="0"/>
              <w:spacing w:line="240" w:lineRule="auto"/>
              <w:jc w:val="center"/>
              <w:rPr>
                <w:kern w:val="0"/>
                <w:sz w:val="15"/>
                <w:szCs w:val="15"/>
              </w:rPr>
            </w:pPr>
            <w:r>
              <w:rPr>
                <w:rFonts w:hint="eastAsia"/>
                <w:kern w:val="0"/>
                <w:sz w:val="15"/>
                <w:szCs w:val="15"/>
              </w:rPr>
              <w:t>1.8</w:t>
            </w:r>
          </w:p>
        </w:tc>
      </w:tr>
    </w:tbl>
    <w:p w14:paraId="004C772C">
      <w:pPr>
        <w:numPr>
          <w:ilvl w:val="3"/>
          <w:numId w:val="1"/>
        </w:numPr>
        <w:jc w:val="left"/>
        <w:outlineLvl w:val="3"/>
        <w:rPr>
          <w:rFonts w:ascii="宋体" w:hAnsi="宋体"/>
          <w:szCs w:val="28"/>
        </w:rPr>
      </w:pPr>
      <w:r>
        <w:rPr>
          <w:rFonts w:ascii="宋体" w:hAnsi="宋体"/>
          <w:szCs w:val="28"/>
        </w:rPr>
        <w:t>架空接触线的布置，应保证受电弓磨耗均匀，并</w:t>
      </w:r>
      <w:r>
        <w:rPr>
          <w:rFonts w:hint="eastAsia" w:ascii="宋体" w:hAnsi="宋体"/>
          <w:szCs w:val="28"/>
        </w:rPr>
        <w:t>应符合下列规定：</w:t>
      </w:r>
    </w:p>
    <w:p w14:paraId="1084874A">
      <w:pPr>
        <w:numPr>
          <w:ilvl w:val="4"/>
          <w:numId w:val="1"/>
        </w:numPr>
        <w:ind w:firstLine="420"/>
        <w:jc w:val="left"/>
        <w:outlineLvl w:val="4"/>
        <w:rPr>
          <w:bCs/>
          <w:szCs w:val="28"/>
        </w:rPr>
      </w:pPr>
      <w:r>
        <w:rPr>
          <w:bCs/>
          <w:szCs w:val="28"/>
        </w:rPr>
        <w:t>在直线区段沿受电弓中心两侧，柔性架空接触网接触线应呈“之”字形布置，拉出值宜为±200mm；刚性架空接触网一个锚段范围内的布置宜呈正弦波形态，拉出值不宜大于±250mm，锚段中部定位点拉出值宜为零。接触线相对受电弓中心线的最大偏移量应小于受电弓工作宽度的一半；</w:t>
      </w:r>
    </w:p>
    <w:p w14:paraId="4746CD1E">
      <w:pPr>
        <w:numPr>
          <w:ilvl w:val="4"/>
          <w:numId w:val="1"/>
        </w:numPr>
        <w:ind w:firstLine="420"/>
        <w:jc w:val="left"/>
        <w:outlineLvl w:val="4"/>
        <w:rPr>
          <w:bCs/>
          <w:szCs w:val="28"/>
        </w:rPr>
      </w:pPr>
      <w:r>
        <w:rPr>
          <w:bCs/>
          <w:szCs w:val="28"/>
        </w:rPr>
        <w:t>在曲线区段，架空接触网应根据曲线半径、超高值、接触悬挂跨距选取拉出值，拉出值方向宜向曲线外布置。</w:t>
      </w:r>
    </w:p>
    <w:p w14:paraId="0237D8B1">
      <w:pPr>
        <w:numPr>
          <w:ilvl w:val="3"/>
          <w:numId w:val="1"/>
        </w:numPr>
        <w:jc w:val="left"/>
        <w:outlineLvl w:val="3"/>
        <w:rPr>
          <w:rFonts w:ascii="宋体" w:hAnsi="宋体"/>
          <w:szCs w:val="28"/>
        </w:rPr>
      </w:pPr>
      <w:r>
        <w:rPr>
          <w:rFonts w:hint="eastAsia" w:ascii="宋体" w:hAnsi="宋体"/>
          <w:szCs w:val="28"/>
        </w:rPr>
        <w:t>柔性架空接触网锚段长度应根据补偿的接触线和承力索的张力差确定，锚段长度不宜大于1500m。刚性架空接触网的锚段长度，应根据环境温度、载流温升、材料线胀系数、伸缩要求确定，垂直悬挂锚段长度不宜大于250m，水平悬挂锚段长度不宜大于500m。</w:t>
      </w:r>
    </w:p>
    <w:p w14:paraId="3380AD5B">
      <w:pPr>
        <w:numPr>
          <w:ilvl w:val="3"/>
          <w:numId w:val="1"/>
        </w:numPr>
        <w:jc w:val="left"/>
        <w:outlineLvl w:val="3"/>
        <w:rPr>
          <w:rFonts w:ascii="宋体" w:hAnsi="宋体"/>
          <w:szCs w:val="28"/>
        </w:rPr>
      </w:pPr>
      <w:r>
        <w:rPr>
          <w:rFonts w:ascii="宋体" w:hAnsi="宋体"/>
          <w:szCs w:val="28"/>
        </w:rPr>
        <w:t>在柔性架空接触网与刚性架空接触网的衔接处，应设置刚柔过渡设施。</w:t>
      </w:r>
    </w:p>
    <w:p w14:paraId="6A875898">
      <w:pPr>
        <w:numPr>
          <w:ilvl w:val="3"/>
          <w:numId w:val="1"/>
        </w:numPr>
        <w:jc w:val="left"/>
        <w:outlineLvl w:val="3"/>
        <w:rPr>
          <w:rFonts w:ascii="宋体" w:hAnsi="宋体"/>
          <w:szCs w:val="28"/>
        </w:rPr>
      </w:pPr>
      <w:r>
        <w:rPr>
          <w:rFonts w:hint="eastAsia" w:ascii="宋体" w:hAnsi="宋体"/>
          <w:szCs w:val="28"/>
        </w:rPr>
        <w:t>接触网应满足限界要求。在车辆基地内机动车辆过平交道口处，架空接触网应设置限界门，对易受其他机动车辆损伤的接触网支柱，应采取必要的防护措施。</w:t>
      </w:r>
    </w:p>
    <w:p w14:paraId="655EBC92">
      <w:pPr>
        <w:numPr>
          <w:ilvl w:val="3"/>
          <w:numId w:val="1"/>
        </w:numPr>
        <w:jc w:val="left"/>
        <w:outlineLvl w:val="3"/>
        <w:rPr>
          <w:rFonts w:ascii="宋体" w:hAnsi="宋体"/>
          <w:szCs w:val="28"/>
        </w:rPr>
      </w:pPr>
      <w:r>
        <w:rPr>
          <w:rFonts w:hint="eastAsia" w:ascii="宋体" w:hAnsi="宋体"/>
          <w:szCs w:val="28"/>
        </w:rPr>
        <w:t>架空接触网防雷设计应符合下列规定：</w:t>
      </w:r>
    </w:p>
    <w:p w14:paraId="7E7528D1">
      <w:pPr>
        <w:numPr>
          <w:ilvl w:val="4"/>
          <w:numId w:val="1"/>
        </w:numPr>
        <w:ind w:firstLine="420"/>
        <w:jc w:val="left"/>
        <w:outlineLvl w:val="4"/>
        <w:rPr>
          <w:bCs/>
          <w:szCs w:val="28"/>
        </w:rPr>
      </w:pPr>
      <w:r>
        <w:rPr>
          <w:rFonts w:hint="eastAsia"/>
          <w:bCs/>
          <w:szCs w:val="28"/>
        </w:rPr>
        <w:t>直流制式架空接触网地上线路应设置避雷器，其间距不应大于300m。在隧道入口和为地上线接触网供电的隔离开关处应设置避雷器。地上线路架空接触网的架空地线应每隔200m设置火花间隙或电压均衡器，架空接地线应兼作避雷线。</w:t>
      </w:r>
    </w:p>
    <w:p w14:paraId="6FABDCD3">
      <w:pPr>
        <w:numPr>
          <w:ilvl w:val="4"/>
          <w:numId w:val="1"/>
        </w:numPr>
        <w:ind w:firstLine="420"/>
        <w:jc w:val="left"/>
        <w:outlineLvl w:val="4"/>
        <w:rPr>
          <w:bCs/>
          <w:szCs w:val="28"/>
        </w:rPr>
      </w:pPr>
      <w:r>
        <w:rPr>
          <w:rFonts w:hint="eastAsia"/>
          <w:bCs/>
          <w:szCs w:val="28"/>
        </w:rPr>
        <w:t>交流制式架空接触网地上线路应在绝缘锚段关节和电分相处、长度2000m及以上隧道进出口处、馈线上网点、架空供电线转电缆安装处、需要重点防护的设备处设置避雷器</w:t>
      </w:r>
      <w:r>
        <w:rPr>
          <w:bCs/>
          <w:szCs w:val="28"/>
        </w:rPr>
        <w:t>；</w:t>
      </w:r>
      <w:r>
        <w:rPr>
          <w:rFonts w:hint="eastAsia"/>
          <w:bCs/>
          <w:szCs w:val="28"/>
        </w:rPr>
        <w:t>年均雷暴日不小于40d地区的接触网宜设置避雷线，也可将回流线或架空地线适当抬高兼做防雷功能。</w:t>
      </w:r>
    </w:p>
    <w:p w14:paraId="2F437115">
      <w:pPr>
        <w:numPr>
          <w:ilvl w:val="4"/>
          <w:numId w:val="1"/>
        </w:numPr>
        <w:ind w:firstLine="420" w:firstLineChars="200"/>
        <w:jc w:val="left"/>
        <w:outlineLvl w:val="4"/>
        <w:rPr>
          <w:bCs/>
          <w:szCs w:val="28"/>
        </w:rPr>
      </w:pPr>
      <w:r>
        <w:rPr>
          <w:rFonts w:hint="eastAsia"/>
          <w:bCs/>
          <w:szCs w:val="28"/>
        </w:rPr>
        <w:t>双流制式架空接触网地上线路应在过渡区段设置避雷器，其余区段的防雷设计应符合本条第1~2款的要求。</w:t>
      </w:r>
    </w:p>
    <w:p w14:paraId="4955F1CB">
      <w:pPr>
        <w:numPr>
          <w:ilvl w:val="4"/>
          <w:numId w:val="1"/>
        </w:numPr>
        <w:ind w:firstLine="420"/>
        <w:jc w:val="left"/>
        <w:outlineLvl w:val="4"/>
        <w:rPr>
          <w:bCs/>
          <w:szCs w:val="28"/>
        </w:rPr>
      </w:pPr>
      <w:r>
        <w:rPr>
          <w:rFonts w:hint="eastAsia"/>
          <w:bCs/>
          <w:szCs w:val="28"/>
        </w:rPr>
        <w:t>接触网支柱及接触网带电体邻近的金属结构接地应符合《地铁设计规范》GB 50157和《铁路电力牵引供电设计规范》TB 10009的规定。</w:t>
      </w:r>
    </w:p>
    <w:p w14:paraId="0129D74F">
      <w:pPr>
        <w:numPr>
          <w:ilvl w:val="3"/>
          <w:numId w:val="1"/>
        </w:numPr>
        <w:jc w:val="left"/>
        <w:outlineLvl w:val="3"/>
        <w:rPr>
          <w:rFonts w:ascii="宋体" w:hAnsi="宋体"/>
          <w:szCs w:val="28"/>
        </w:rPr>
      </w:pPr>
      <w:r>
        <w:rPr>
          <w:rFonts w:ascii="宋体" w:hAnsi="宋体"/>
          <w:szCs w:val="28"/>
        </w:rPr>
        <w:t>刚性接触网穿越人防门处宜采用贯通形式，穿越防淹门处应采用独立短锚段形式。</w:t>
      </w:r>
    </w:p>
    <w:p w14:paraId="3D35AE04">
      <w:pPr>
        <w:numPr>
          <w:ilvl w:val="3"/>
          <w:numId w:val="1"/>
        </w:numPr>
        <w:jc w:val="left"/>
        <w:outlineLvl w:val="3"/>
        <w:rPr>
          <w:rFonts w:ascii="宋体" w:hAnsi="宋体"/>
          <w:szCs w:val="28"/>
        </w:rPr>
      </w:pPr>
      <w:r>
        <w:rPr>
          <w:rFonts w:hint="eastAsia" w:ascii="宋体" w:hAnsi="宋体"/>
          <w:szCs w:val="28"/>
        </w:rPr>
        <w:t>洗车库内架空接触网应与正常带电接触网绝缘分段。</w:t>
      </w:r>
    </w:p>
    <w:p w14:paraId="4F61B1C2">
      <w:pPr>
        <w:numPr>
          <w:ilvl w:val="3"/>
          <w:numId w:val="1"/>
        </w:numPr>
        <w:jc w:val="left"/>
        <w:outlineLvl w:val="3"/>
        <w:rPr>
          <w:rFonts w:ascii="宋体" w:hAnsi="宋体"/>
          <w:szCs w:val="28"/>
        </w:rPr>
      </w:pPr>
      <w:r>
        <w:rPr>
          <w:rFonts w:hint="eastAsia" w:ascii="宋体" w:hAnsi="宋体"/>
          <w:szCs w:val="28"/>
        </w:rPr>
        <w:t>柔性架空接触网绝缘锚段关节等列车禁停区域应设置禁停标，条件具备时还可将该区域纳入信号系统移动授权禁停区。</w:t>
      </w:r>
    </w:p>
    <w:p w14:paraId="71ED50C4">
      <w:pPr>
        <w:numPr>
          <w:ilvl w:val="1"/>
          <w:numId w:val="1"/>
        </w:numPr>
        <w:snapToGrid w:val="0"/>
        <w:spacing w:before="156" w:after="156" w:line="240" w:lineRule="auto"/>
        <w:jc w:val="center"/>
        <w:outlineLvl w:val="1"/>
        <w:rPr>
          <w:rFonts w:eastAsia="黑体"/>
          <w:bCs/>
          <w:szCs w:val="28"/>
        </w:rPr>
      </w:pPr>
      <w:bookmarkStart w:id="1142" w:name="_Toc174611716"/>
      <w:bookmarkStart w:id="1143" w:name="_Toc174611513"/>
      <w:bookmarkStart w:id="1144" w:name="_Toc183888559"/>
      <w:bookmarkStart w:id="1145" w:name="_Toc183790584"/>
      <w:bookmarkStart w:id="1146" w:name="_Toc168061271"/>
      <w:bookmarkStart w:id="1147" w:name="_Toc183888197"/>
      <w:bookmarkStart w:id="1148" w:name="_Toc183882507"/>
      <w:bookmarkStart w:id="1149" w:name="_Toc183765154"/>
      <w:bookmarkStart w:id="1150" w:name="_Toc183683559"/>
      <w:bookmarkStart w:id="1151" w:name="_Toc174612520"/>
      <w:bookmarkStart w:id="1152" w:name="_Toc183882145"/>
      <w:bookmarkStart w:id="1153" w:name="_Toc168059463"/>
      <w:bookmarkStart w:id="1154" w:name="_Toc168061718"/>
      <w:r>
        <w:rPr>
          <w:rFonts w:eastAsia="黑体"/>
          <w:bCs/>
          <w:szCs w:val="28"/>
        </w:rPr>
        <w:t>继电保护、测量及自动装置</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3840619F">
      <w:pPr>
        <w:pStyle w:val="5"/>
        <w:tabs>
          <w:tab w:val="left" w:pos="709"/>
          <w:tab w:val="clear" w:pos="630"/>
          <w:tab w:val="clear" w:pos="1701"/>
        </w:tabs>
      </w:pPr>
      <w:r>
        <w:t>正常运行方式下，继电保护配置应满足可靠性、选择性、灵敏性和速动性的要求。</w:t>
      </w:r>
    </w:p>
    <w:p w14:paraId="18EDD254">
      <w:pPr>
        <w:pStyle w:val="5"/>
        <w:tabs>
          <w:tab w:val="left" w:pos="709"/>
          <w:tab w:val="clear" w:pos="630"/>
          <w:tab w:val="clear" w:pos="1701"/>
        </w:tabs>
      </w:pPr>
      <w:r>
        <w:t>中压网络主保护应采用线路差动保护或数字通信电流保护，过电流保护为后备保护。</w:t>
      </w:r>
    </w:p>
    <w:p w14:paraId="76AA9184">
      <w:pPr>
        <w:pStyle w:val="5"/>
        <w:tabs>
          <w:tab w:val="left" w:pos="709"/>
          <w:tab w:val="clear" w:pos="630"/>
          <w:tab w:val="clear" w:pos="1701"/>
        </w:tabs>
      </w:pPr>
      <w:r>
        <w:t>当中压系统采用小电阻接地</w:t>
      </w:r>
      <w:r>
        <w:rPr>
          <w:rFonts w:hint="eastAsia"/>
        </w:rPr>
        <w:t>方式</w:t>
      </w:r>
      <w:r>
        <w:t>时，应设零序</w:t>
      </w:r>
      <w:r>
        <w:rPr>
          <w:rFonts w:hint="eastAsia"/>
        </w:rPr>
        <w:t>过</w:t>
      </w:r>
      <w:r>
        <w:t>电流保护。</w:t>
      </w:r>
    </w:p>
    <w:p w14:paraId="089D6D37">
      <w:pPr>
        <w:pStyle w:val="5"/>
        <w:tabs>
          <w:tab w:val="left" w:pos="709"/>
          <w:tab w:val="clear" w:pos="630"/>
          <w:tab w:val="clear" w:pos="1701"/>
        </w:tabs>
      </w:pPr>
      <w:r>
        <w:t>主变电所、电源开闭所进线开关继电保护配置应与城网变电所馈线协调、配合。</w:t>
      </w:r>
    </w:p>
    <w:p w14:paraId="1A739EFD">
      <w:pPr>
        <w:pStyle w:val="5"/>
        <w:tabs>
          <w:tab w:val="left" w:pos="709"/>
          <w:tab w:val="clear" w:pos="630"/>
          <w:tab w:val="clear" w:pos="1701"/>
        </w:tabs>
      </w:pPr>
      <w:r>
        <w:t>变电所中压母线分段开关应设过电流保护，并应具备后加速功能。</w:t>
      </w:r>
    </w:p>
    <w:p w14:paraId="60A718BD">
      <w:pPr>
        <w:pStyle w:val="5"/>
        <w:tabs>
          <w:tab w:val="left" w:pos="709"/>
          <w:tab w:val="clear" w:pos="630"/>
          <w:tab w:val="clear" w:pos="1701"/>
        </w:tabs>
      </w:pPr>
      <w:r>
        <w:t>变电所中压继电保护设置应符合GB/T 50062的规定。</w:t>
      </w:r>
    </w:p>
    <w:p w14:paraId="056CF9C8">
      <w:pPr>
        <w:pStyle w:val="5"/>
        <w:tabs>
          <w:tab w:val="left" w:pos="709"/>
          <w:tab w:val="clear" w:pos="630"/>
          <w:tab w:val="clear" w:pos="1701"/>
        </w:tabs>
      </w:pPr>
      <w:r>
        <w:t>电源开闭所中压进线开关、母线分段开关应设合环保护。</w:t>
      </w:r>
    </w:p>
    <w:p w14:paraId="40B72F72">
      <w:pPr>
        <w:pStyle w:val="5"/>
        <w:tabs>
          <w:tab w:val="left" w:pos="709"/>
          <w:tab w:val="clear" w:pos="630"/>
          <w:tab w:val="clear" w:pos="1701"/>
        </w:tabs>
      </w:pPr>
      <w:r>
        <w:t>变电所中压、低压侧的进线开关、母线分段开关应有防止电源并列运行的措施。</w:t>
      </w:r>
    </w:p>
    <w:p w14:paraId="4EA3EE52">
      <w:pPr>
        <w:pStyle w:val="5"/>
        <w:tabs>
          <w:tab w:val="left" w:pos="709"/>
          <w:tab w:val="clear" w:pos="630"/>
          <w:tab w:val="clear" w:pos="1701"/>
        </w:tabs>
      </w:pPr>
      <w:r>
        <w:rPr>
          <w:rFonts w:hint="eastAsia"/>
        </w:rPr>
        <w:t>直流制式的</w:t>
      </w:r>
      <w:r>
        <w:t>牵引整流机组应设下列保护：</w:t>
      </w:r>
    </w:p>
    <w:p w14:paraId="01FAABB1">
      <w:pPr>
        <w:pStyle w:val="7"/>
        <w:ind w:firstLine="420"/>
      </w:pPr>
      <w:r>
        <w:t>电流速断保护；</w:t>
      </w:r>
    </w:p>
    <w:p w14:paraId="089947FF">
      <w:pPr>
        <w:pStyle w:val="7"/>
        <w:ind w:firstLine="420"/>
      </w:pPr>
      <w:r>
        <w:t>过电流保护；</w:t>
      </w:r>
    </w:p>
    <w:p w14:paraId="7B6BB8EF">
      <w:pPr>
        <w:pStyle w:val="7"/>
        <w:ind w:firstLine="420"/>
      </w:pPr>
      <w:r>
        <w:t>过负荷保护；</w:t>
      </w:r>
    </w:p>
    <w:p w14:paraId="6EA29B9A">
      <w:pPr>
        <w:pStyle w:val="7"/>
        <w:ind w:firstLine="420"/>
      </w:pPr>
      <w:r>
        <w:t>零序电流保护；</w:t>
      </w:r>
    </w:p>
    <w:p w14:paraId="6F385E80">
      <w:pPr>
        <w:pStyle w:val="7"/>
        <w:ind w:firstLine="420"/>
      </w:pPr>
      <w:r>
        <w:t>温度保护；</w:t>
      </w:r>
    </w:p>
    <w:p w14:paraId="608E4291">
      <w:pPr>
        <w:pStyle w:val="7"/>
        <w:ind w:firstLine="420"/>
      </w:pPr>
      <w:r>
        <w:t>一个整流元件故障报警；</w:t>
      </w:r>
    </w:p>
    <w:p w14:paraId="4C9CAE6F">
      <w:pPr>
        <w:pStyle w:val="7"/>
        <w:ind w:firstLine="420"/>
      </w:pPr>
      <w:r>
        <w:t>同一桥臂两个整流元件故障跳闸；</w:t>
      </w:r>
    </w:p>
    <w:p w14:paraId="31DCB889">
      <w:pPr>
        <w:pStyle w:val="7"/>
        <w:ind w:firstLine="420"/>
      </w:pPr>
      <w:r>
        <w:t>外壳开门保护。</w:t>
      </w:r>
    </w:p>
    <w:p w14:paraId="7BA01BEF">
      <w:pPr>
        <w:pStyle w:val="5"/>
        <w:tabs>
          <w:tab w:val="left" w:pos="851"/>
          <w:tab w:val="clear" w:pos="630"/>
          <w:tab w:val="clear" w:pos="1701"/>
        </w:tabs>
      </w:pPr>
      <w:r>
        <w:rPr>
          <w:rFonts w:hint="eastAsia"/>
        </w:rPr>
        <w:t>直流制式的双向变流</w:t>
      </w:r>
      <w:r>
        <w:t>装置</w:t>
      </w:r>
      <w:r>
        <w:rPr>
          <w:rFonts w:hint="eastAsia"/>
        </w:rPr>
        <w:t>及</w:t>
      </w:r>
      <w:r>
        <w:t>中压能馈装置</w:t>
      </w:r>
      <w:r>
        <w:rPr>
          <w:rFonts w:hint="eastAsia"/>
        </w:rPr>
        <w:t>应设下列保护：</w:t>
      </w:r>
    </w:p>
    <w:p w14:paraId="485C9A8E">
      <w:pPr>
        <w:pStyle w:val="7"/>
        <w:ind w:firstLine="420"/>
      </w:pPr>
      <w:r>
        <w:rPr>
          <w:rFonts w:hint="eastAsia"/>
        </w:rPr>
        <w:t>中压侧过</w:t>
      </w:r>
      <w:r>
        <w:t>/</w:t>
      </w:r>
      <w:r>
        <w:rPr>
          <w:rFonts w:hint="eastAsia"/>
        </w:rPr>
        <w:t>欠压保护；</w:t>
      </w:r>
    </w:p>
    <w:p w14:paraId="23A227CF">
      <w:pPr>
        <w:pStyle w:val="7"/>
        <w:ind w:firstLine="420"/>
      </w:pPr>
      <w:r>
        <w:rPr>
          <w:rFonts w:hint="eastAsia"/>
        </w:rPr>
        <w:t>直流侧过</w:t>
      </w:r>
      <w:r>
        <w:t>/</w:t>
      </w:r>
      <w:r>
        <w:rPr>
          <w:rFonts w:hint="eastAsia"/>
        </w:rPr>
        <w:t>欠压保护</w:t>
      </w:r>
      <w:r>
        <w:t>；</w:t>
      </w:r>
    </w:p>
    <w:p w14:paraId="1EDDEB18">
      <w:pPr>
        <w:pStyle w:val="7"/>
        <w:ind w:firstLine="420"/>
      </w:pPr>
      <w:r>
        <w:rPr>
          <w:rFonts w:hint="eastAsia"/>
        </w:rPr>
        <w:t>中压侧过电流保护；</w:t>
      </w:r>
    </w:p>
    <w:p w14:paraId="4290C8B7">
      <w:pPr>
        <w:pStyle w:val="7"/>
        <w:ind w:firstLine="420"/>
      </w:pPr>
      <w:r>
        <w:rPr>
          <w:rFonts w:hint="eastAsia"/>
        </w:rPr>
        <w:t>直流侧过电流保护；</w:t>
      </w:r>
    </w:p>
    <w:p w14:paraId="4770FBE2">
      <w:pPr>
        <w:pStyle w:val="7"/>
        <w:ind w:firstLine="420"/>
      </w:pPr>
      <w:r>
        <w:rPr>
          <w:rFonts w:hint="eastAsia"/>
        </w:rPr>
        <w:t>IGBT故障保护；</w:t>
      </w:r>
    </w:p>
    <w:p w14:paraId="547BDA0D">
      <w:pPr>
        <w:pStyle w:val="7"/>
        <w:ind w:firstLine="420"/>
      </w:pPr>
      <w:r>
        <w:rPr>
          <w:rFonts w:hint="eastAsia"/>
        </w:rPr>
        <w:t>变压器温度保护；</w:t>
      </w:r>
    </w:p>
    <w:p w14:paraId="2E691378">
      <w:pPr>
        <w:pStyle w:val="7"/>
        <w:ind w:firstLine="420"/>
      </w:pPr>
      <w:r>
        <w:rPr>
          <w:rFonts w:hint="eastAsia"/>
        </w:rPr>
        <w:t>功率模块温度保护；</w:t>
      </w:r>
      <w:r>
        <w:t xml:space="preserve"> </w:t>
      </w:r>
    </w:p>
    <w:p w14:paraId="101CA7E8">
      <w:pPr>
        <w:pStyle w:val="7"/>
        <w:ind w:firstLine="420"/>
      </w:pPr>
      <w:r>
        <w:t>零序电流保护；</w:t>
      </w:r>
    </w:p>
    <w:p w14:paraId="3662236F">
      <w:pPr>
        <w:pStyle w:val="7"/>
        <w:ind w:firstLine="420"/>
      </w:pPr>
      <w:r>
        <w:t>外壳开门保护。</w:t>
      </w:r>
    </w:p>
    <w:p w14:paraId="6DF61CFB">
      <w:pPr>
        <w:pStyle w:val="5"/>
        <w:tabs>
          <w:tab w:val="left" w:pos="851"/>
          <w:tab w:val="clear" w:pos="630"/>
          <w:tab w:val="clear" w:pos="1701"/>
        </w:tabs>
      </w:pPr>
      <w:r>
        <w:rPr>
          <w:rFonts w:hint="eastAsia"/>
        </w:rPr>
        <w:t>直流制式</w:t>
      </w:r>
      <w:r>
        <w:t>牵引变压器的过电流保护应满足低压侧一组线圈相间短路、直流开关柜直流母线侧短路的灵敏性。当主保护和后备保护的灵敏度难以满足时，可采用差动保护。</w:t>
      </w:r>
    </w:p>
    <w:p w14:paraId="15C2CA37">
      <w:pPr>
        <w:pStyle w:val="5"/>
        <w:tabs>
          <w:tab w:val="left" w:pos="851"/>
          <w:tab w:val="clear" w:pos="630"/>
          <w:tab w:val="clear" w:pos="1701"/>
        </w:tabs>
      </w:pPr>
      <w:r>
        <w:rPr>
          <w:rFonts w:hint="eastAsia"/>
        </w:rPr>
        <w:t>直流制式的</w:t>
      </w:r>
      <w:r>
        <w:t>牵引变电所直流进线开关应设</w:t>
      </w:r>
      <w:r>
        <w:rPr>
          <w:rFonts w:hint="eastAsia"/>
        </w:rPr>
        <w:t>大电流短路断路器直接跳闸</w:t>
      </w:r>
      <w:r>
        <w:t>。</w:t>
      </w:r>
    </w:p>
    <w:p w14:paraId="6CD44B5D">
      <w:pPr>
        <w:pStyle w:val="5"/>
        <w:tabs>
          <w:tab w:val="left" w:pos="851"/>
          <w:tab w:val="clear" w:pos="630"/>
          <w:tab w:val="clear" w:pos="1701"/>
        </w:tabs>
      </w:pPr>
      <w:r>
        <w:t>直流牵引馈线应设下列基本保护：</w:t>
      </w:r>
    </w:p>
    <w:p w14:paraId="275C0F25">
      <w:pPr>
        <w:pStyle w:val="7"/>
        <w:ind w:firstLine="420"/>
      </w:pPr>
      <w:r>
        <w:rPr>
          <w:rFonts w:hint="eastAsia"/>
        </w:rPr>
        <w:t>大电流短路断路器直接跳闸</w:t>
      </w:r>
      <w:r>
        <w:t>；</w:t>
      </w:r>
    </w:p>
    <w:p w14:paraId="11BDC8B3">
      <w:pPr>
        <w:pStyle w:val="7"/>
        <w:ind w:firstLine="420"/>
      </w:pPr>
      <w:r>
        <w:t>过电流保护；</w:t>
      </w:r>
    </w:p>
    <w:p w14:paraId="38C92EBB">
      <w:pPr>
        <w:pStyle w:val="7"/>
        <w:ind w:firstLine="420"/>
      </w:pPr>
      <w:r>
        <w:t>电流变化率及其增量保护；</w:t>
      </w:r>
    </w:p>
    <w:p w14:paraId="19127C26">
      <w:pPr>
        <w:pStyle w:val="7"/>
        <w:ind w:firstLine="420"/>
      </w:pPr>
      <w:r>
        <w:t>双边联跳保护；</w:t>
      </w:r>
    </w:p>
    <w:p w14:paraId="75318AD4">
      <w:pPr>
        <w:pStyle w:val="7"/>
        <w:ind w:firstLine="420"/>
      </w:pPr>
      <w:r>
        <w:t>低电压报警。</w:t>
      </w:r>
    </w:p>
    <w:p w14:paraId="08A7DCBB">
      <w:pPr>
        <w:pStyle w:val="5"/>
        <w:tabs>
          <w:tab w:val="left" w:pos="851"/>
          <w:tab w:val="clear" w:pos="630"/>
          <w:tab w:val="clear" w:pos="1701"/>
        </w:tabs>
      </w:pPr>
      <w:r>
        <w:t>直流牵引供电设备应设框架保护，整流器、直流配电装置、再生制动吸收装置宜单独设置。</w:t>
      </w:r>
    </w:p>
    <w:p w14:paraId="2ACBB333">
      <w:pPr>
        <w:pStyle w:val="5"/>
        <w:tabs>
          <w:tab w:val="left" w:pos="851"/>
          <w:tab w:val="clear" w:pos="630"/>
          <w:tab w:val="clear" w:pos="1701"/>
        </w:tabs>
      </w:pPr>
      <w:r>
        <w:rPr>
          <w:rFonts w:hint="eastAsia"/>
        </w:rPr>
        <w:t>采用专用回流轨回流的直流牵引供电系统中各牵引变电所内设备，应符合以下规定：</w:t>
      </w:r>
    </w:p>
    <w:p w14:paraId="63A66705">
      <w:pPr>
        <w:pStyle w:val="86"/>
        <w:ind w:firstLine="422"/>
        <w:rPr>
          <w:color w:val="auto"/>
        </w:rPr>
      </w:pPr>
      <w:r>
        <w:rPr>
          <w:rFonts w:hint="eastAsia"/>
          <w:b/>
          <w:color w:val="auto"/>
        </w:rPr>
        <w:t xml:space="preserve">1  </w:t>
      </w:r>
      <w:r>
        <w:rPr>
          <w:rFonts w:hint="eastAsia"/>
          <w:color w:val="auto"/>
        </w:rPr>
        <w:t>接地母排与负极之间应设置地对负极单向导通装置，装置应具有实时监测牵引网正/负-地泄漏电流的功能；</w:t>
      </w:r>
    </w:p>
    <w:p w14:paraId="01CB0D34">
      <w:pPr>
        <w:pStyle w:val="86"/>
        <w:ind w:firstLine="422"/>
        <w:rPr>
          <w:color w:val="auto"/>
        </w:rPr>
      </w:pPr>
      <w:r>
        <w:rPr>
          <w:rFonts w:hint="eastAsia"/>
          <w:b/>
          <w:color w:val="auto"/>
        </w:rPr>
        <w:t xml:space="preserve">2  </w:t>
      </w:r>
      <w:r>
        <w:rPr>
          <w:rFonts w:hint="eastAsia"/>
          <w:color w:val="auto"/>
        </w:rPr>
        <w:t>专用回流轨与接地母排之间应设置检修用的接地柜。</w:t>
      </w:r>
    </w:p>
    <w:p w14:paraId="65C623F5">
      <w:pPr>
        <w:pStyle w:val="5"/>
        <w:tabs>
          <w:tab w:val="left" w:pos="851"/>
          <w:tab w:val="clear" w:pos="630"/>
          <w:tab w:val="clear" w:pos="1701"/>
        </w:tabs>
      </w:pPr>
      <w:r>
        <w:t>框架保护应采用电流跳闸，电压报警功能。</w:t>
      </w:r>
    </w:p>
    <w:p w14:paraId="7D5E6451">
      <w:pPr>
        <w:pStyle w:val="5"/>
        <w:tabs>
          <w:tab w:val="left" w:pos="851"/>
          <w:tab w:val="clear" w:pos="630"/>
          <w:tab w:val="clear" w:pos="1701"/>
        </w:tabs>
      </w:pPr>
      <w:r>
        <w:t>直流牵引馈线开关应具有在线检测的自动重合闸功能。</w:t>
      </w:r>
    </w:p>
    <w:p w14:paraId="293B6100">
      <w:pPr>
        <w:pStyle w:val="5"/>
        <w:tabs>
          <w:tab w:val="left" w:pos="851"/>
          <w:tab w:val="clear" w:pos="630"/>
          <w:tab w:val="clear" w:pos="1701"/>
        </w:tabs>
      </w:pPr>
      <w:r>
        <w:t>牵引变电所直流进线开关与牵引变压器进线开关之间应有联跳功能。</w:t>
      </w:r>
    </w:p>
    <w:p w14:paraId="6605144A">
      <w:pPr>
        <w:pStyle w:val="5"/>
        <w:tabs>
          <w:tab w:val="left" w:pos="851"/>
          <w:tab w:val="clear" w:pos="630"/>
          <w:tab w:val="clear" w:pos="1701"/>
        </w:tabs>
      </w:pPr>
      <w:r>
        <w:t>牵引变电所直流进线开关对直流馈线开关应有联跳功能。</w:t>
      </w:r>
    </w:p>
    <w:p w14:paraId="6BE84C2C">
      <w:pPr>
        <w:pStyle w:val="5"/>
        <w:tabs>
          <w:tab w:val="left" w:pos="851"/>
          <w:tab w:val="clear" w:pos="630"/>
          <w:tab w:val="clear" w:pos="1701"/>
        </w:tabs>
      </w:pPr>
      <w:r>
        <w:t>在大双边供电时，退出的牵引变电所应具有联跳转换功能。</w:t>
      </w:r>
    </w:p>
    <w:p w14:paraId="49BF2666">
      <w:pPr>
        <w:pStyle w:val="5"/>
        <w:tabs>
          <w:tab w:val="left" w:pos="851"/>
          <w:tab w:val="clear" w:pos="630"/>
          <w:tab w:val="clear" w:pos="1701"/>
        </w:tabs>
      </w:pPr>
      <w:r>
        <w:t>当</w:t>
      </w:r>
      <w:r>
        <w:rPr>
          <w:rFonts w:hint="eastAsia"/>
        </w:rPr>
        <w:t>直流</w:t>
      </w:r>
      <w:r>
        <w:t>牵引变电所框架保护电流动作时，</w:t>
      </w:r>
      <w:r>
        <w:rPr>
          <w:rFonts w:hint="eastAsia"/>
        </w:rPr>
        <w:t>宜</w:t>
      </w:r>
      <w:r>
        <w:t>在本牵引变电所就地复位。</w:t>
      </w:r>
    </w:p>
    <w:p w14:paraId="4530FEFB">
      <w:pPr>
        <w:pStyle w:val="5"/>
        <w:tabs>
          <w:tab w:val="left" w:pos="851"/>
          <w:tab w:val="clear" w:pos="630"/>
          <w:tab w:val="clear" w:pos="1701"/>
        </w:tabs>
      </w:pPr>
      <w:r>
        <w:t>用于保护直流开关柜的框架保护电流动作时，应联跳相邻牵引变电所对应的直流馈线开关，被联跳的直流馈线开关</w:t>
      </w:r>
      <w:r>
        <w:rPr>
          <w:rFonts w:hint="eastAsia"/>
        </w:rPr>
        <w:t>应</w:t>
      </w:r>
      <w:r>
        <w:t>具有</w:t>
      </w:r>
      <w:r>
        <w:rPr>
          <w:rFonts w:hint="eastAsia"/>
        </w:rPr>
        <w:t>就地/</w:t>
      </w:r>
      <w:r>
        <w:t>远方复位功能。</w:t>
      </w:r>
    </w:p>
    <w:p w14:paraId="03B2BA8E">
      <w:pPr>
        <w:pStyle w:val="5"/>
        <w:tabs>
          <w:tab w:val="left" w:pos="851"/>
          <w:tab w:val="clear" w:pos="630"/>
          <w:tab w:val="clear" w:pos="1701"/>
        </w:tabs>
      </w:pPr>
      <w:r>
        <w:t>纵联开关采用直流断路器时，可不设保护。</w:t>
      </w:r>
    </w:p>
    <w:p w14:paraId="7AAB851E">
      <w:pPr>
        <w:pStyle w:val="5"/>
        <w:tabs>
          <w:tab w:val="left" w:pos="851"/>
          <w:tab w:val="clear" w:pos="630"/>
          <w:tab w:val="clear" w:pos="1701"/>
        </w:tabs>
      </w:pPr>
      <w:r>
        <w:t>钢轨电位限制装置宜具有远方复位功能。</w:t>
      </w:r>
    </w:p>
    <w:p w14:paraId="211EBE32">
      <w:pPr>
        <w:pStyle w:val="5"/>
        <w:tabs>
          <w:tab w:val="left" w:pos="851"/>
          <w:tab w:val="clear" w:pos="630"/>
          <w:tab w:val="clear" w:pos="1701"/>
        </w:tabs>
      </w:pPr>
      <w:r>
        <w:t>变电所低压进线开关应设短路短延时保护、过载长延时保护</w:t>
      </w:r>
      <w:r>
        <w:rPr>
          <w:rFonts w:hint="eastAsia"/>
        </w:rPr>
        <w:t>，当短路短延时的灵敏性不足时，应设置</w:t>
      </w:r>
      <w:r>
        <w:t>接地故障保护。</w:t>
      </w:r>
    </w:p>
    <w:p w14:paraId="33734607">
      <w:pPr>
        <w:pStyle w:val="5"/>
        <w:tabs>
          <w:tab w:val="left" w:pos="851"/>
          <w:tab w:val="clear" w:pos="630"/>
          <w:tab w:val="clear" w:pos="1701"/>
        </w:tabs>
      </w:pPr>
      <w:r>
        <w:t>变电所低压母线分段开关应设短路短延时保护。</w:t>
      </w:r>
    </w:p>
    <w:p w14:paraId="6852476B">
      <w:pPr>
        <w:pStyle w:val="5"/>
        <w:tabs>
          <w:tab w:val="left" w:pos="851"/>
          <w:tab w:val="clear" w:pos="630"/>
          <w:tab w:val="clear" w:pos="1701"/>
        </w:tabs>
      </w:pPr>
      <w:r>
        <w:t>变电所低压侧馈线开关应设短路瞬动保护、</w:t>
      </w:r>
      <w:r>
        <w:rPr>
          <w:rFonts w:hint="eastAsia"/>
        </w:rPr>
        <w:t>短路短延时保护、</w:t>
      </w:r>
      <w:r>
        <w:t>过载长延时保护。</w:t>
      </w:r>
      <w:r>
        <w:rPr>
          <w:rFonts w:hint="eastAsia"/>
        </w:rPr>
        <w:t>当短路短延时的灵敏性不足时，应设置接地故障保护。</w:t>
      </w:r>
    </w:p>
    <w:p w14:paraId="378ABBA6">
      <w:pPr>
        <w:pStyle w:val="5"/>
        <w:tabs>
          <w:tab w:val="left" w:pos="851"/>
          <w:tab w:val="clear" w:pos="630"/>
          <w:tab w:val="clear" w:pos="1701"/>
        </w:tabs>
      </w:pPr>
      <w:r>
        <w:t>变电所低压侧备自投应设置手投手复、自投自复和退出功能。</w:t>
      </w:r>
    </w:p>
    <w:p w14:paraId="604D98BC">
      <w:pPr>
        <w:pStyle w:val="5"/>
        <w:tabs>
          <w:tab w:val="left" w:pos="851"/>
          <w:tab w:val="clear" w:pos="630"/>
          <w:tab w:val="clear" w:pos="1701"/>
        </w:tabs>
      </w:pPr>
      <w:r>
        <w:rPr>
          <w:rFonts w:hint="eastAsia"/>
        </w:rPr>
        <w:t>主变电所、电源开闭所与城市电网变电站在计量关口处应设置电能计量表计，计量精度应满足电力部门要求。资源共享主变电所至共享线路电源开闭所的馈线应设电能计量装置。</w:t>
      </w:r>
    </w:p>
    <w:p w14:paraId="1BE93E70">
      <w:pPr>
        <w:pStyle w:val="5"/>
        <w:tabs>
          <w:tab w:val="left" w:pos="851"/>
          <w:tab w:val="clear" w:pos="630"/>
          <w:tab w:val="clear" w:pos="1701"/>
        </w:tabs>
      </w:pPr>
      <w:r>
        <w:t>变电所中压侧应有下列测量和计量功能</w:t>
      </w:r>
      <w:r>
        <w:rPr>
          <w:rFonts w:hint="eastAsia"/>
        </w:rPr>
        <w:t>：</w:t>
      </w:r>
    </w:p>
    <w:p w14:paraId="5E0D15DE">
      <w:pPr>
        <w:pStyle w:val="7"/>
        <w:ind w:firstLine="420"/>
      </w:pPr>
      <w:r>
        <w:t>中压进线：电流、有功功率、有功电度、无功电度、功率因数；</w:t>
      </w:r>
    </w:p>
    <w:p w14:paraId="370CD4EB">
      <w:pPr>
        <w:pStyle w:val="7"/>
        <w:ind w:firstLine="420"/>
      </w:pPr>
      <w:r>
        <w:t>中压馈线：电流；</w:t>
      </w:r>
    </w:p>
    <w:p w14:paraId="02510B19">
      <w:pPr>
        <w:pStyle w:val="7"/>
        <w:ind w:firstLine="420"/>
      </w:pPr>
      <w:r>
        <w:t>母线分段开关：电流；</w:t>
      </w:r>
    </w:p>
    <w:p w14:paraId="7A237BBF">
      <w:pPr>
        <w:pStyle w:val="7"/>
        <w:ind w:firstLine="420"/>
      </w:pPr>
      <w:r>
        <w:t>中压母线：线电压、相电压；</w:t>
      </w:r>
    </w:p>
    <w:p w14:paraId="3E4F3B09">
      <w:pPr>
        <w:pStyle w:val="7"/>
        <w:ind w:firstLine="420"/>
      </w:pPr>
      <w:r>
        <w:rPr>
          <w:rFonts w:hint="eastAsia"/>
        </w:rPr>
        <w:t>直流</w:t>
      </w:r>
      <w:r>
        <w:t>牵引变压器：电流、有功功率、有功电度、无功电度；</w:t>
      </w:r>
    </w:p>
    <w:p w14:paraId="0098A15D">
      <w:pPr>
        <w:pStyle w:val="7"/>
        <w:ind w:firstLine="420"/>
      </w:pPr>
      <w:r>
        <w:t>配电变压器：电流、有功功率、有功电度、无功电度。</w:t>
      </w:r>
    </w:p>
    <w:p w14:paraId="7A731F22">
      <w:pPr>
        <w:pStyle w:val="5"/>
        <w:tabs>
          <w:tab w:val="left" w:pos="851"/>
          <w:tab w:val="clear" w:pos="630"/>
          <w:tab w:val="clear" w:pos="1701"/>
        </w:tabs>
      </w:pPr>
      <w:r>
        <w:t>牵引变电所直流侧应有下列测量和计量功能：</w:t>
      </w:r>
    </w:p>
    <w:p w14:paraId="2D7E5DF4">
      <w:pPr>
        <w:pStyle w:val="7"/>
        <w:ind w:firstLine="420"/>
      </w:pPr>
      <w:r>
        <w:t>直流进线：电流；</w:t>
      </w:r>
    </w:p>
    <w:p w14:paraId="63E72FBB">
      <w:pPr>
        <w:pStyle w:val="7"/>
        <w:ind w:firstLine="420"/>
      </w:pPr>
      <w:r>
        <w:t>直流馈线：电流；</w:t>
      </w:r>
    </w:p>
    <w:p w14:paraId="371F0DD3">
      <w:pPr>
        <w:pStyle w:val="7"/>
        <w:ind w:firstLine="420"/>
      </w:pPr>
      <w:r>
        <w:t>直流母线：电压。</w:t>
      </w:r>
    </w:p>
    <w:p w14:paraId="3D6218EA">
      <w:pPr>
        <w:pStyle w:val="5"/>
        <w:tabs>
          <w:tab w:val="left" w:pos="851"/>
          <w:tab w:val="clear" w:pos="630"/>
          <w:tab w:val="clear" w:pos="1701"/>
        </w:tabs>
      </w:pPr>
      <w:r>
        <w:t>变电所低压侧应有下列测量和计量功能：</w:t>
      </w:r>
    </w:p>
    <w:p w14:paraId="7762AADC">
      <w:pPr>
        <w:pStyle w:val="7"/>
        <w:ind w:firstLine="420"/>
      </w:pPr>
      <w:r>
        <w:t>低压进线：电流、电压、有功电度、无功电度、功率因数；</w:t>
      </w:r>
    </w:p>
    <w:p w14:paraId="1F41C2AB">
      <w:pPr>
        <w:pStyle w:val="7"/>
        <w:ind w:firstLine="420"/>
      </w:pPr>
      <w:r>
        <w:t>母线分段开关：电流；</w:t>
      </w:r>
      <w:bookmarkStart w:id="1155" w:name="_bookmark121"/>
      <w:bookmarkEnd w:id="1155"/>
      <w:bookmarkStart w:id="1156" w:name="_bookmark262"/>
      <w:bookmarkEnd w:id="1156"/>
      <w:bookmarkStart w:id="1157" w:name="_bookmark120"/>
      <w:bookmarkEnd w:id="1157"/>
      <w:bookmarkStart w:id="1158" w:name="_bookmark261"/>
      <w:bookmarkEnd w:id="1158"/>
    </w:p>
    <w:p w14:paraId="38D5E0A1">
      <w:pPr>
        <w:pStyle w:val="7"/>
        <w:ind w:firstLine="420"/>
      </w:pPr>
      <w:r>
        <w:t>馈线：电流、有功电度(防灾、人防回路、区间检修箱除外)。</w:t>
      </w:r>
    </w:p>
    <w:p w14:paraId="00175769">
      <w:pPr>
        <w:pStyle w:val="5"/>
        <w:tabs>
          <w:tab w:val="left" w:pos="851"/>
          <w:tab w:val="clear" w:pos="630"/>
          <w:tab w:val="clear" w:pos="1701"/>
        </w:tabs>
      </w:pPr>
      <w:r>
        <w:t>车站商业用房的用电回路应具有独立的计量功能。</w:t>
      </w:r>
    </w:p>
    <w:p w14:paraId="1A80FF3C">
      <w:pPr>
        <w:pStyle w:val="5"/>
        <w:tabs>
          <w:tab w:val="left" w:pos="851"/>
          <w:tab w:val="clear" w:pos="630"/>
          <w:tab w:val="clear" w:pos="1701"/>
        </w:tabs>
      </w:pPr>
      <w:r>
        <w:rPr>
          <w:rFonts w:hint="eastAsia"/>
        </w:rPr>
        <w:t>交流制式牵引供电系统的继电保护及自动装置应符合T</w:t>
      </w:r>
      <w:r>
        <w:t>B 10009</w:t>
      </w:r>
      <w:r>
        <w:rPr>
          <w:rFonts w:hint="eastAsia"/>
        </w:rPr>
        <w:t>中的有关规定。</w:t>
      </w:r>
    </w:p>
    <w:p w14:paraId="61CC5B17">
      <w:pPr>
        <w:pStyle w:val="5"/>
        <w:tabs>
          <w:tab w:val="left" w:pos="851"/>
          <w:tab w:val="clear" w:pos="630"/>
          <w:tab w:val="clear" w:pos="1701"/>
        </w:tabs>
      </w:pPr>
      <w:r>
        <w:rPr>
          <w:rFonts w:hint="eastAsia"/>
        </w:rPr>
        <w:t>交流制式牵引供电系统中AC 25kV及以上电压级的断路器、负荷开关、隔离开关宜在控制室控制，检修用隔离开关应就地控制。</w:t>
      </w:r>
    </w:p>
    <w:p w14:paraId="77CF74FC">
      <w:pPr>
        <w:pStyle w:val="5"/>
        <w:tabs>
          <w:tab w:val="left" w:pos="851"/>
          <w:tab w:val="clear" w:pos="630"/>
          <w:tab w:val="clear" w:pos="1701"/>
        </w:tabs>
      </w:pPr>
      <w:r>
        <w:rPr>
          <w:rFonts w:hint="eastAsia"/>
        </w:rPr>
        <w:t>交流制式牵引供电系统的两台牵引变压器的投入回路应互相闭锁。</w:t>
      </w:r>
    </w:p>
    <w:p w14:paraId="6CC7EA4B">
      <w:pPr>
        <w:pStyle w:val="5"/>
        <w:tabs>
          <w:tab w:val="left" w:pos="851"/>
          <w:tab w:val="clear" w:pos="630"/>
          <w:tab w:val="clear" w:pos="1701"/>
        </w:tabs>
      </w:pPr>
      <w:r>
        <w:rPr>
          <w:rFonts w:hint="eastAsia"/>
        </w:rPr>
        <w:t>交流制式牵引供电系统中隔离开关与相应的断路器和接地刀闸之间，应设置闭锁。</w:t>
      </w:r>
    </w:p>
    <w:p w14:paraId="4C743E19">
      <w:pPr>
        <w:pStyle w:val="5"/>
        <w:tabs>
          <w:tab w:val="left" w:pos="851"/>
          <w:tab w:val="clear" w:pos="630"/>
          <w:tab w:val="clear" w:pos="1701"/>
        </w:tabs>
      </w:pPr>
      <w:r>
        <w:rPr>
          <w:rFonts w:hint="eastAsia"/>
        </w:rPr>
        <w:t>交流制式牵引供电系统的牵引变压器高、低压侧和AC 25kV线路应测量交流电流、有功功率、无功功率；其中牵引变压器高压侧应测量三相交流电流和负序电流，负序电流仪表准确度不应低于1.0级。</w:t>
      </w:r>
    </w:p>
    <w:p w14:paraId="227F32DB">
      <w:pPr>
        <w:numPr>
          <w:ilvl w:val="1"/>
          <w:numId w:val="1"/>
        </w:numPr>
        <w:snapToGrid w:val="0"/>
        <w:spacing w:before="156" w:after="156" w:line="240" w:lineRule="auto"/>
        <w:jc w:val="center"/>
        <w:outlineLvl w:val="1"/>
        <w:rPr>
          <w:rFonts w:eastAsia="黑体"/>
          <w:bCs/>
          <w:szCs w:val="28"/>
        </w:rPr>
      </w:pPr>
      <w:bookmarkStart w:id="1159" w:name="_Toc174612521"/>
      <w:bookmarkStart w:id="1160" w:name="_Toc168061272"/>
      <w:bookmarkStart w:id="1161" w:name="_Toc168061719"/>
      <w:bookmarkStart w:id="1162" w:name="_Toc168059464"/>
      <w:bookmarkStart w:id="1163" w:name="_Toc174611717"/>
      <w:bookmarkStart w:id="1164" w:name="_Toc174611514"/>
      <w:bookmarkStart w:id="1165" w:name="_Toc183765155"/>
      <w:bookmarkStart w:id="1166" w:name="_Toc183888560"/>
      <w:bookmarkStart w:id="1167" w:name="_Toc183882508"/>
      <w:bookmarkStart w:id="1168" w:name="_Toc183882146"/>
      <w:bookmarkStart w:id="1169" w:name="_Toc183888198"/>
      <w:bookmarkStart w:id="1170" w:name="_Toc183790585"/>
      <w:bookmarkStart w:id="1171" w:name="_Toc183683560"/>
      <w:r>
        <w:rPr>
          <w:rFonts w:eastAsia="黑体"/>
          <w:bCs/>
          <w:szCs w:val="28"/>
        </w:rPr>
        <w:t>电力监控系统</w:t>
      </w:r>
      <w:bookmarkEnd w:id="1159"/>
      <w:bookmarkEnd w:id="1160"/>
      <w:bookmarkEnd w:id="1161"/>
      <w:bookmarkEnd w:id="1162"/>
      <w:bookmarkEnd w:id="1163"/>
      <w:bookmarkEnd w:id="1164"/>
      <w:r>
        <w:rPr>
          <w:rFonts w:hint="eastAsia" w:eastAsia="黑体"/>
          <w:bCs/>
          <w:szCs w:val="28"/>
        </w:rPr>
        <w:t>与供电智运维系统</w:t>
      </w:r>
      <w:bookmarkEnd w:id="1165"/>
      <w:bookmarkEnd w:id="1166"/>
      <w:bookmarkEnd w:id="1167"/>
      <w:bookmarkEnd w:id="1168"/>
      <w:bookmarkEnd w:id="1169"/>
      <w:bookmarkEnd w:id="1170"/>
      <w:bookmarkEnd w:id="1171"/>
    </w:p>
    <w:p w14:paraId="04CEB302">
      <w:pPr>
        <w:pStyle w:val="5"/>
        <w:tabs>
          <w:tab w:val="left" w:pos="709"/>
          <w:tab w:val="clear" w:pos="630"/>
          <w:tab w:val="clear" w:pos="1701"/>
        </w:tabs>
      </w:pPr>
      <w:r>
        <w:t>电力监控(SCADA)系统应纳入综合监控系统。</w:t>
      </w:r>
    </w:p>
    <w:p w14:paraId="08B61717">
      <w:pPr>
        <w:pStyle w:val="5"/>
        <w:tabs>
          <w:tab w:val="left" w:pos="709"/>
          <w:tab w:val="clear" w:pos="630"/>
          <w:tab w:val="clear" w:pos="1701"/>
        </w:tabs>
      </w:pPr>
      <w:r>
        <w:t>电力监控系统应满足可靠性、快速响应性、稳定性等要求。</w:t>
      </w:r>
    </w:p>
    <w:p w14:paraId="4CA08C25">
      <w:pPr>
        <w:pStyle w:val="5"/>
        <w:tabs>
          <w:tab w:val="left" w:pos="709"/>
          <w:tab w:val="clear" w:pos="630"/>
          <w:tab w:val="clear" w:pos="1701"/>
        </w:tabs>
      </w:pPr>
      <w:r>
        <w:t>电力监控系统的基本功能应包括下列内容：</w:t>
      </w:r>
    </w:p>
    <w:p w14:paraId="462D4986">
      <w:pPr>
        <w:pStyle w:val="7"/>
        <w:ind w:firstLine="420"/>
      </w:pPr>
      <w:r>
        <w:t>对遥控对象的遥控。遥控种类分选点式、选站式、选线式控制；</w:t>
      </w:r>
    </w:p>
    <w:p w14:paraId="526A6A9A">
      <w:pPr>
        <w:pStyle w:val="7"/>
        <w:ind w:firstLine="420"/>
      </w:pPr>
      <w:r>
        <w:t>对供电系统设备运行状态的实时监视和故障报警；</w:t>
      </w:r>
    </w:p>
    <w:p w14:paraId="57887660">
      <w:pPr>
        <w:pStyle w:val="7"/>
        <w:ind w:firstLine="420"/>
      </w:pPr>
      <w:r>
        <w:t>对供电系统中主要运行参数的遥测；</w:t>
      </w:r>
    </w:p>
    <w:p w14:paraId="29323850">
      <w:pPr>
        <w:pStyle w:val="7"/>
        <w:ind w:firstLine="420"/>
      </w:pPr>
      <w:r>
        <w:t>中文的屏幕画面显示；</w:t>
      </w:r>
    </w:p>
    <w:p w14:paraId="06A71D13">
      <w:pPr>
        <w:pStyle w:val="7"/>
        <w:ind w:firstLine="420"/>
      </w:pPr>
      <w:r>
        <w:t>对供电系统故障记录等的日报月报制表打印；</w:t>
      </w:r>
    </w:p>
    <w:p w14:paraId="5413045E">
      <w:pPr>
        <w:pStyle w:val="7"/>
        <w:ind w:firstLine="420"/>
      </w:pPr>
      <w:r>
        <w:t>系统自检和在线修改、维护功能；</w:t>
      </w:r>
    </w:p>
    <w:p w14:paraId="789B7944">
      <w:pPr>
        <w:pStyle w:val="7"/>
        <w:ind w:firstLine="420"/>
      </w:pPr>
      <w:r>
        <w:t>友好的人机界面；</w:t>
      </w:r>
    </w:p>
    <w:p w14:paraId="7F880DDA">
      <w:pPr>
        <w:pStyle w:val="7"/>
        <w:ind w:firstLine="420"/>
      </w:pPr>
      <w:r>
        <w:t>主/备通道的切换功能。</w:t>
      </w:r>
    </w:p>
    <w:p w14:paraId="2188509E">
      <w:pPr>
        <w:pStyle w:val="5"/>
      </w:pPr>
      <w:r>
        <w:t>电力监控系统应采用车站通信系统二级母钟的标准时钟信号。</w:t>
      </w:r>
    </w:p>
    <w:p w14:paraId="058990F3">
      <w:pPr>
        <w:pStyle w:val="5"/>
        <w:tabs>
          <w:tab w:val="left" w:pos="709"/>
          <w:tab w:val="clear" w:pos="630"/>
          <w:tab w:val="clear" w:pos="1701"/>
        </w:tabs>
      </w:pPr>
      <w:r>
        <w:t>电力监控系统设备应满足</w:t>
      </w:r>
      <w:r>
        <w:rPr>
          <w:rFonts w:hint="eastAsia"/>
        </w:rPr>
        <w:t>城市</w:t>
      </w:r>
      <w:r>
        <w:t>轨道交通环境下电磁兼容要求。</w:t>
      </w:r>
    </w:p>
    <w:p w14:paraId="098A5BB3">
      <w:pPr>
        <w:pStyle w:val="5"/>
        <w:tabs>
          <w:tab w:val="left" w:pos="709"/>
          <w:tab w:val="clear" w:pos="630"/>
          <w:tab w:val="clear" w:pos="1701"/>
        </w:tabs>
      </w:pPr>
      <w:r>
        <w:t>车辆基地牵引变电所宜有人值班，其余变电所均宜无人值守。</w:t>
      </w:r>
    </w:p>
    <w:p w14:paraId="1BEC95F5">
      <w:pPr>
        <w:pStyle w:val="5"/>
        <w:tabs>
          <w:tab w:val="left" w:pos="709"/>
          <w:tab w:val="clear" w:pos="630"/>
          <w:tab w:val="clear" w:pos="1701"/>
        </w:tabs>
      </w:pPr>
      <w:r>
        <w:t>变电所远方操作和就地操作功能应互斥。</w:t>
      </w:r>
    </w:p>
    <w:p w14:paraId="5E4186C2">
      <w:pPr>
        <w:pStyle w:val="5"/>
        <w:tabs>
          <w:tab w:val="left" w:pos="709"/>
          <w:tab w:val="clear" w:pos="630"/>
          <w:tab w:val="clear" w:pos="1701"/>
        </w:tabs>
      </w:pPr>
      <w:r>
        <w:t>电力监控系统中心级应包括下列基本硬件设备：</w:t>
      </w:r>
    </w:p>
    <w:p w14:paraId="12DBA782">
      <w:pPr>
        <w:pStyle w:val="7"/>
        <w:ind w:firstLine="420"/>
      </w:pPr>
      <w:r>
        <w:t>主、备服务器；</w:t>
      </w:r>
    </w:p>
    <w:p w14:paraId="0FB5D057">
      <w:pPr>
        <w:pStyle w:val="7"/>
        <w:ind w:firstLine="420"/>
      </w:pPr>
      <w:r>
        <w:t>主、备磁盘阵列；</w:t>
      </w:r>
    </w:p>
    <w:p w14:paraId="4D06503A">
      <w:pPr>
        <w:pStyle w:val="7"/>
        <w:ind w:firstLine="420"/>
      </w:pPr>
      <w:r>
        <w:t>主、备调度员工作站；</w:t>
      </w:r>
    </w:p>
    <w:p w14:paraId="0640AADF">
      <w:pPr>
        <w:pStyle w:val="7"/>
        <w:ind w:firstLine="420"/>
      </w:pPr>
      <w:r>
        <w:t>维护工作站；</w:t>
      </w:r>
    </w:p>
    <w:p w14:paraId="79E7F2C4">
      <w:pPr>
        <w:pStyle w:val="7"/>
        <w:ind w:firstLine="420"/>
      </w:pPr>
      <w:r>
        <w:t>供电管理工作站；</w:t>
      </w:r>
    </w:p>
    <w:p w14:paraId="52594D87">
      <w:pPr>
        <w:pStyle w:val="7"/>
        <w:ind w:firstLine="420"/>
      </w:pPr>
      <w:r>
        <w:t>模拟盘或其他显示设备；</w:t>
      </w:r>
    </w:p>
    <w:p w14:paraId="4700057D">
      <w:pPr>
        <w:pStyle w:val="7"/>
        <w:ind w:firstLine="420"/>
      </w:pPr>
      <w:r>
        <w:t>不间断电源设备(UPS)；</w:t>
      </w:r>
    </w:p>
    <w:p w14:paraId="66DF7741">
      <w:pPr>
        <w:pStyle w:val="7"/>
        <w:ind w:firstLine="420"/>
      </w:pPr>
      <w:r>
        <w:t>打印机；</w:t>
      </w:r>
    </w:p>
    <w:p w14:paraId="25EEF991">
      <w:pPr>
        <w:pStyle w:val="7"/>
        <w:ind w:firstLine="420"/>
      </w:pPr>
      <w:r>
        <w:t>主、备以太网交换机。</w:t>
      </w:r>
    </w:p>
    <w:p w14:paraId="5BE8FA4E">
      <w:pPr>
        <w:pStyle w:val="5"/>
        <w:tabs>
          <w:tab w:val="left" w:pos="709"/>
          <w:tab w:val="clear" w:pos="630"/>
          <w:tab w:val="clear" w:pos="1701"/>
        </w:tabs>
      </w:pPr>
      <w:r>
        <w:t>变电所自动化系统应能够独立正常运行。</w:t>
      </w:r>
    </w:p>
    <w:p w14:paraId="13D758E2">
      <w:pPr>
        <w:pStyle w:val="5"/>
        <w:tabs>
          <w:tab w:val="left" w:pos="851"/>
          <w:tab w:val="clear" w:pos="630"/>
          <w:tab w:val="clear" w:pos="1701"/>
        </w:tabs>
      </w:pPr>
      <w:r>
        <w:t>跟随式降压变电所自动化可采用单控制单元，其他类变电所应采用双冗余控制单元。</w:t>
      </w:r>
    </w:p>
    <w:p w14:paraId="477981B6">
      <w:pPr>
        <w:pStyle w:val="5"/>
        <w:tabs>
          <w:tab w:val="left" w:pos="851"/>
          <w:tab w:val="clear" w:pos="630"/>
          <w:tab w:val="clear" w:pos="1701"/>
        </w:tabs>
      </w:pPr>
      <w:r>
        <w:t>变电所自动化宜采用10/100M自适应以太网。</w:t>
      </w:r>
    </w:p>
    <w:p w14:paraId="1B71F205">
      <w:pPr>
        <w:pStyle w:val="5"/>
        <w:tabs>
          <w:tab w:val="left" w:pos="851"/>
          <w:tab w:val="clear" w:pos="630"/>
          <w:tab w:val="clear" w:pos="1701"/>
        </w:tabs>
      </w:pPr>
      <w:r>
        <w:t>变电所自动化设备的通信规约应对用户完全开放。</w:t>
      </w:r>
    </w:p>
    <w:p w14:paraId="7D5E678E">
      <w:pPr>
        <w:pStyle w:val="5"/>
        <w:tabs>
          <w:tab w:val="left" w:pos="851"/>
          <w:tab w:val="clear" w:pos="630"/>
          <w:tab w:val="clear" w:pos="1701"/>
        </w:tabs>
      </w:pPr>
      <w:r>
        <w:t>站级控制单元与各类供电系统设备之间宜采用工业以太网通信方式或现场总线方式连接。</w:t>
      </w:r>
    </w:p>
    <w:p w14:paraId="29B7A634">
      <w:pPr>
        <w:pStyle w:val="5"/>
        <w:tabs>
          <w:tab w:val="left" w:pos="851"/>
          <w:tab w:val="clear" w:pos="630"/>
          <w:tab w:val="clear" w:pos="1701"/>
        </w:tabs>
      </w:pPr>
      <w:r>
        <w:t>变电所自动化设备应具备下列基本功能：</w:t>
      </w:r>
    </w:p>
    <w:p w14:paraId="056FD6DC">
      <w:pPr>
        <w:pStyle w:val="7"/>
        <w:ind w:firstLine="420"/>
      </w:pPr>
      <w:r>
        <w:t>远动控制输出；</w:t>
      </w:r>
    </w:p>
    <w:p w14:paraId="2E9271B7">
      <w:pPr>
        <w:pStyle w:val="7"/>
        <w:ind w:firstLine="420"/>
      </w:pPr>
      <w:r>
        <w:t>现场数据采集</w:t>
      </w:r>
      <w:r>
        <w:rPr>
          <w:rFonts w:hint="eastAsia"/>
        </w:rPr>
        <w:t>（</w:t>
      </w:r>
      <w:r>
        <w:t>包括数字量、模拟量、脉冲量等</w:t>
      </w:r>
      <w:r>
        <w:rPr>
          <w:rFonts w:hint="eastAsia"/>
        </w:rPr>
        <w:t>）</w:t>
      </w:r>
      <w:r>
        <w:t>；</w:t>
      </w:r>
    </w:p>
    <w:p w14:paraId="4321515F">
      <w:pPr>
        <w:pStyle w:val="7"/>
        <w:ind w:firstLine="420"/>
      </w:pPr>
      <w:r>
        <w:t>远动数据传输。</w:t>
      </w:r>
    </w:p>
    <w:p w14:paraId="703B85D2">
      <w:pPr>
        <w:pStyle w:val="5"/>
      </w:pPr>
      <w:r>
        <w:t>车辆基地供电车间应设置复示系统</w:t>
      </w:r>
    </w:p>
    <w:p w14:paraId="3689C11A">
      <w:pPr>
        <w:pStyle w:val="5"/>
      </w:pPr>
      <w:r>
        <w:t>遥控对象应包括下列基本内容：</w:t>
      </w:r>
    </w:p>
    <w:p w14:paraId="5DC1C701">
      <w:pPr>
        <w:pStyle w:val="7"/>
        <w:ind w:firstLine="420"/>
      </w:pPr>
      <w:r>
        <w:rPr>
          <w:rFonts w:hint="eastAsia"/>
        </w:rPr>
        <w:t>高压</w:t>
      </w:r>
      <w:r>
        <w:t>断路器、电动负荷开关</w:t>
      </w:r>
      <w:r>
        <w:rPr>
          <w:rFonts w:hint="eastAsia"/>
        </w:rPr>
        <w:t>（供电系统含1</w:t>
      </w:r>
      <w:r>
        <w:t>10k</w:t>
      </w:r>
      <w:r>
        <w:rPr>
          <w:rFonts w:hint="eastAsia"/>
        </w:rPr>
        <w:t>V系统时）</w:t>
      </w:r>
      <w:r>
        <w:t>；</w:t>
      </w:r>
    </w:p>
    <w:p w14:paraId="6DFC52EB">
      <w:pPr>
        <w:pStyle w:val="7"/>
        <w:ind w:firstLine="420"/>
      </w:pPr>
      <w:r>
        <w:t>中压断路器、电动负荷开关；</w:t>
      </w:r>
    </w:p>
    <w:p w14:paraId="0405EE3F">
      <w:pPr>
        <w:pStyle w:val="7"/>
        <w:ind w:firstLine="420"/>
      </w:pPr>
      <w:r>
        <w:rPr>
          <w:rFonts w:hint="eastAsia"/>
        </w:rPr>
        <w:t>直流制式的直流断路器、电动隔离开关；</w:t>
      </w:r>
    </w:p>
    <w:p w14:paraId="72919783">
      <w:pPr>
        <w:pStyle w:val="7"/>
        <w:ind w:firstLine="420"/>
      </w:pPr>
      <w:r>
        <w:rPr>
          <w:rFonts w:hint="eastAsia"/>
        </w:rPr>
        <w:t>交流制式的2</w:t>
      </w:r>
      <w:r>
        <w:t>5kV</w:t>
      </w:r>
      <w:r>
        <w:rPr>
          <w:rFonts w:hint="eastAsia"/>
        </w:rPr>
        <w:t>断路器、电动隔离开关；</w:t>
      </w:r>
    </w:p>
    <w:p w14:paraId="566E785F">
      <w:pPr>
        <w:pStyle w:val="7"/>
        <w:ind w:firstLine="420"/>
      </w:pPr>
      <w:r>
        <w:t>低压进线开关、母线分段开关、三级负荷开关；</w:t>
      </w:r>
    </w:p>
    <w:p w14:paraId="670CB10C">
      <w:pPr>
        <w:pStyle w:val="7"/>
        <w:ind w:firstLine="420"/>
      </w:pPr>
      <w:r>
        <w:t>跳闸等动作的远动复归、保护及自动装置的投/退。</w:t>
      </w:r>
    </w:p>
    <w:p w14:paraId="6CF0FFB6">
      <w:pPr>
        <w:pStyle w:val="5"/>
        <w:tabs>
          <w:tab w:val="left" w:pos="851"/>
          <w:tab w:val="clear" w:pos="630"/>
          <w:tab w:val="clear" w:pos="1701"/>
        </w:tabs>
      </w:pPr>
      <w:r>
        <w:t>遥信对象应包括下列基本内容：</w:t>
      </w:r>
    </w:p>
    <w:p w14:paraId="748EC799">
      <w:pPr>
        <w:pStyle w:val="7"/>
        <w:ind w:firstLine="420"/>
      </w:pPr>
      <w:r>
        <w:t>遥控对象的位置信号；</w:t>
      </w:r>
    </w:p>
    <w:p w14:paraId="248C3ABC">
      <w:pPr>
        <w:pStyle w:val="7"/>
        <w:ind w:firstLine="420"/>
      </w:pPr>
      <w:r>
        <w:t>故障报警及断路器跳闸信号；</w:t>
      </w:r>
    </w:p>
    <w:p w14:paraId="32B60568">
      <w:pPr>
        <w:pStyle w:val="7"/>
        <w:ind w:firstLine="420"/>
      </w:pPr>
      <w:r>
        <w:t>变电所</w:t>
      </w:r>
      <w:r>
        <w:rPr>
          <w:rFonts w:hint="eastAsia"/>
        </w:rPr>
        <w:t>高压</w:t>
      </w:r>
      <w:r>
        <w:t>进线电源带电显示信号</w:t>
      </w:r>
      <w:r>
        <w:rPr>
          <w:rFonts w:hint="eastAsia"/>
        </w:rPr>
        <w:t>（供电系统含110kV系统时）；</w:t>
      </w:r>
    </w:p>
    <w:p w14:paraId="0BFA28B9">
      <w:pPr>
        <w:pStyle w:val="7"/>
        <w:ind w:firstLine="420"/>
      </w:pPr>
      <w:r>
        <w:t>变电所中压进线电源带电显示信号；</w:t>
      </w:r>
    </w:p>
    <w:p w14:paraId="16F8EEB1">
      <w:pPr>
        <w:pStyle w:val="7"/>
        <w:ind w:firstLine="420"/>
      </w:pPr>
      <w:r>
        <w:t>所用交直流设备的电源故障信号；</w:t>
      </w:r>
    </w:p>
    <w:p w14:paraId="66E9B997">
      <w:pPr>
        <w:pStyle w:val="7"/>
        <w:ind w:firstLine="420"/>
      </w:pPr>
      <w:r>
        <w:t>钢轨电位限制装置的动作及自动恢复信号</w:t>
      </w:r>
      <w:r>
        <w:rPr>
          <w:rFonts w:hint="eastAsia"/>
        </w:rPr>
        <w:t>（采用直流</w:t>
      </w:r>
      <w:r>
        <w:t>制式</w:t>
      </w:r>
      <w:r>
        <w:rPr>
          <w:rFonts w:hint="eastAsia"/>
        </w:rPr>
        <w:t>时）</w:t>
      </w:r>
      <w:r>
        <w:t>；</w:t>
      </w:r>
    </w:p>
    <w:p w14:paraId="2F81C606">
      <w:pPr>
        <w:pStyle w:val="7"/>
        <w:ind w:firstLine="420"/>
      </w:pPr>
      <w:r>
        <w:t>开关柜手车信号；</w:t>
      </w:r>
    </w:p>
    <w:p w14:paraId="2096AACD">
      <w:pPr>
        <w:pStyle w:val="7"/>
        <w:ind w:firstLine="420"/>
      </w:pPr>
      <w:r>
        <w:t>控制转换开关位置信号；</w:t>
      </w:r>
    </w:p>
    <w:p w14:paraId="4F232D0C">
      <w:pPr>
        <w:pStyle w:val="7"/>
        <w:ind w:firstLine="420"/>
      </w:pPr>
      <w:r>
        <w:t>电压互感器的位置信号。</w:t>
      </w:r>
    </w:p>
    <w:p w14:paraId="13841681">
      <w:pPr>
        <w:pStyle w:val="5"/>
        <w:tabs>
          <w:tab w:val="left" w:pos="851"/>
          <w:tab w:val="clear" w:pos="630"/>
          <w:tab w:val="clear" w:pos="1701"/>
        </w:tabs>
      </w:pPr>
      <w:r>
        <w:t>遥测对象应包括下列基本内容：</w:t>
      </w:r>
    </w:p>
    <w:p w14:paraId="4D6010FA">
      <w:pPr>
        <w:pStyle w:val="7"/>
        <w:ind w:firstLine="420"/>
      </w:pPr>
      <w:r>
        <w:t>变电所进线的电流、功率、功率因数、谐波、电能；</w:t>
      </w:r>
    </w:p>
    <w:p w14:paraId="797836E9">
      <w:pPr>
        <w:pStyle w:val="7"/>
        <w:ind w:firstLine="420"/>
      </w:pPr>
      <w:r>
        <w:t>变电所</w:t>
      </w:r>
      <w:r>
        <w:rPr>
          <w:rFonts w:hint="eastAsia"/>
        </w:rPr>
        <w:t>高</w:t>
      </w:r>
      <w:r>
        <w:t>压母线的电压</w:t>
      </w:r>
      <w:r>
        <w:rPr>
          <w:rFonts w:hint="eastAsia"/>
        </w:rPr>
        <w:t>（供电系统含110kV系统时）</w:t>
      </w:r>
      <w:r>
        <w:t>；</w:t>
      </w:r>
    </w:p>
    <w:p w14:paraId="13DF7EA9">
      <w:pPr>
        <w:pStyle w:val="7"/>
        <w:ind w:firstLine="420"/>
      </w:pPr>
      <w:r>
        <w:t>变电所中压母线的电压；</w:t>
      </w:r>
    </w:p>
    <w:p w14:paraId="000AD02C">
      <w:pPr>
        <w:pStyle w:val="7"/>
        <w:ind w:firstLine="420"/>
      </w:pPr>
      <w:r>
        <w:t>中压电流保护动作电流；</w:t>
      </w:r>
    </w:p>
    <w:p w14:paraId="39E0D2FE">
      <w:pPr>
        <w:pStyle w:val="7"/>
        <w:ind w:firstLine="420"/>
      </w:pPr>
      <w:r>
        <w:t>牵引整流机组</w:t>
      </w:r>
      <w:r>
        <w:rPr>
          <w:rFonts w:hint="eastAsia"/>
        </w:rPr>
        <w:t>/中压</w:t>
      </w:r>
      <w:r>
        <w:t>能馈装置</w:t>
      </w:r>
      <w:r>
        <w:rPr>
          <w:rFonts w:hint="eastAsia"/>
        </w:rPr>
        <w:t>/双向</w:t>
      </w:r>
      <w:r>
        <w:t>变流装置</w:t>
      </w:r>
      <w:r>
        <w:rPr>
          <w:rFonts w:hint="eastAsia"/>
        </w:rPr>
        <w:t>的</w:t>
      </w:r>
      <w:r>
        <w:t>中压馈线电流、谐波、电能；</w:t>
      </w:r>
    </w:p>
    <w:p w14:paraId="010B3E29">
      <w:pPr>
        <w:pStyle w:val="7"/>
        <w:ind w:firstLine="420"/>
      </w:pPr>
      <w:r>
        <w:t>牵引</w:t>
      </w:r>
      <w:r>
        <w:rPr>
          <w:rFonts w:hint="eastAsia"/>
        </w:rPr>
        <w:t>系统</w:t>
      </w:r>
      <w:r>
        <w:t>母线电压；</w:t>
      </w:r>
    </w:p>
    <w:p w14:paraId="275C4A84">
      <w:pPr>
        <w:pStyle w:val="7"/>
        <w:ind w:firstLine="420"/>
      </w:pPr>
      <w:r>
        <w:t>牵引馈线电流；</w:t>
      </w:r>
    </w:p>
    <w:p w14:paraId="1AA37675">
      <w:pPr>
        <w:pStyle w:val="7"/>
        <w:ind w:firstLine="420"/>
      </w:pPr>
      <w:r>
        <w:t>配电变压器</w:t>
      </w:r>
      <w:r>
        <w:rPr>
          <w:rFonts w:hint="eastAsia"/>
        </w:rPr>
        <w:t>的</w:t>
      </w:r>
      <w:r>
        <w:t>中压馈线电流、功率因数、电能；</w:t>
      </w:r>
    </w:p>
    <w:p w14:paraId="0C0436F1">
      <w:pPr>
        <w:pStyle w:val="7"/>
        <w:ind w:firstLine="420"/>
      </w:pPr>
      <w:r>
        <w:t>低压母线侧电压；</w:t>
      </w:r>
    </w:p>
    <w:p w14:paraId="18BC81E0">
      <w:pPr>
        <w:pStyle w:val="7"/>
        <w:ind w:firstLine="420"/>
      </w:pPr>
      <w:r>
        <w:t>所用直流操作电源的母线电压；</w:t>
      </w:r>
    </w:p>
    <w:p w14:paraId="12CF20B1">
      <w:pPr>
        <w:pStyle w:val="7"/>
        <w:ind w:firstLine="420"/>
      </w:pPr>
      <w:r>
        <w:t>排流时极化电位及排流电流</w:t>
      </w:r>
      <w:r>
        <w:rPr>
          <w:rFonts w:hint="eastAsia"/>
        </w:rPr>
        <w:t>（采用直流</w:t>
      </w:r>
      <w:r>
        <w:t>制式</w:t>
      </w:r>
      <w:r>
        <w:rPr>
          <w:rFonts w:hint="eastAsia"/>
        </w:rPr>
        <w:t>时）</w:t>
      </w:r>
      <w:r>
        <w:t>；</w:t>
      </w:r>
    </w:p>
    <w:p w14:paraId="2F25EBE0">
      <w:pPr>
        <w:pStyle w:val="7"/>
        <w:ind w:firstLine="420"/>
      </w:pPr>
      <w:r>
        <w:rPr>
          <w:rFonts w:hint="eastAsia"/>
        </w:rPr>
        <w:t>牵引网正/负</w:t>
      </w:r>
      <w:r>
        <w:t>极对地</w:t>
      </w:r>
      <w:r>
        <w:rPr>
          <w:rFonts w:hint="eastAsia"/>
        </w:rPr>
        <w:t>泄漏</w:t>
      </w:r>
      <w:r>
        <w:t>电流</w:t>
      </w:r>
      <w:r>
        <w:rPr>
          <w:rFonts w:hint="eastAsia"/>
        </w:rPr>
        <w:t>（采用直流</w:t>
      </w:r>
      <w:r>
        <w:t>制式</w:t>
      </w:r>
      <w:r>
        <w:rPr>
          <w:rFonts w:hint="eastAsia"/>
        </w:rPr>
        <w:t>专用</w:t>
      </w:r>
      <w:r>
        <w:t>回流轨</w:t>
      </w:r>
      <w:r>
        <w:rPr>
          <w:rFonts w:hint="eastAsia"/>
        </w:rPr>
        <w:t>时）</w:t>
      </w:r>
      <w:r>
        <w:t>；</w:t>
      </w:r>
    </w:p>
    <w:p w14:paraId="5CD6A9BB">
      <w:pPr>
        <w:pStyle w:val="7"/>
        <w:ind w:firstLine="420"/>
      </w:pPr>
      <w:r>
        <w:t>钢轨电位限制装置动作电压及通过的电流</w:t>
      </w:r>
      <w:r>
        <w:rPr>
          <w:rFonts w:hint="eastAsia"/>
        </w:rPr>
        <w:t>（采用直流</w:t>
      </w:r>
      <w:r>
        <w:t>制式</w:t>
      </w:r>
      <w:r>
        <w:rPr>
          <w:rFonts w:hint="eastAsia"/>
        </w:rPr>
        <w:t>时）</w:t>
      </w:r>
      <w:r>
        <w:t>。</w:t>
      </w:r>
    </w:p>
    <w:p w14:paraId="323A59B7">
      <w:pPr>
        <w:pStyle w:val="5"/>
        <w:tabs>
          <w:tab w:val="left" w:pos="851"/>
          <w:tab w:val="clear" w:pos="630"/>
          <w:tab w:val="clear" w:pos="1701"/>
        </w:tabs>
      </w:pPr>
      <w:r>
        <w:rPr>
          <w:rFonts w:hint="eastAsia"/>
        </w:rPr>
        <w:t>电力监控系统中心级与其他网络或计算机系统连接时，应充分考虑网络安全问题，设置必要的安全防护措施。</w:t>
      </w:r>
    </w:p>
    <w:p w14:paraId="03909D7F">
      <w:pPr>
        <w:pStyle w:val="5"/>
        <w:tabs>
          <w:tab w:val="left" w:pos="851"/>
          <w:tab w:val="clear" w:pos="630"/>
          <w:tab w:val="clear" w:pos="1701"/>
        </w:tabs>
      </w:pPr>
      <w:r>
        <w:rPr>
          <w:rFonts w:hint="eastAsia"/>
        </w:rPr>
        <w:t>供电系统宜设置供电智能运维系统，供电智能运维系统包括供电智能运维中心、站级供电智能运维平台、供电智能运维中心与站级智能运维平台间的通信通道，宜在运营有需求的供电工区设置供电智能运维工区终端。</w:t>
      </w:r>
    </w:p>
    <w:p w14:paraId="5DF6C6B5">
      <w:pPr>
        <w:pStyle w:val="5"/>
        <w:tabs>
          <w:tab w:val="left" w:pos="851"/>
          <w:tab w:val="clear" w:pos="630"/>
          <w:tab w:val="clear" w:pos="1701"/>
        </w:tabs>
      </w:pPr>
      <w:r>
        <w:rPr>
          <w:rFonts w:hint="eastAsia"/>
        </w:rPr>
        <w:t>当设置能源管理系统时，变电所综合自动化系统应预留与能源管理系统连接的接口，并能通过该接口将本系统采集的相关电能数据发送给能源管理系统。</w:t>
      </w:r>
    </w:p>
    <w:p w14:paraId="5F320916">
      <w:pPr>
        <w:pStyle w:val="5"/>
        <w:tabs>
          <w:tab w:val="left" w:pos="851"/>
          <w:tab w:val="clear" w:pos="630"/>
          <w:tab w:val="clear" w:pos="1701"/>
        </w:tabs>
      </w:pPr>
      <w:r>
        <w:t>电力监控系统的主要技术指标应符合GB50157的规定。</w:t>
      </w:r>
    </w:p>
    <w:p w14:paraId="1D936A16">
      <w:pPr>
        <w:pStyle w:val="5"/>
        <w:tabs>
          <w:tab w:val="left" w:pos="851"/>
          <w:tab w:val="clear" w:pos="630"/>
          <w:tab w:val="clear" w:pos="1701"/>
        </w:tabs>
      </w:pPr>
      <w:r>
        <w:t>车辆基地宜设置</w:t>
      </w:r>
      <w:r>
        <w:rPr>
          <w:rFonts w:hint="eastAsia"/>
        </w:rPr>
        <w:t>牵引网</w:t>
      </w:r>
      <w:r>
        <w:t>上网开关监视系统，宜接入变电所自动化系统。</w:t>
      </w:r>
    </w:p>
    <w:p w14:paraId="3B598058">
      <w:pPr>
        <w:numPr>
          <w:ilvl w:val="1"/>
          <w:numId w:val="1"/>
        </w:numPr>
        <w:snapToGrid w:val="0"/>
        <w:spacing w:before="156" w:after="156" w:line="240" w:lineRule="auto"/>
        <w:jc w:val="center"/>
        <w:outlineLvl w:val="1"/>
        <w:rPr>
          <w:rFonts w:eastAsia="黑体"/>
          <w:bCs/>
          <w:szCs w:val="28"/>
        </w:rPr>
      </w:pPr>
      <w:bookmarkStart w:id="1172" w:name="_Toc183882509"/>
      <w:bookmarkStart w:id="1173" w:name="_Toc168059465"/>
      <w:bookmarkStart w:id="1174" w:name="_Toc183882147"/>
      <w:bookmarkStart w:id="1175" w:name="_Toc183765156"/>
      <w:bookmarkStart w:id="1176" w:name="_Toc183683561"/>
      <w:bookmarkStart w:id="1177" w:name="_Toc168061273"/>
      <w:bookmarkStart w:id="1178" w:name="_Toc183790586"/>
      <w:bookmarkStart w:id="1179" w:name="_Toc174611515"/>
      <w:bookmarkStart w:id="1180" w:name="_Toc174611718"/>
      <w:bookmarkStart w:id="1181" w:name="_Toc168061720"/>
      <w:bookmarkStart w:id="1182" w:name="_Toc174612522"/>
      <w:bookmarkStart w:id="1183" w:name="_Toc183888561"/>
      <w:bookmarkStart w:id="1184" w:name="_Toc183888199"/>
      <w:r>
        <w:rPr>
          <w:rFonts w:eastAsia="黑体"/>
          <w:bCs/>
          <w:szCs w:val="28"/>
        </w:rPr>
        <w:t>动力与照明配电</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739D8C34">
      <w:pPr>
        <w:pStyle w:val="5"/>
      </w:pPr>
      <w:bookmarkStart w:id="1185" w:name="_Toc168061274"/>
      <w:bookmarkStart w:id="1186" w:name="_Toc174611516"/>
      <w:bookmarkStart w:id="1187" w:name="_Toc168059466"/>
      <w:bookmarkStart w:id="1188" w:name="_Toc168061892"/>
      <w:bookmarkStart w:id="1189" w:name="_Toc174611719"/>
      <w:bookmarkStart w:id="1190" w:name="_Toc174612523"/>
      <w:bookmarkStart w:id="1191" w:name="_Toc168061721"/>
      <w:r>
        <w:rPr>
          <w:rFonts w:hint="eastAsia"/>
          <w:spacing w:val="4"/>
          <w:sz w:val="20"/>
          <w:szCs w:val="18"/>
        </w:rPr>
        <w:t xml:space="preserve"> </w:t>
      </w:r>
      <w:r>
        <w:rPr>
          <w:rFonts w:hint="eastAsia"/>
        </w:rPr>
        <w:t>车站及车辆基地用电设备的负荷分级应符合下列规定：</w:t>
      </w:r>
    </w:p>
    <w:p w14:paraId="7E1897BB">
      <w:pPr>
        <w:spacing w:line="240" w:lineRule="auto"/>
        <w:ind w:firstLine="416" w:firstLineChars="200"/>
        <w:rPr>
          <w:spacing w:val="4"/>
          <w:sz w:val="20"/>
          <w:szCs w:val="18"/>
        </w:rPr>
      </w:pPr>
      <w:r>
        <w:rPr>
          <w:rFonts w:hint="eastAsia"/>
          <w:spacing w:val="4"/>
          <w:sz w:val="20"/>
          <w:szCs w:val="18"/>
        </w:rPr>
        <w:t>特级负荷：火灾自动报警系统设备、专用通信系统设备、信号系统设备、地下车站及区间的应急照明。</w:t>
      </w:r>
    </w:p>
    <w:p w14:paraId="1081D00E">
      <w:pPr>
        <w:spacing w:line="240" w:lineRule="auto"/>
        <w:ind w:firstLine="416" w:firstLineChars="200"/>
        <w:rPr>
          <w:spacing w:val="4"/>
          <w:sz w:val="20"/>
          <w:szCs w:val="18"/>
        </w:rPr>
      </w:pPr>
      <w:r>
        <w:rPr>
          <w:rFonts w:hint="eastAsia"/>
          <w:spacing w:val="4"/>
          <w:sz w:val="20"/>
          <w:szCs w:val="18"/>
        </w:rPr>
        <w:t>一级负荷：</w:t>
      </w:r>
    </w:p>
    <w:p w14:paraId="5F176AF2">
      <w:pPr>
        <w:spacing w:line="240" w:lineRule="auto"/>
        <w:ind w:firstLine="418" w:firstLineChars="200"/>
        <w:rPr>
          <w:spacing w:val="4"/>
          <w:sz w:val="20"/>
          <w:szCs w:val="18"/>
        </w:rPr>
      </w:pPr>
      <w:r>
        <w:rPr>
          <w:rFonts w:hint="eastAsia"/>
          <w:b/>
          <w:spacing w:val="4"/>
          <w:sz w:val="20"/>
          <w:szCs w:val="18"/>
        </w:rPr>
        <w:t xml:space="preserve">1 </w:t>
      </w:r>
      <w:r>
        <w:rPr>
          <w:rFonts w:hint="eastAsia"/>
          <w:spacing w:val="4"/>
          <w:sz w:val="20"/>
          <w:szCs w:val="18"/>
        </w:rPr>
        <w:t xml:space="preserve"> 火灾或其他灾害仍需使用的用电设备：公安通信系统设备、环境与设备监控系统设备、综合监控系统设备、电气火灾监控系统设备、消防电源监控系统设备、消防水泵及相关设备、消防水管电保温设备、自动灭火系统设备、与防排烟及事故通风有关的用电设备、防火（卷帘）门、活动挡烟垂壁、消防疏散用自动扶梯、消防电梯、高架及地面车站应急照明、主排水泵（废水泵）、雨水泵、防淹门等；</w:t>
      </w:r>
    </w:p>
    <w:p w14:paraId="206EB928">
      <w:pPr>
        <w:spacing w:line="240" w:lineRule="auto"/>
        <w:ind w:firstLine="418" w:firstLineChars="200"/>
        <w:rPr>
          <w:spacing w:val="4"/>
          <w:sz w:val="20"/>
          <w:szCs w:val="18"/>
        </w:rPr>
      </w:pPr>
      <w:r>
        <w:rPr>
          <w:rFonts w:hint="eastAsia"/>
          <w:b/>
          <w:spacing w:val="4"/>
          <w:sz w:val="20"/>
          <w:szCs w:val="18"/>
        </w:rPr>
        <w:t>2</w:t>
      </w:r>
      <w:r>
        <w:rPr>
          <w:rFonts w:hint="eastAsia"/>
          <w:spacing w:val="4"/>
          <w:sz w:val="20"/>
          <w:szCs w:val="18"/>
        </w:rPr>
        <w:t xml:space="preserve"> 其他保障地铁正常运行的用电设备：民用通信系统设备、政务通信系统设备、电力监控系统设备、门禁系统设备、安防系统设备、自动售检票系统设备、办公自动化系统设备、站台屏蔽门设备、变电所操作电源、地下站厅/站台等公共区照明、地下区间照明、变电所检修电源、锅炉房设备等。</w:t>
      </w:r>
    </w:p>
    <w:p w14:paraId="52C1F4F1">
      <w:pPr>
        <w:spacing w:line="240" w:lineRule="auto"/>
        <w:ind w:firstLine="416" w:firstLineChars="200"/>
        <w:rPr>
          <w:spacing w:val="4"/>
          <w:sz w:val="20"/>
          <w:szCs w:val="18"/>
        </w:rPr>
      </w:pPr>
      <w:r>
        <w:rPr>
          <w:rFonts w:hint="eastAsia"/>
          <w:spacing w:val="4"/>
          <w:sz w:val="20"/>
          <w:szCs w:val="18"/>
        </w:rPr>
        <w:t>二级负荷：地上站厅/站台公共区正常照明、地上区间照明、附属房间正常照明、普通风机、排污泵、非消防疏散用自动扶梯、自动人行道和电梯、导向标识系统设备、车站及区间检修设备、杂散电流区间监测电源、钢轨涂油器电源、道岔融雪用电设备、非消防用电动窗及电动门、污水处理站、车辆段食堂工艺设备、对行车安全有直接影响的车辆段工艺检修设备。</w:t>
      </w:r>
    </w:p>
    <w:p w14:paraId="75DEB157">
      <w:pPr>
        <w:spacing w:line="240" w:lineRule="auto"/>
        <w:ind w:firstLine="416" w:firstLineChars="200"/>
        <w:rPr>
          <w:spacing w:val="4"/>
          <w:sz w:val="20"/>
          <w:szCs w:val="18"/>
        </w:rPr>
      </w:pPr>
      <w:r>
        <w:rPr>
          <w:rFonts w:hint="eastAsia"/>
          <w:spacing w:val="4"/>
          <w:sz w:val="20"/>
          <w:szCs w:val="18"/>
        </w:rPr>
        <w:t>三级负荷：空调制冷及水系统设备、广告照明、站内商业服务设施、清洁设备、电开水设备、电采暖设备、各类系统培训中心设备、对行车安全无直接影响的车辆段工艺检修设备。</w:t>
      </w:r>
    </w:p>
    <w:p w14:paraId="7B46571B">
      <w:pPr>
        <w:numPr>
          <w:ilvl w:val="2"/>
          <w:numId w:val="40"/>
        </w:numPr>
        <w:tabs>
          <w:tab w:val="left" w:pos="709"/>
          <w:tab w:val="left" w:pos="794"/>
          <w:tab w:val="left" w:pos="1701"/>
        </w:tabs>
        <w:outlineLvl w:val="2"/>
        <w:rPr>
          <w:bCs/>
        </w:rPr>
      </w:pPr>
      <w:r>
        <w:rPr>
          <w:rFonts w:hint="eastAsia"/>
          <w:bCs/>
        </w:rPr>
        <w:t>控制中心用电设备的负荷分级应符合下列规定：</w:t>
      </w:r>
    </w:p>
    <w:p w14:paraId="5488946E">
      <w:pPr>
        <w:spacing w:line="240" w:lineRule="auto"/>
        <w:ind w:firstLine="416" w:firstLineChars="200"/>
        <w:rPr>
          <w:spacing w:val="4"/>
          <w:sz w:val="20"/>
          <w:szCs w:val="18"/>
        </w:rPr>
      </w:pPr>
      <w:r>
        <w:rPr>
          <w:rFonts w:hint="eastAsia"/>
          <w:spacing w:val="4"/>
          <w:sz w:val="20"/>
          <w:szCs w:val="18"/>
        </w:rPr>
        <w:t>特级负荷：火灾自动报警系统设备、调度大厅应急照明。</w:t>
      </w:r>
    </w:p>
    <w:p w14:paraId="16B30FEA">
      <w:pPr>
        <w:spacing w:line="240" w:lineRule="auto"/>
        <w:ind w:firstLine="416" w:firstLineChars="200"/>
        <w:rPr>
          <w:spacing w:val="4"/>
          <w:sz w:val="20"/>
          <w:szCs w:val="18"/>
        </w:rPr>
      </w:pPr>
      <w:r>
        <w:rPr>
          <w:rFonts w:hint="eastAsia"/>
          <w:spacing w:val="4"/>
          <w:sz w:val="20"/>
          <w:szCs w:val="18"/>
        </w:rPr>
        <w:t>一级负荷：消防电梯、消防水泵、喷淋泵、排烟风机、加压风机；调度大厅正常照明、一般场所应急照明；调度大厅、重要设备机房空调设备等。</w:t>
      </w:r>
    </w:p>
    <w:p w14:paraId="6E763037">
      <w:pPr>
        <w:spacing w:line="240" w:lineRule="auto"/>
        <w:ind w:firstLine="416" w:firstLineChars="200"/>
        <w:rPr>
          <w:spacing w:val="4"/>
          <w:sz w:val="20"/>
          <w:szCs w:val="18"/>
        </w:rPr>
      </w:pPr>
      <w:r>
        <w:rPr>
          <w:rFonts w:hint="eastAsia"/>
          <w:spacing w:val="4"/>
          <w:sz w:val="20"/>
          <w:szCs w:val="18"/>
        </w:rPr>
        <w:t>二级负荷：控制中心的普通风机、一般水泵、一般场所正常照明等。</w:t>
      </w:r>
    </w:p>
    <w:p w14:paraId="47248E43">
      <w:pPr>
        <w:spacing w:line="240" w:lineRule="auto"/>
        <w:ind w:firstLine="416" w:firstLineChars="200"/>
        <w:rPr>
          <w:spacing w:val="4"/>
          <w:sz w:val="20"/>
          <w:szCs w:val="18"/>
        </w:rPr>
      </w:pPr>
      <w:r>
        <w:rPr>
          <w:rFonts w:hint="eastAsia"/>
          <w:spacing w:val="4"/>
          <w:sz w:val="20"/>
          <w:szCs w:val="18"/>
        </w:rPr>
        <w:t>三级负荷：其他场所制冷设备及空调设备，建筑物的室外照明、广告照明、清洁设备、电开水设备、各类系统培训中心设备等。</w:t>
      </w:r>
    </w:p>
    <w:p w14:paraId="607289EA">
      <w:pPr>
        <w:spacing w:line="240" w:lineRule="auto"/>
        <w:ind w:firstLine="416" w:firstLineChars="200"/>
        <w:rPr>
          <w:spacing w:val="4"/>
          <w:sz w:val="20"/>
          <w:szCs w:val="18"/>
        </w:rPr>
      </w:pPr>
      <w:r>
        <w:rPr>
          <w:rFonts w:hint="eastAsia"/>
          <w:spacing w:val="4"/>
          <w:sz w:val="20"/>
          <w:szCs w:val="18"/>
        </w:rPr>
        <w:t>其他：弱电工艺设备负荷等级按照机房等级，根据GB 50174相关要求确定；其他控制中心内未提及负荷按照GB51348相关要求确定。</w:t>
      </w:r>
    </w:p>
    <w:p w14:paraId="2521AD3A">
      <w:pPr>
        <w:numPr>
          <w:ilvl w:val="2"/>
          <w:numId w:val="40"/>
        </w:numPr>
        <w:tabs>
          <w:tab w:val="left" w:pos="709"/>
          <w:tab w:val="left" w:pos="794"/>
          <w:tab w:val="left" w:pos="1701"/>
        </w:tabs>
        <w:outlineLvl w:val="2"/>
        <w:rPr>
          <w:bCs/>
        </w:rPr>
      </w:pPr>
      <w:r>
        <w:rPr>
          <w:rFonts w:hint="eastAsia"/>
          <w:bCs/>
        </w:rPr>
        <w:t>电压制式的选择宜符合以下规定：</w:t>
      </w:r>
    </w:p>
    <w:p w14:paraId="17FF4E08">
      <w:pPr>
        <w:spacing w:line="240" w:lineRule="auto"/>
        <w:ind w:firstLine="418" w:firstLineChars="200"/>
        <w:rPr>
          <w:spacing w:val="4"/>
          <w:sz w:val="20"/>
          <w:szCs w:val="18"/>
        </w:rPr>
      </w:pPr>
      <w:r>
        <w:rPr>
          <w:rFonts w:hint="eastAsia"/>
          <w:b/>
          <w:spacing w:val="4"/>
          <w:sz w:val="20"/>
          <w:szCs w:val="18"/>
        </w:rPr>
        <w:t xml:space="preserve">1 </w:t>
      </w:r>
      <w:r>
        <w:rPr>
          <w:rFonts w:hint="eastAsia"/>
          <w:spacing w:val="4"/>
          <w:sz w:val="20"/>
          <w:szCs w:val="18"/>
        </w:rPr>
        <w:t xml:space="preserve"> 低压配电系统电压当采用交流制式时宜采用220/380V；</w:t>
      </w:r>
    </w:p>
    <w:p w14:paraId="38615915">
      <w:pPr>
        <w:spacing w:line="240" w:lineRule="auto"/>
        <w:ind w:firstLine="418" w:firstLineChars="200"/>
        <w:rPr>
          <w:spacing w:val="4"/>
          <w:sz w:val="20"/>
          <w:szCs w:val="18"/>
        </w:rPr>
      </w:pPr>
      <w:r>
        <w:rPr>
          <w:rFonts w:hint="eastAsia"/>
          <w:b/>
          <w:spacing w:val="4"/>
          <w:sz w:val="20"/>
          <w:szCs w:val="18"/>
        </w:rPr>
        <w:t>2</w:t>
      </w:r>
      <w:r>
        <w:rPr>
          <w:rFonts w:hint="eastAsia"/>
          <w:spacing w:val="4"/>
          <w:sz w:val="20"/>
          <w:szCs w:val="18"/>
        </w:rPr>
        <w:t xml:space="preserve">  低压配电系统电压当采用直流制式时宜采用220V或375V；</w:t>
      </w:r>
    </w:p>
    <w:p w14:paraId="09A33BBF">
      <w:pPr>
        <w:spacing w:line="240" w:lineRule="auto"/>
        <w:ind w:firstLine="418" w:firstLineChars="200"/>
        <w:rPr>
          <w:spacing w:val="4"/>
          <w:sz w:val="20"/>
          <w:szCs w:val="18"/>
        </w:rPr>
      </w:pPr>
      <w:r>
        <w:rPr>
          <w:rFonts w:hint="eastAsia"/>
          <w:b/>
          <w:spacing w:val="4"/>
          <w:sz w:val="20"/>
          <w:szCs w:val="18"/>
        </w:rPr>
        <w:t>3</w:t>
      </w:r>
      <w:r>
        <w:rPr>
          <w:rFonts w:hint="eastAsia"/>
          <w:spacing w:val="4"/>
          <w:sz w:val="20"/>
          <w:szCs w:val="18"/>
        </w:rPr>
        <w:t xml:space="preserve">  在干燥场所安全特低电压照明不宜超过交流36V或直流120V，在潮湿场所安全特低电压照明应采用交流24V或直流60V。</w:t>
      </w:r>
    </w:p>
    <w:p w14:paraId="5637BBF1">
      <w:pPr>
        <w:numPr>
          <w:ilvl w:val="2"/>
          <w:numId w:val="40"/>
        </w:numPr>
        <w:tabs>
          <w:tab w:val="left" w:pos="709"/>
          <w:tab w:val="left" w:pos="794"/>
          <w:tab w:val="left" w:pos="1701"/>
        </w:tabs>
        <w:outlineLvl w:val="2"/>
        <w:rPr>
          <w:bCs/>
        </w:rPr>
      </w:pPr>
      <w:r>
        <w:rPr>
          <w:rFonts w:hint="eastAsia"/>
          <w:bCs/>
        </w:rPr>
        <w:t>各级配电箱、柜宜预留为总回路数25%的备用回路。</w:t>
      </w:r>
    </w:p>
    <w:p w14:paraId="3331F72D">
      <w:pPr>
        <w:numPr>
          <w:ilvl w:val="2"/>
          <w:numId w:val="40"/>
        </w:numPr>
        <w:tabs>
          <w:tab w:val="left" w:pos="709"/>
          <w:tab w:val="left" w:pos="794"/>
          <w:tab w:val="left" w:pos="1701"/>
        </w:tabs>
        <w:outlineLvl w:val="2"/>
        <w:rPr>
          <w:bCs/>
        </w:rPr>
      </w:pPr>
      <w:r>
        <w:rPr>
          <w:rFonts w:hint="eastAsia"/>
          <w:bCs/>
        </w:rPr>
        <w:t>低压配电系统应简单可靠，配电变压器二次侧至用电设备之间的配电级数不宜超过三级。</w:t>
      </w:r>
    </w:p>
    <w:p w14:paraId="1EE43F09">
      <w:pPr>
        <w:numPr>
          <w:ilvl w:val="2"/>
          <w:numId w:val="40"/>
        </w:numPr>
        <w:tabs>
          <w:tab w:val="left" w:pos="709"/>
          <w:tab w:val="left" w:pos="794"/>
          <w:tab w:val="left" w:pos="1701"/>
        </w:tabs>
        <w:outlineLvl w:val="2"/>
        <w:rPr>
          <w:bCs/>
        </w:rPr>
      </w:pPr>
      <w:r>
        <w:rPr>
          <w:rFonts w:hint="eastAsia"/>
          <w:bCs/>
        </w:rPr>
        <w:t>负荷性质重要或用电负荷容量较大的设备应采用放射式配电。</w:t>
      </w:r>
    </w:p>
    <w:p w14:paraId="3552ECE6">
      <w:pPr>
        <w:numPr>
          <w:ilvl w:val="2"/>
          <w:numId w:val="40"/>
        </w:numPr>
        <w:tabs>
          <w:tab w:val="left" w:pos="709"/>
          <w:tab w:val="left" w:pos="794"/>
          <w:tab w:val="left" w:pos="1701"/>
        </w:tabs>
        <w:outlineLvl w:val="2"/>
        <w:rPr>
          <w:bCs/>
        </w:rPr>
      </w:pPr>
      <w:r>
        <w:rPr>
          <w:rFonts w:hint="eastAsia"/>
          <w:bCs/>
        </w:rPr>
        <w:t>动力照明配电设备宜集中布置，并应符合下列规定：</w:t>
      </w:r>
    </w:p>
    <w:p w14:paraId="495708F9">
      <w:pPr>
        <w:spacing w:line="240" w:lineRule="auto"/>
        <w:ind w:firstLine="416" w:firstLineChars="200"/>
        <w:rPr>
          <w:spacing w:val="4"/>
          <w:sz w:val="20"/>
          <w:szCs w:val="18"/>
        </w:rPr>
      </w:pPr>
      <w:r>
        <w:rPr>
          <w:rFonts w:hint="eastAsia"/>
          <w:spacing w:val="4"/>
          <w:sz w:val="20"/>
          <w:szCs w:val="18"/>
        </w:rPr>
        <w:t>1  车站应按防火分区设置照明配电室或配电小间；</w:t>
      </w:r>
    </w:p>
    <w:p w14:paraId="2B0014FF">
      <w:pPr>
        <w:spacing w:line="240" w:lineRule="auto"/>
        <w:ind w:firstLine="416" w:firstLineChars="200"/>
        <w:rPr>
          <w:spacing w:val="4"/>
          <w:sz w:val="20"/>
          <w:szCs w:val="18"/>
        </w:rPr>
      </w:pPr>
      <w:r>
        <w:rPr>
          <w:rFonts w:hint="eastAsia"/>
          <w:spacing w:val="4"/>
          <w:sz w:val="20"/>
          <w:szCs w:val="18"/>
        </w:rPr>
        <w:t>2  在通风设备容量较大且设备较集中场所及冷冻机房等处宜设环控电控室；</w:t>
      </w:r>
    </w:p>
    <w:p w14:paraId="3D323AA0">
      <w:pPr>
        <w:spacing w:line="240" w:lineRule="auto"/>
        <w:ind w:firstLine="416" w:firstLineChars="200"/>
        <w:rPr>
          <w:spacing w:val="4"/>
          <w:sz w:val="20"/>
          <w:szCs w:val="18"/>
        </w:rPr>
      </w:pPr>
      <w:r>
        <w:rPr>
          <w:rFonts w:hint="eastAsia"/>
          <w:spacing w:val="4"/>
          <w:sz w:val="20"/>
          <w:szCs w:val="18"/>
        </w:rPr>
        <w:t>3  车辆基地根据单体建筑规模宜在每个防火分区设置配电室或配电小间，当建筑规模较小时，可不设置配电室。</w:t>
      </w:r>
    </w:p>
    <w:p w14:paraId="4AFFEA9C">
      <w:pPr>
        <w:numPr>
          <w:ilvl w:val="2"/>
          <w:numId w:val="40"/>
        </w:numPr>
        <w:tabs>
          <w:tab w:val="left" w:pos="709"/>
          <w:tab w:val="left" w:pos="794"/>
          <w:tab w:val="left" w:pos="1701"/>
        </w:tabs>
        <w:outlineLvl w:val="2"/>
        <w:rPr>
          <w:bCs/>
        </w:rPr>
      </w:pPr>
      <w:r>
        <w:rPr>
          <w:rFonts w:hint="eastAsia"/>
          <w:bCs/>
        </w:rPr>
        <w:t>变电所内高/低压开关柜室、变压器室应设置检修电源箱，电源可取自变电所交流屏或由低压柜两段母线切换后供电。</w:t>
      </w:r>
    </w:p>
    <w:p w14:paraId="56D83E62">
      <w:pPr>
        <w:numPr>
          <w:ilvl w:val="2"/>
          <w:numId w:val="40"/>
        </w:numPr>
        <w:tabs>
          <w:tab w:val="left" w:pos="709"/>
          <w:tab w:val="left" w:pos="794"/>
          <w:tab w:val="left" w:pos="1701"/>
        </w:tabs>
        <w:outlineLvl w:val="2"/>
        <w:rPr>
          <w:bCs/>
        </w:rPr>
      </w:pPr>
      <w:r>
        <w:rPr>
          <w:rFonts w:hint="eastAsia"/>
          <w:bCs/>
        </w:rPr>
        <w:t>地下区间照明电源宜在车站站台两端设置区间照明总配电箱，并宜在区间内设置照明分配电箱，区间照明灯宜为单回路配电。</w:t>
      </w:r>
    </w:p>
    <w:p w14:paraId="40DE1C07">
      <w:pPr>
        <w:pStyle w:val="5"/>
        <w:tabs>
          <w:tab w:val="left" w:pos="851"/>
          <w:tab w:val="clear" w:pos="630"/>
        </w:tabs>
      </w:pPr>
      <w:r>
        <w:rPr>
          <w:rFonts w:hint="eastAsia"/>
        </w:rPr>
        <w:t>动力设备及照明的控制根据需要可采用就地控制和远方控制。</w:t>
      </w:r>
    </w:p>
    <w:p w14:paraId="23E61DFF">
      <w:pPr>
        <w:pStyle w:val="5"/>
        <w:tabs>
          <w:tab w:val="left" w:pos="851"/>
          <w:tab w:val="clear" w:pos="630"/>
        </w:tabs>
      </w:pPr>
      <w:r>
        <w:rPr>
          <w:rFonts w:hint="eastAsia"/>
          <w:bCs/>
        </w:rPr>
        <w:t>电</w:t>
      </w:r>
      <w:r>
        <w:rPr>
          <w:rFonts w:hint="eastAsia"/>
        </w:rPr>
        <w:t>动机负荷无专业需求时，宜采用直接启动；电机启动方式应结合配电变压器容量、电动机启动时变电所低压母线电压暂降允许值以及端子电压暂降值等因素来确定。</w:t>
      </w:r>
    </w:p>
    <w:p w14:paraId="4E19973A">
      <w:pPr>
        <w:pStyle w:val="5"/>
        <w:tabs>
          <w:tab w:val="left" w:pos="851"/>
          <w:tab w:val="clear" w:pos="630"/>
        </w:tabs>
      </w:pPr>
      <w:r>
        <w:rPr>
          <w:rFonts w:hint="eastAsia"/>
        </w:rPr>
        <w:t>公共区插座、票亭内设备应单独配电，且不应接入公共区照明配电系统。</w:t>
      </w:r>
    </w:p>
    <w:p w14:paraId="46CB72DF">
      <w:pPr>
        <w:pStyle w:val="5"/>
        <w:tabs>
          <w:tab w:val="left" w:pos="851"/>
          <w:tab w:val="clear" w:pos="630"/>
        </w:tabs>
      </w:pPr>
      <w:r>
        <w:rPr>
          <w:rFonts w:hint="eastAsia"/>
        </w:rPr>
        <w:t>区间每隔100m设一处检修电源箱，道岔区、射流风机、区间水泵房等区间设备附近宜设置检修电源箱，使用容量应按15kW考虑。同一回路有多个检修箱时仅按一台工作考虑。</w:t>
      </w:r>
    </w:p>
    <w:p w14:paraId="0602B6F2">
      <w:pPr>
        <w:pStyle w:val="5"/>
        <w:tabs>
          <w:tab w:val="left" w:pos="851"/>
          <w:tab w:val="clear" w:pos="630"/>
        </w:tabs>
      </w:pPr>
      <w:r>
        <w:rPr>
          <w:rFonts w:hint="eastAsia"/>
        </w:rPr>
        <w:t>架空接触网线路：区间配电箱安装在纵向辅助疏散平台一侧时，宜设置在纵向辅助疏散平台下方，且不应侵入设备限界。</w:t>
      </w:r>
    </w:p>
    <w:p w14:paraId="313124E7">
      <w:pPr>
        <w:pStyle w:val="5"/>
        <w:tabs>
          <w:tab w:val="left" w:pos="851"/>
          <w:tab w:val="clear" w:pos="630"/>
        </w:tabs>
      </w:pPr>
      <w:r>
        <w:rPr>
          <w:rFonts w:hint="eastAsia"/>
        </w:rPr>
        <w:t>接触轨线路：区间配电箱宜安装在行车方向右侧，当条件允许时，区间配电箱也可安装在疏散平台侧下方，不应影响人员疏散，且不得侵入设备限界。</w:t>
      </w:r>
    </w:p>
    <w:p w14:paraId="4561743B">
      <w:pPr>
        <w:pStyle w:val="5"/>
        <w:tabs>
          <w:tab w:val="left" w:pos="851"/>
          <w:tab w:val="clear" w:pos="630"/>
        </w:tabs>
        <w:rPr>
          <w:bCs/>
        </w:rPr>
      </w:pPr>
      <w:r>
        <w:rPr>
          <w:rFonts w:hint="eastAsia"/>
        </w:rPr>
        <w:t>当符合下列</w:t>
      </w:r>
      <w:r>
        <w:rPr>
          <w:rFonts w:hint="eastAsia"/>
          <w:bCs/>
        </w:rPr>
        <w:t>条件之一的用电设备应就地设置负荷隔离开关：</w:t>
      </w:r>
    </w:p>
    <w:p w14:paraId="46B4CBC2">
      <w:pPr>
        <w:spacing w:line="240" w:lineRule="auto"/>
        <w:ind w:firstLine="416" w:firstLineChars="200"/>
        <w:rPr>
          <w:spacing w:val="4"/>
          <w:sz w:val="20"/>
          <w:szCs w:val="18"/>
        </w:rPr>
      </w:pPr>
      <w:r>
        <w:rPr>
          <w:rFonts w:hint="eastAsia"/>
          <w:spacing w:val="4"/>
          <w:sz w:val="20"/>
          <w:szCs w:val="18"/>
        </w:rPr>
        <w:t>1 动力用电设备与配电设备不在同一机房安装；</w:t>
      </w:r>
    </w:p>
    <w:p w14:paraId="20F9A087">
      <w:pPr>
        <w:spacing w:line="240" w:lineRule="auto"/>
        <w:ind w:firstLine="416" w:firstLineChars="200"/>
        <w:rPr>
          <w:spacing w:val="4"/>
          <w:sz w:val="20"/>
          <w:szCs w:val="18"/>
        </w:rPr>
      </w:pPr>
      <w:r>
        <w:rPr>
          <w:rFonts w:hint="eastAsia"/>
          <w:spacing w:val="4"/>
          <w:sz w:val="20"/>
          <w:szCs w:val="18"/>
        </w:rPr>
        <w:t>2 动力用电设备与配电设备在同一机房安装，观察视线被遮挡或无法保障维护人员的安全。</w:t>
      </w:r>
    </w:p>
    <w:p w14:paraId="239026B9">
      <w:pPr>
        <w:numPr>
          <w:ilvl w:val="2"/>
          <w:numId w:val="40"/>
        </w:numPr>
        <w:tabs>
          <w:tab w:val="left" w:pos="709"/>
          <w:tab w:val="left" w:pos="794"/>
          <w:tab w:val="left" w:pos="1701"/>
        </w:tabs>
        <w:outlineLvl w:val="2"/>
        <w:rPr>
          <w:bCs/>
          <w:spacing w:val="4"/>
          <w:sz w:val="20"/>
          <w:szCs w:val="18"/>
        </w:rPr>
      </w:pPr>
      <w:r>
        <w:rPr>
          <w:rFonts w:hint="eastAsia"/>
          <w:bCs/>
          <w:spacing w:val="4"/>
          <w:sz w:val="20"/>
          <w:szCs w:val="18"/>
        </w:rPr>
        <w:t>具备保护功能电器的配电箱安装在排热（烟）风道时，应设置防高温外壳。</w:t>
      </w:r>
    </w:p>
    <w:p w14:paraId="6C2A4C37">
      <w:pPr>
        <w:pStyle w:val="5"/>
        <w:tabs>
          <w:tab w:val="left" w:pos="851"/>
          <w:tab w:val="clear" w:pos="630"/>
        </w:tabs>
      </w:pPr>
      <w:r>
        <w:rPr>
          <w:rFonts w:hint="eastAsia"/>
          <w:bCs/>
        </w:rPr>
        <w:t>地下</w:t>
      </w:r>
      <w:r>
        <w:rPr>
          <w:rFonts w:hint="eastAsia"/>
        </w:rPr>
        <w:t>车站公共区的正常照明负荷应采用来自变电所不同低压母线的两个低压回路末端交叉供电。</w:t>
      </w:r>
    </w:p>
    <w:p w14:paraId="2DBABEFC">
      <w:pPr>
        <w:pStyle w:val="5"/>
        <w:tabs>
          <w:tab w:val="left" w:pos="851"/>
          <w:tab w:val="clear" w:pos="630"/>
        </w:tabs>
      </w:pPr>
      <w:r>
        <w:rPr>
          <w:rFonts w:hint="eastAsia"/>
        </w:rPr>
        <w:t>安装高度在2.5m及以下的正常照明灯具回路，插座回路，额定电流不超过32A 的室内移动电气设备、人员可触及的室外电气设备回路应装设剩余电流动作保护电器，额定剩余电流动作值不应大于30mA。</w:t>
      </w:r>
    </w:p>
    <w:p w14:paraId="703D9DB0">
      <w:pPr>
        <w:pStyle w:val="5"/>
        <w:tabs>
          <w:tab w:val="left" w:pos="851"/>
          <w:tab w:val="clear" w:pos="630"/>
        </w:tabs>
      </w:pPr>
      <w:r>
        <w:rPr>
          <w:rFonts w:hint="eastAsia"/>
        </w:rPr>
        <w:t>建筑净高小于1.9米的电缆通道、电缆夹层、风道夹层应设置安全特低电压照明，地面照度宜为50lx。</w:t>
      </w:r>
    </w:p>
    <w:p w14:paraId="06D76878">
      <w:pPr>
        <w:pStyle w:val="5"/>
        <w:tabs>
          <w:tab w:val="left" w:pos="851"/>
          <w:tab w:val="clear" w:pos="630"/>
        </w:tabs>
      </w:pPr>
      <w:r>
        <w:rPr>
          <w:rFonts w:hint="eastAsia"/>
        </w:rPr>
        <w:t>灯具安装位置应便于维修，楼扶梯等上方灯具当采用LED光源时，宜将电源驱动装置集中设置于便于维修的位置。</w:t>
      </w:r>
    </w:p>
    <w:p w14:paraId="10CF7D11">
      <w:pPr>
        <w:pStyle w:val="5"/>
        <w:tabs>
          <w:tab w:val="left" w:pos="851"/>
          <w:tab w:val="clear" w:pos="630"/>
        </w:tabs>
        <w:rPr>
          <w:bCs/>
        </w:rPr>
      </w:pPr>
      <w:r>
        <w:rPr>
          <w:rFonts w:hint="eastAsia"/>
        </w:rPr>
        <w:t>除本</w:t>
      </w:r>
      <w:r>
        <w:rPr>
          <w:rFonts w:hint="eastAsia"/>
          <w:bCs/>
        </w:rPr>
        <w:t>规范另有规定外，照度标准应符合现行国家标准《建筑照明设计标准》GB/T 50034、《城市轨道交通照明》GB/T 16275的有关规定。</w:t>
      </w:r>
    </w:p>
    <w:p w14:paraId="02FDB4DE">
      <w:pPr>
        <w:numPr>
          <w:ilvl w:val="1"/>
          <w:numId w:val="1"/>
        </w:numPr>
        <w:snapToGrid w:val="0"/>
        <w:spacing w:before="156" w:after="156" w:line="240" w:lineRule="auto"/>
        <w:jc w:val="center"/>
        <w:outlineLvl w:val="1"/>
        <w:rPr>
          <w:rFonts w:eastAsia="黑体"/>
          <w:bCs/>
          <w:szCs w:val="28"/>
        </w:rPr>
      </w:pPr>
      <w:bookmarkStart w:id="1192" w:name="_Toc183790587"/>
      <w:bookmarkStart w:id="1193" w:name="_Toc183765157"/>
      <w:bookmarkStart w:id="1194" w:name="_Toc183683562"/>
      <w:bookmarkStart w:id="1195" w:name="_Toc183882148"/>
      <w:bookmarkStart w:id="1196" w:name="_Toc183888200"/>
      <w:bookmarkStart w:id="1197" w:name="_Toc183882510"/>
      <w:bookmarkStart w:id="1198" w:name="_Toc183888562"/>
      <w:r>
        <w:rPr>
          <w:rFonts w:eastAsia="黑体"/>
          <w:bCs/>
          <w:szCs w:val="28"/>
        </w:rPr>
        <w:t>供配电线路敷设</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5A106B42">
      <w:pPr>
        <w:numPr>
          <w:ilvl w:val="2"/>
          <w:numId w:val="1"/>
        </w:numPr>
        <w:tabs>
          <w:tab w:val="left" w:pos="360"/>
          <w:tab w:val="left" w:pos="709"/>
          <w:tab w:val="left" w:pos="794"/>
        </w:tabs>
        <w:outlineLvl w:val="2"/>
        <w:rPr>
          <w:bCs/>
        </w:rPr>
      </w:pPr>
      <w:r>
        <w:rPr>
          <w:bCs/>
        </w:rPr>
        <w:t>电缆敷设位置应具备可维护性。中压电缆中间接头不应设在车站站台板下。</w:t>
      </w:r>
    </w:p>
    <w:p w14:paraId="42EFAF2D">
      <w:pPr>
        <w:numPr>
          <w:ilvl w:val="2"/>
          <w:numId w:val="1"/>
        </w:numPr>
        <w:tabs>
          <w:tab w:val="left" w:pos="360"/>
          <w:tab w:val="left" w:pos="709"/>
          <w:tab w:val="left" w:pos="794"/>
        </w:tabs>
        <w:outlineLvl w:val="2"/>
        <w:rPr>
          <w:bCs/>
        </w:rPr>
      </w:pPr>
      <w:r>
        <w:rPr>
          <w:bCs/>
        </w:rPr>
        <w:t>直流电力电缆不</w:t>
      </w:r>
      <w:r>
        <w:rPr>
          <w:rFonts w:hint="eastAsia"/>
          <w:bCs/>
        </w:rPr>
        <w:t>应</w:t>
      </w:r>
      <w:r>
        <w:rPr>
          <w:bCs/>
        </w:rPr>
        <w:t>设中间接头。</w:t>
      </w:r>
    </w:p>
    <w:p w14:paraId="002026EC">
      <w:pPr>
        <w:numPr>
          <w:ilvl w:val="2"/>
          <w:numId w:val="1"/>
        </w:numPr>
        <w:tabs>
          <w:tab w:val="left" w:pos="360"/>
          <w:tab w:val="left" w:pos="709"/>
          <w:tab w:val="left" w:pos="794"/>
        </w:tabs>
        <w:outlineLvl w:val="2"/>
        <w:rPr>
          <w:bCs/>
        </w:rPr>
      </w:pPr>
      <w:r>
        <w:rPr>
          <w:bCs/>
        </w:rPr>
        <w:t>同一重要回路的工作与备用电缆应配置在不同电缆支架上，当确有困难时可采用下列方式之一：</w:t>
      </w:r>
    </w:p>
    <w:p w14:paraId="6C81C97B">
      <w:pPr>
        <w:numPr>
          <w:ilvl w:val="4"/>
          <w:numId w:val="1"/>
        </w:numPr>
        <w:tabs>
          <w:tab w:val="clear" w:pos="567"/>
        </w:tabs>
        <w:ind w:firstLine="420"/>
        <w:jc w:val="left"/>
        <w:outlineLvl w:val="4"/>
        <w:rPr>
          <w:bCs/>
          <w:szCs w:val="28"/>
        </w:rPr>
      </w:pPr>
      <w:r>
        <w:rPr>
          <w:bCs/>
          <w:szCs w:val="28"/>
        </w:rPr>
        <w:t>工作与备用电缆之间用防火板隔开；</w:t>
      </w:r>
    </w:p>
    <w:p w14:paraId="4A1B51CB">
      <w:pPr>
        <w:numPr>
          <w:ilvl w:val="4"/>
          <w:numId w:val="1"/>
        </w:numPr>
        <w:tabs>
          <w:tab w:val="clear" w:pos="567"/>
        </w:tabs>
        <w:ind w:firstLine="420"/>
        <w:jc w:val="left"/>
        <w:outlineLvl w:val="4"/>
        <w:rPr>
          <w:bCs/>
          <w:szCs w:val="28"/>
        </w:rPr>
      </w:pPr>
      <w:r>
        <w:rPr>
          <w:bCs/>
          <w:szCs w:val="28"/>
        </w:rPr>
        <w:t>敷设在不同层的支架上。</w:t>
      </w:r>
    </w:p>
    <w:p w14:paraId="151DC65E">
      <w:pPr>
        <w:numPr>
          <w:ilvl w:val="2"/>
          <w:numId w:val="1"/>
        </w:numPr>
        <w:tabs>
          <w:tab w:val="left" w:pos="360"/>
          <w:tab w:val="left" w:pos="709"/>
          <w:tab w:val="left" w:pos="794"/>
        </w:tabs>
        <w:outlineLvl w:val="2"/>
        <w:rPr>
          <w:bCs/>
        </w:rPr>
      </w:pPr>
      <w:r>
        <w:rPr>
          <w:bCs/>
        </w:rPr>
        <w:t>电力电缆与控制电缆沿地下和高架线路敷设时，宜分别敷设在电缆支架上；沿地上线路敷设时，宜敷设在电缆沟槽内。</w:t>
      </w:r>
    </w:p>
    <w:p w14:paraId="324FD406">
      <w:pPr>
        <w:numPr>
          <w:ilvl w:val="2"/>
          <w:numId w:val="1"/>
        </w:numPr>
        <w:tabs>
          <w:tab w:val="left" w:pos="360"/>
          <w:tab w:val="left" w:pos="709"/>
          <w:tab w:val="left" w:pos="794"/>
        </w:tabs>
        <w:outlineLvl w:val="2"/>
        <w:rPr>
          <w:bCs/>
        </w:rPr>
      </w:pPr>
      <w:r>
        <w:rPr>
          <w:bCs/>
        </w:rPr>
        <w:t>电缆穿越轨道时，可采用轨道下</w:t>
      </w:r>
      <w:r>
        <w:rPr>
          <w:rFonts w:hint="eastAsia"/>
          <w:bCs/>
        </w:rPr>
        <w:t>穿管</w:t>
      </w:r>
      <w:r>
        <w:rPr>
          <w:bCs/>
        </w:rPr>
        <w:t>敷设，也可采用刚性固定方式沿隧道顶部敷设。</w:t>
      </w:r>
      <w:r>
        <w:rPr>
          <w:rFonts w:hint="eastAsia"/>
          <w:bCs/>
        </w:rPr>
        <w:t>当牵引供电为直流制式且为走行轨回流时，轨道下管的材质应选用</w:t>
      </w:r>
      <w:r>
        <w:rPr>
          <w:bCs/>
        </w:rPr>
        <w:t>硬质非金属管材</w:t>
      </w:r>
      <w:r>
        <w:rPr>
          <w:rFonts w:hint="eastAsia"/>
          <w:bCs/>
        </w:rPr>
        <w:t>。</w:t>
      </w:r>
    </w:p>
    <w:p w14:paraId="3B85B5C8">
      <w:pPr>
        <w:numPr>
          <w:ilvl w:val="2"/>
          <w:numId w:val="1"/>
        </w:numPr>
        <w:tabs>
          <w:tab w:val="left" w:pos="360"/>
          <w:tab w:val="left" w:pos="709"/>
          <w:tab w:val="left" w:pos="794"/>
        </w:tabs>
        <w:outlineLvl w:val="2"/>
        <w:rPr>
          <w:bCs/>
        </w:rPr>
      </w:pPr>
      <w:r>
        <w:rPr>
          <w:bCs/>
        </w:rPr>
        <w:t>金属电缆支架应进行防腐处理，并应有可靠的电气连接与接地。</w:t>
      </w:r>
    </w:p>
    <w:p w14:paraId="139B9E10">
      <w:pPr>
        <w:numPr>
          <w:ilvl w:val="2"/>
          <w:numId w:val="1"/>
        </w:numPr>
        <w:tabs>
          <w:tab w:val="left" w:pos="360"/>
          <w:tab w:val="left" w:pos="709"/>
          <w:tab w:val="left" w:pos="794"/>
        </w:tabs>
        <w:outlineLvl w:val="2"/>
        <w:rPr>
          <w:bCs/>
          <w:spacing w:val="4"/>
          <w:szCs w:val="21"/>
        </w:rPr>
      </w:pPr>
      <w:r>
        <w:rPr>
          <w:bCs/>
          <w:spacing w:val="4"/>
          <w:szCs w:val="21"/>
        </w:rPr>
        <w:t>中压交流电力电缆金属层的接地方式及其要求应符合GB50217的规定。</w:t>
      </w:r>
    </w:p>
    <w:p w14:paraId="540B8E93">
      <w:pPr>
        <w:numPr>
          <w:ilvl w:val="2"/>
          <w:numId w:val="1"/>
        </w:numPr>
        <w:tabs>
          <w:tab w:val="left" w:pos="360"/>
          <w:tab w:val="left" w:pos="709"/>
          <w:tab w:val="left" w:pos="794"/>
        </w:tabs>
        <w:outlineLvl w:val="2"/>
        <w:rPr>
          <w:bCs/>
        </w:rPr>
      </w:pPr>
      <w:r>
        <w:rPr>
          <w:bCs/>
        </w:rPr>
        <w:t>车站电缆竖井宜多处布置，并宜为长条形状。</w:t>
      </w:r>
    </w:p>
    <w:p w14:paraId="5A69712C">
      <w:pPr>
        <w:numPr>
          <w:ilvl w:val="2"/>
          <w:numId w:val="1"/>
        </w:numPr>
        <w:tabs>
          <w:tab w:val="left" w:pos="360"/>
          <w:tab w:val="left" w:pos="709"/>
          <w:tab w:val="left" w:pos="794"/>
        </w:tabs>
        <w:outlineLvl w:val="2"/>
        <w:rPr>
          <w:bCs/>
        </w:rPr>
      </w:pPr>
      <w:r>
        <w:rPr>
          <w:bCs/>
        </w:rPr>
        <w:t>变电所电缆夹层及其他要求应执行本规范第10.4节的有关规定。</w:t>
      </w:r>
    </w:p>
    <w:p w14:paraId="1A2781AC">
      <w:pPr>
        <w:pStyle w:val="5"/>
        <w:tabs>
          <w:tab w:val="left" w:pos="851"/>
          <w:tab w:val="clear" w:pos="630"/>
        </w:tabs>
        <w:rPr>
          <w:bCs/>
          <w:spacing w:val="4"/>
          <w:sz w:val="20"/>
          <w:szCs w:val="18"/>
        </w:rPr>
      </w:pPr>
      <w:r>
        <w:rPr>
          <w:rFonts w:hint="eastAsia"/>
          <w:bCs/>
        </w:rPr>
        <w:t>消防和非消防配电回路的桥架应分开敷设。</w:t>
      </w:r>
      <w:r>
        <w:rPr>
          <w:rFonts w:hint="eastAsia"/>
          <w:bCs/>
          <w:spacing w:val="4"/>
          <w:sz w:val="20"/>
          <w:szCs w:val="18"/>
        </w:rPr>
        <w:t xml:space="preserve"> </w:t>
      </w:r>
    </w:p>
    <w:p w14:paraId="78A67168">
      <w:pPr>
        <w:pStyle w:val="5"/>
        <w:tabs>
          <w:tab w:val="left" w:pos="851"/>
          <w:tab w:val="clear" w:pos="630"/>
        </w:tabs>
        <w:rPr>
          <w:bCs/>
        </w:rPr>
      </w:pPr>
      <w:r>
        <w:rPr>
          <w:rFonts w:hint="eastAsia"/>
          <w:bCs/>
        </w:rPr>
        <w:t>电线电缆的选择应符合下列规定：</w:t>
      </w:r>
    </w:p>
    <w:p w14:paraId="24599F64">
      <w:pPr>
        <w:spacing w:line="240" w:lineRule="auto"/>
        <w:ind w:firstLine="418" w:firstLineChars="200"/>
        <w:rPr>
          <w:spacing w:val="4"/>
          <w:sz w:val="20"/>
          <w:szCs w:val="18"/>
        </w:rPr>
      </w:pPr>
      <w:r>
        <w:rPr>
          <w:rFonts w:hint="eastAsia"/>
          <w:b/>
          <w:spacing w:val="4"/>
          <w:sz w:val="20"/>
          <w:szCs w:val="18"/>
        </w:rPr>
        <w:t xml:space="preserve">1 </w:t>
      </w:r>
      <w:r>
        <w:rPr>
          <w:rFonts w:hint="eastAsia"/>
          <w:spacing w:val="4"/>
          <w:sz w:val="20"/>
          <w:szCs w:val="18"/>
        </w:rPr>
        <w:t xml:space="preserve"> 电力电缆应采用无卤、阻燃、低烟、铜芯电力电线电缆。车站、车辆基地及控制中心与民用建筑合建时除满足上述要求外，尚应符合民用建筑电线电缆选择规定。</w:t>
      </w:r>
    </w:p>
    <w:p w14:paraId="1D447581">
      <w:pPr>
        <w:spacing w:line="240" w:lineRule="auto"/>
        <w:ind w:firstLine="418" w:firstLineChars="200"/>
        <w:rPr>
          <w:spacing w:val="4"/>
          <w:sz w:val="20"/>
          <w:szCs w:val="18"/>
        </w:rPr>
      </w:pPr>
      <w:r>
        <w:rPr>
          <w:rFonts w:hint="eastAsia"/>
          <w:b/>
          <w:spacing w:val="4"/>
          <w:sz w:val="20"/>
          <w:szCs w:val="18"/>
        </w:rPr>
        <w:t xml:space="preserve">2 </w:t>
      </w:r>
      <w:r>
        <w:rPr>
          <w:rFonts w:hint="eastAsia"/>
          <w:spacing w:val="4"/>
          <w:sz w:val="20"/>
          <w:szCs w:val="18"/>
        </w:rPr>
        <w:t xml:space="preserve"> 地下车站、地下区间、有上盖开发车辆基地电缆的燃烧性能不应低于B1级，地上车站、地上区间、无上盖开发车辆基地电缆的燃烧性能不宜低于B1级。</w:t>
      </w:r>
    </w:p>
    <w:p w14:paraId="665C95DA">
      <w:pPr>
        <w:spacing w:line="240" w:lineRule="auto"/>
        <w:ind w:firstLine="418" w:firstLineChars="200"/>
        <w:rPr>
          <w:spacing w:val="4"/>
          <w:sz w:val="20"/>
          <w:szCs w:val="18"/>
        </w:rPr>
      </w:pPr>
      <w:r>
        <w:rPr>
          <w:rFonts w:hint="eastAsia"/>
          <w:b/>
          <w:spacing w:val="4"/>
          <w:sz w:val="20"/>
          <w:szCs w:val="18"/>
        </w:rPr>
        <w:t xml:space="preserve">3 </w:t>
      </w:r>
      <w:r>
        <w:rPr>
          <w:rFonts w:hint="eastAsia"/>
          <w:spacing w:val="4"/>
          <w:sz w:val="20"/>
          <w:szCs w:val="18"/>
        </w:rPr>
        <w:t xml:space="preserve"> 地下车站、地下区间、有上盖开发车辆基地电缆的烟气毒性为t0级，燃烧滴落物/微粒等级为d0级。</w:t>
      </w:r>
    </w:p>
    <w:p w14:paraId="08EDAAAF">
      <w:pPr>
        <w:spacing w:line="240" w:lineRule="auto"/>
        <w:ind w:firstLine="418" w:firstLineChars="200"/>
        <w:rPr>
          <w:spacing w:val="4"/>
          <w:sz w:val="20"/>
          <w:szCs w:val="18"/>
        </w:rPr>
      </w:pPr>
      <w:r>
        <w:rPr>
          <w:rFonts w:hint="eastAsia"/>
          <w:b/>
          <w:spacing w:val="4"/>
          <w:sz w:val="20"/>
          <w:szCs w:val="18"/>
        </w:rPr>
        <w:t xml:space="preserve">4 </w:t>
      </w:r>
      <w:r>
        <w:rPr>
          <w:rFonts w:hint="eastAsia"/>
          <w:spacing w:val="4"/>
          <w:sz w:val="20"/>
          <w:szCs w:val="18"/>
        </w:rPr>
        <w:t xml:space="preserve"> 地上车站、地上区间、无上盖开发车辆基地电缆的烟气毒性为tl级，燃烧滴落物/微粒等级为d1级。</w:t>
      </w:r>
    </w:p>
    <w:p w14:paraId="20B9B0ED">
      <w:pPr>
        <w:pStyle w:val="5"/>
        <w:tabs>
          <w:tab w:val="left" w:pos="851"/>
          <w:tab w:val="clear" w:pos="630"/>
        </w:tabs>
        <w:rPr>
          <w:bCs/>
        </w:rPr>
      </w:pPr>
      <w:r>
        <w:rPr>
          <w:rFonts w:hint="eastAsia"/>
        </w:rPr>
        <w:t>车站控制</w:t>
      </w:r>
      <w:r>
        <w:rPr>
          <w:rFonts w:hint="eastAsia"/>
          <w:bCs/>
        </w:rPr>
        <w:t>室/消防控制室、应急照明、消防水泵和防排烟系统的供电干线，其电能传输质量在火灾延续时间内应保证消防设备可靠运行，宜采用矿物绝缘类不燃性电缆，其他消防负荷供电电缆耐火性能不宜低于N级。</w:t>
      </w:r>
    </w:p>
    <w:p w14:paraId="0EC5342A">
      <w:pPr>
        <w:pStyle w:val="5"/>
        <w:tabs>
          <w:tab w:val="left" w:pos="851"/>
          <w:tab w:val="clear" w:pos="630"/>
        </w:tabs>
        <w:rPr>
          <w:bCs/>
        </w:rPr>
      </w:pPr>
      <w:r>
        <w:rPr>
          <w:rFonts w:hint="eastAsia"/>
          <w:bCs/>
        </w:rPr>
        <w:t>室内干燥场所的线缆采用金属导管布线时，其壁厚不应小于1.5mm；</w:t>
      </w:r>
      <w:r>
        <w:rPr>
          <w:rFonts w:hint="eastAsia"/>
        </w:rPr>
        <w:t>室内</w:t>
      </w:r>
      <w:r>
        <w:rPr>
          <w:rFonts w:hint="eastAsia"/>
          <w:bCs/>
        </w:rPr>
        <w:t>潮湿场所的金属导管或电缆桥架明敷时，应采取防潮防腐措施，且金属导管壁厚不应小于2.0mm。</w:t>
      </w:r>
    </w:p>
    <w:p w14:paraId="3E6EEE59">
      <w:pPr>
        <w:pStyle w:val="5"/>
        <w:tabs>
          <w:tab w:val="left" w:pos="851"/>
          <w:tab w:val="clear" w:pos="630"/>
        </w:tabs>
      </w:pPr>
      <w:r>
        <w:rPr>
          <w:rFonts w:hint="eastAsia"/>
          <w:bCs/>
        </w:rPr>
        <w:t>人防工</w:t>
      </w:r>
      <w:r>
        <w:rPr>
          <w:rFonts w:hint="eastAsia"/>
        </w:rPr>
        <w:t>程范围内战时使用的保护管、接线盒应采用热镀锌钢管，钢管壁厚应大于等于2.5mm。</w:t>
      </w:r>
    </w:p>
    <w:p w14:paraId="40BAA3EC">
      <w:pPr>
        <w:pStyle w:val="5"/>
        <w:tabs>
          <w:tab w:val="left" w:pos="851"/>
          <w:tab w:val="clear" w:pos="630"/>
        </w:tabs>
      </w:pPr>
      <w:r>
        <w:rPr>
          <w:rFonts w:hint="eastAsia"/>
        </w:rPr>
        <w:t>室外、泵房、出入口通道结构外墙等处安装的配电箱、柜宜采用下进线下出线方式。</w:t>
      </w:r>
    </w:p>
    <w:p w14:paraId="532F7B89">
      <w:pPr>
        <w:pStyle w:val="5"/>
        <w:tabs>
          <w:tab w:val="left" w:pos="851"/>
          <w:tab w:val="clear" w:pos="630"/>
        </w:tabs>
      </w:pPr>
      <w:r>
        <w:rPr>
          <w:rFonts w:hint="eastAsia"/>
        </w:rPr>
        <w:t>当电力电缆在地面或高架段敷设时宜设置在电缆沟、槽内。1</w:t>
      </w:r>
      <w:r>
        <w:t>6.9.17</w:t>
      </w:r>
      <w:r>
        <w:rPr>
          <w:rFonts w:hint="eastAsia"/>
        </w:rPr>
        <w:t>当采用电力支架室外明敷时，电缆应具有耐候性和抗紫外线等性能，且应</w:t>
      </w:r>
      <w:r>
        <w:rPr>
          <w:rFonts w:hint="eastAsia"/>
          <w:spacing w:val="4"/>
          <w:sz w:val="20"/>
          <w:szCs w:val="18"/>
        </w:rPr>
        <w:t>设置盖板或防护罩等遮阳措施。</w:t>
      </w:r>
    </w:p>
    <w:p w14:paraId="5FA318B3">
      <w:pPr>
        <w:numPr>
          <w:ilvl w:val="1"/>
          <w:numId w:val="1"/>
        </w:numPr>
        <w:snapToGrid w:val="0"/>
        <w:spacing w:before="156" w:after="156" w:line="240" w:lineRule="auto"/>
        <w:jc w:val="center"/>
        <w:outlineLvl w:val="1"/>
        <w:rPr>
          <w:rFonts w:eastAsia="黑体"/>
          <w:bCs/>
          <w:szCs w:val="28"/>
        </w:rPr>
      </w:pPr>
      <w:bookmarkStart w:id="1199" w:name="_Toc174612524"/>
      <w:bookmarkStart w:id="1200" w:name="_Toc174611517"/>
      <w:bookmarkStart w:id="1201" w:name="_Toc174611720"/>
      <w:bookmarkStart w:id="1202" w:name="_Toc168061275"/>
      <w:bookmarkStart w:id="1203" w:name="_Toc168061722"/>
      <w:bookmarkStart w:id="1204" w:name="_Toc168059467"/>
      <w:bookmarkStart w:id="1205" w:name="_Toc183765158"/>
      <w:bookmarkStart w:id="1206" w:name="_Toc183683563"/>
      <w:bookmarkStart w:id="1207" w:name="_Toc183882511"/>
      <w:bookmarkStart w:id="1208" w:name="_Toc183888563"/>
      <w:bookmarkStart w:id="1209" w:name="_Toc183790588"/>
      <w:bookmarkStart w:id="1210" w:name="_Toc183888201"/>
      <w:bookmarkStart w:id="1211" w:name="_Toc183882149"/>
      <w:r>
        <w:rPr>
          <w:rFonts w:eastAsia="黑体"/>
          <w:bCs/>
          <w:szCs w:val="28"/>
        </w:rPr>
        <w:t>杂散电流腐蚀防护</w:t>
      </w:r>
      <w:r>
        <w:rPr>
          <w:rFonts w:hint="eastAsia" w:eastAsia="黑体"/>
          <w:bCs/>
          <w:szCs w:val="28"/>
        </w:rPr>
        <w:t>、</w:t>
      </w:r>
      <w:r>
        <w:rPr>
          <w:rFonts w:eastAsia="黑体"/>
          <w:bCs/>
          <w:szCs w:val="28"/>
        </w:rPr>
        <w:t>接地</w:t>
      </w:r>
      <w:bookmarkEnd w:id="1199"/>
      <w:bookmarkEnd w:id="1200"/>
      <w:bookmarkEnd w:id="1201"/>
      <w:bookmarkEnd w:id="1202"/>
      <w:bookmarkEnd w:id="1203"/>
      <w:bookmarkEnd w:id="1204"/>
      <w:r>
        <w:rPr>
          <w:rFonts w:hint="eastAsia" w:eastAsia="黑体"/>
          <w:bCs/>
          <w:szCs w:val="28"/>
        </w:rPr>
        <w:t>与电磁干扰防护</w:t>
      </w:r>
      <w:bookmarkEnd w:id="1205"/>
      <w:bookmarkEnd w:id="1206"/>
      <w:bookmarkEnd w:id="1207"/>
      <w:bookmarkEnd w:id="1208"/>
      <w:bookmarkEnd w:id="1209"/>
      <w:bookmarkEnd w:id="1210"/>
      <w:bookmarkEnd w:id="1211"/>
    </w:p>
    <w:p w14:paraId="0EF77461">
      <w:pPr>
        <w:pStyle w:val="5"/>
      </w:pPr>
      <w:r>
        <w:rPr>
          <w:rFonts w:hint="eastAsia"/>
        </w:rPr>
        <w:t>直流牵引供电系统的</w:t>
      </w:r>
      <w:r>
        <w:t>杂散电流腐蚀防护应以抑制杂散电流产生为根本原则，并应避免杂散电流向城市轨道交通系统外部扩散。</w:t>
      </w:r>
    </w:p>
    <w:p w14:paraId="46386F8D">
      <w:pPr>
        <w:pStyle w:val="5"/>
      </w:pPr>
      <w:r>
        <w:rPr>
          <w:rFonts w:hint="eastAsia"/>
        </w:rPr>
        <w:t>采用专用回流轨回流的直流牵引供电系统可不设置杂散电流排流系统、杂散电流监测系统及钢轨电位限制装置。</w:t>
      </w:r>
    </w:p>
    <w:p w14:paraId="7E1C448B">
      <w:pPr>
        <w:pStyle w:val="5"/>
      </w:pPr>
      <w:r>
        <w:rPr>
          <w:rFonts w:hint="eastAsia"/>
        </w:rPr>
        <w:t>直流牵引供电系统应为不接地系统，牵引变电所中的直流牵引供电设备应绝缘安装，其对地绝缘电阻不应小于2MΩ。</w:t>
      </w:r>
    </w:p>
    <w:p w14:paraId="1D7E7DE9">
      <w:pPr>
        <w:pStyle w:val="5"/>
        <w:rPr>
          <w:sz w:val="20"/>
          <w:szCs w:val="18"/>
        </w:rPr>
      </w:pPr>
      <w:r>
        <w:rPr>
          <w:rFonts w:hint="eastAsia"/>
        </w:rPr>
        <w:t>直流牵引供电系统中兼做回流的走行轨与线路主体结构之间的过渡电阻值应符合GB55033中的有关规定。</w:t>
      </w:r>
    </w:p>
    <w:p w14:paraId="18B11F66">
      <w:pPr>
        <w:pStyle w:val="5"/>
      </w:pPr>
      <w:r>
        <w:rPr>
          <w:rFonts w:hint="eastAsia"/>
        </w:rPr>
        <w:t>采用走行轨回流的直流制式工程中</w:t>
      </w:r>
      <w:r>
        <w:t>走行轨底面距整体道床面及穿越道床管线顶面的距离不宜低于70mm。</w:t>
      </w:r>
    </w:p>
    <w:p w14:paraId="5E0E5808">
      <w:pPr>
        <w:pStyle w:val="5"/>
      </w:pPr>
      <w:bookmarkStart w:id="1212" w:name="_bookmark267"/>
      <w:bookmarkEnd w:id="1212"/>
      <w:bookmarkStart w:id="1213" w:name="_bookmark266"/>
      <w:bookmarkEnd w:id="1213"/>
      <w:bookmarkStart w:id="1214" w:name="_bookmark125"/>
      <w:bookmarkEnd w:id="1214"/>
      <w:bookmarkStart w:id="1215" w:name="_bookmark126"/>
      <w:bookmarkEnd w:id="1215"/>
      <w:r>
        <w:rPr>
          <w:rFonts w:hint="eastAsia"/>
        </w:rPr>
        <w:t>采用走行轨回流的直流制式工程中</w:t>
      </w:r>
      <w:r>
        <w:t>车站出入口、风井结构与车站主体结构之间有变形缝时，出入口、风井主体钢筋不</w:t>
      </w:r>
      <w:r>
        <w:rPr>
          <w:rFonts w:hint="eastAsia"/>
        </w:rPr>
        <w:t>应</w:t>
      </w:r>
      <w:r>
        <w:t>与车站主体结构钢筋电气连接。</w:t>
      </w:r>
    </w:p>
    <w:p w14:paraId="67540BC9">
      <w:pPr>
        <w:pStyle w:val="5"/>
      </w:pPr>
      <w:r>
        <w:rPr>
          <w:rFonts w:hint="eastAsia"/>
        </w:rPr>
        <w:t>采用走行轨回流的直流制式工程</w:t>
      </w:r>
      <w:r>
        <w:t>整体道床</w:t>
      </w:r>
      <w:r>
        <w:rPr>
          <w:rFonts w:hint="eastAsia"/>
        </w:rPr>
        <w:t>应</w:t>
      </w:r>
      <w:r>
        <w:t>设置排流网。线路为碎石道床时，可利用线路排水沟结构钢筋作为排流网。</w:t>
      </w:r>
    </w:p>
    <w:p w14:paraId="1E5518E8">
      <w:pPr>
        <w:pStyle w:val="5"/>
      </w:pPr>
      <w:r>
        <w:t>排流网不得与结构钢筋、金属管线、接地装置及设备电气连接。</w:t>
      </w:r>
    </w:p>
    <w:p w14:paraId="41A92B90">
      <w:pPr>
        <w:pStyle w:val="5"/>
      </w:pPr>
      <w:r>
        <w:t>排流网极化电位≤0.5V应作为排流网有效截面确定条件之一。当排流网极化电位超过0.5V时，排流设施应投入运行。</w:t>
      </w:r>
    </w:p>
    <w:p w14:paraId="11F8FE65">
      <w:pPr>
        <w:pStyle w:val="5"/>
        <w:tabs>
          <w:tab w:val="left" w:pos="993"/>
          <w:tab w:val="clear" w:pos="630"/>
        </w:tabs>
      </w:pPr>
      <w:r>
        <w:t>不得利用车站、区间隧道和高架桥主体结构钢筋或金属管线、接地装置作为排流网。</w:t>
      </w:r>
    </w:p>
    <w:p w14:paraId="18441C52">
      <w:pPr>
        <w:pStyle w:val="5"/>
        <w:tabs>
          <w:tab w:val="left" w:pos="993"/>
          <w:tab w:val="clear" w:pos="630"/>
        </w:tabs>
      </w:pPr>
      <w:r>
        <w:t>道床及隧道的测防端子宜设置在行车方向左侧，道床测防端子距离道床面高度不宜高于50mm，隧道测防端子距离道床面高度不宜高于1000mm。</w:t>
      </w:r>
    </w:p>
    <w:p w14:paraId="07FF2F0A">
      <w:pPr>
        <w:pStyle w:val="5"/>
        <w:tabs>
          <w:tab w:val="left" w:pos="993"/>
          <w:tab w:val="clear" w:pos="630"/>
        </w:tabs>
      </w:pPr>
      <w:r>
        <w:rPr>
          <w:rFonts w:hint="eastAsia"/>
        </w:rPr>
        <w:t>采用走行轨回流的直流制式工程在</w:t>
      </w:r>
      <w:r>
        <w:t>正常运行方式下，正线兼做回流的走行轨对地电位不</w:t>
      </w:r>
      <w:r>
        <w:rPr>
          <w:rFonts w:hint="eastAsia"/>
        </w:rPr>
        <w:t>应</w:t>
      </w:r>
      <w:r>
        <w:t>超过DC120V，车辆基地库内兼做回流的走行轨对地电位不</w:t>
      </w:r>
      <w:r>
        <w:rPr>
          <w:rFonts w:hint="eastAsia"/>
        </w:rPr>
        <w:t>应</w:t>
      </w:r>
      <w:r>
        <w:t>超过DC60V。</w:t>
      </w:r>
    </w:p>
    <w:p w14:paraId="63BC3D6A">
      <w:pPr>
        <w:pStyle w:val="5"/>
        <w:tabs>
          <w:tab w:val="left" w:pos="993"/>
          <w:tab w:val="clear" w:pos="630"/>
        </w:tabs>
      </w:pPr>
      <w:r>
        <w:t>车站有</w:t>
      </w:r>
      <w:r>
        <w:rPr>
          <w:rFonts w:hint="eastAsia"/>
        </w:rPr>
        <w:t>站台屏蔽门</w:t>
      </w:r>
      <w:r>
        <w:t>时，钢轨电位限制装置的启停工况宜与车站内列车停留实施联动。</w:t>
      </w:r>
    </w:p>
    <w:p w14:paraId="478D00D8">
      <w:pPr>
        <w:pStyle w:val="5"/>
        <w:tabs>
          <w:tab w:val="left" w:pos="993"/>
          <w:tab w:val="clear" w:pos="630"/>
        </w:tabs>
      </w:pPr>
      <w:r>
        <w:rPr>
          <w:rFonts w:hint="eastAsia"/>
        </w:rPr>
        <w:t>采用走行轨回流的直流制式工程中</w:t>
      </w:r>
      <w:r>
        <w:t>以下场所主体结构钢筋应纵向焊接，并应实现电气连通：</w:t>
      </w:r>
    </w:p>
    <w:p w14:paraId="0766498C">
      <w:pPr>
        <w:pStyle w:val="7"/>
        <w:ind w:firstLine="420"/>
      </w:pPr>
      <w:r>
        <w:t>地上车站、地下车站及地下区间道床面以上1800mm范围内；</w:t>
      </w:r>
    </w:p>
    <w:p w14:paraId="7A20229F">
      <w:pPr>
        <w:pStyle w:val="7"/>
        <w:ind w:firstLine="420"/>
      </w:pPr>
      <w:r>
        <w:t>高架车站结构；</w:t>
      </w:r>
    </w:p>
    <w:p w14:paraId="3DDD38C1">
      <w:pPr>
        <w:pStyle w:val="7"/>
        <w:ind w:firstLine="420"/>
      </w:pPr>
      <w:r>
        <w:t>高架区间桥面系。</w:t>
      </w:r>
    </w:p>
    <w:p w14:paraId="6AD71BDA">
      <w:pPr>
        <w:pStyle w:val="5"/>
        <w:tabs>
          <w:tab w:val="left" w:pos="993"/>
          <w:tab w:val="clear" w:pos="630"/>
        </w:tabs>
      </w:pPr>
      <w:r>
        <w:t>供电系统与其他系统共用接地装置时，其工频接地电阻≤1Ω，并不</w:t>
      </w:r>
      <w:r>
        <w:rPr>
          <w:rFonts w:hint="eastAsia"/>
        </w:rPr>
        <w:t>应</w:t>
      </w:r>
      <w:r>
        <w:t>大于接入设备中要求的最小值。</w:t>
      </w:r>
    </w:p>
    <w:p w14:paraId="59546EEF">
      <w:pPr>
        <w:pStyle w:val="5"/>
        <w:tabs>
          <w:tab w:val="left" w:pos="993"/>
          <w:tab w:val="clear" w:pos="630"/>
        </w:tabs>
      </w:pPr>
      <w:r>
        <w:t>变电所应利用车站主体结构钢筋或变电所结构基础钢筋等自然接地体作为接地装置，并宜敷设以水平接地极为主的人工接地网。两者间宜采用不少于两根导体在不同点相联接。自然接地体与人工接地网的接地电阻值应能分别测量。</w:t>
      </w:r>
    </w:p>
    <w:p w14:paraId="1730A0AB">
      <w:pPr>
        <w:pStyle w:val="5"/>
        <w:tabs>
          <w:tab w:val="left" w:pos="993"/>
          <w:tab w:val="clear" w:pos="630"/>
        </w:tabs>
      </w:pPr>
      <w:r>
        <w:t>独立于车站主体的变电所，当人工接地体超出变电所建筑物范围或变电所为素混凝土结构底板时，应采取降低接触电位差和跨步电位差措施。</w:t>
      </w:r>
    </w:p>
    <w:p w14:paraId="3F906B6E">
      <w:pPr>
        <w:pStyle w:val="5"/>
        <w:tabs>
          <w:tab w:val="left" w:pos="993"/>
          <w:tab w:val="clear" w:pos="630"/>
        </w:tabs>
      </w:pPr>
      <w:r>
        <w:t>如无特殊要求，TN系统重复接地的工频接地电阻不得大于10Ω。</w:t>
      </w:r>
    </w:p>
    <w:p w14:paraId="2276345A">
      <w:pPr>
        <w:pStyle w:val="5"/>
        <w:tabs>
          <w:tab w:val="left" w:pos="993"/>
          <w:tab w:val="clear" w:pos="630"/>
        </w:tabs>
      </w:pPr>
      <w:r>
        <w:t>接地故障保护时应采用总等电位联结。</w:t>
      </w:r>
    </w:p>
    <w:p w14:paraId="2BC32EEC">
      <w:pPr>
        <w:pStyle w:val="5"/>
        <w:tabs>
          <w:tab w:val="left" w:pos="993"/>
          <w:tab w:val="clear" w:pos="630"/>
        </w:tabs>
      </w:pPr>
      <w:r>
        <w:t>低压配电系统的接地型式应符合下列规定：</w:t>
      </w:r>
    </w:p>
    <w:p w14:paraId="79EBDF7C">
      <w:pPr>
        <w:pStyle w:val="7"/>
        <w:ind w:firstLine="420"/>
      </w:pPr>
      <w:r>
        <w:t>车站、控制中心、地下区间路灯应采用TN—S系统接地型式；</w:t>
      </w:r>
    </w:p>
    <w:p w14:paraId="68E98A63">
      <w:pPr>
        <w:pStyle w:val="7"/>
        <w:ind w:firstLine="420"/>
      </w:pPr>
      <w:r>
        <w:t>车辆基地的建筑物宜采用TN—S系统接地型式；</w:t>
      </w:r>
    </w:p>
    <w:p w14:paraId="626ED8FF">
      <w:pPr>
        <w:pStyle w:val="7"/>
        <w:ind w:firstLine="420"/>
      </w:pPr>
      <w:r>
        <w:t>车辆基地的路灯宜采用</w:t>
      </w:r>
      <w:r>
        <w:rPr>
          <w:rFonts w:hint="eastAsia"/>
        </w:rPr>
        <w:t>局部</w:t>
      </w:r>
      <w:r>
        <w:t>TT系统接地型式。</w:t>
      </w:r>
    </w:p>
    <w:p w14:paraId="51879117">
      <w:pPr>
        <w:pStyle w:val="5"/>
        <w:tabs>
          <w:tab w:val="left" w:pos="993"/>
          <w:tab w:val="clear" w:pos="630"/>
        </w:tabs>
      </w:pPr>
      <w:r>
        <w:t>安全特低电压配电系统设备金属外壳及金属管线不</w:t>
      </w:r>
      <w:r>
        <w:rPr>
          <w:rFonts w:hint="eastAsia"/>
        </w:rPr>
        <w:t>应</w:t>
      </w:r>
      <w:r>
        <w:t>接地。</w:t>
      </w:r>
    </w:p>
    <w:p w14:paraId="58D6131E">
      <w:pPr>
        <w:pStyle w:val="5"/>
        <w:tabs>
          <w:tab w:val="left" w:pos="993"/>
          <w:tab w:val="clear" w:pos="630"/>
        </w:tabs>
      </w:pPr>
      <w:r>
        <w:t>变电所内接地线宜安装于变电所电缆夹层周边墙体上，并宜呈闭合形态。设备背面应设置设备检修及测试用的接地端子。</w:t>
      </w:r>
    </w:p>
    <w:p w14:paraId="27A85817">
      <w:pPr>
        <w:pStyle w:val="5"/>
        <w:tabs>
          <w:tab w:val="left" w:pos="993"/>
          <w:tab w:val="clear" w:pos="630"/>
        </w:tabs>
      </w:pPr>
      <w:r>
        <w:t>检修车间应设置接地母排。</w:t>
      </w:r>
    </w:p>
    <w:p w14:paraId="00483D4E">
      <w:pPr>
        <w:pStyle w:val="5"/>
        <w:tabs>
          <w:tab w:val="left" w:pos="993"/>
          <w:tab w:val="clear" w:pos="630"/>
        </w:tabs>
      </w:pPr>
      <w:r>
        <w:t>冷冻机房、消防泵房、污水泵房、废水泵房和雨水泵房等潮湿场所应设置局部等电位端子箱。</w:t>
      </w:r>
    </w:p>
    <w:p w14:paraId="6E648FBB">
      <w:pPr>
        <w:pStyle w:val="5"/>
        <w:tabs>
          <w:tab w:val="left" w:pos="993"/>
          <w:tab w:val="clear" w:pos="630"/>
        </w:tabs>
      </w:pPr>
      <w:r>
        <w:rPr>
          <w:rFonts w:hint="eastAsia"/>
        </w:rPr>
        <w:t>Ⅰ类灯具的外露可导电部分应可靠接地。</w:t>
      </w:r>
    </w:p>
    <w:p w14:paraId="22EAF432">
      <w:pPr>
        <w:pStyle w:val="5"/>
        <w:tabs>
          <w:tab w:val="left" w:pos="993"/>
          <w:tab w:val="clear" w:pos="630"/>
        </w:tabs>
      </w:pPr>
      <w:r>
        <w:t>杂散电流腐蚀防护与接地的其他要求应</w:t>
      </w:r>
      <w:r>
        <w:rPr>
          <w:rFonts w:hint="eastAsia"/>
        </w:rPr>
        <w:t>符合</w:t>
      </w:r>
      <w:r>
        <w:t>现行国家标准GB55033</w:t>
      </w:r>
      <w:r>
        <w:rPr>
          <w:rFonts w:hint="eastAsia"/>
        </w:rPr>
        <w:t>以及</w:t>
      </w:r>
      <w:r>
        <w:t>GB50157的有关规定。</w:t>
      </w:r>
    </w:p>
    <w:p w14:paraId="2AA6DC63">
      <w:pPr>
        <w:pStyle w:val="5"/>
        <w:tabs>
          <w:tab w:val="left" w:pos="993"/>
          <w:tab w:val="clear" w:pos="630"/>
        </w:tabs>
      </w:pPr>
      <w:r>
        <w:rPr>
          <w:rFonts w:hint="eastAsia"/>
        </w:rPr>
        <w:t>交流制式线路电磁干扰防护应符合TB 10624中的相关要求。</w:t>
      </w:r>
    </w:p>
    <w:p w14:paraId="5E617A9C">
      <w:pPr>
        <w:sectPr>
          <w:headerReference r:id="rId32" w:type="first"/>
          <w:footerReference r:id="rId35" w:type="first"/>
          <w:footerReference r:id="rId33" w:type="default"/>
          <w:footerReference r:id="rId34" w:type="even"/>
          <w:pgSz w:w="7938" w:h="11510"/>
          <w:pgMar w:top="1247" w:right="907" w:bottom="1247" w:left="907" w:header="737" w:footer="737" w:gutter="0"/>
          <w:cols w:space="720" w:num="1"/>
          <w:docGrid w:linePitch="272" w:charSpace="0"/>
        </w:sectPr>
      </w:pPr>
    </w:p>
    <w:bookmarkEnd w:id="934"/>
    <w:bookmarkEnd w:id="935"/>
    <w:bookmarkEnd w:id="936"/>
    <w:bookmarkEnd w:id="937"/>
    <w:bookmarkEnd w:id="938"/>
    <w:bookmarkEnd w:id="939"/>
    <w:p w14:paraId="5CA998CC">
      <w:pPr>
        <w:pStyle w:val="3"/>
      </w:pPr>
      <w:bookmarkStart w:id="1216" w:name="_Toc183882150"/>
      <w:bookmarkStart w:id="1217" w:name="_Toc183699875"/>
      <w:bookmarkStart w:id="1218" w:name="_Toc183735419"/>
      <w:bookmarkStart w:id="1219" w:name="_Toc183683564"/>
      <w:bookmarkStart w:id="1220" w:name="_Toc183882512"/>
      <w:bookmarkStart w:id="1221" w:name="_Toc183765159"/>
      <w:bookmarkStart w:id="1222" w:name="_Toc183790589"/>
      <w:bookmarkStart w:id="1223" w:name="_Toc183888202"/>
      <w:bookmarkStart w:id="1224" w:name="_Toc183888564"/>
      <w:r>
        <w:t>通</w:t>
      </w:r>
      <w:r>
        <w:rPr>
          <w:rFonts w:hint="eastAsia"/>
        </w:rPr>
        <w:t xml:space="preserve">    </w:t>
      </w:r>
      <w:r>
        <w:t>信</w:t>
      </w:r>
      <w:bookmarkEnd w:id="1216"/>
      <w:bookmarkEnd w:id="1217"/>
      <w:bookmarkEnd w:id="1218"/>
      <w:bookmarkEnd w:id="1219"/>
      <w:bookmarkEnd w:id="1220"/>
      <w:bookmarkEnd w:id="1221"/>
      <w:bookmarkEnd w:id="1222"/>
      <w:bookmarkEnd w:id="1223"/>
      <w:bookmarkEnd w:id="1224"/>
    </w:p>
    <w:p w14:paraId="7157BA0D">
      <w:pPr>
        <w:numPr>
          <w:ilvl w:val="1"/>
          <w:numId w:val="1"/>
        </w:numPr>
        <w:snapToGrid w:val="0"/>
        <w:spacing w:before="156" w:after="156" w:line="240" w:lineRule="auto"/>
        <w:jc w:val="center"/>
        <w:outlineLvl w:val="1"/>
        <w:rPr>
          <w:rFonts w:eastAsia="黑体"/>
          <w:bCs/>
          <w:szCs w:val="28"/>
        </w:rPr>
      </w:pPr>
      <w:bookmarkStart w:id="1225" w:name="_Toc183765160"/>
      <w:bookmarkStart w:id="1226" w:name="_Toc183888565"/>
      <w:bookmarkStart w:id="1227" w:name="_Toc168061277"/>
      <w:bookmarkStart w:id="1228" w:name="_Toc168059469"/>
      <w:bookmarkStart w:id="1229" w:name="_Toc183888203"/>
      <w:bookmarkStart w:id="1230" w:name="_Toc168061724"/>
      <w:bookmarkStart w:id="1231" w:name="_Toc183790590"/>
      <w:bookmarkStart w:id="1232" w:name="_Toc183882513"/>
      <w:bookmarkStart w:id="1233" w:name="_Toc183882151"/>
      <w:bookmarkStart w:id="1234" w:name="_Toc183683565"/>
      <w:bookmarkStart w:id="1235" w:name="_Toc168061895"/>
      <w:r>
        <w:rPr>
          <w:rFonts w:eastAsia="黑体"/>
          <w:bCs/>
          <w:szCs w:val="28"/>
        </w:rPr>
        <w:t>一般规定</w:t>
      </w:r>
      <w:bookmarkEnd w:id="1225"/>
      <w:bookmarkEnd w:id="1226"/>
      <w:bookmarkEnd w:id="1227"/>
      <w:bookmarkEnd w:id="1228"/>
      <w:bookmarkEnd w:id="1229"/>
      <w:bookmarkEnd w:id="1230"/>
      <w:bookmarkEnd w:id="1231"/>
      <w:bookmarkEnd w:id="1232"/>
      <w:bookmarkEnd w:id="1233"/>
      <w:bookmarkEnd w:id="1234"/>
      <w:bookmarkEnd w:id="1235"/>
    </w:p>
    <w:p w14:paraId="4D896CCC">
      <w:pPr>
        <w:pStyle w:val="5"/>
        <w:tabs>
          <w:tab w:val="left" w:pos="709"/>
          <w:tab w:val="clear" w:pos="630"/>
        </w:tabs>
      </w:pPr>
      <w:r>
        <w:t>城市轨道交通通信应适应运输效率、保证行车安全、提高现代化管理水平和传递语音、数据、图像等各种信息的需要，做到系统可靠、功能合理、设备成熟、技术先进、经济实用。</w:t>
      </w:r>
    </w:p>
    <w:p w14:paraId="2C1FB37D">
      <w:pPr>
        <w:pStyle w:val="5"/>
        <w:tabs>
          <w:tab w:val="left" w:pos="709"/>
          <w:tab w:val="clear" w:pos="630"/>
        </w:tabs>
      </w:pPr>
      <w:r>
        <w:t>通信系统应满足运营</w:t>
      </w:r>
      <w:r>
        <w:rPr>
          <w:rFonts w:hint="eastAsia"/>
        </w:rPr>
        <w:t>、公安、政务以及</w:t>
      </w:r>
      <w:r>
        <w:t>与其他制式轨道交通</w:t>
      </w:r>
      <w:r>
        <w:rPr>
          <w:rFonts w:hint="eastAsia"/>
        </w:rPr>
        <w:t>互联互通</w:t>
      </w:r>
      <w:r>
        <w:t>的通信要求</w:t>
      </w:r>
      <w:r>
        <w:rPr>
          <w:rFonts w:hint="eastAsia"/>
        </w:rPr>
        <w:t>。</w:t>
      </w:r>
    </w:p>
    <w:p w14:paraId="57359308">
      <w:pPr>
        <w:pStyle w:val="5"/>
        <w:tabs>
          <w:tab w:val="left" w:pos="709"/>
          <w:tab w:val="clear" w:pos="630"/>
        </w:tabs>
      </w:pPr>
      <w:r>
        <w:rPr>
          <w:rFonts w:hint="eastAsia"/>
        </w:rPr>
        <w:t>通信系统宜</w:t>
      </w:r>
      <w:r>
        <w:t>为后续线路的接入预留条件</w:t>
      </w:r>
      <w:r>
        <w:rPr>
          <w:rFonts w:hint="eastAsia"/>
        </w:rPr>
        <w:t>，</w:t>
      </w:r>
      <w:r>
        <w:t>实现通信系统资源共享。</w:t>
      </w:r>
    </w:p>
    <w:p w14:paraId="3D5684D4">
      <w:pPr>
        <w:pStyle w:val="5"/>
        <w:tabs>
          <w:tab w:val="left" w:pos="709"/>
          <w:tab w:val="clear" w:pos="630"/>
        </w:tabs>
      </w:pPr>
      <w:r>
        <w:t>通信系统应由专用通信系统、公安通信系统、政务通信系统组成</w:t>
      </w:r>
      <w:r>
        <w:rPr>
          <w:rFonts w:hint="eastAsia"/>
        </w:rPr>
        <w:t>，宜包括民用通信系统；民用通信系统应与城市轨道交通同步开通。</w:t>
      </w:r>
    </w:p>
    <w:p w14:paraId="3B329A93">
      <w:pPr>
        <w:pStyle w:val="5"/>
        <w:tabs>
          <w:tab w:val="left" w:pos="709"/>
          <w:tab w:val="clear" w:pos="630"/>
        </w:tabs>
      </w:pPr>
      <w:r>
        <w:t>专用通信系统应满足北京轨道交通运营调度在正常运营方式和灾害运营方式的通信需求。在正常运营方式时，应为运营管理提供信息；在灾害运行方式时，应为防灾、救援和事故处理的指挥提供保证。</w:t>
      </w:r>
    </w:p>
    <w:p w14:paraId="1F60BFEA">
      <w:pPr>
        <w:pStyle w:val="5"/>
        <w:tabs>
          <w:tab w:val="left" w:pos="709"/>
          <w:tab w:val="clear" w:pos="630"/>
        </w:tabs>
      </w:pPr>
      <w:r>
        <w:t>公安通信系统应满足公安部门在城市轨道交通范围内的通信需求，并在突发事件发生时，为公安部门在城市轨道交通内的应急调度指挥提供保证。</w:t>
      </w:r>
    </w:p>
    <w:p w14:paraId="5DAF248F">
      <w:pPr>
        <w:pStyle w:val="5"/>
        <w:tabs>
          <w:tab w:val="left" w:pos="709"/>
          <w:tab w:val="clear" w:pos="630"/>
        </w:tabs>
      </w:pPr>
      <w:r>
        <w:t>政务通信系统应满足北京市政务通信系统在地下空间内的各项调度联络需求。</w:t>
      </w:r>
    </w:p>
    <w:p w14:paraId="231A76C4">
      <w:pPr>
        <w:pStyle w:val="5"/>
        <w:tabs>
          <w:tab w:val="left" w:pos="709"/>
          <w:tab w:val="clear" w:pos="630"/>
        </w:tabs>
      </w:pPr>
      <w:r>
        <w:t>政务通信系统的建设应实现与公安通信</w:t>
      </w:r>
      <w:r>
        <w:rPr>
          <w:rFonts w:hint="eastAsia"/>
        </w:rPr>
        <w:t>系统</w:t>
      </w:r>
      <w:r>
        <w:t>的资源共享，宜共用机房、无线覆盖系统和相关配套设施</w:t>
      </w:r>
      <w:r>
        <w:rPr>
          <w:rFonts w:hint="eastAsia"/>
        </w:rPr>
        <w:t>。</w:t>
      </w:r>
    </w:p>
    <w:p w14:paraId="494AF77F">
      <w:pPr>
        <w:pStyle w:val="5"/>
        <w:tabs>
          <w:tab w:val="left" w:pos="709"/>
          <w:tab w:val="clear" w:pos="630"/>
        </w:tabs>
      </w:pPr>
      <w:r>
        <w:t>民用通信系统将移动通信运营商的地面信号引入轨道交通地下空间，满足乘客在地下空间内享受与地面同等的通信需求，满足轨道交通地下区域内的公众移动通信服务。</w:t>
      </w:r>
    </w:p>
    <w:p w14:paraId="5C05A91D">
      <w:pPr>
        <w:pStyle w:val="5"/>
        <w:tabs>
          <w:tab w:val="left" w:pos="851"/>
          <w:tab w:val="clear" w:pos="630"/>
          <w:tab w:val="clear" w:pos="1701"/>
        </w:tabs>
      </w:pPr>
      <w:r>
        <w:rPr>
          <w:rFonts w:hint="eastAsia"/>
        </w:rPr>
        <w:t>轨道交通应为民用通信系统引入提供条件，包括设备机房、供电、接地及管槽安装所需空间等。</w:t>
      </w:r>
    </w:p>
    <w:p w14:paraId="60359F8A">
      <w:pPr>
        <w:pStyle w:val="5"/>
        <w:tabs>
          <w:tab w:val="left" w:pos="709"/>
          <w:tab w:val="clear" w:pos="630"/>
        </w:tabs>
      </w:pPr>
      <w:r>
        <w:rPr>
          <w:rFonts w:hint="eastAsia"/>
        </w:rPr>
        <w:t>通信系统</w:t>
      </w:r>
      <w:r>
        <w:t>应符合电磁兼容性的要求。</w:t>
      </w:r>
    </w:p>
    <w:p w14:paraId="04366174">
      <w:pPr>
        <w:pStyle w:val="5"/>
        <w:tabs>
          <w:tab w:val="left" w:pos="851"/>
          <w:tab w:val="clear" w:pos="630"/>
          <w:tab w:val="clear" w:pos="1701"/>
        </w:tabs>
      </w:pPr>
      <w:r>
        <w:t>通信系统各子系统均应具有网络管理功能。主要通信设备和模块应具有自检和报警功能，中心网管设备可采集和监测系统设备运行状态和故障信息。</w:t>
      </w:r>
    </w:p>
    <w:p w14:paraId="35455D55">
      <w:pPr>
        <w:pStyle w:val="5"/>
        <w:tabs>
          <w:tab w:val="left" w:pos="851"/>
          <w:tab w:val="clear" w:pos="630"/>
          <w:tab w:val="clear" w:pos="1701"/>
        </w:tabs>
      </w:pPr>
      <w:r>
        <w:t>通信系统的关键设备宜考虑供电冗余和关键板卡冗余设置。</w:t>
      </w:r>
    </w:p>
    <w:p w14:paraId="411A5694">
      <w:pPr>
        <w:pStyle w:val="5"/>
        <w:tabs>
          <w:tab w:val="left" w:pos="851"/>
          <w:tab w:val="clear" w:pos="630"/>
          <w:tab w:val="clear" w:pos="1701"/>
        </w:tabs>
      </w:pPr>
      <w:r>
        <w:t>区间隧道内托板托架、线缆及隧道内设备的设置严禁侵入设备限界；车载台无线天线的设置严禁超出车辆限界。</w:t>
      </w:r>
    </w:p>
    <w:p w14:paraId="2A78374C">
      <w:pPr>
        <w:pStyle w:val="5"/>
        <w:tabs>
          <w:tab w:val="left" w:pos="851"/>
          <w:tab w:val="clear" w:pos="630"/>
          <w:tab w:val="clear" w:pos="1701"/>
        </w:tabs>
      </w:pPr>
      <w:r>
        <w:t>通信设备使用环境条件应符合表17.1.15的要求。</w:t>
      </w:r>
    </w:p>
    <w:p w14:paraId="60EE15AE">
      <w:pPr>
        <w:pStyle w:val="198"/>
      </w:pPr>
      <w:r>
        <w:t>表17.1.15</w:t>
      </w:r>
      <w:r>
        <w:rPr>
          <w:rFonts w:hint="eastAsia"/>
        </w:rPr>
        <w:t xml:space="preserve">  </w:t>
      </w:r>
      <w:r>
        <w:t>通信设备使用环境</w:t>
      </w:r>
    </w:p>
    <w:tbl>
      <w:tblPr>
        <w:tblStyle w:val="88"/>
        <w:tblW w:w="606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08"/>
        <w:gridCol w:w="704"/>
        <w:gridCol w:w="1216"/>
        <w:gridCol w:w="1216"/>
        <w:gridCol w:w="1292"/>
        <w:gridCol w:w="1126"/>
      </w:tblGrid>
      <w:tr w14:paraId="1316B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9" w:hRule="atLeast"/>
          <w:jc w:val="center"/>
        </w:trPr>
        <w:tc>
          <w:tcPr>
            <w:tcW w:w="1212" w:type="dxa"/>
            <w:gridSpan w:val="2"/>
            <w:tcBorders>
              <w:left w:val="single" w:color="000000" w:sz="6" w:space="0"/>
            </w:tcBorders>
            <w:vAlign w:val="center"/>
          </w:tcPr>
          <w:p w14:paraId="28C2A175">
            <w:pPr>
              <w:pStyle w:val="175"/>
              <w:rPr>
                <w:color w:val="auto"/>
              </w:rPr>
            </w:pPr>
            <w:r>
              <w:rPr>
                <w:color w:val="auto"/>
              </w:rPr>
              <w:t>项目</w:t>
            </w:r>
          </w:p>
        </w:tc>
        <w:tc>
          <w:tcPr>
            <w:tcW w:w="1216" w:type="dxa"/>
            <w:vAlign w:val="center"/>
          </w:tcPr>
          <w:p w14:paraId="4DB8D8E6">
            <w:pPr>
              <w:pStyle w:val="175"/>
              <w:rPr>
                <w:color w:val="auto"/>
              </w:rPr>
            </w:pPr>
            <w:r>
              <w:rPr>
                <w:color w:val="auto"/>
              </w:rPr>
              <w:t>控制中心</w:t>
            </w:r>
          </w:p>
        </w:tc>
        <w:tc>
          <w:tcPr>
            <w:tcW w:w="1216" w:type="dxa"/>
            <w:vAlign w:val="center"/>
          </w:tcPr>
          <w:p w14:paraId="4765CFC3">
            <w:pPr>
              <w:pStyle w:val="175"/>
              <w:rPr>
                <w:color w:val="auto"/>
              </w:rPr>
            </w:pPr>
            <w:r>
              <w:rPr>
                <w:color w:val="auto"/>
              </w:rPr>
              <w:t>设备室</w:t>
            </w:r>
          </w:p>
        </w:tc>
        <w:tc>
          <w:tcPr>
            <w:tcW w:w="1292" w:type="dxa"/>
            <w:vAlign w:val="center"/>
          </w:tcPr>
          <w:p w14:paraId="27E04E5F">
            <w:pPr>
              <w:pStyle w:val="175"/>
              <w:rPr>
                <w:color w:val="auto"/>
              </w:rPr>
            </w:pPr>
            <w:r>
              <w:rPr>
                <w:color w:val="auto"/>
              </w:rPr>
              <w:t>轨旁</w:t>
            </w:r>
          </w:p>
        </w:tc>
        <w:tc>
          <w:tcPr>
            <w:tcW w:w="1126" w:type="dxa"/>
            <w:tcBorders>
              <w:right w:val="single" w:color="000000" w:sz="6" w:space="0"/>
            </w:tcBorders>
            <w:vAlign w:val="center"/>
          </w:tcPr>
          <w:p w14:paraId="632B66E1">
            <w:pPr>
              <w:pStyle w:val="175"/>
              <w:rPr>
                <w:color w:val="auto"/>
              </w:rPr>
            </w:pPr>
            <w:r>
              <w:rPr>
                <w:color w:val="auto"/>
              </w:rPr>
              <w:t>车上</w:t>
            </w:r>
          </w:p>
        </w:tc>
      </w:tr>
      <w:tr w14:paraId="3F17C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58" w:hRule="atLeast"/>
          <w:jc w:val="center"/>
        </w:trPr>
        <w:tc>
          <w:tcPr>
            <w:tcW w:w="508" w:type="dxa"/>
            <w:vMerge w:val="restart"/>
            <w:tcBorders>
              <w:left w:val="single" w:color="000000" w:sz="6" w:space="0"/>
              <w:bottom w:val="nil"/>
            </w:tcBorders>
            <w:vAlign w:val="center"/>
          </w:tcPr>
          <w:p w14:paraId="68FCDF84">
            <w:pPr>
              <w:pStyle w:val="175"/>
              <w:rPr>
                <w:color w:val="auto"/>
              </w:rPr>
            </w:pPr>
            <w:r>
              <w:rPr>
                <w:color w:val="auto"/>
              </w:rPr>
              <w:t>温度</w:t>
            </w:r>
          </w:p>
        </w:tc>
        <w:tc>
          <w:tcPr>
            <w:tcW w:w="704" w:type="dxa"/>
            <w:vAlign w:val="center"/>
          </w:tcPr>
          <w:p w14:paraId="4817CA8E">
            <w:pPr>
              <w:pStyle w:val="175"/>
              <w:rPr>
                <w:color w:val="auto"/>
              </w:rPr>
            </w:pPr>
            <w:r>
              <w:rPr>
                <w:color w:val="auto"/>
              </w:rPr>
              <w:t>工作</w:t>
            </w:r>
          </w:p>
        </w:tc>
        <w:tc>
          <w:tcPr>
            <w:tcW w:w="1216" w:type="dxa"/>
            <w:vAlign w:val="center"/>
          </w:tcPr>
          <w:p w14:paraId="53C2903D">
            <w:pPr>
              <w:pStyle w:val="175"/>
              <w:rPr>
                <w:color w:val="auto"/>
              </w:rPr>
            </w:pPr>
            <w:r>
              <w:rPr>
                <w:color w:val="auto"/>
              </w:rPr>
              <w:t>5℃~45℃</w:t>
            </w:r>
          </w:p>
          <w:p w14:paraId="6A244827">
            <w:pPr>
              <w:pStyle w:val="175"/>
              <w:rPr>
                <w:color w:val="auto"/>
              </w:rPr>
            </w:pPr>
            <w:r>
              <w:rPr>
                <w:color w:val="auto"/>
              </w:rPr>
              <w:t>0℃~50℃</w:t>
            </w:r>
          </w:p>
        </w:tc>
        <w:tc>
          <w:tcPr>
            <w:tcW w:w="1216" w:type="dxa"/>
            <w:vAlign w:val="center"/>
          </w:tcPr>
          <w:p w14:paraId="0CF0F1C3">
            <w:pPr>
              <w:pStyle w:val="175"/>
              <w:rPr>
                <w:color w:val="auto"/>
              </w:rPr>
            </w:pPr>
            <w:r>
              <w:rPr>
                <w:color w:val="auto"/>
              </w:rPr>
              <w:t>5℃~45℃</w:t>
            </w:r>
          </w:p>
          <w:p w14:paraId="12778768">
            <w:pPr>
              <w:pStyle w:val="175"/>
              <w:rPr>
                <w:color w:val="auto"/>
              </w:rPr>
            </w:pPr>
            <w:r>
              <w:rPr>
                <w:color w:val="auto"/>
              </w:rPr>
              <w:t>0℃~50℃</w:t>
            </w:r>
          </w:p>
        </w:tc>
        <w:tc>
          <w:tcPr>
            <w:tcW w:w="1292" w:type="dxa"/>
            <w:vAlign w:val="center"/>
          </w:tcPr>
          <w:p w14:paraId="0E9251CA">
            <w:pPr>
              <w:pStyle w:val="175"/>
              <w:rPr>
                <w:color w:val="auto"/>
              </w:rPr>
            </w:pPr>
            <w:r>
              <w:rPr>
                <w:color w:val="auto"/>
              </w:rPr>
              <w:t>−27℃~70℃</w:t>
            </w:r>
          </w:p>
        </w:tc>
        <w:tc>
          <w:tcPr>
            <w:tcW w:w="1126" w:type="dxa"/>
            <w:tcBorders>
              <w:right w:val="single" w:color="000000" w:sz="6" w:space="0"/>
            </w:tcBorders>
            <w:vAlign w:val="center"/>
          </w:tcPr>
          <w:p w14:paraId="1E585DEB">
            <w:pPr>
              <w:pStyle w:val="175"/>
              <w:rPr>
                <w:color w:val="auto"/>
              </w:rPr>
            </w:pPr>
            <w:r>
              <w:rPr>
                <w:color w:val="auto"/>
              </w:rPr>
              <w:t>−20℃~50℃</w:t>
            </w:r>
          </w:p>
        </w:tc>
      </w:tr>
      <w:tr w14:paraId="140BC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508" w:type="dxa"/>
            <w:vMerge w:val="continue"/>
            <w:tcBorders>
              <w:top w:val="nil"/>
              <w:left w:val="single" w:color="000000" w:sz="6" w:space="0"/>
            </w:tcBorders>
            <w:vAlign w:val="center"/>
          </w:tcPr>
          <w:p w14:paraId="0E6C1A34">
            <w:pPr>
              <w:pStyle w:val="175"/>
              <w:ind w:left="420" w:hanging="420"/>
              <w:rPr>
                <w:color w:val="auto"/>
              </w:rPr>
            </w:pPr>
          </w:p>
        </w:tc>
        <w:tc>
          <w:tcPr>
            <w:tcW w:w="704" w:type="dxa"/>
            <w:vAlign w:val="center"/>
          </w:tcPr>
          <w:p w14:paraId="6435E367">
            <w:pPr>
              <w:pStyle w:val="175"/>
              <w:rPr>
                <w:color w:val="auto"/>
              </w:rPr>
            </w:pPr>
            <w:r>
              <w:rPr>
                <w:color w:val="auto"/>
              </w:rPr>
              <w:t>存储</w:t>
            </w:r>
          </w:p>
        </w:tc>
        <w:tc>
          <w:tcPr>
            <w:tcW w:w="1216" w:type="dxa"/>
            <w:vAlign w:val="center"/>
          </w:tcPr>
          <w:p w14:paraId="0261CE33">
            <w:pPr>
              <w:pStyle w:val="175"/>
              <w:rPr>
                <w:color w:val="auto"/>
              </w:rPr>
            </w:pPr>
            <w:r>
              <w:rPr>
                <w:color w:val="auto"/>
              </w:rPr>
              <w:t>−20℃~55℃</w:t>
            </w:r>
          </w:p>
        </w:tc>
        <w:tc>
          <w:tcPr>
            <w:tcW w:w="1216" w:type="dxa"/>
            <w:vAlign w:val="center"/>
          </w:tcPr>
          <w:p w14:paraId="7D301D97">
            <w:pPr>
              <w:pStyle w:val="175"/>
              <w:rPr>
                <w:color w:val="auto"/>
              </w:rPr>
            </w:pPr>
            <w:r>
              <w:rPr>
                <w:color w:val="auto"/>
              </w:rPr>
              <w:t>−20℃~55℃</w:t>
            </w:r>
          </w:p>
        </w:tc>
        <w:tc>
          <w:tcPr>
            <w:tcW w:w="1292" w:type="dxa"/>
            <w:vAlign w:val="center"/>
          </w:tcPr>
          <w:p w14:paraId="39EC2A5C">
            <w:pPr>
              <w:pStyle w:val="175"/>
              <w:rPr>
                <w:color w:val="auto"/>
              </w:rPr>
            </w:pPr>
            <w:r>
              <w:rPr>
                <w:color w:val="auto"/>
              </w:rPr>
              <w:t>−20℃~70℃</w:t>
            </w:r>
          </w:p>
        </w:tc>
        <w:tc>
          <w:tcPr>
            <w:tcW w:w="1126" w:type="dxa"/>
            <w:tcBorders>
              <w:right w:val="single" w:color="000000" w:sz="6" w:space="0"/>
            </w:tcBorders>
            <w:vAlign w:val="center"/>
          </w:tcPr>
          <w:p w14:paraId="3421E99C">
            <w:pPr>
              <w:pStyle w:val="175"/>
              <w:rPr>
                <w:color w:val="auto"/>
              </w:rPr>
            </w:pPr>
            <w:r>
              <w:rPr>
                <w:color w:val="auto"/>
              </w:rPr>
              <w:t>−20℃~70℃</w:t>
            </w:r>
          </w:p>
        </w:tc>
      </w:tr>
      <w:tr w14:paraId="27238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508" w:type="dxa"/>
            <w:vMerge w:val="restart"/>
            <w:tcBorders>
              <w:left w:val="single" w:color="000000" w:sz="6" w:space="0"/>
              <w:bottom w:val="nil"/>
            </w:tcBorders>
            <w:vAlign w:val="center"/>
          </w:tcPr>
          <w:p w14:paraId="22A50324">
            <w:pPr>
              <w:pStyle w:val="175"/>
              <w:rPr>
                <w:color w:val="auto"/>
              </w:rPr>
            </w:pPr>
            <w:r>
              <w:rPr>
                <w:color w:val="auto"/>
              </w:rPr>
              <w:t>湿度</w:t>
            </w:r>
          </w:p>
        </w:tc>
        <w:tc>
          <w:tcPr>
            <w:tcW w:w="704" w:type="dxa"/>
            <w:vAlign w:val="center"/>
          </w:tcPr>
          <w:p w14:paraId="2F7639AC">
            <w:pPr>
              <w:pStyle w:val="175"/>
              <w:rPr>
                <w:color w:val="auto"/>
              </w:rPr>
            </w:pPr>
            <w:r>
              <w:rPr>
                <w:color w:val="auto"/>
              </w:rPr>
              <w:t>工作</w:t>
            </w:r>
          </w:p>
        </w:tc>
        <w:tc>
          <w:tcPr>
            <w:tcW w:w="1216" w:type="dxa"/>
            <w:vAlign w:val="center"/>
          </w:tcPr>
          <w:p w14:paraId="658F3ACC">
            <w:pPr>
              <w:pStyle w:val="175"/>
              <w:rPr>
                <w:color w:val="auto"/>
              </w:rPr>
            </w:pPr>
            <w:r>
              <w:rPr>
                <w:color w:val="auto"/>
              </w:rPr>
              <w:t>5%~90%</w:t>
            </w:r>
          </w:p>
        </w:tc>
        <w:tc>
          <w:tcPr>
            <w:tcW w:w="1216" w:type="dxa"/>
            <w:vAlign w:val="center"/>
          </w:tcPr>
          <w:p w14:paraId="42CF909B">
            <w:pPr>
              <w:pStyle w:val="175"/>
              <w:rPr>
                <w:color w:val="auto"/>
              </w:rPr>
            </w:pPr>
            <w:r>
              <w:rPr>
                <w:color w:val="auto"/>
              </w:rPr>
              <w:t>5%~90%</w:t>
            </w:r>
          </w:p>
        </w:tc>
        <w:tc>
          <w:tcPr>
            <w:tcW w:w="1292" w:type="dxa"/>
            <w:vAlign w:val="center"/>
          </w:tcPr>
          <w:p w14:paraId="2FEB64C0">
            <w:pPr>
              <w:pStyle w:val="175"/>
              <w:rPr>
                <w:color w:val="auto"/>
              </w:rPr>
            </w:pPr>
            <w:r>
              <w:rPr>
                <w:color w:val="auto"/>
              </w:rPr>
              <w:t>0%~100%</w:t>
            </w:r>
          </w:p>
        </w:tc>
        <w:tc>
          <w:tcPr>
            <w:tcW w:w="1126" w:type="dxa"/>
            <w:tcBorders>
              <w:right w:val="single" w:color="000000" w:sz="6" w:space="0"/>
            </w:tcBorders>
            <w:vAlign w:val="center"/>
          </w:tcPr>
          <w:p w14:paraId="7484D670">
            <w:pPr>
              <w:pStyle w:val="175"/>
              <w:rPr>
                <w:color w:val="auto"/>
              </w:rPr>
            </w:pPr>
            <w:r>
              <w:rPr>
                <w:color w:val="auto"/>
              </w:rPr>
              <w:t>0%~90%</w:t>
            </w:r>
          </w:p>
        </w:tc>
      </w:tr>
      <w:tr w14:paraId="5351B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9" w:hRule="atLeast"/>
          <w:jc w:val="center"/>
        </w:trPr>
        <w:tc>
          <w:tcPr>
            <w:tcW w:w="508" w:type="dxa"/>
            <w:vMerge w:val="continue"/>
            <w:tcBorders>
              <w:top w:val="nil"/>
              <w:left w:val="single" w:color="000000" w:sz="6" w:space="0"/>
            </w:tcBorders>
            <w:vAlign w:val="center"/>
          </w:tcPr>
          <w:p w14:paraId="19B8620B">
            <w:pPr>
              <w:pStyle w:val="175"/>
              <w:ind w:left="420" w:hanging="420"/>
              <w:rPr>
                <w:color w:val="auto"/>
              </w:rPr>
            </w:pPr>
          </w:p>
        </w:tc>
        <w:tc>
          <w:tcPr>
            <w:tcW w:w="704" w:type="dxa"/>
            <w:vAlign w:val="center"/>
          </w:tcPr>
          <w:p w14:paraId="5195F68B">
            <w:pPr>
              <w:pStyle w:val="175"/>
              <w:rPr>
                <w:color w:val="auto"/>
              </w:rPr>
            </w:pPr>
            <w:r>
              <w:rPr>
                <w:color w:val="auto"/>
              </w:rPr>
              <w:t>存储</w:t>
            </w:r>
          </w:p>
        </w:tc>
        <w:tc>
          <w:tcPr>
            <w:tcW w:w="1216" w:type="dxa"/>
            <w:vAlign w:val="center"/>
          </w:tcPr>
          <w:p w14:paraId="01201555">
            <w:pPr>
              <w:pStyle w:val="175"/>
              <w:rPr>
                <w:color w:val="auto"/>
              </w:rPr>
            </w:pPr>
            <w:r>
              <w:rPr>
                <w:color w:val="auto"/>
              </w:rPr>
              <w:t>5%~100%</w:t>
            </w:r>
          </w:p>
        </w:tc>
        <w:tc>
          <w:tcPr>
            <w:tcW w:w="1216" w:type="dxa"/>
            <w:vAlign w:val="center"/>
          </w:tcPr>
          <w:p w14:paraId="46DF0165">
            <w:pPr>
              <w:pStyle w:val="175"/>
              <w:rPr>
                <w:color w:val="auto"/>
              </w:rPr>
            </w:pPr>
            <w:r>
              <w:rPr>
                <w:color w:val="auto"/>
              </w:rPr>
              <w:t>5%~100%</w:t>
            </w:r>
          </w:p>
        </w:tc>
        <w:tc>
          <w:tcPr>
            <w:tcW w:w="1292" w:type="dxa"/>
            <w:vAlign w:val="center"/>
          </w:tcPr>
          <w:p w14:paraId="74455D46">
            <w:pPr>
              <w:pStyle w:val="175"/>
              <w:rPr>
                <w:color w:val="auto"/>
              </w:rPr>
            </w:pPr>
            <w:r>
              <w:rPr>
                <w:color w:val="auto"/>
              </w:rPr>
              <w:t>0%~100%</w:t>
            </w:r>
          </w:p>
        </w:tc>
        <w:tc>
          <w:tcPr>
            <w:tcW w:w="1126" w:type="dxa"/>
            <w:tcBorders>
              <w:right w:val="single" w:color="000000" w:sz="6" w:space="0"/>
            </w:tcBorders>
            <w:vAlign w:val="center"/>
          </w:tcPr>
          <w:p w14:paraId="24184D14">
            <w:pPr>
              <w:pStyle w:val="175"/>
              <w:rPr>
                <w:color w:val="auto"/>
              </w:rPr>
            </w:pPr>
            <w:r>
              <w:rPr>
                <w:color w:val="auto"/>
              </w:rPr>
              <w:t>0%~100%</w:t>
            </w:r>
          </w:p>
        </w:tc>
      </w:tr>
      <w:tr w14:paraId="2B2DD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1212" w:type="dxa"/>
            <w:gridSpan w:val="2"/>
            <w:tcBorders>
              <w:left w:val="single" w:color="000000" w:sz="6" w:space="0"/>
            </w:tcBorders>
            <w:vAlign w:val="center"/>
          </w:tcPr>
          <w:p w14:paraId="01920E8A">
            <w:pPr>
              <w:pStyle w:val="175"/>
              <w:rPr>
                <w:color w:val="auto"/>
              </w:rPr>
            </w:pPr>
            <w:r>
              <w:rPr>
                <w:color w:val="auto"/>
              </w:rPr>
              <w:t>机械冲击</w:t>
            </w:r>
          </w:p>
        </w:tc>
        <w:tc>
          <w:tcPr>
            <w:tcW w:w="1216" w:type="dxa"/>
            <w:vAlign w:val="center"/>
          </w:tcPr>
          <w:p w14:paraId="5B448817">
            <w:pPr>
              <w:pStyle w:val="175"/>
              <w:rPr>
                <w:color w:val="auto"/>
              </w:rPr>
            </w:pPr>
            <w:r>
              <w:rPr>
                <w:color w:val="auto"/>
              </w:rPr>
              <w:t>4G</w:t>
            </w:r>
          </w:p>
        </w:tc>
        <w:tc>
          <w:tcPr>
            <w:tcW w:w="1216" w:type="dxa"/>
            <w:vAlign w:val="center"/>
          </w:tcPr>
          <w:p w14:paraId="6F25D0E4">
            <w:pPr>
              <w:pStyle w:val="175"/>
              <w:rPr>
                <w:color w:val="auto"/>
              </w:rPr>
            </w:pPr>
            <w:r>
              <w:rPr>
                <w:color w:val="auto"/>
              </w:rPr>
              <w:t>4G</w:t>
            </w:r>
          </w:p>
        </w:tc>
        <w:tc>
          <w:tcPr>
            <w:tcW w:w="1292" w:type="dxa"/>
            <w:vAlign w:val="center"/>
          </w:tcPr>
          <w:p w14:paraId="18CBADC5">
            <w:pPr>
              <w:pStyle w:val="175"/>
              <w:rPr>
                <w:color w:val="auto"/>
              </w:rPr>
            </w:pPr>
            <w:r>
              <w:rPr>
                <w:color w:val="auto"/>
              </w:rPr>
              <w:t>10G</w:t>
            </w:r>
          </w:p>
        </w:tc>
        <w:tc>
          <w:tcPr>
            <w:tcW w:w="1126" w:type="dxa"/>
            <w:tcBorders>
              <w:right w:val="single" w:color="000000" w:sz="6" w:space="0"/>
            </w:tcBorders>
            <w:vAlign w:val="center"/>
          </w:tcPr>
          <w:p w14:paraId="58D62A9E">
            <w:pPr>
              <w:pStyle w:val="175"/>
              <w:rPr>
                <w:color w:val="auto"/>
              </w:rPr>
            </w:pPr>
            <w:r>
              <w:rPr>
                <w:color w:val="auto"/>
              </w:rPr>
              <w:t>10G</w:t>
            </w:r>
          </w:p>
        </w:tc>
      </w:tr>
      <w:tr w14:paraId="15ED0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1212" w:type="dxa"/>
            <w:gridSpan w:val="2"/>
            <w:vMerge w:val="restart"/>
            <w:tcBorders>
              <w:left w:val="single" w:color="000000" w:sz="6" w:space="0"/>
              <w:bottom w:val="nil"/>
            </w:tcBorders>
            <w:vAlign w:val="center"/>
          </w:tcPr>
          <w:p w14:paraId="18A782A7">
            <w:pPr>
              <w:pStyle w:val="175"/>
              <w:rPr>
                <w:color w:val="auto"/>
              </w:rPr>
            </w:pPr>
            <w:r>
              <w:rPr>
                <w:color w:val="auto"/>
              </w:rPr>
              <w:t>振动</w:t>
            </w:r>
          </w:p>
        </w:tc>
        <w:tc>
          <w:tcPr>
            <w:tcW w:w="1216" w:type="dxa"/>
            <w:vAlign w:val="center"/>
          </w:tcPr>
          <w:p w14:paraId="6D4BF052">
            <w:pPr>
              <w:pStyle w:val="175"/>
              <w:rPr>
                <w:color w:val="auto"/>
              </w:rPr>
            </w:pPr>
            <w:r>
              <w:rPr>
                <w:color w:val="auto"/>
              </w:rPr>
              <w:t>5~20Hz</w:t>
            </w:r>
          </w:p>
        </w:tc>
        <w:tc>
          <w:tcPr>
            <w:tcW w:w="1216" w:type="dxa"/>
            <w:vAlign w:val="center"/>
          </w:tcPr>
          <w:p w14:paraId="154F67B6">
            <w:pPr>
              <w:pStyle w:val="175"/>
              <w:rPr>
                <w:color w:val="auto"/>
              </w:rPr>
            </w:pPr>
            <w:r>
              <w:rPr>
                <w:color w:val="auto"/>
              </w:rPr>
              <w:t>5~20Hz</w:t>
            </w:r>
          </w:p>
        </w:tc>
        <w:tc>
          <w:tcPr>
            <w:tcW w:w="1292" w:type="dxa"/>
            <w:vAlign w:val="center"/>
          </w:tcPr>
          <w:p w14:paraId="224A7694">
            <w:pPr>
              <w:pStyle w:val="175"/>
              <w:rPr>
                <w:color w:val="auto"/>
              </w:rPr>
            </w:pPr>
            <w:r>
              <w:rPr>
                <w:color w:val="auto"/>
              </w:rPr>
              <w:t>5~20Hz</w:t>
            </w:r>
          </w:p>
        </w:tc>
        <w:tc>
          <w:tcPr>
            <w:tcW w:w="1126" w:type="dxa"/>
            <w:tcBorders>
              <w:right w:val="single" w:color="000000" w:sz="6" w:space="0"/>
            </w:tcBorders>
            <w:vAlign w:val="center"/>
          </w:tcPr>
          <w:p w14:paraId="1DB3CDDB">
            <w:pPr>
              <w:pStyle w:val="175"/>
              <w:rPr>
                <w:color w:val="auto"/>
              </w:rPr>
            </w:pPr>
            <w:r>
              <w:rPr>
                <w:color w:val="auto"/>
              </w:rPr>
              <w:t>5~20Hz</w:t>
            </w:r>
          </w:p>
        </w:tc>
      </w:tr>
      <w:tr w14:paraId="7BA3B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9" w:hRule="atLeast"/>
          <w:jc w:val="center"/>
        </w:trPr>
        <w:tc>
          <w:tcPr>
            <w:tcW w:w="1212" w:type="dxa"/>
            <w:gridSpan w:val="2"/>
            <w:vMerge w:val="continue"/>
            <w:tcBorders>
              <w:top w:val="nil"/>
              <w:left w:val="single" w:color="000000" w:sz="6" w:space="0"/>
              <w:bottom w:val="nil"/>
            </w:tcBorders>
            <w:vAlign w:val="center"/>
          </w:tcPr>
          <w:p w14:paraId="410B233C">
            <w:pPr>
              <w:pStyle w:val="175"/>
              <w:ind w:left="420" w:hanging="420"/>
              <w:rPr>
                <w:color w:val="auto"/>
              </w:rPr>
            </w:pPr>
          </w:p>
        </w:tc>
        <w:tc>
          <w:tcPr>
            <w:tcW w:w="1216" w:type="dxa"/>
            <w:vAlign w:val="center"/>
          </w:tcPr>
          <w:p w14:paraId="63537F59">
            <w:pPr>
              <w:pStyle w:val="175"/>
              <w:rPr>
                <w:color w:val="auto"/>
              </w:rPr>
            </w:pPr>
            <w:r>
              <w:rPr>
                <w:color w:val="auto"/>
              </w:rPr>
              <w:t>0.07PP</w:t>
            </w:r>
          </w:p>
        </w:tc>
        <w:tc>
          <w:tcPr>
            <w:tcW w:w="1216" w:type="dxa"/>
            <w:vAlign w:val="center"/>
          </w:tcPr>
          <w:p w14:paraId="15496F46">
            <w:pPr>
              <w:pStyle w:val="175"/>
              <w:rPr>
                <w:color w:val="auto"/>
              </w:rPr>
            </w:pPr>
            <w:r>
              <w:rPr>
                <w:color w:val="auto"/>
              </w:rPr>
              <w:t>0.2PP</w:t>
            </w:r>
          </w:p>
        </w:tc>
        <w:tc>
          <w:tcPr>
            <w:tcW w:w="1292" w:type="dxa"/>
            <w:vAlign w:val="center"/>
          </w:tcPr>
          <w:p w14:paraId="3D3E8029">
            <w:pPr>
              <w:pStyle w:val="175"/>
              <w:rPr>
                <w:color w:val="auto"/>
              </w:rPr>
            </w:pPr>
            <w:r>
              <w:rPr>
                <w:color w:val="auto"/>
              </w:rPr>
              <w:t>0.2PP</w:t>
            </w:r>
          </w:p>
        </w:tc>
        <w:tc>
          <w:tcPr>
            <w:tcW w:w="1126" w:type="dxa"/>
            <w:tcBorders>
              <w:right w:val="single" w:color="000000" w:sz="6" w:space="0"/>
            </w:tcBorders>
            <w:vAlign w:val="center"/>
          </w:tcPr>
          <w:p w14:paraId="21C7736C">
            <w:pPr>
              <w:pStyle w:val="175"/>
              <w:rPr>
                <w:color w:val="auto"/>
              </w:rPr>
            </w:pPr>
            <w:r>
              <w:rPr>
                <w:color w:val="auto"/>
              </w:rPr>
              <w:t>0.25PP</w:t>
            </w:r>
          </w:p>
        </w:tc>
      </w:tr>
      <w:tr w14:paraId="706C4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1212" w:type="dxa"/>
            <w:gridSpan w:val="2"/>
            <w:vMerge w:val="continue"/>
            <w:tcBorders>
              <w:top w:val="nil"/>
              <w:left w:val="single" w:color="000000" w:sz="6" w:space="0"/>
              <w:bottom w:val="nil"/>
            </w:tcBorders>
            <w:vAlign w:val="center"/>
          </w:tcPr>
          <w:p w14:paraId="52C364FE">
            <w:pPr>
              <w:pStyle w:val="175"/>
              <w:ind w:left="420" w:hanging="420"/>
              <w:rPr>
                <w:color w:val="auto"/>
              </w:rPr>
            </w:pPr>
          </w:p>
        </w:tc>
        <w:tc>
          <w:tcPr>
            <w:tcW w:w="1216" w:type="dxa"/>
            <w:vAlign w:val="center"/>
          </w:tcPr>
          <w:p w14:paraId="2D0646CE">
            <w:pPr>
              <w:pStyle w:val="175"/>
              <w:rPr>
                <w:color w:val="auto"/>
              </w:rPr>
            </w:pPr>
            <w:r>
              <w:rPr>
                <w:color w:val="auto"/>
              </w:rPr>
              <w:t>20~100Hz</w:t>
            </w:r>
          </w:p>
        </w:tc>
        <w:tc>
          <w:tcPr>
            <w:tcW w:w="1216" w:type="dxa"/>
            <w:vAlign w:val="center"/>
          </w:tcPr>
          <w:p w14:paraId="64D72134">
            <w:pPr>
              <w:pStyle w:val="175"/>
              <w:rPr>
                <w:color w:val="auto"/>
              </w:rPr>
            </w:pPr>
            <w:r>
              <w:rPr>
                <w:color w:val="auto"/>
              </w:rPr>
              <w:t>12~100Hz</w:t>
            </w:r>
          </w:p>
        </w:tc>
        <w:tc>
          <w:tcPr>
            <w:tcW w:w="1292" w:type="dxa"/>
            <w:vAlign w:val="center"/>
          </w:tcPr>
          <w:p w14:paraId="2C21B5F6">
            <w:pPr>
              <w:pStyle w:val="175"/>
              <w:rPr>
                <w:color w:val="auto"/>
              </w:rPr>
            </w:pPr>
            <w:r>
              <w:rPr>
                <w:color w:val="auto"/>
              </w:rPr>
              <w:t>12~100Hz</w:t>
            </w:r>
          </w:p>
        </w:tc>
        <w:tc>
          <w:tcPr>
            <w:tcW w:w="1126" w:type="dxa"/>
            <w:tcBorders>
              <w:right w:val="single" w:color="000000" w:sz="6" w:space="0"/>
            </w:tcBorders>
            <w:vAlign w:val="center"/>
          </w:tcPr>
          <w:p w14:paraId="244E71B1">
            <w:pPr>
              <w:pStyle w:val="175"/>
              <w:rPr>
                <w:color w:val="auto"/>
              </w:rPr>
            </w:pPr>
            <w:r>
              <w:rPr>
                <w:color w:val="auto"/>
              </w:rPr>
              <w:t>20~100Hz</w:t>
            </w:r>
          </w:p>
        </w:tc>
      </w:tr>
      <w:tr w14:paraId="2DE64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3" w:hRule="atLeast"/>
          <w:jc w:val="center"/>
        </w:trPr>
        <w:tc>
          <w:tcPr>
            <w:tcW w:w="1212" w:type="dxa"/>
            <w:gridSpan w:val="2"/>
            <w:vMerge w:val="continue"/>
            <w:tcBorders>
              <w:top w:val="nil"/>
              <w:left w:val="single" w:color="000000" w:sz="6" w:space="0"/>
            </w:tcBorders>
            <w:vAlign w:val="center"/>
          </w:tcPr>
          <w:p w14:paraId="04CD1301">
            <w:pPr>
              <w:pStyle w:val="175"/>
              <w:ind w:left="420" w:hanging="420"/>
              <w:rPr>
                <w:color w:val="auto"/>
              </w:rPr>
            </w:pPr>
          </w:p>
        </w:tc>
        <w:tc>
          <w:tcPr>
            <w:tcW w:w="1216" w:type="dxa"/>
            <w:vAlign w:val="center"/>
          </w:tcPr>
          <w:p w14:paraId="4A5EBB25">
            <w:pPr>
              <w:pStyle w:val="175"/>
              <w:rPr>
                <w:color w:val="auto"/>
              </w:rPr>
            </w:pPr>
            <w:r>
              <w:rPr>
                <w:color w:val="auto"/>
              </w:rPr>
              <w:t>1.4PP</w:t>
            </w:r>
          </w:p>
        </w:tc>
        <w:tc>
          <w:tcPr>
            <w:tcW w:w="1216" w:type="dxa"/>
            <w:vAlign w:val="center"/>
          </w:tcPr>
          <w:p w14:paraId="2F3E539C">
            <w:pPr>
              <w:pStyle w:val="175"/>
              <w:rPr>
                <w:color w:val="auto"/>
              </w:rPr>
            </w:pPr>
            <w:r>
              <w:rPr>
                <w:color w:val="auto"/>
              </w:rPr>
              <w:t>1.4PP</w:t>
            </w:r>
          </w:p>
        </w:tc>
        <w:tc>
          <w:tcPr>
            <w:tcW w:w="1292" w:type="dxa"/>
            <w:vAlign w:val="center"/>
          </w:tcPr>
          <w:p w14:paraId="051A40FF">
            <w:pPr>
              <w:pStyle w:val="175"/>
              <w:rPr>
                <w:color w:val="auto"/>
              </w:rPr>
            </w:pPr>
            <w:r>
              <w:rPr>
                <w:color w:val="auto"/>
              </w:rPr>
              <w:t>4.2PP</w:t>
            </w:r>
          </w:p>
        </w:tc>
        <w:tc>
          <w:tcPr>
            <w:tcW w:w="1126" w:type="dxa"/>
            <w:tcBorders>
              <w:right w:val="single" w:color="000000" w:sz="6" w:space="0"/>
            </w:tcBorders>
            <w:vAlign w:val="center"/>
          </w:tcPr>
          <w:p w14:paraId="5B3C2863">
            <w:pPr>
              <w:pStyle w:val="175"/>
              <w:rPr>
                <w:color w:val="auto"/>
              </w:rPr>
            </w:pPr>
            <w:r>
              <w:rPr>
                <w:color w:val="auto"/>
              </w:rPr>
              <w:t>5.9PP</w:t>
            </w:r>
          </w:p>
        </w:tc>
      </w:tr>
    </w:tbl>
    <w:p w14:paraId="77788328">
      <w:pPr>
        <w:pStyle w:val="5"/>
        <w:tabs>
          <w:tab w:val="left" w:pos="851"/>
          <w:tab w:val="clear" w:pos="630"/>
          <w:tab w:val="clear" w:pos="1701"/>
        </w:tabs>
      </w:pPr>
      <w:r>
        <w:rPr>
          <w:rFonts w:hint="eastAsia"/>
        </w:rPr>
        <w:t>城市轨道交通通信系统工程设计中选用的电气装置、电子设备应满足国家标准《通信设备过电压过电流保护导则》</w:t>
      </w:r>
      <w:r>
        <w:t xml:space="preserve"> GB/T 21545</w:t>
      </w:r>
      <w:r>
        <w:rPr>
          <w:rFonts w:hint="eastAsia"/>
        </w:rPr>
        <w:t>有关过电压、过电流的规定，且应符合现行国家标准《信息技术设备 抗扰度限值和测量办法》 GB/T 17618有关抗扰度试验标准的规定。通信系统设备应有防雷措施。</w:t>
      </w:r>
    </w:p>
    <w:p w14:paraId="654C8180">
      <w:pPr>
        <w:pStyle w:val="5"/>
        <w:tabs>
          <w:tab w:val="left" w:pos="851"/>
          <w:tab w:val="clear" w:pos="630"/>
          <w:tab w:val="clear" w:pos="1701"/>
        </w:tabs>
      </w:pPr>
      <w:r>
        <w:t>城市轨道交通车站和区间的缆线均应采用无卤、阻燃、低烟、防腐蚀</w:t>
      </w:r>
      <w:r>
        <w:rPr>
          <w:rFonts w:hint="eastAsia"/>
        </w:rPr>
        <w:t>、防鼠咬</w:t>
      </w:r>
      <w:r>
        <w:t>的</w:t>
      </w:r>
      <w:r>
        <w:rPr>
          <w:rFonts w:hint="eastAsia"/>
        </w:rPr>
        <w:t>防护层，并应符合杂散电流腐蚀防护要求；</w:t>
      </w:r>
      <w:r>
        <w:t>高架</w:t>
      </w:r>
      <w:r>
        <w:rPr>
          <w:rFonts w:hint="eastAsia"/>
        </w:rPr>
        <w:t>区间</w:t>
      </w:r>
      <w:r>
        <w:t>明敷的缆</w:t>
      </w:r>
      <w:r>
        <w:rPr>
          <w:rFonts w:hint="eastAsia"/>
        </w:rPr>
        <w:t>线</w:t>
      </w:r>
      <w:r>
        <w:t>，还应</w:t>
      </w:r>
      <w:r>
        <w:rPr>
          <w:rFonts w:hint="eastAsia"/>
        </w:rPr>
        <w:t>符合</w:t>
      </w:r>
      <w:r>
        <w:t>防雨淋及抗阳光辐射</w:t>
      </w:r>
      <w:r>
        <w:rPr>
          <w:rFonts w:hint="eastAsia"/>
        </w:rPr>
        <w:t>的防护要求。地下电力电缆和数据通信线缆应采用燃烧性能不低于B1级的电缆或阻燃型电线。</w:t>
      </w:r>
    </w:p>
    <w:p w14:paraId="431101F6">
      <w:pPr>
        <w:pStyle w:val="5"/>
        <w:tabs>
          <w:tab w:val="left" w:pos="851"/>
          <w:tab w:val="clear" w:pos="630"/>
          <w:tab w:val="clear" w:pos="1701"/>
        </w:tabs>
      </w:pPr>
      <w:r>
        <w:t>城市轨道交通车站内通信配电电线的总截面积不超过到导管或桥架内截面面积的40%；桥架内控制线缆的总截面积不应超过桥架截面面积的50%。</w:t>
      </w:r>
    </w:p>
    <w:p w14:paraId="7E851ADF">
      <w:pPr>
        <w:pStyle w:val="5"/>
        <w:tabs>
          <w:tab w:val="left" w:pos="851"/>
          <w:tab w:val="clear" w:pos="630"/>
          <w:tab w:val="clear" w:pos="1701"/>
        </w:tabs>
      </w:pPr>
      <w:r>
        <w:rPr>
          <w:rFonts w:hint="eastAsia"/>
        </w:rPr>
        <w:t>民用通信</w:t>
      </w:r>
      <w:r>
        <w:t>、公安等设置在城市轨道交通内的设备、线缆等应满足本规范相关要求。</w:t>
      </w:r>
    </w:p>
    <w:p w14:paraId="5364DB6A">
      <w:pPr>
        <w:pStyle w:val="5"/>
        <w:tabs>
          <w:tab w:val="left" w:pos="851"/>
          <w:tab w:val="clear" w:pos="630"/>
          <w:tab w:val="clear" w:pos="1701"/>
        </w:tabs>
      </w:pPr>
      <w:r>
        <w:t>通信系统应依据现行国家标准的要求确定各系统的网络安全保护等级，并应实现对应等级的安全配置。</w:t>
      </w:r>
    </w:p>
    <w:p w14:paraId="5F425BD4">
      <w:pPr>
        <w:numPr>
          <w:ilvl w:val="1"/>
          <w:numId w:val="1"/>
        </w:numPr>
        <w:snapToGrid w:val="0"/>
        <w:spacing w:before="156" w:after="156" w:line="240" w:lineRule="auto"/>
        <w:jc w:val="center"/>
        <w:outlineLvl w:val="1"/>
        <w:rPr>
          <w:rFonts w:eastAsia="黑体"/>
          <w:bCs/>
          <w:szCs w:val="28"/>
        </w:rPr>
      </w:pPr>
      <w:bookmarkStart w:id="1236" w:name="_Toc183882152"/>
      <w:bookmarkStart w:id="1237" w:name="_Toc183683566"/>
      <w:bookmarkStart w:id="1238" w:name="_Toc183790591"/>
      <w:bookmarkStart w:id="1239" w:name="_Toc183882514"/>
      <w:bookmarkStart w:id="1240" w:name="_Toc183888566"/>
      <w:bookmarkStart w:id="1241" w:name="_Toc183888204"/>
      <w:bookmarkStart w:id="1242" w:name="_Toc183765161"/>
      <w:bookmarkStart w:id="1243" w:name="_Toc168061896"/>
      <w:bookmarkStart w:id="1244" w:name="_Toc168061725"/>
      <w:bookmarkStart w:id="1245" w:name="_Toc168059470"/>
      <w:bookmarkStart w:id="1246" w:name="_Toc168061278"/>
      <w:r>
        <w:rPr>
          <w:rFonts w:hint="eastAsia" w:eastAsia="黑体"/>
          <w:bCs/>
          <w:szCs w:val="28"/>
        </w:rPr>
        <w:t>专用通信系统</w:t>
      </w:r>
      <w:bookmarkEnd w:id="1236"/>
      <w:bookmarkEnd w:id="1237"/>
      <w:bookmarkEnd w:id="1238"/>
      <w:bookmarkEnd w:id="1239"/>
      <w:bookmarkEnd w:id="1240"/>
      <w:bookmarkEnd w:id="1241"/>
      <w:bookmarkEnd w:id="1242"/>
    </w:p>
    <w:p w14:paraId="0FC9CA8E">
      <w:pPr>
        <w:pStyle w:val="5"/>
        <w:tabs>
          <w:tab w:val="left" w:pos="709"/>
          <w:tab w:val="clear" w:pos="630"/>
        </w:tabs>
      </w:pPr>
      <w:r>
        <w:rPr>
          <w:rFonts w:hint="eastAsia"/>
        </w:rPr>
        <w:t>一般规定</w:t>
      </w:r>
    </w:p>
    <w:p w14:paraId="4B6C6AB3">
      <w:pPr>
        <w:pStyle w:val="7"/>
        <w:ind w:firstLine="420"/>
      </w:pPr>
      <w:r>
        <w:t>专用通信系统宜由传输系统、无线通信系统、公务电话系统、专用电话系统、视频监视系统、广播系统、时钟系统、电源系统及接地、集中告警系统、办公自动化系统等子系统组成。</w:t>
      </w:r>
    </w:p>
    <w:p w14:paraId="194628F3">
      <w:pPr>
        <w:pStyle w:val="7"/>
        <w:ind w:firstLine="420"/>
      </w:pPr>
      <w:r>
        <w:t>专用通信系统的子系统宜根据系统特点部署在云平台上。</w:t>
      </w:r>
    </w:p>
    <w:p w14:paraId="339DB68A">
      <w:pPr>
        <w:pStyle w:val="7"/>
        <w:ind w:firstLine="420"/>
      </w:pPr>
      <w:r>
        <w:t>全自动运行模式下，无线通信系统、专用电话系统、视频监视系统等与行车指挥直接相关的系统，应适应全自动运行不同场景需求。</w:t>
      </w:r>
    </w:p>
    <w:p w14:paraId="447091D1">
      <w:pPr>
        <w:pStyle w:val="7"/>
        <w:ind w:firstLine="420"/>
      </w:pPr>
      <w:r>
        <w:t>灵活编组模式下，无线通信系统、广播系统等应适应灵活编组需求，为行车指挥、乘客出行提供服务。</w:t>
      </w:r>
    </w:p>
    <w:p w14:paraId="2D96D5EB">
      <w:pPr>
        <w:pStyle w:val="7"/>
        <w:ind w:firstLine="420"/>
      </w:pPr>
      <w:r>
        <w:t>视频监视系统应满足DB11/T 1681、DB11/T 1682相关要求；广播系统应满足DB11/T 1897相关要求；无线通信系统应满足DB11/T 2009相关要求。</w:t>
      </w:r>
    </w:p>
    <w:p w14:paraId="0E996DCB">
      <w:pPr>
        <w:pStyle w:val="5"/>
        <w:tabs>
          <w:tab w:val="left" w:pos="709"/>
          <w:tab w:val="clear" w:pos="630"/>
        </w:tabs>
      </w:pPr>
      <w:r>
        <w:t>传输系统</w:t>
      </w:r>
      <w:bookmarkEnd w:id="1243"/>
      <w:bookmarkEnd w:id="1244"/>
      <w:bookmarkEnd w:id="1245"/>
      <w:bookmarkEnd w:id="1246"/>
    </w:p>
    <w:p w14:paraId="2F15BAEC">
      <w:pPr>
        <w:pStyle w:val="7"/>
        <w:ind w:firstLine="420"/>
      </w:pPr>
      <w:r>
        <w:t>北京市轨道交通传输网除满足各线路内部业务传输要求外，还应满足各线路控制中心及北京市轨道交通指挥中心之间的传输需求。</w:t>
      </w:r>
    </w:p>
    <w:p w14:paraId="6FB0AFB8">
      <w:pPr>
        <w:pStyle w:val="7"/>
        <w:ind w:firstLine="420"/>
      </w:pPr>
      <w:r>
        <w:t>传输系统为</w:t>
      </w:r>
      <w:r>
        <w:rPr>
          <w:rFonts w:hint="eastAsia"/>
        </w:rPr>
        <w:t>专用</w:t>
      </w:r>
      <w:r>
        <w:t>通信</w:t>
      </w:r>
      <w:r>
        <w:rPr>
          <w:rFonts w:hint="eastAsia"/>
        </w:rPr>
        <w:t>各</w:t>
      </w:r>
      <w:r>
        <w:t>子系统和其他相关专业提供传输通道，并</w:t>
      </w:r>
      <w:r>
        <w:rPr>
          <w:rFonts w:hint="eastAsia"/>
        </w:rPr>
        <w:t>满足与其他制式轨道交通互联互通的</w:t>
      </w:r>
      <w:r>
        <w:t>传输</w:t>
      </w:r>
      <w:r>
        <w:rPr>
          <w:rFonts w:hint="eastAsia"/>
        </w:rPr>
        <w:t>要求</w:t>
      </w:r>
      <w:r>
        <w:t>。</w:t>
      </w:r>
    </w:p>
    <w:p w14:paraId="68522AB1">
      <w:pPr>
        <w:pStyle w:val="7"/>
        <w:ind w:firstLine="420"/>
      </w:pPr>
      <w:r>
        <w:t>传输系统应采用光数字通信设备</w:t>
      </w:r>
      <w:r>
        <w:rPr>
          <w:rFonts w:hint="eastAsia"/>
        </w:rPr>
        <w:t>，</w:t>
      </w:r>
      <w:r>
        <w:t>容量应满足</w:t>
      </w:r>
      <w:r>
        <w:rPr>
          <w:rFonts w:hint="eastAsia"/>
        </w:rPr>
        <w:t>承载业务</w:t>
      </w:r>
      <w:r>
        <w:t>的需求，并宜预留不少于30%的余量。</w:t>
      </w:r>
    </w:p>
    <w:p w14:paraId="333CA417">
      <w:pPr>
        <w:pStyle w:val="7"/>
        <w:ind w:firstLine="420"/>
      </w:pPr>
      <w:r>
        <w:t>传输系统</w:t>
      </w:r>
      <w:r>
        <w:rPr>
          <w:rFonts w:hint="eastAsia"/>
        </w:rPr>
        <w:t>应利用</w:t>
      </w:r>
      <w:r>
        <w:t>不同</w:t>
      </w:r>
      <w:r>
        <w:rPr>
          <w:rFonts w:hint="eastAsia"/>
        </w:rPr>
        <w:t>径路</w:t>
      </w:r>
      <w:r>
        <w:t>的光缆构成自愈</w:t>
      </w:r>
      <w:r>
        <w:rPr>
          <w:rFonts w:hint="eastAsia"/>
        </w:rPr>
        <w:t>保护</w:t>
      </w:r>
      <w:r>
        <w:t>环，确保传输系统可靠性。</w:t>
      </w:r>
    </w:p>
    <w:p w14:paraId="386FCD63">
      <w:pPr>
        <w:pStyle w:val="7"/>
        <w:ind w:firstLine="420"/>
      </w:pPr>
      <w:r>
        <w:t>传输网络应具有扩展功能，网络可根据需要增加传输节点，并应适当预留接口条件。传输网络应具有兼容性能。传输网应对网内传输的信息进行保护，确保信息传输的安全可靠。</w:t>
      </w:r>
    </w:p>
    <w:p w14:paraId="3427304C">
      <w:pPr>
        <w:pStyle w:val="7"/>
        <w:ind w:firstLine="420"/>
      </w:pPr>
      <w:r>
        <w:t>传输网应具有网络管理功能，可进行故障管理、性能监视、系统管理、配置管理、安全管理。网络管理终端应采用图型化人机界面，监视主要模块和用户接口模块的工作状态，具有告警显示，宜提供声光报警的功能，能对节点、传输通道进行配置、管理，可输出维护管理数据。</w:t>
      </w:r>
    </w:p>
    <w:p w14:paraId="5E74AB93">
      <w:pPr>
        <w:pStyle w:val="7"/>
        <w:ind w:firstLine="420"/>
      </w:pPr>
      <w:r>
        <w:rPr>
          <w:rFonts w:hint="eastAsia"/>
        </w:rPr>
        <w:t>传输系统宜由路网控制中心的同步设备提取同步时钟信号作为主用时钟源，</w:t>
      </w:r>
      <w:r>
        <w:t>采用主从同步方式实现系统同步。</w:t>
      </w:r>
    </w:p>
    <w:p w14:paraId="3CE709AF">
      <w:pPr>
        <w:pStyle w:val="7"/>
        <w:ind w:firstLine="420"/>
      </w:pPr>
      <w:r>
        <w:t>传输系统的光缆宜沿左、右侧区间线路敷设，</w:t>
      </w:r>
      <w:r>
        <w:rPr>
          <w:rFonts w:hint="eastAsia"/>
        </w:rPr>
        <w:t>地下</w:t>
      </w:r>
      <w:r>
        <w:t>区间隧道内</w:t>
      </w:r>
      <w:r>
        <w:rPr>
          <w:rFonts w:hint="eastAsia"/>
        </w:rPr>
        <w:t>宜</w:t>
      </w:r>
      <w:r>
        <w:t>沿墙架设于</w:t>
      </w:r>
      <w:r>
        <w:rPr>
          <w:rFonts w:hint="eastAsia"/>
        </w:rPr>
        <w:t>托板</w:t>
      </w:r>
      <w:r>
        <w:t>托架</w:t>
      </w:r>
      <w:r>
        <w:rPr>
          <w:rFonts w:hint="eastAsia"/>
        </w:rPr>
        <w:t>上；</w:t>
      </w:r>
      <w:r>
        <w:t>进入车站宜采用隐蔽方式</w:t>
      </w:r>
      <w:r>
        <w:rPr>
          <w:rFonts w:hint="eastAsia"/>
        </w:rPr>
        <w:t>敷设；</w:t>
      </w:r>
      <w:r>
        <w:t>地面可采用</w:t>
      </w:r>
      <w:r>
        <w:rPr>
          <w:rFonts w:hint="eastAsia"/>
        </w:rPr>
        <w:t>托板</w:t>
      </w:r>
      <w:r>
        <w:t>托架或电缆槽、管道敷设方式，也可根据实际情况在满足防护要求的前提下采用其他敷设方式；高架区段宜敷设</w:t>
      </w:r>
      <w:r>
        <w:rPr>
          <w:rFonts w:hint="eastAsia"/>
        </w:rPr>
        <w:t>于</w:t>
      </w:r>
      <w:r>
        <w:t>区间通信槽道内或托板托架</w:t>
      </w:r>
      <w:r>
        <w:rPr>
          <w:rFonts w:hint="eastAsia"/>
        </w:rPr>
        <w:t>上</w:t>
      </w:r>
      <w:r>
        <w:t>。</w:t>
      </w:r>
    </w:p>
    <w:p w14:paraId="066B4BE7">
      <w:pPr>
        <w:pStyle w:val="7"/>
        <w:ind w:firstLine="420"/>
      </w:pPr>
      <w:r>
        <w:t>新建线光缆网络应预留与北京市已规划的其他轨道交通线路光缆的互连条件，应符合北京市轨道交通指挥中心光缆网络的统一规划要求，为北京市轨道交通建成完善的光缆网提供条件。光缆容量除应满足本线路的各专业需要外，还应满足远期发展的需求，并应同时预留互连条件。</w:t>
      </w:r>
    </w:p>
    <w:p w14:paraId="5D4BA1C7">
      <w:pPr>
        <w:pStyle w:val="7"/>
        <w:ind w:firstLine="420"/>
      </w:pPr>
      <w:r>
        <w:t>在城市轨道交通沿线敷设的光缆、电缆等管线结构，应选择符合杂散电流腐蚀防护的材质、结构设计和施工方法。</w:t>
      </w:r>
    </w:p>
    <w:p w14:paraId="398A265C">
      <w:pPr>
        <w:pStyle w:val="7"/>
        <w:ind w:firstLine="420"/>
      </w:pPr>
      <w:r>
        <w:t>通信电缆、光缆应与强电电缆分开敷设。光缆宜采用非金属加强芯，当光缆与电力电缆同径路敷设时，应采用非金属加强芯。</w:t>
      </w:r>
    </w:p>
    <w:p w14:paraId="03EE73D0">
      <w:pPr>
        <w:pStyle w:val="7"/>
        <w:ind w:firstLine="420"/>
      </w:pPr>
      <w:r>
        <w:t>通信光、电缆管道埋深不宜小于0.8m，特殊地段不应小于表17.2</w:t>
      </w:r>
      <w:r>
        <w:rPr>
          <w:rFonts w:hint="eastAsia"/>
        </w:rPr>
        <w:t>.2</w:t>
      </w:r>
      <w:r>
        <w:t>.12规定。</w:t>
      </w:r>
    </w:p>
    <w:p w14:paraId="6DDDA49D">
      <w:pPr>
        <w:pStyle w:val="198"/>
      </w:pPr>
      <w:r>
        <w:t>表17.2.</w:t>
      </w:r>
      <w:r>
        <w:rPr>
          <w:rFonts w:hint="eastAsia"/>
        </w:rPr>
        <w:t xml:space="preserve">2-1 </w:t>
      </w:r>
      <w:r>
        <w:t>特殊地段管道顶部至路面的最小埋深(m)</w:t>
      </w:r>
    </w:p>
    <w:tbl>
      <w:tblPr>
        <w:tblStyle w:val="88"/>
        <w:tblW w:w="6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34"/>
        <w:gridCol w:w="1061"/>
        <w:gridCol w:w="831"/>
        <w:gridCol w:w="1611"/>
        <w:gridCol w:w="1418"/>
      </w:tblGrid>
      <w:tr w14:paraId="26B0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34" w:type="dxa"/>
            <w:vMerge w:val="restart"/>
            <w:vAlign w:val="center"/>
          </w:tcPr>
          <w:p w14:paraId="6B0101C2">
            <w:pPr>
              <w:pStyle w:val="173"/>
              <w:rPr>
                <w:color w:val="auto"/>
              </w:rPr>
            </w:pPr>
            <w:r>
              <w:rPr>
                <w:rFonts w:hint="eastAsia"/>
                <w:color w:val="auto"/>
              </w:rPr>
              <w:t>类别</w:t>
            </w:r>
          </w:p>
        </w:tc>
        <w:tc>
          <w:tcPr>
            <w:tcW w:w="1892" w:type="dxa"/>
            <w:gridSpan w:val="2"/>
            <w:vAlign w:val="center"/>
          </w:tcPr>
          <w:p w14:paraId="20AD70E1">
            <w:pPr>
              <w:pStyle w:val="173"/>
              <w:rPr>
                <w:color w:val="auto"/>
              </w:rPr>
            </w:pPr>
            <w:r>
              <w:rPr>
                <w:color w:val="auto"/>
              </w:rPr>
              <w:t>路面至管顶的最小深度</w:t>
            </w:r>
          </w:p>
        </w:tc>
        <w:tc>
          <w:tcPr>
            <w:tcW w:w="3029" w:type="dxa"/>
            <w:gridSpan w:val="2"/>
            <w:vAlign w:val="center"/>
          </w:tcPr>
          <w:p w14:paraId="38D035E4">
            <w:pPr>
              <w:pStyle w:val="173"/>
              <w:rPr>
                <w:color w:val="auto"/>
              </w:rPr>
            </w:pPr>
            <w:r>
              <w:rPr>
                <w:color w:val="auto"/>
              </w:rPr>
              <w:t>路面（或基面）至管顶的最小深度</w:t>
            </w:r>
          </w:p>
        </w:tc>
      </w:tr>
      <w:tr w14:paraId="1B72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34" w:type="dxa"/>
            <w:vMerge w:val="continue"/>
            <w:vAlign w:val="center"/>
          </w:tcPr>
          <w:p w14:paraId="5045C722">
            <w:pPr>
              <w:pStyle w:val="173"/>
              <w:rPr>
                <w:color w:val="auto"/>
              </w:rPr>
            </w:pPr>
          </w:p>
        </w:tc>
        <w:tc>
          <w:tcPr>
            <w:tcW w:w="1061" w:type="dxa"/>
            <w:vAlign w:val="center"/>
          </w:tcPr>
          <w:p w14:paraId="1FF543DD">
            <w:pPr>
              <w:pStyle w:val="173"/>
              <w:rPr>
                <w:color w:val="auto"/>
              </w:rPr>
            </w:pPr>
            <w:r>
              <w:rPr>
                <w:color w:val="auto"/>
              </w:rPr>
              <w:t>人行道</w:t>
            </w:r>
            <w:r>
              <w:rPr>
                <w:rFonts w:hint="eastAsia"/>
                <w:color w:val="auto"/>
              </w:rPr>
              <w:t>/绿化带</w:t>
            </w:r>
          </w:p>
        </w:tc>
        <w:tc>
          <w:tcPr>
            <w:tcW w:w="831" w:type="dxa"/>
            <w:vAlign w:val="center"/>
          </w:tcPr>
          <w:p w14:paraId="1F3926F7">
            <w:pPr>
              <w:pStyle w:val="173"/>
              <w:rPr>
                <w:color w:val="auto"/>
              </w:rPr>
            </w:pPr>
            <w:r>
              <w:rPr>
                <w:rFonts w:hint="eastAsia"/>
                <w:color w:val="auto"/>
              </w:rPr>
              <w:t>机动车道</w:t>
            </w:r>
          </w:p>
        </w:tc>
        <w:tc>
          <w:tcPr>
            <w:tcW w:w="1611" w:type="dxa"/>
            <w:vAlign w:val="center"/>
          </w:tcPr>
          <w:p w14:paraId="6E98959D">
            <w:pPr>
              <w:pStyle w:val="173"/>
              <w:rPr>
                <w:color w:val="auto"/>
              </w:rPr>
            </w:pPr>
            <w:r>
              <w:rPr>
                <w:rFonts w:hint="eastAsia"/>
                <w:color w:val="auto"/>
              </w:rPr>
              <w:t>与</w:t>
            </w:r>
            <w:r>
              <w:rPr>
                <w:color w:val="auto"/>
              </w:rPr>
              <w:t>电车轨道</w:t>
            </w:r>
            <w:r>
              <w:rPr>
                <w:rFonts w:hint="eastAsia"/>
                <w:color w:val="auto"/>
              </w:rPr>
              <w:t>交越</w:t>
            </w:r>
          </w:p>
          <w:p w14:paraId="6EB0979A">
            <w:pPr>
              <w:pStyle w:val="173"/>
              <w:rPr>
                <w:color w:val="auto"/>
              </w:rPr>
            </w:pPr>
            <w:r>
              <w:rPr>
                <w:rFonts w:hint="eastAsia"/>
                <w:color w:val="auto"/>
              </w:rPr>
              <w:t>（从轨道底部算起）</w:t>
            </w:r>
          </w:p>
        </w:tc>
        <w:tc>
          <w:tcPr>
            <w:tcW w:w="1418" w:type="dxa"/>
            <w:vAlign w:val="center"/>
          </w:tcPr>
          <w:p w14:paraId="07B4DA9F">
            <w:pPr>
              <w:pStyle w:val="173"/>
              <w:rPr>
                <w:color w:val="auto"/>
              </w:rPr>
            </w:pPr>
            <w:r>
              <w:rPr>
                <w:rFonts w:hint="eastAsia"/>
                <w:color w:val="auto"/>
              </w:rPr>
              <w:t>与铁</w:t>
            </w:r>
            <w:r>
              <w:rPr>
                <w:color w:val="auto"/>
              </w:rPr>
              <w:t>道</w:t>
            </w:r>
            <w:r>
              <w:rPr>
                <w:rFonts w:hint="eastAsia"/>
                <w:color w:val="auto"/>
              </w:rPr>
              <w:t>交越</w:t>
            </w:r>
          </w:p>
          <w:p w14:paraId="4033B9FD">
            <w:pPr>
              <w:pStyle w:val="173"/>
              <w:rPr>
                <w:color w:val="auto"/>
              </w:rPr>
            </w:pPr>
            <w:r>
              <w:rPr>
                <w:rFonts w:hint="eastAsia"/>
                <w:color w:val="auto"/>
              </w:rPr>
              <w:t>（从轨道底部算起）</w:t>
            </w:r>
          </w:p>
        </w:tc>
      </w:tr>
      <w:tr w14:paraId="6674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34" w:type="dxa"/>
            <w:vAlign w:val="center"/>
          </w:tcPr>
          <w:p w14:paraId="227629AD">
            <w:pPr>
              <w:pStyle w:val="173"/>
              <w:rPr>
                <w:color w:val="auto"/>
              </w:rPr>
            </w:pPr>
            <w:r>
              <w:rPr>
                <w:color w:val="auto"/>
              </w:rPr>
              <w:t>塑料管</w:t>
            </w:r>
            <w:r>
              <w:rPr>
                <w:rFonts w:hint="eastAsia"/>
                <w:color w:val="auto"/>
              </w:rPr>
              <w:t>、水泥管</w:t>
            </w:r>
          </w:p>
        </w:tc>
        <w:tc>
          <w:tcPr>
            <w:tcW w:w="1061" w:type="dxa"/>
            <w:vAlign w:val="center"/>
          </w:tcPr>
          <w:p w14:paraId="2A29A3D2">
            <w:pPr>
              <w:pStyle w:val="173"/>
              <w:rPr>
                <w:color w:val="auto"/>
              </w:rPr>
            </w:pPr>
            <w:r>
              <w:rPr>
                <w:color w:val="auto"/>
              </w:rPr>
              <w:t>0.7</w:t>
            </w:r>
          </w:p>
        </w:tc>
        <w:tc>
          <w:tcPr>
            <w:tcW w:w="831" w:type="dxa"/>
            <w:vAlign w:val="center"/>
          </w:tcPr>
          <w:p w14:paraId="1A7E7E31">
            <w:pPr>
              <w:pStyle w:val="173"/>
              <w:rPr>
                <w:color w:val="auto"/>
              </w:rPr>
            </w:pPr>
            <w:r>
              <w:rPr>
                <w:color w:val="auto"/>
              </w:rPr>
              <w:t>0.8</w:t>
            </w:r>
          </w:p>
        </w:tc>
        <w:tc>
          <w:tcPr>
            <w:tcW w:w="1611" w:type="dxa"/>
            <w:vAlign w:val="center"/>
          </w:tcPr>
          <w:p w14:paraId="01BBDB8C">
            <w:pPr>
              <w:pStyle w:val="173"/>
              <w:rPr>
                <w:color w:val="auto"/>
              </w:rPr>
            </w:pPr>
            <w:r>
              <w:rPr>
                <w:color w:val="auto"/>
              </w:rPr>
              <w:t>1.0</w:t>
            </w:r>
          </w:p>
        </w:tc>
        <w:tc>
          <w:tcPr>
            <w:tcW w:w="1418" w:type="dxa"/>
            <w:vAlign w:val="center"/>
          </w:tcPr>
          <w:p w14:paraId="1EE230C0">
            <w:pPr>
              <w:pStyle w:val="173"/>
              <w:rPr>
                <w:color w:val="auto"/>
              </w:rPr>
            </w:pPr>
            <w:r>
              <w:rPr>
                <w:color w:val="auto"/>
              </w:rPr>
              <w:t>1.5</w:t>
            </w:r>
          </w:p>
        </w:tc>
      </w:tr>
      <w:tr w14:paraId="34C5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34" w:type="dxa"/>
            <w:vAlign w:val="center"/>
          </w:tcPr>
          <w:p w14:paraId="2FB3CCC5">
            <w:pPr>
              <w:pStyle w:val="173"/>
              <w:rPr>
                <w:color w:val="auto"/>
              </w:rPr>
            </w:pPr>
            <w:r>
              <w:rPr>
                <w:color w:val="auto"/>
              </w:rPr>
              <w:t>钢 管</w:t>
            </w:r>
          </w:p>
        </w:tc>
        <w:tc>
          <w:tcPr>
            <w:tcW w:w="1061" w:type="dxa"/>
            <w:vAlign w:val="center"/>
          </w:tcPr>
          <w:p w14:paraId="1FC37484">
            <w:pPr>
              <w:pStyle w:val="173"/>
              <w:rPr>
                <w:color w:val="auto"/>
              </w:rPr>
            </w:pPr>
            <w:r>
              <w:rPr>
                <w:color w:val="auto"/>
              </w:rPr>
              <w:t>0.5</w:t>
            </w:r>
          </w:p>
        </w:tc>
        <w:tc>
          <w:tcPr>
            <w:tcW w:w="831" w:type="dxa"/>
            <w:vAlign w:val="center"/>
          </w:tcPr>
          <w:p w14:paraId="2859A25A">
            <w:pPr>
              <w:pStyle w:val="173"/>
              <w:rPr>
                <w:color w:val="auto"/>
              </w:rPr>
            </w:pPr>
            <w:r>
              <w:rPr>
                <w:color w:val="auto"/>
              </w:rPr>
              <w:t>0.6</w:t>
            </w:r>
          </w:p>
        </w:tc>
        <w:tc>
          <w:tcPr>
            <w:tcW w:w="1611" w:type="dxa"/>
            <w:vAlign w:val="center"/>
          </w:tcPr>
          <w:p w14:paraId="11B62B98">
            <w:pPr>
              <w:pStyle w:val="173"/>
              <w:rPr>
                <w:color w:val="auto"/>
              </w:rPr>
            </w:pPr>
            <w:r>
              <w:rPr>
                <w:color w:val="auto"/>
              </w:rPr>
              <w:t>0.8</w:t>
            </w:r>
          </w:p>
        </w:tc>
        <w:tc>
          <w:tcPr>
            <w:tcW w:w="1418" w:type="dxa"/>
            <w:vAlign w:val="center"/>
          </w:tcPr>
          <w:p w14:paraId="14B311FB">
            <w:pPr>
              <w:pStyle w:val="173"/>
              <w:rPr>
                <w:color w:val="auto"/>
              </w:rPr>
            </w:pPr>
            <w:r>
              <w:rPr>
                <w:color w:val="auto"/>
              </w:rPr>
              <w:t>1.2</w:t>
            </w:r>
          </w:p>
        </w:tc>
      </w:tr>
    </w:tbl>
    <w:p w14:paraId="17E588E5">
      <w:pPr>
        <w:pStyle w:val="7"/>
        <w:ind w:firstLine="420"/>
      </w:pPr>
      <w:r>
        <w:t>通信光</w:t>
      </w:r>
      <w:r>
        <w:rPr>
          <w:rFonts w:hint="eastAsia"/>
        </w:rPr>
        <w:t>缆</w:t>
      </w:r>
      <w:r>
        <w:t>、电缆管道和其他地下管线及建筑物间的最小净距</w:t>
      </w:r>
      <w:r>
        <w:rPr>
          <w:rFonts w:hint="eastAsia"/>
        </w:rPr>
        <w:t>（</w:t>
      </w:r>
      <w:r>
        <w:t>指管道外壁之间的距离</w:t>
      </w:r>
      <w:r>
        <w:rPr>
          <w:rFonts w:hint="eastAsia"/>
        </w:rPr>
        <w:t>）</w:t>
      </w:r>
      <w:r>
        <w:t>应符合表17.2.13-1的规定。沿墙架设电缆、光缆与其他管线的最小净距应符合表17.2.13-2的规定。</w:t>
      </w:r>
    </w:p>
    <w:p w14:paraId="5BC18731">
      <w:pPr>
        <w:pStyle w:val="198"/>
      </w:pPr>
      <w:r>
        <w:t>表17.2.</w:t>
      </w:r>
      <w:r>
        <w:rPr>
          <w:rFonts w:hint="eastAsia"/>
        </w:rPr>
        <w:t>2</w:t>
      </w:r>
      <w:r>
        <w:t xml:space="preserve"> -</w:t>
      </w:r>
      <w:r>
        <w:rPr>
          <w:rFonts w:hint="eastAsia"/>
        </w:rPr>
        <w:t xml:space="preserve">2  </w:t>
      </w:r>
      <w:r>
        <w:t>管道和其他地下管线及建筑物间的最小净距(m)</w:t>
      </w:r>
    </w:p>
    <w:tbl>
      <w:tblPr>
        <w:tblStyle w:val="88"/>
        <w:tblW w:w="5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310"/>
        <w:gridCol w:w="1190"/>
        <w:gridCol w:w="1276"/>
      </w:tblGrid>
      <w:tr w14:paraId="6251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gridSpan w:val="2"/>
            <w:vMerge w:val="restart"/>
            <w:vAlign w:val="center"/>
          </w:tcPr>
          <w:p w14:paraId="2A6C4003">
            <w:pPr>
              <w:pStyle w:val="175"/>
              <w:ind w:left="420" w:hanging="420"/>
              <w:rPr>
                <w:color w:val="auto"/>
              </w:rPr>
            </w:pPr>
            <w:r>
              <w:rPr>
                <w:color w:val="auto"/>
              </w:rPr>
              <w:t>设  施  名  称</w:t>
            </w:r>
          </w:p>
        </w:tc>
        <w:tc>
          <w:tcPr>
            <w:tcW w:w="2466" w:type="dxa"/>
            <w:gridSpan w:val="2"/>
            <w:vAlign w:val="center"/>
          </w:tcPr>
          <w:p w14:paraId="15E08B6F">
            <w:pPr>
              <w:pStyle w:val="175"/>
              <w:ind w:left="420" w:hanging="420"/>
              <w:rPr>
                <w:color w:val="auto"/>
              </w:rPr>
            </w:pPr>
            <w:r>
              <w:rPr>
                <w:color w:val="auto"/>
              </w:rPr>
              <w:t>最小净距</w:t>
            </w:r>
          </w:p>
        </w:tc>
      </w:tr>
      <w:tr w14:paraId="1583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gridSpan w:val="2"/>
            <w:vMerge w:val="continue"/>
            <w:vAlign w:val="center"/>
          </w:tcPr>
          <w:p w14:paraId="7940A3ED">
            <w:pPr>
              <w:pStyle w:val="175"/>
              <w:ind w:left="420" w:hanging="420"/>
              <w:rPr>
                <w:color w:val="auto"/>
              </w:rPr>
            </w:pPr>
          </w:p>
        </w:tc>
        <w:tc>
          <w:tcPr>
            <w:tcW w:w="1190" w:type="dxa"/>
            <w:vAlign w:val="center"/>
          </w:tcPr>
          <w:p w14:paraId="3FDDA832">
            <w:pPr>
              <w:pStyle w:val="175"/>
              <w:ind w:left="420" w:hanging="420"/>
              <w:rPr>
                <w:color w:val="auto"/>
              </w:rPr>
            </w:pPr>
            <w:r>
              <w:rPr>
                <w:color w:val="auto"/>
              </w:rPr>
              <w:t>平行时</w:t>
            </w:r>
          </w:p>
        </w:tc>
        <w:tc>
          <w:tcPr>
            <w:tcW w:w="1276" w:type="dxa"/>
            <w:vAlign w:val="center"/>
          </w:tcPr>
          <w:p w14:paraId="358A4BA0">
            <w:pPr>
              <w:pStyle w:val="175"/>
              <w:ind w:left="420" w:hanging="420"/>
              <w:rPr>
                <w:color w:val="auto"/>
              </w:rPr>
            </w:pPr>
            <w:r>
              <w:rPr>
                <w:color w:val="auto"/>
              </w:rPr>
              <w:t>交叉时</w:t>
            </w:r>
          </w:p>
        </w:tc>
      </w:tr>
      <w:tr w14:paraId="3E42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restart"/>
            <w:vAlign w:val="center"/>
          </w:tcPr>
          <w:p w14:paraId="03492867">
            <w:pPr>
              <w:pStyle w:val="175"/>
              <w:ind w:left="420" w:hanging="420"/>
              <w:rPr>
                <w:color w:val="auto"/>
              </w:rPr>
            </w:pPr>
            <w:r>
              <w:rPr>
                <w:color w:val="auto"/>
              </w:rPr>
              <w:t>电力电缆</w:t>
            </w:r>
          </w:p>
        </w:tc>
        <w:tc>
          <w:tcPr>
            <w:tcW w:w="2310" w:type="dxa"/>
            <w:vAlign w:val="center"/>
          </w:tcPr>
          <w:p w14:paraId="289FAC78">
            <w:pPr>
              <w:pStyle w:val="175"/>
              <w:ind w:left="420" w:hanging="420"/>
              <w:rPr>
                <w:color w:val="auto"/>
              </w:rPr>
            </w:pPr>
            <w:r>
              <w:rPr>
                <w:color w:val="auto"/>
              </w:rPr>
              <w:t>电压&lt;35kV</w:t>
            </w:r>
          </w:p>
        </w:tc>
        <w:tc>
          <w:tcPr>
            <w:tcW w:w="1190" w:type="dxa"/>
            <w:vAlign w:val="center"/>
          </w:tcPr>
          <w:p w14:paraId="10A84227">
            <w:pPr>
              <w:pStyle w:val="175"/>
              <w:ind w:left="420" w:hanging="420"/>
              <w:rPr>
                <w:color w:val="auto"/>
              </w:rPr>
            </w:pPr>
            <w:r>
              <w:rPr>
                <w:color w:val="auto"/>
              </w:rPr>
              <w:t>0.5</w:t>
            </w:r>
          </w:p>
        </w:tc>
        <w:tc>
          <w:tcPr>
            <w:tcW w:w="1276" w:type="dxa"/>
            <w:vAlign w:val="center"/>
          </w:tcPr>
          <w:p w14:paraId="21FE9262">
            <w:pPr>
              <w:pStyle w:val="175"/>
              <w:ind w:left="420" w:hanging="420"/>
              <w:rPr>
                <w:color w:val="auto"/>
              </w:rPr>
            </w:pPr>
            <w:r>
              <w:rPr>
                <w:color w:val="auto"/>
              </w:rPr>
              <w:t>0.5</w:t>
            </w:r>
          </w:p>
        </w:tc>
      </w:tr>
      <w:tr w14:paraId="70C7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vAlign w:val="center"/>
          </w:tcPr>
          <w:p w14:paraId="19339DD7">
            <w:pPr>
              <w:pStyle w:val="175"/>
              <w:ind w:left="420" w:hanging="420"/>
              <w:rPr>
                <w:color w:val="auto"/>
              </w:rPr>
            </w:pPr>
          </w:p>
        </w:tc>
        <w:tc>
          <w:tcPr>
            <w:tcW w:w="2310" w:type="dxa"/>
            <w:vAlign w:val="center"/>
          </w:tcPr>
          <w:p w14:paraId="6C3B024A">
            <w:pPr>
              <w:pStyle w:val="175"/>
              <w:ind w:left="420" w:hanging="420"/>
              <w:rPr>
                <w:color w:val="auto"/>
              </w:rPr>
            </w:pPr>
            <w:r>
              <w:rPr>
                <w:color w:val="auto"/>
              </w:rPr>
              <w:t>电压</w:t>
            </w:r>
            <w:r>
              <w:rPr>
                <w:rFonts w:hint="eastAsia"/>
                <w:color w:val="auto"/>
              </w:rPr>
              <w:t>≥</w:t>
            </w:r>
            <w:r>
              <w:rPr>
                <w:color w:val="auto"/>
              </w:rPr>
              <w:t>35kV</w:t>
            </w:r>
          </w:p>
        </w:tc>
        <w:tc>
          <w:tcPr>
            <w:tcW w:w="1190" w:type="dxa"/>
            <w:vAlign w:val="center"/>
          </w:tcPr>
          <w:p w14:paraId="2ED3D223">
            <w:pPr>
              <w:pStyle w:val="175"/>
              <w:ind w:left="420" w:hanging="420"/>
              <w:rPr>
                <w:color w:val="auto"/>
              </w:rPr>
            </w:pPr>
            <w:r>
              <w:rPr>
                <w:color w:val="auto"/>
              </w:rPr>
              <w:t>2.0</w:t>
            </w:r>
          </w:p>
        </w:tc>
        <w:tc>
          <w:tcPr>
            <w:tcW w:w="1276" w:type="dxa"/>
            <w:vAlign w:val="center"/>
          </w:tcPr>
          <w:p w14:paraId="0F3148EF">
            <w:pPr>
              <w:pStyle w:val="175"/>
              <w:ind w:left="420" w:hanging="420"/>
              <w:rPr>
                <w:color w:val="auto"/>
              </w:rPr>
            </w:pPr>
            <w:r>
              <w:rPr>
                <w:color w:val="auto"/>
              </w:rPr>
              <w:t>0.5</w:t>
            </w:r>
          </w:p>
        </w:tc>
      </w:tr>
      <w:tr w14:paraId="72A1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gridSpan w:val="2"/>
            <w:vAlign w:val="center"/>
          </w:tcPr>
          <w:p w14:paraId="353E4DC3">
            <w:pPr>
              <w:pStyle w:val="175"/>
              <w:ind w:left="420" w:hanging="420"/>
              <w:rPr>
                <w:color w:val="auto"/>
              </w:rPr>
            </w:pPr>
            <w:r>
              <w:rPr>
                <w:color w:val="auto"/>
              </w:rPr>
              <w:t>其他通信电缆</w:t>
            </w:r>
            <w:r>
              <w:rPr>
                <w:rFonts w:hint="eastAsia"/>
                <w:color w:val="auto"/>
              </w:rPr>
              <w:t>（或通信管道）</w:t>
            </w:r>
          </w:p>
        </w:tc>
        <w:tc>
          <w:tcPr>
            <w:tcW w:w="1190" w:type="dxa"/>
            <w:vAlign w:val="center"/>
          </w:tcPr>
          <w:p w14:paraId="3239F31B">
            <w:pPr>
              <w:pStyle w:val="175"/>
              <w:ind w:left="420" w:hanging="420"/>
              <w:rPr>
                <w:color w:val="auto"/>
              </w:rPr>
            </w:pPr>
            <w:r>
              <w:rPr>
                <w:color w:val="auto"/>
              </w:rPr>
              <w:t>0.5</w:t>
            </w:r>
          </w:p>
        </w:tc>
        <w:tc>
          <w:tcPr>
            <w:tcW w:w="1276" w:type="dxa"/>
            <w:vAlign w:val="center"/>
          </w:tcPr>
          <w:p w14:paraId="74300E4C">
            <w:pPr>
              <w:pStyle w:val="175"/>
              <w:ind w:left="420" w:hanging="420"/>
              <w:rPr>
                <w:color w:val="auto"/>
              </w:rPr>
            </w:pPr>
            <w:r>
              <w:rPr>
                <w:color w:val="auto"/>
              </w:rPr>
              <w:t>0.25</w:t>
            </w:r>
          </w:p>
        </w:tc>
      </w:tr>
      <w:tr w14:paraId="38CE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14:paraId="3912A391">
            <w:pPr>
              <w:pStyle w:val="175"/>
              <w:ind w:left="420" w:hanging="420"/>
              <w:rPr>
                <w:color w:val="auto"/>
              </w:rPr>
            </w:pPr>
            <w:r>
              <w:rPr>
                <w:color w:val="auto"/>
              </w:rPr>
              <w:t>给水管</w:t>
            </w:r>
          </w:p>
        </w:tc>
        <w:tc>
          <w:tcPr>
            <w:tcW w:w="2310" w:type="dxa"/>
            <w:vAlign w:val="center"/>
          </w:tcPr>
          <w:p w14:paraId="1B19C8AC">
            <w:pPr>
              <w:pStyle w:val="175"/>
              <w:ind w:left="420" w:hanging="420"/>
              <w:rPr>
                <w:color w:val="auto"/>
              </w:rPr>
            </w:pPr>
            <w:r>
              <w:rPr>
                <w:color w:val="auto"/>
              </w:rPr>
              <w:t>管径</w:t>
            </w:r>
            <w:r>
              <w:rPr>
                <w:rFonts w:hint="eastAsia"/>
                <w:color w:val="auto"/>
              </w:rPr>
              <w:t>≤</w:t>
            </w:r>
            <w:r>
              <w:rPr>
                <w:color w:val="auto"/>
              </w:rPr>
              <w:t>0.3m</w:t>
            </w:r>
          </w:p>
          <w:p w14:paraId="47341D8A">
            <w:pPr>
              <w:pStyle w:val="175"/>
              <w:ind w:left="420" w:hanging="420"/>
              <w:rPr>
                <w:color w:val="auto"/>
              </w:rPr>
            </w:pPr>
            <w:r>
              <w:rPr>
                <w:color w:val="auto"/>
              </w:rPr>
              <w:t>0.3m&lt;管径</w:t>
            </w:r>
            <w:r>
              <w:rPr>
                <w:rFonts w:hint="eastAsia"/>
                <w:color w:val="auto"/>
              </w:rPr>
              <w:t>≤</w:t>
            </w:r>
            <w:r>
              <w:rPr>
                <w:color w:val="auto"/>
              </w:rPr>
              <w:t>0.5m</w:t>
            </w:r>
          </w:p>
          <w:p w14:paraId="355E13AC">
            <w:pPr>
              <w:pStyle w:val="175"/>
              <w:ind w:left="420" w:hanging="420"/>
              <w:rPr>
                <w:color w:val="auto"/>
              </w:rPr>
            </w:pPr>
            <w:r>
              <w:rPr>
                <w:color w:val="auto"/>
              </w:rPr>
              <w:t>管径</w:t>
            </w:r>
            <w:r>
              <w:rPr>
                <w:rFonts w:hint="eastAsia"/>
                <w:color w:val="auto"/>
              </w:rPr>
              <w:t>＞</w:t>
            </w:r>
            <w:r>
              <w:rPr>
                <w:color w:val="auto"/>
              </w:rPr>
              <w:t>0.5m</w:t>
            </w:r>
          </w:p>
        </w:tc>
        <w:tc>
          <w:tcPr>
            <w:tcW w:w="1190" w:type="dxa"/>
            <w:vAlign w:val="center"/>
          </w:tcPr>
          <w:p w14:paraId="75256D78">
            <w:pPr>
              <w:pStyle w:val="175"/>
              <w:ind w:left="420" w:hanging="420"/>
              <w:rPr>
                <w:color w:val="auto"/>
              </w:rPr>
            </w:pPr>
            <w:r>
              <w:rPr>
                <w:color w:val="auto"/>
              </w:rPr>
              <w:t>0.5</w:t>
            </w:r>
          </w:p>
          <w:p w14:paraId="37E59971">
            <w:pPr>
              <w:pStyle w:val="175"/>
              <w:ind w:left="420" w:hanging="420"/>
              <w:rPr>
                <w:color w:val="auto"/>
              </w:rPr>
            </w:pPr>
            <w:r>
              <w:rPr>
                <w:color w:val="auto"/>
              </w:rPr>
              <w:t>1.0</w:t>
            </w:r>
          </w:p>
          <w:p w14:paraId="7E3C5FD6">
            <w:pPr>
              <w:pStyle w:val="175"/>
              <w:ind w:left="420" w:hanging="420"/>
              <w:rPr>
                <w:color w:val="auto"/>
              </w:rPr>
            </w:pPr>
            <w:r>
              <w:rPr>
                <w:color w:val="auto"/>
              </w:rPr>
              <w:t>1.5</w:t>
            </w:r>
          </w:p>
        </w:tc>
        <w:tc>
          <w:tcPr>
            <w:tcW w:w="1276" w:type="dxa"/>
            <w:vAlign w:val="center"/>
          </w:tcPr>
          <w:p w14:paraId="6D358223">
            <w:pPr>
              <w:pStyle w:val="175"/>
              <w:ind w:left="420" w:hanging="420"/>
              <w:rPr>
                <w:color w:val="auto"/>
              </w:rPr>
            </w:pPr>
            <w:r>
              <w:rPr>
                <w:color w:val="auto"/>
              </w:rPr>
              <w:t>0.15</w:t>
            </w:r>
          </w:p>
        </w:tc>
      </w:tr>
      <w:tr w14:paraId="7215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restart"/>
            <w:vAlign w:val="center"/>
          </w:tcPr>
          <w:p w14:paraId="5F615666">
            <w:pPr>
              <w:pStyle w:val="175"/>
              <w:ind w:left="420" w:hanging="420"/>
              <w:rPr>
                <w:color w:val="auto"/>
              </w:rPr>
            </w:pPr>
            <w:r>
              <w:rPr>
                <w:rFonts w:hint="eastAsia"/>
                <w:color w:val="auto"/>
              </w:rPr>
              <w:t>燃</w:t>
            </w:r>
            <w:r>
              <w:rPr>
                <w:color w:val="auto"/>
              </w:rPr>
              <w:t>气管</w:t>
            </w:r>
          </w:p>
        </w:tc>
        <w:tc>
          <w:tcPr>
            <w:tcW w:w="2310" w:type="dxa"/>
            <w:vAlign w:val="center"/>
          </w:tcPr>
          <w:p w14:paraId="343C714E">
            <w:pPr>
              <w:pStyle w:val="175"/>
              <w:ind w:left="420" w:hanging="420"/>
              <w:rPr>
                <w:color w:val="auto"/>
              </w:rPr>
            </w:pPr>
            <w:r>
              <w:rPr>
                <w:color w:val="auto"/>
              </w:rPr>
              <w:t>压力</w:t>
            </w:r>
            <w:r>
              <w:rPr>
                <w:rFonts w:hint="eastAsia"/>
                <w:color w:val="auto"/>
              </w:rPr>
              <w:t>≤</w:t>
            </w:r>
            <w:r>
              <w:rPr>
                <w:color w:val="auto"/>
              </w:rPr>
              <w:t>0.4MPa</w:t>
            </w:r>
          </w:p>
        </w:tc>
        <w:tc>
          <w:tcPr>
            <w:tcW w:w="1190" w:type="dxa"/>
            <w:vAlign w:val="center"/>
          </w:tcPr>
          <w:p w14:paraId="0DD3868B">
            <w:pPr>
              <w:pStyle w:val="175"/>
              <w:ind w:left="420" w:hanging="420"/>
              <w:rPr>
                <w:color w:val="auto"/>
              </w:rPr>
            </w:pPr>
            <w:r>
              <w:rPr>
                <w:color w:val="auto"/>
              </w:rPr>
              <w:t>1.0</w:t>
            </w:r>
          </w:p>
        </w:tc>
        <w:tc>
          <w:tcPr>
            <w:tcW w:w="1276" w:type="dxa"/>
            <w:vAlign w:val="center"/>
          </w:tcPr>
          <w:p w14:paraId="06DD47BC">
            <w:pPr>
              <w:pStyle w:val="175"/>
              <w:ind w:left="420" w:hanging="420"/>
              <w:rPr>
                <w:color w:val="auto"/>
              </w:rPr>
            </w:pPr>
            <w:r>
              <w:rPr>
                <w:color w:val="auto"/>
              </w:rPr>
              <w:t>0.3</w:t>
            </w:r>
          </w:p>
        </w:tc>
      </w:tr>
      <w:tr w14:paraId="0273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vAlign w:val="center"/>
          </w:tcPr>
          <w:p w14:paraId="4353CA77">
            <w:pPr>
              <w:pStyle w:val="175"/>
              <w:ind w:left="420" w:hanging="420"/>
              <w:rPr>
                <w:color w:val="auto"/>
              </w:rPr>
            </w:pPr>
          </w:p>
        </w:tc>
        <w:tc>
          <w:tcPr>
            <w:tcW w:w="2310" w:type="dxa"/>
            <w:vAlign w:val="center"/>
          </w:tcPr>
          <w:p w14:paraId="008B11AC">
            <w:pPr>
              <w:pStyle w:val="175"/>
              <w:ind w:left="420" w:hanging="420"/>
              <w:rPr>
                <w:color w:val="auto"/>
              </w:rPr>
            </w:pPr>
            <w:r>
              <w:rPr>
                <w:color w:val="auto"/>
              </w:rPr>
              <w:t>0.4MPa &lt;压力</w:t>
            </w:r>
            <w:r>
              <w:rPr>
                <w:rFonts w:hint="eastAsia"/>
                <w:color w:val="auto"/>
              </w:rPr>
              <w:t>≤</w:t>
            </w:r>
            <w:r>
              <w:rPr>
                <w:color w:val="auto"/>
              </w:rPr>
              <w:t>1.6MPa</w:t>
            </w:r>
          </w:p>
        </w:tc>
        <w:tc>
          <w:tcPr>
            <w:tcW w:w="1190" w:type="dxa"/>
            <w:vAlign w:val="center"/>
          </w:tcPr>
          <w:p w14:paraId="7231B02C">
            <w:pPr>
              <w:pStyle w:val="175"/>
              <w:ind w:left="420" w:hanging="420"/>
              <w:rPr>
                <w:color w:val="auto"/>
              </w:rPr>
            </w:pPr>
            <w:r>
              <w:rPr>
                <w:color w:val="auto"/>
              </w:rPr>
              <w:t>2.0</w:t>
            </w:r>
          </w:p>
        </w:tc>
        <w:tc>
          <w:tcPr>
            <w:tcW w:w="1276" w:type="dxa"/>
            <w:vAlign w:val="center"/>
          </w:tcPr>
          <w:p w14:paraId="77408D21">
            <w:pPr>
              <w:pStyle w:val="175"/>
              <w:ind w:left="420" w:hanging="420"/>
              <w:rPr>
                <w:color w:val="auto"/>
              </w:rPr>
            </w:pPr>
            <w:r>
              <w:rPr>
                <w:color w:val="auto"/>
              </w:rPr>
              <w:t>0.3</w:t>
            </w:r>
          </w:p>
        </w:tc>
      </w:tr>
      <w:tr w14:paraId="170D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restart"/>
            <w:vAlign w:val="center"/>
          </w:tcPr>
          <w:p w14:paraId="17BFC361">
            <w:pPr>
              <w:pStyle w:val="175"/>
              <w:ind w:left="420" w:hanging="420"/>
              <w:rPr>
                <w:color w:val="auto"/>
              </w:rPr>
            </w:pPr>
            <w:r>
              <w:rPr>
                <w:rFonts w:hint="eastAsia"/>
                <w:color w:val="auto"/>
              </w:rPr>
              <w:t>绿化</w:t>
            </w:r>
          </w:p>
        </w:tc>
        <w:tc>
          <w:tcPr>
            <w:tcW w:w="2310" w:type="dxa"/>
            <w:vAlign w:val="center"/>
          </w:tcPr>
          <w:p w14:paraId="32B70ED9">
            <w:pPr>
              <w:pStyle w:val="175"/>
              <w:ind w:left="420" w:hanging="420"/>
              <w:rPr>
                <w:color w:val="auto"/>
              </w:rPr>
            </w:pPr>
            <w:r>
              <w:rPr>
                <w:rFonts w:hint="eastAsia"/>
                <w:color w:val="auto"/>
              </w:rPr>
              <w:t>乔木</w:t>
            </w:r>
          </w:p>
        </w:tc>
        <w:tc>
          <w:tcPr>
            <w:tcW w:w="1190" w:type="dxa"/>
            <w:vAlign w:val="center"/>
          </w:tcPr>
          <w:p w14:paraId="33C16490">
            <w:pPr>
              <w:pStyle w:val="175"/>
              <w:ind w:left="420" w:hanging="420"/>
              <w:rPr>
                <w:color w:val="auto"/>
              </w:rPr>
            </w:pPr>
            <w:r>
              <w:rPr>
                <w:color w:val="auto"/>
              </w:rPr>
              <w:t>1.5</w:t>
            </w:r>
          </w:p>
        </w:tc>
        <w:tc>
          <w:tcPr>
            <w:tcW w:w="1276" w:type="dxa"/>
            <w:vAlign w:val="center"/>
          </w:tcPr>
          <w:p w14:paraId="1D3BB7F7">
            <w:pPr>
              <w:pStyle w:val="175"/>
              <w:ind w:left="420" w:hanging="420"/>
              <w:rPr>
                <w:color w:val="auto"/>
              </w:rPr>
            </w:pPr>
            <w:r>
              <w:rPr>
                <w:rFonts w:hint="eastAsia"/>
                <w:color w:val="auto"/>
              </w:rPr>
              <w:t>─</w:t>
            </w:r>
          </w:p>
        </w:tc>
      </w:tr>
      <w:tr w14:paraId="23A5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vAlign w:val="center"/>
          </w:tcPr>
          <w:p w14:paraId="70C7875D">
            <w:pPr>
              <w:pStyle w:val="175"/>
              <w:ind w:left="420" w:hanging="420"/>
              <w:rPr>
                <w:color w:val="auto"/>
              </w:rPr>
            </w:pPr>
          </w:p>
        </w:tc>
        <w:tc>
          <w:tcPr>
            <w:tcW w:w="2310" w:type="dxa"/>
            <w:vAlign w:val="center"/>
          </w:tcPr>
          <w:p w14:paraId="31A0E2C9">
            <w:pPr>
              <w:pStyle w:val="175"/>
              <w:ind w:left="420" w:hanging="420"/>
              <w:rPr>
                <w:color w:val="auto"/>
              </w:rPr>
            </w:pPr>
            <w:r>
              <w:rPr>
                <w:rFonts w:hint="eastAsia"/>
                <w:color w:val="auto"/>
              </w:rPr>
              <w:t>灌木</w:t>
            </w:r>
          </w:p>
        </w:tc>
        <w:tc>
          <w:tcPr>
            <w:tcW w:w="1190" w:type="dxa"/>
            <w:vAlign w:val="center"/>
          </w:tcPr>
          <w:p w14:paraId="0429175C">
            <w:pPr>
              <w:pStyle w:val="175"/>
              <w:ind w:left="420" w:hanging="420"/>
              <w:rPr>
                <w:color w:val="auto"/>
              </w:rPr>
            </w:pPr>
            <w:r>
              <w:rPr>
                <w:color w:val="auto"/>
              </w:rPr>
              <w:t>1</w:t>
            </w:r>
          </w:p>
        </w:tc>
        <w:tc>
          <w:tcPr>
            <w:tcW w:w="1276" w:type="dxa"/>
            <w:vAlign w:val="center"/>
          </w:tcPr>
          <w:p w14:paraId="3771CBD6">
            <w:pPr>
              <w:pStyle w:val="175"/>
              <w:ind w:left="420" w:hanging="420"/>
              <w:rPr>
                <w:color w:val="auto"/>
              </w:rPr>
            </w:pPr>
            <w:r>
              <w:rPr>
                <w:rFonts w:hint="eastAsia"/>
                <w:color w:val="auto"/>
              </w:rPr>
              <w:t>─</w:t>
            </w:r>
          </w:p>
        </w:tc>
      </w:tr>
      <w:tr w14:paraId="6851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gridSpan w:val="2"/>
            <w:vAlign w:val="center"/>
          </w:tcPr>
          <w:p w14:paraId="22ED4611">
            <w:pPr>
              <w:pStyle w:val="175"/>
              <w:ind w:left="420" w:hanging="420"/>
              <w:rPr>
                <w:color w:val="auto"/>
              </w:rPr>
            </w:pPr>
            <w:r>
              <w:rPr>
                <w:color w:val="auto"/>
              </w:rPr>
              <w:t>热力管</w:t>
            </w:r>
          </w:p>
        </w:tc>
        <w:tc>
          <w:tcPr>
            <w:tcW w:w="1190" w:type="dxa"/>
            <w:vAlign w:val="center"/>
          </w:tcPr>
          <w:p w14:paraId="03A5B273">
            <w:pPr>
              <w:pStyle w:val="175"/>
              <w:ind w:left="420" w:hanging="420"/>
              <w:rPr>
                <w:color w:val="auto"/>
              </w:rPr>
            </w:pPr>
            <w:r>
              <w:rPr>
                <w:color w:val="auto"/>
              </w:rPr>
              <w:t>1.0</w:t>
            </w:r>
          </w:p>
        </w:tc>
        <w:tc>
          <w:tcPr>
            <w:tcW w:w="1276" w:type="dxa"/>
            <w:vAlign w:val="center"/>
          </w:tcPr>
          <w:p w14:paraId="06BBA911">
            <w:pPr>
              <w:pStyle w:val="175"/>
              <w:ind w:left="420" w:hanging="420"/>
              <w:rPr>
                <w:color w:val="auto"/>
              </w:rPr>
            </w:pPr>
            <w:r>
              <w:rPr>
                <w:color w:val="auto"/>
              </w:rPr>
              <w:t>0.25</w:t>
            </w:r>
          </w:p>
        </w:tc>
      </w:tr>
      <w:tr w14:paraId="350B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gridSpan w:val="2"/>
            <w:vAlign w:val="center"/>
          </w:tcPr>
          <w:p w14:paraId="1FCD24D7">
            <w:pPr>
              <w:pStyle w:val="175"/>
              <w:ind w:left="420" w:hanging="420"/>
              <w:rPr>
                <w:color w:val="auto"/>
              </w:rPr>
            </w:pPr>
            <w:r>
              <w:rPr>
                <w:color w:val="auto"/>
              </w:rPr>
              <w:t>排水管</w:t>
            </w:r>
          </w:p>
        </w:tc>
        <w:tc>
          <w:tcPr>
            <w:tcW w:w="1190" w:type="dxa"/>
            <w:vAlign w:val="center"/>
          </w:tcPr>
          <w:p w14:paraId="1C0B1CA8">
            <w:pPr>
              <w:pStyle w:val="175"/>
              <w:ind w:left="420" w:hanging="420"/>
              <w:rPr>
                <w:color w:val="auto"/>
              </w:rPr>
            </w:pPr>
            <w:r>
              <w:rPr>
                <w:color w:val="auto"/>
              </w:rPr>
              <w:t>1.0</w:t>
            </w:r>
          </w:p>
        </w:tc>
        <w:tc>
          <w:tcPr>
            <w:tcW w:w="1276" w:type="dxa"/>
            <w:vAlign w:val="center"/>
          </w:tcPr>
          <w:p w14:paraId="7157169F">
            <w:pPr>
              <w:pStyle w:val="175"/>
              <w:ind w:left="420" w:hanging="420"/>
              <w:rPr>
                <w:color w:val="auto"/>
              </w:rPr>
            </w:pPr>
            <w:r>
              <w:rPr>
                <w:color w:val="auto"/>
              </w:rPr>
              <w:t>0.15</w:t>
            </w:r>
          </w:p>
        </w:tc>
      </w:tr>
      <w:tr w14:paraId="6BB7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gridSpan w:val="2"/>
            <w:vAlign w:val="center"/>
          </w:tcPr>
          <w:p w14:paraId="1D893043">
            <w:pPr>
              <w:pStyle w:val="175"/>
              <w:ind w:left="420" w:hanging="420"/>
              <w:rPr>
                <w:color w:val="auto"/>
              </w:rPr>
            </w:pPr>
            <w:r>
              <w:rPr>
                <w:rFonts w:hint="eastAsia"/>
                <w:color w:val="auto"/>
              </w:rPr>
              <w:t>沟渠基础底</w:t>
            </w:r>
          </w:p>
        </w:tc>
        <w:tc>
          <w:tcPr>
            <w:tcW w:w="1190" w:type="dxa"/>
            <w:vAlign w:val="center"/>
          </w:tcPr>
          <w:p w14:paraId="330D3562">
            <w:pPr>
              <w:pStyle w:val="175"/>
              <w:ind w:left="420" w:hanging="420"/>
              <w:rPr>
                <w:color w:val="auto"/>
              </w:rPr>
            </w:pPr>
            <w:r>
              <w:rPr>
                <w:rFonts w:hint="eastAsia"/>
                <w:color w:val="auto"/>
              </w:rPr>
              <w:t>─</w:t>
            </w:r>
          </w:p>
        </w:tc>
        <w:tc>
          <w:tcPr>
            <w:tcW w:w="1276" w:type="dxa"/>
            <w:vAlign w:val="center"/>
          </w:tcPr>
          <w:p w14:paraId="1CC5CF8A">
            <w:pPr>
              <w:pStyle w:val="175"/>
              <w:ind w:left="420" w:hanging="420"/>
              <w:rPr>
                <w:color w:val="auto"/>
              </w:rPr>
            </w:pPr>
            <w:r>
              <w:rPr>
                <w:color w:val="auto"/>
              </w:rPr>
              <w:t>0.5</w:t>
            </w:r>
          </w:p>
        </w:tc>
      </w:tr>
    </w:tbl>
    <w:p w14:paraId="7D990D28">
      <w:pPr>
        <w:pStyle w:val="198"/>
      </w:pPr>
      <w:r>
        <w:t>表17.2.</w:t>
      </w:r>
      <w:r>
        <w:rPr>
          <w:rFonts w:hint="eastAsia"/>
        </w:rPr>
        <w:t>2</w:t>
      </w:r>
      <w:r>
        <w:t xml:space="preserve"> -</w:t>
      </w:r>
      <w:r>
        <w:rPr>
          <w:rFonts w:hint="eastAsia"/>
        </w:rPr>
        <w:t xml:space="preserve">2  </w:t>
      </w:r>
      <w:r>
        <w:t>管道和其他地下管线及建筑物间的最小净距(m)（续表）</w:t>
      </w:r>
    </w:p>
    <w:tbl>
      <w:tblPr>
        <w:tblStyle w:val="88"/>
        <w:tblW w:w="5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4"/>
        <w:gridCol w:w="1190"/>
        <w:gridCol w:w="1276"/>
      </w:tblGrid>
      <w:tr w14:paraId="3464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vMerge w:val="restart"/>
            <w:vAlign w:val="center"/>
          </w:tcPr>
          <w:p w14:paraId="739AC5AB">
            <w:pPr>
              <w:pStyle w:val="175"/>
              <w:ind w:left="420" w:hanging="420"/>
              <w:rPr>
                <w:color w:val="auto"/>
              </w:rPr>
            </w:pPr>
            <w:r>
              <w:rPr>
                <w:color w:val="auto"/>
              </w:rPr>
              <w:t>设  施  名  称</w:t>
            </w:r>
          </w:p>
        </w:tc>
        <w:tc>
          <w:tcPr>
            <w:tcW w:w="2466" w:type="dxa"/>
            <w:gridSpan w:val="2"/>
            <w:vAlign w:val="center"/>
          </w:tcPr>
          <w:p w14:paraId="139E20FE">
            <w:pPr>
              <w:pStyle w:val="175"/>
              <w:ind w:left="420" w:hanging="420"/>
              <w:rPr>
                <w:color w:val="auto"/>
              </w:rPr>
            </w:pPr>
            <w:r>
              <w:rPr>
                <w:color w:val="auto"/>
              </w:rPr>
              <w:t>最小净距</w:t>
            </w:r>
          </w:p>
        </w:tc>
      </w:tr>
      <w:tr w14:paraId="2BFE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vMerge w:val="continue"/>
            <w:vAlign w:val="center"/>
          </w:tcPr>
          <w:p w14:paraId="0B6D41C0">
            <w:pPr>
              <w:pStyle w:val="175"/>
              <w:ind w:left="420" w:hanging="420"/>
              <w:rPr>
                <w:color w:val="auto"/>
              </w:rPr>
            </w:pPr>
          </w:p>
        </w:tc>
        <w:tc>
          <w:tcPr>
            <w:tcW w:w="1190" w:type="dxa"/>
            <w:vAlign w:val="center"/>
          </w:tcPr>
          <w:p w14:paraId="798027E8">
            <w:pPr>
              <w:pStyle w:val="175"/>
              <w:ind w:left="420" w:hanging="420"/>
              <w:rPr>
                <w:color w:val="auto"/>
              </w:rPr>
            </w:pPr>
            <w:r>
              <w:rPr>
                <w:color w:val="auto"/>
              </w:rPr>
              <w:t>平行时</w:t>
            </w:r>
          </w:p>
        </w:tc>
        <w:tc>
          <w:tcPr>
            <w:tcW w:w="1276" w:type="dxa"/>
            <w:vAlign w:val="center"/>
          </w:tcPr>
          <w:p w14:paraId="4487E239">
            <w:pPr>
              <w:pStyle w:val="175"/>
              <w:ind w:left="420" w:hanging="420"/>
              <w:rPr>
                <w:color w:val="auto"/>
              </w:rPr>
            </w:pPr>
            <w:r>
              <w:rPr>
                <w:color w:val="auto"/>
              </w:rPr>
              <w:t>交叉时</w:t>
            </w:r>
          </w:p>
        </w:tc>
      </w:tr>
      <w:tr w14:paraId="63E9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vAlign w:val="center"/>
          </w:tcPr>
          <w:p w14:paraId="5B38AA53">
            <w:pPr>
              <w:pStyle w:val="175"/>
              <w:ind w:left="420" w:hanging="420"/>
              <w:rPr>
                <w:color w:val="auto"/>
              </w:rPr>
            </w:pPr>
            <w:r>
              <w:rPr>
                <w:rFonts w:hint="eastAsia"/>
                <w:color w:val="auto"/>
              </w:rPr>
              <w:t>涵洞基础底</w:t>
            </w:r>
          </w:p>
        </w:tc>
        <w:tc>
          <w:tcPr>
            <w:tcW w:w="1190" w:type="dxa"/>
            <w:vAlign w:val="center"/>
          </w:tcPr>
          <w:p w14:paraId="27EB28EA">
            <w:pPr>
              <w:pStyle w:val="175"/>
              <w:ind w:left="420" w:hanging="420"/>
              <w:rPr>
                <w:color w:val="auto"/>
              </w:rPr>
            </w:pPr>
            <w:r>
              <w:rPr>
                <w:rFonts w:hint="eastAsia"/>
                <w:color w:val="auto"/>
              </w:rPr>
              <w:t>─</w:t>
            </w:r>
          </w:p>
        </w:tc>
        <w:tc>
          <w:tcPr>
            <w:tcW w:w="1276" w:type="dxa"/>
            <w:vAlign w:val="center"/>
          </w:tcPr>
          <w:p w14:paraId="038D6F08">
            <w:pPr>
              <w:pStyle w:val="175"/>
              <w:ind w:left="420" w:hanging="420"/>
              <w:rPr>
                <w:color w:val="auto"/>
              </w:rPr>
            </w:pPr>
            <w:r>
              <w:rPr>
                <w:color w:val="auto"/>
              </w:rPr>
              <w:t>0.25</w:t>
            </w:r>
          </w:p>
        </w:tc>
      </w:tr>
      <w:tr w14:paraId="43C5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vAlign w:val="center"/>
          </w:tcPr>
          <w:p w14:paraId="028DD5D5">
            <w:pPr>
              <w:pStyle w:val="175"/>
              <w:ind w:left="420" w:hanging="420"/>
              <w:rPr>
                <w:color w:val="auto"/>
              </w:rPr>
            </w:pPr>
            <w:r>
              <w:rPr>
                <w:rFonts w:hint="eastAsia"/>
                <w:color w:val="auto"/>
              </w:rPr>
              <w:t>已有</w:t>
            </w:r>
            <w:r>
              <w:rPr>
                <w:color w:val="auto"/>
              </w:rPr>
              <w:t>建筑</w:t>
            </w:r>
            <w:r>
              <w:rPr>
                <w:rFonts w:hint="eastAsia"/>
                <w:color w:val="auto"/>
              </w:rPr>
              <w:t>建筑物</w:t>
            </w:r>
          </w:p>
        </w:tc>
        <w:tc>
          <w:tcPr>
            <w:tcW w:w="1190" w:type="dxa"/>
            <w:vAlign w:val="center"/>
          </w:tcPr>
          <w:p w14:paraId="16510780">
            <w:pPr>
              <w:pStyle w:val="175"/>
              <w:ind w:left="420" w:hanging="420"/>
              <w:rPr>
                <w:color w:val="auto"/>
              </w:rPr>
            </w:pPr>
            <w:r>
              <w:rPr>
                <w:color w:val="auto"/>
              </w:rPr>
              <w:t>2.0</w:t>
            </w:r>
          </w:p>
        </w:tc>
        <w:tc>
          <w:tcPr>
            <w:tcW w:w="1276" w:type="dxa"/>
            <w:vAlign w:val="center"/>
          </w:tcPr>
          <w:p w14:paraId="3D99790B">
            <w:pPr>
              <w:pStyle w:val="175"/>
              <w:ind w:left="420" w:hanging="420"/>
              <w:rPr>
                <w:color w:val="auto"/>
              </w:rPr>
            </w:pPr>
            <w:r>
              <w:rPr>
                <w:rFonts w:hint="eastAsia"/>
                <w:color w:val="auto"/>
              </w:rPr>
              <w:t>─</w:t>
            </w:r>
          </w:p>
        </w:tc>
      </w:tr>
      <w:tr w14:paraId="178B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vAlign w:val="center"/>
          </w:tcPr>
          <w:p w14:paraId="0700BFDC">
            <w:pPr>
              <w:pStyle w:val="175"/>
              <w:ind w:left="420" w:hanging="420"/>
              <w:rPr>
                <w:color w:val="auto"/>
              </w:rPr>
            </w:pPr>
            <w:r>
              <w:rPr>
                <w:rFonts w:hint="eastAsia"/>
                <w:color w:val="auto"/>
              </w:rPr>
              <w:t>规划</w:t>
            </w:r>
            <w:r>
              <w:rPr>
                <w:color w:val="auto"/>
              </w:rPr>
              <w:t>建筑红线</w:t>
            </w:r>
          </w:p>
        </w:tc>
        <w:tc>
          <w:tcPr>
            <w:tcW w:w="1190" w:type="dxa"/>
            <w:vAlign w:val="center"/>
          </w:tcPr>
          <w:p w14:paraId="42CD1990">
            <w:pPr>
              <w:pStyle w:val="175"/>
              <w:ind w:left="420" w:hanging="420"/>
              <w:rPr>
                <w:color w:val="auto"/>
              </w:rPr>
            </w:pPr>
            <w:r>
              <w:rPr>
                <w:color w:val="auto"/>
              </w:rPr>
              <w:t>1.5</w:t>
            </w:r>
          </w:p>
        </w:tc>
        <w:tc>
          <w:tcPr>
            <w:tcW w:w="1276" w:type="dxa"/>
            <w:vAlign w:val="center"/>
          </w:tcPr>
          <w:p w14:paraId="515A7D75">
            <w:pPr>
              <w:pStyle w:val="175"/>
              <w:ind w:left="420" w:hanging="420"/>
              <w:rPr>
                <w:color w:val="auto"/>
              </w:rPr>
            </w:pPr>
            <w:r>
              <w:rPr>
                <w:rFonts w:hint="eastAsia"/>
                <w:color w:val="auto"/>
              </w:rPr>
              <w:t>─</w:t>
            </w:r>
          </w:p>
        </w:tc>
      </w:tr>
    </w:tbl>
    <w:p w14:paraId="68EAE1CD">
      <w:pPr>
        <w:spacing w:line="240" w:lineRule="auto"/>
        <w:ind w:left="870" w:leftChars="200" w:hanging="450" w:hangingChars="250"/>
        <w:jc w:val="left"/>
        <w:rPr>
          <w:sz w:val="18"/>
          <w:szCs w:val="18"/>
        </w:rPr>
      </w:pPr>
      <w:r>
        <w:rPr>
          <w:rFonts w:hint="eastAsia"/>
          <w:sz w:val="18"/>
          <w:szCs w:val="18"/>
        </w:rPr>
        <w:t>注：</w:t>
      </w:r>
      <w:r>
        <w:rPr>
          <w:rFonts w:hint="eastAsia"/>
          <w:sz w:val="15"/>
          <w:szCs w:val="15"/>
        </w:rPr>
        <w:t>1  在燃气管有接合装置和附属设备的 2m 范围内，通信管道不得与燃气气管交叉。</w:t>
      </w:r>
    </w:p>
    <w:p w14:paraId="15E573F4">
      <w:pPr>
        <w:spacing w:line="240" w:lineRule="auto"/>
        <w:ind w:left="823" w:leftChars="356" w:hanging="75" w:hangingChars="50"/>
        <w:jc w:val="left"/>
        <w:rPr>
          <w:sz w:val="15"/>
          <w:szCs w:val="15"/>
        </w:rPr>
      </w:pPr>
      <w:r>
        <w:rPr>
          <w:rFonts w:hint="eastAsia"/>
          <w:sz w:val="15"/>
          <w:szCs w:val="15"/>
        </w:rPr>
        <w:t>2  电力电缆加保护管时，通信管道与电力电缆的交叉净距不得小于 0.25m。</w:t>
      </w:r>
    </w:p>
    <w:p w14:paraId="1E9E227F">
      <w:pPr>
        <w:pStyle w:val="198"/>
      </w:pPr>
      <w:r>
        <w:t>表17.2.</w:t>
      </w:r>
      <w:r>
        <w:rPr>
          <w:rFonts w:hint="eastAsia"/>
        </w:rPr>
        <w:t xml:space="preserve">2-3  </w:t>
      </w:r>
      <w:r>
        <w:t>沿墙架设电缆与其他管线的最小净距(m)</w:t>
      </w:r>
    </w:p>
    <w:tbl>
      <w:tblPr>
        <w:tblStyle w:val="88"/>
        <w:tblW w:w="5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2096"/>
        <w:gridCol w:w="1419"/>
        <w:gridCol w:w="1276"/>
      </w:tblGrid>
      <w:tr w14:paraId="7EAE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01" w:type="dxa"/>
            <w:gridSpan w:val="2"/>
            <w:vMerge w:val="restart"/>
            <w:vAlign w:val="center"/>
          </w:tcPr>
          <w:p w14:paraId="339E2739">
            <w:pPr>
              <w:pStyle w:val="175"/>
              <w:ind w:left="420" w:hanging="420"/>
              <w:rPr>
                <w:color w:val="auto"/>
              </w:rPr>
            </w:pPr>
            <w:r>
              <w:rPr>
                <w:color w:val="auto"/>
              </w:rPr>
              <w:t>管 线 种 类</w:t>
            </w:r>
          </w:p>
        </w:tc>
        <w:tc>
          <w:tcPr>
            <w:tcW w:w="2695" w:type="dxa"/>
            <w:gridSpan w:val="2"/>
            <w:vAlign w:val="center"/>
          </w:tcPr>
          <w:p w14:paraId="55537B50">
            <w:pPr>
              <w:pStyle w:val="175"/>
              <w:ind w:left="420" w:hanging="420"/>
              <w:rPr>
                <w:color w:val="auto"/>
              </w:rPr>
            </w:pPr>
            <w:r>
              <w:rPr>
                <w:color w:val="auto"/>
              </w:rPr>
              <w:t>最小净距</w:t>
            </w:r>
          </w:p>
        </w:tc>
      </w:tr>
      <w:tr w14:paraId="68B6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01" w:type="dxa"/>
            <w:gridSpan w:val="2"/>
            <w:vMerge w:val="continue"/>
            <w:vAlign w:val="center"/>
          </w:tcPr>
          <w:p w14:paraId="0C9AEF52">
            <w:pPr>
              <w:pStyle w:val="175"/>
              <w:ind w:left="420" w:hanging="420"/>
              <w:rPr>
                <w:color w:val="auto"/>
              </w:rPr>
            </w:pPr>
          </w:p>
        </w:tc>
        <w:tc>
          <w:tcPr>
            <w:tcW w:w="1419" w:type="dxa"/>
            <w:vAlign w:val="center"/>
          </w:tcPr>
          <w:p w14:paraId="2EDBD2AA">
            <w:pPr>
              <w:pStyle w:val="175"/>
              <w:ind w:left="420" w:hanging="420"/>
              <w:rPr>
                <w:color w:val="auto"/>
              </w:rPr>
            </w:pPr>
            <w:r>
              <w:rPr>
                <w:color w:val="auto"/>
              </w:rPr>
              <w:t>平行</w:t>
            </w:r>
          </w:p>
        </w:tc>
        <w:tc>
          <w:tcPr>
            <w:tcW w:w="1276" w:type="dxa"/>
            <w:vAlign w:val="center"/>
          </w:tcPr>
          <w:p w14:paraId="422D8E3D">
            <w:pPr>
              <w:pStyle w:val="175"/>
              <w:ind w:left="420" w:hanging="420"/>
              <w:rPr>
                <w:color w:val="auto"/>
              </w:rPr>
            </w:pPr>
            <w:r>
              <w:rPr>
                <w:color w:val="auto"/>
              </w:rPr>
              <w:t>垂直交叉</w:t>
            </w:r>
          </w:p>
        </w:tc>
      </w:tr>
      <w:tr w14:paraId="1E6D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01" w:type="dxa"/>
            <w:gridSpan w:val="2"/>
            <w:vAlign w:val="center"/>
          </w:tcPr>
          <w:p w14:paraId="3CC3736B">
            <w:pPr>
              <w:pStyle w:val="175"/>
              <w:ind w:left="420" w:hanging="420"/>
              <w:rPr>
                <w:color w:val="auto"/>
              </w:rPr>
            </w:pPr>
            <w:r>
              <w:rPr>
                <w:rFonts w:hint="eastAsia"/>
                <w:color w:val="auto"/>
              </w:rPr>
              <w:t>电力线</w:t>
            </w:r>
          </w:p>
        </w:tc>
        <w:tc>
          <w:tcPr>
            <w:tcW w:w="1419" w:type="dxa"/>
            <w:vAlign w:val="center"/>
          </w:tcPr>
          <w:p w14:paraId="312F9E06">
            <w:pPr>
              <w:pStyle w:val="175"/>
              <w:ind w:left="420" w:hanging="420"/>
              <w:rPr>
                <w:color w:val="auto"/>
              </w:rPr>
            </w:pPr>
            <w:r>
              <w:rPr>
                <w:color w:val="auto"/>
              </w:rPr>
              <w:t>0.15</w:t>
            </w:r>
          </w:p>
        </w:tc>
        <w:tc>
          <w:tcPr>
            <w:tcW w:w="1276" w:type="dxa"/>
            <w:vAlign w:val="center"/>
          </w:tcPr>
          <w:p w14:paraId="0ACE10F8">
            <w:pPr>
              <w:pStyle w:val="175"/>
              <w:ind w:left="420" w:hanging="420"/>
              <w:rPr>
                <w:color w:val="auto"/>
              </w:rPr>
            </w:pPr>
            <w:r>
              <w:rPr>
                <w:color w:val="auto"/>
              </w:rPr>
              <w:t>0.05</w:t>
            </w:r>
          </w:p>
        </w:tc>
      </w:tr>
      <w:tr w14:paraId="49F1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1005" w:type="dxa"/>
            <w:vMerge w:val="restart"/>
            <w:vAlign w:val="center"/>
          </w:tcPr>
          <w:p w14:paraId="6F32DC85">
            <w:pPr>
              <w:pStyle w:val="175"/>
              <w:ind w:left="420"/>
              <w:jc w:val="both"/>
              <w:rPr>
                <w:color w:val="auto"/>
              </w:rPr>
            </w:pPr>
            <w:r>
              <w:rPr>
                <w:rFonts w:hint="eastAsia"/>
                <w:color w:val="auto"/>
              </w:rPr>
              <w:t>电力电缆</w:t>
            </w:r>
          </w:p>
        </w:tc>
        <w:tc>
          <w:tcPr>
            <w:tcW w:w="2096" w:type="dxa"/>
            <w:vAlign w:val="center"/>
          </w:tcPr>
          <w:p w14:paraId="0D42D8B9">
            <w:pPr>
              <w:pStyle w:val="175"/>
              <w:ind w:left="420" w:hanging="420"/>
              <w:rPr>
                <w:color w:val="auto"/>
              </w:rPr>
            </w:pPr>
            <w:r>
              <w:rPr>
                <w:rFonts w:hint="eastAsia"/>
                <w:color w:val="auto"/>
              </w:rPr>
              <w:t>电压&lt;35kV</w:t>
            </w:r>
          </w:p>
        </w:tc>
        <w:tc>
          <w:tcPr>
            <w:tcW w:w="1419" w:type="dxa"/>
            <w:vAlign w:val="center"/>
          </w:tcPr>
          <w:p w14:paraId="5880F52A">
            <w:pPr>
              <w:pStyle w:val="175"/>
              <w:ind w:left="420" w:hanging="420"/>
              <w:rPr>
                <w:color w:val="auto"/>
              </w:rPr>
            </w:pPr>
            <w:r>
              <w:rPr>
                <w:rFonts w:hint="eastAsia"/>
                <w:color w:val="auto"/>
              </w:rPr>
              <w:t>0.</w:t>
            </w:r>
            <w:r>
              <w:rPr>
                <w:color w:val="auto"/>
              </w:rPr>
              <w:t>5</w:t>
            </w:r>
          </w:p>
        </w:tc>
        <w:tc>
          <w:tcPr>
            <w:tcW w:w="1276" w:type="dxa"/>
            <w:vAlign w:val="center"/>
          </w:tcPr>
          <w:p w14:paraId="664A42CB">
            <w:pPr>
              <w:pStyle w:val="175"/>
              <w:ind w:left="420" w:hanging="420"/>
              <w:rPr>
                <w:color w:val="auto"/>
              </w:rPr>
            </w:pPr>
            <w:r>
              <w:rPr>
                <w:rFonts w:hint="eastAsia"/>
                <w:color w:val="auto"/>
              </w:rPr>
              <w:t>0.</w:t>
            </w:r>
            <w:r>
              <w:rPr>
                <w:color w:val="auto"/>
              </w:rPr>
              <w:t>5</w:t>
            </w:r>
          </w:p>
        </w:tc>
      </w:tr>
      <w:tr w14:paraId="430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1005" w:type="dxa"/>
            <w:vMerge w:val="continue"/>
            <w:vAlign w:val="center"/>
          </w:tcPr>
          <w:p w14:paraId="492C57A0">
            <w:pPr>
              <w:pStyle w:val="175"/>
              <w:ind w:left="420" w:hanging="420"/>
              <w:rPr>
                <w:color w:val="auto"/>
              </w:rPr>
            </w:pPr>
          </w:p>
        </w:tc>
        <w:tc>
          <w:tcPr>
            <w:tcW w:w="2096" w:type="dxa"/>
            <w:vAlign w:val="center"/>
          </w:tcPr>
          <w:p w14:paraId="452A7FBF">
            <w:pPr>
              <w:pStyle w:val="175"/>
              <w:ind w:left="420" w:hanging="420"/>
              <w:rPr>
                <w:color w:val="auto"/>
              </w:rPr>
            </w:pPr>
            <w:r>
              <w:rPr>
                <w:rFonts w:hint="eastAsia"/>
                <w:color w:val="auto"/>
              </w:rPr>
              <w:t>电压≥35kV</w:t>
            </w:r>
          </w:p>
        </w:tc>
        <w:tc>
          <w:tcPr>
            <w:tcW w:w="1419" w:type="dxa"/>
            <w:vAlign w:val="center"/>
          </w:tcPr>
          <w:p w14:paraId="0A73AE70">
            <w:pPr>
              <w:pStyle w:val="175"/>
              <w:ind w:left="420" w:hanging="420"/>
              <w:rPr>
                <w:color w:val="auto"/>
              </w:rPr>
            </w:pPr>
            <w:r>
              <w:rPr>
                <w:rFonts w:hint="eastAsia"/>
                <w:color w:val="auto"/>
              </w:rPr>
              <w:t>2.</w:t>
            </w:r>
            <w:r>
              <w:rPr>
                <w:color w:val="auto"/>
              </w:rPr>
              <w:t>0</w:t>
            </w:r>
          </w:p>
        </w:tc>
        <w:tc>
          <w:tcPr>
            <w:tcW w:w="1276" w:type="dxa"/>
            <w:vAlign w:val="center"/>
          </w:tcPr>
          <w:p w14:paraId="12F7AF52">
            <w:pPr>
              <w:pStyle w:val="175"/>
              <w:ind w:left="420" w:hanging="420"/>
              <w:rPr>
                <w:color w:val="auto"/>
              </w:rPr>
            </w:pPr>
            <w:r>
              <w:rPr>
                <w:rFonts w:hint="eastAsia"/>
                <w:color w:val="auto"/>
              </w:rPr>
              <w:t>2.</w:t>
            </w:r>
            <w:r>
              <w:rPr>
                <w:color w:val="auto"/>
              </w:rPr>
              <w:t>0</w:t>
            </w:r>
          </w:p>
        </w:tc>
      </w:tr>
      <w:tr w14:paraId="56E6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01" w:type="dxa"/>
            <w:gridSpan w:val="2"/>
            <w:vAlign w:val="center"/>
          </w:tcPr>
          <w:p w14:paraId="79BABA01">
            <w:pPr>
              <w:pStyle w:val="175"/>
              <w:ind w:left="420" w:hanging="420"/>
              <w:rPr>
                <w:color w:val="auto"/>
              </w:rPr>
            </w:pPr>
            <w:r>
              <w:rPr>
                <w:color w:val="auto"/>
              </w:rPr>
              <w:t xml:space="preserve">         </w:t>
            </w:r>
            <w:r>
              <w:rPr>
                <w:rFonts w:hint="eastAsia"/>
                <w:color w:val="auto"/>
              </w:rPr>
              <w:t>避雷引入线</w:t>
            </w:r>
          </w:p>
        </w:tc>
        <w:tc>
          <w:tcPr>
            <w:tcW w:w="1419" w:type="dxa"/>
            <w:vAlign w:val="center"/>
          </w:tcPr>
          <w:p w14:paraId="0B7E9EB8">
            <w:pPr>
              <w:pStyle w:val="175"/>
              <w:ind w:left="420" w:hanging="420"/>
              <w:rPr>
                <w:color w:val="auto"/>
              </w:rPr>
            </w:pPr>
            <w:r>
              <w:rPr>
                <w:color w:val="auto"/>
              </w:rPr>
              <w:t>1.00</w:t>
            </w:r>
          </w:p>
        </w:tc>
        <w:tc>
          <w:tcPr>
            <w:tcW w:w="1276" w:type="dxa"/>
            <w:vAlign w:val="center"/>
          </w:tcPr>
          <w:p w14:paraId="139BB11E">
            <w:pPr>
              <w:pStyle w:val="175"/>
              <w:ind w:left="420" w:hanging="420"/>
              <w:rPr>
                <w:color w:val="auto"/>
              </w:rPr>
            </w:pPr>
            <w:r>
              <w:rPr>
                <w:color w:val="auto"/>
              </w:rPr>
              <w:t>0.30</w:t>
            </w:r>
          </w:p>
        </w:tc>
      </w:tr>
      <w:tr w14:paraId="6253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01" w:type="dxa"/>
            <w:gridSpan w:val="2"/>
            <w:vAlign w:val="center"/>
          </w:tcPr>
          <w:p w14:paraId="660FDC42">
            <w:pPr>
              <w:pStyle w:val="175"/>
              <w:ind w:left="420" w:hanging="420"/>
              <w:rPr>
                <w:color w:val="auto"/>
              </w:rPr>
            </w:pPr>
            <w:r>
              <w:rPr>
                <w:color w:val="auto"/>
              </w:rPr>
              <w:t xml:space="preserve">         保护地线</w:t>
            </w:r>
          </w:p>
        </w:tc>
        <w:tc>
          <w:tcPr>
            <w:tcW w:w="1419" w:type="dxa"/>
            <w:vAlign w:val="center"/>
          </w:tcPr>
          <w:p w14:paraId="0981B62F">
            <w:pPr>
              <w:pStyle w:val="175"/>
              <w:ind w:left="420" w:hanging="420"/>
              <w:rPr>
                <w:color w:val="auto"/>
              </w:rPr>
            </w:pPr>
            <w:r>
              <w:rPr>
                <w:color w:val="auto"/>
              </w:rPr>
              <w:t>0.05</w:t>
            </w:r>
          </w:p>
        </w:tc>
        <w:tc>
          <w:tcPr>
            <w:tcW w:w="1276" w:type="dxa"/>
            <w:vAlign w:val="center"/>
          </w:tcPr>
          <w:p w14:paraId="5036D342">
            <w:pPr>
              <w:pStyle w:val="175"/>
              <w:ind w:left="420" w:hanging="420"/>
              <w:rPr>
                <w:color w:val="auto"/>
              </w:rPr>
            </w:pPr>
            <w:r>
              <w:rPr>
                <w:color w:val="auto"/>
              </w:rPr>
              <w:t>0.02</w:t>
            </w:r>
          </w:p>
        </w:tc>
      </w:tr>
      <w:tr w14:paraId="0D6B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01" w:type="dxa"/>
            <w:gridSpan w:val="2"/>
            <w:vAlign w:val="center"/>
          </w:tcPr>
          <w:p w14:paraId="35D38624">
            <w:pPr>
              <w:pStyle w:val="175"/>
              <w:ind w:left="420" w:hanging="420"/>
              <w:rPr>
                <w:color w:val="auto"/>
              </w:rPr>
            </w:pPr>
            <w:r>
              <w:rPr>
                <w:color w:val="auto"/>
              </w:rPr>
              <w:t xml:space="preserve">         热力管(不包封)</w:t>
            </w:r>
          </w:p>
        </w:tc>
        <w:tc>
          <w:tcPr>
            <w:tcW w:w="1419" w:type="dxa"/>
            <w:vAlign w:val="center"/>
          </w:tcPr>
          <w:p w14:paraId="0ECDD937">
            <w:pPr>
              <w:pStyle w:val="175"/>
              <w:ind w:left="420" w:hanging="420"/>
              <w:rPr>
                <w:color w:val="auto"/>
              </w:rPr>
            </w:pPr>
            <w:r>
              <w:rPr>
                <w:color w:val="auto"/>
              </w:rPr>
              <w:t>0.50</w:t>
            </w:r>
          </w:p>
        </w:tc>
        <w:tc>
          <w:tcPr>
            <w:tcW w:w="1276" w:type="dxa"/>
            <w:vAlign w:val="center"/>
          </w:tcPr>
          <w:p w14:paraId="0A12C70F">
            <w:pPr>
              <w:pStyle w:val="175"/>
              <w:ind w:left="420" w:hanging="420"/>
              <w:rPr>
                <w:color w:val="auto"/>
              </w:rPr>
            </w:pPr>
            <w:r>
              <w:rPr>
                <w:color w:val="auto"/>
              </w:rPr>
              <w:t>0.50</w:t>
            </w:r>
          </w:p>
        </w:tc>
      </w:tr>
      <w:tr w14:paraId="5633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01" w:type="dxa"/>
            <w:gridSpan w:val="2"/>
            <w:vAlign w:val="center"/>
          </w:tcPr>
          <w:p w14:paraId="67950EDC">
            <w:pPr>
              <w:pStyle w:val="175"/>
              <w:ind w:left="420" w:hanging="420"/>
              <w:rPr>
                <w:color w:val="auto"/>
              </w:rPr>
            </w:pPr>
            <w:r>
              <w:rPr>
                <w:color w:val="auto"/>
              </w:rPr>
              <w:t xml:space="preserve">         热力管(包封)</w:t>
            </w:r>
          </w:p>
        </w:tc>
        <w:tc>
          <w:tcPr>
            <w:tcW w:w="1419" w:type="dxa"/>
            <w:vAlign w:val="center"/>
          </w:tcPr>
          <w:p w14:paraId="5C680582">
            <w:pPr>
              <w:pStyle w:val="175"/>
              <w:ind w:left="420" w:hanging="420"/>
              <w:rPr>
                <w:color w:val="auto"/>
              </w:rPr>
            </w:pPr>
            <w:r>
              <w:rPr>
                <w:color w:val="auto"/>
              </w:rPr>
              <w:t>0.30</w:t>
            </w:r>
          </w:p>
        </w:tc>
        <w:tc>
          <w:tcPr>
            <w:tcW w:w="1276" w:type="dxa"/>
            <w:vAlign w:val="center"/>
          </w:tcPr>
          <w:p w14:paraId="1DA8222C">
            <w:pPr>
              <w:pStyle w:val="175"/>
              <w:ind w:left="420" w:hanging="420"/>
              <w:rPr>
                <w:color w:val="auto"/>
              </w:rPr>
            </w:pPr>
            <w:r>
              <w:rPr>
                <w:color w:val="auto"/>
              </w:rPr>
              <w:t>0.30</w:t>
            </w:r>
          </w:p>
        </w:tc>
      </w:tr>
      <w:tr w14:paraId="49C4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01" w:type="dxa"/>
            <w:gridSpan w:val="2"/>
            <w:vAlign w:val="center"/>
          </w:tcPr>
          <w:p w14:paraId="18567AE9">
            <w:pPr>
              <w:pStyle w:val="175"/>
              <w:ind w:left="420" w:hanging="420"/>
              <w:rPr>
                <w:color w:val="auto"/>
              </w:rPr>
            </w:pPr>
            <w:r>
              <w:rPr>
                <w:color w:val="auto"/>
              </w:rPr>
              <w:t xml:space="preserve">         给水管</w:t>
            </w:r>
          </w:p>
        </w:tc>
        <w:tc>
          <w:tcPr>
            <w:tcW w:w="1419" w:type="dxa"/>
            <w:vAlign w:val="center"/>
          </w:tcPr>
          <w:p w14:paraId="48B5F763">
            <w:pPr>
              <w:pStyle w:val="175"/>
              <w:ind w:left="420" w:hanging="420"/>
              <w:rPr>
                <w:color w:val="auto"/>
              </w:rPr>
            </w:pPr>
            <w:r>
              <w:rPr>
                <w:color w:val="auto"/>
              </w:rPr>
              <w:t>0.15</w:t>
            </w:r>
          </w:p>
        </w:tc>
        <w:tc>
          <w:tcPr>
            <w:tcW w:w="1276" w:type="dxa"/>
            <w:vAlign w:val="center"/>
          </w:tcPr>
          <w:p w14:paraId="07E07A65">
            <w:pPr>
              <w:pStyle w:val="175"/>
              <w:ind w:left="420" w:hanging="420"/>
              <w:rPr>
                <w:color w:val="auto"/>
              </w:rPr>
            </w:pPr>
            <w:r>
              <w:rPr>
                <w:color w:val="auto"/>
              </w:rPr>
              <w:t>0.02</w:t>
            </w:r>
          </w:p>
        </w:tc>
      </w:tr>
      <w:tr w14:paraId="2FA8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01" w:type="dxa"/>
            <w:gridSpan w:val="2"/>
            <w:vAlign w:val="center"/>
          </w:tcPr>
          <w:p w14:paraId="02CA87E1">
            <w:pPr>
              <w:pStyle w:val="175"/>
              <w:ind w:left="420" w:hanging="420"/>
              <w:rPr>
                <w:color w:val="auto"/>
              </w:rPr>
            </w:pPr>
            <w:r>
              <w:rPr>
                <w:color w:val="auto"/>
              </w:rPr>
              <w:t xml:space="preserve">         煤气管</w:t>
            </w:r>
          </w:p>
        </w:tc>
        <w:tc>
          <w:tcPr>
            <w:tcW w:w="1419" w:type="dxa"/>
            <w:vAlign w:val="center"/>
          </w:tcPr>
          <w:p w14:paraId="2ECB6BCD">
            <w:pPr>
              <w:pStyle w:val="175"/>
              <w:ind w:left="420" w:hanging="420"/>
              <w:rPr>
                <w:color w:val="auto"/>
              </w:rPr>
            </w:pPr>
            <w:r>
              <w:rPr>
                <w:color w:val="auto"/>
              </w:rPr>
              <w:t>0.30</w:t>
            </w:r>
          </w:p>
        </w:tc>
        <w:tc>
          <w:tcPr>
            <w:tcW w:w="1276" w:type="dxa"/>
            <w:vAlign w:val="center"/>
          </w:tcPr>
          <w:p w14:paraId="4CF35FA1">
            <w:pPr>
              <w:pStyle w:val="175"/>
              <w:ind w:left="420" w:hanging="420"/>
              <w:rPr>
                <w:color w:val="auto"/>
              </w:rPr>
            </w:pPr>
            <w:r>
              <w:rPr>
                <w:color w:val="auto"/>
              </w:rPr>
              <w:t>0.02</w:t>
            </w:r>
          </w:p>
        </w:tc>
      </w:tr>
    </w:tbl>
    <w:p w14:paraId="70D96EC9">
      <w:pPr>
        <w:pStyle w:val="7"/>
        <w:ind w:firstLine="420"/>
      </w:pPr>
      <w:r>
        <w:rPr>
          <w:rFonts w:hint="eastAsia"/>
        </w:rPr>
        <w:t>干线光缆的</w:t>
      </w:r>
      <w:r>
        <w:t>光纤应采用单模光纤。</w:t>
      </w:r>
    </w:p>
    <w:p w14:paraId="607BFEBE">
      <w:pPr>
        <w:pStyle w:val="5"/>
        <w:tabs>
          <w:tab w:val="left" w:pos="709"/>
          <w:tab w:val="clear" w:pos="630"/>
        </w:tabs>
      </w:pPr>
      <w:r>
        <w:rPr>
          <w:rFonts w:hint="eastAsia"/>
        </w:rPr>
        <w:t>无线通信系统</w:t>
      </w:r>
    </w:p>
    <w:p w14:paraId="0FE8A441">
      <w:pPr>
        <w:pStyle w:val="7"/>
        <w:ind w:firstLine="420"/>
      </w:pPr>
      <w:r>
        <w:t>无线</w:t>
      </w:r>
      <w:r>
        <w:rPr>
          <w:rFonts w:hint="eastAsia"/>
        </w:rPr>
        <w:t>调度</w:t>
      </w:r>
      <w:r>
        <w:t>通信系统应提供城市轨道交通控制中心调度员、车辆基地调度员、车站值班员等固定用户与列车司机、防灾、维修等移动用户之间的通信手段，满足行车、应急抢险的需要。</w:t>
      </w:r>
    </w:p>
    <w:p w14:paraId="6AF2144C">
      <w:pPr>
        <w:pStyle w:val="7"/>
        <w:ind w:firstLine="420"/>
      </w:pPr>
      <w:r>
        <w:t>无线</w:t>
      </w:r>
      <w:r>
        <w:rPr>
          <w:rFonts w:hint="eastAsia"/>
        </w:rPr>
        <w:t>调度</w:t>
      </w:r>
      <w:r>
        <w:t>通信系统</w:t>
      </w:r>
      <w:r>
        <w:rPr>
          <w:rFonts w:hint="eastAsia"/>
        </w:rPr>
        <w:t>宜采用数字集群制式，制式</w:t>
      </w:r>
      <w:r>
        <w:t>选择、设备配置和组网方案应综合考虑线路具体情况。</w:t>
      </w:r>
    </w:p>
    <w:p w14:paraId="64019AC6">
      <w:pPr>
        <w:pStyle w:val="7"/>
        <w:ind w:firstLine="420"/>
      </w:pPr>
      <w:r>
        <w:t>无线</w:t>
      </w:r>
      <w:r>
        <w:rPr>
          <w:rFonts w:hint="eastAsia"/>
        </w:rPr>
        <w:t>调度</w:t>
      </w:r>
      <w:r>
        <w:t>通信系统工作频段及频点应由无线电管理部门批准。无线</w:t>
      </w:r>
      <w:r>
        <w:rPr>
          <w:rFonts w:hint="eastAsia"/>
        </w:rPr>
        <w:t>调度通信子</w:t>
      </w:r>
      <w:r>
        <w:t>系统应与公务电话系统联网，实现有线无线调度间通话功能。</w:t>
      </w:r>
    </w:p>
    <w:p w14:paraId="2C9B7ED0">
      <w:pPr>
        <w:pStyle w:val="7"/>
        <w:ind w:firstLine="420"/>
      </w:pPr>
      <w:r>
        <w:rPr>
          <w:rFonts w:hint="eastAsia"/>
        </w:rPr>
        <w:t>无线调度通信系统宜由中心设备、接入设备、天馈设备、终端设备等组成。</w:t>
      </w:r>
    </w:p>
    <w:p w14:paraId="645CC614">
      <w:pPr>
        <w:pStyle w:val="7"/>
        <w:ind w:firstLine="420"/>
      </w:pPr>
      <w:r>
        <w:t>无线</w:t>
      </w:r>
      <w:r>
        <w:rPr>
          <w:rFonts w:hint="eastAsia"/>
        </w:rPr>
        <w:t>调度</w:t>
      </w:r>
      <w:r>
        <w:t>通信系统建设应满足北京市轨道交通无线通信系统网络规划方案，宜实现北京城市轨道交通线网内</w:t>
      </w:r>
      <w:r>
        <w:rPr>
          <w:rFonts w:hint="eastAsia"/>
        </w:rPr>
        <w:t>无线通信</w:t>
      </w:r>
      <w:r>
        <w:t>系统的互联互通及资源共享。</w:t>
      </w:r>
    </w:p>
    <w:p w14:paraId="5627E945">
      <w:pPr>
        <w:pStyle w:val="7"/>
        <w:ind w:firstLine="420"/>
      </w:pPr>
      <w:r>
        <w:t>无线</w:t>
      </w:r>
      <w:r>
        <w:rPr>
          <w:rFonts w:hint="eastAsia"/>
        </w:rPr>
        <w:t>调度</w:t>
      </w:r>
      <w:r>
        <w:t>通信系统</w:t>
      </w:r>
      <w:r>
        <w:rPr>
          <w:rFonts w:hint="eastAsia"/>
        </w:rPr>
        <w:t>宜设置</w:t>
      </w:r>
      <w:r>
        <w:t>：行车调度、防灾环控调度、综合维修调度、车辆基地调度</w:t>
      </w:r>
      <w:r>
        <w:rPr>
          <w:rFonts w:hint="eastAsia"/>
        </w:rPr>
        <w:t>，</w:t>
      </w:r>
      <w:r>
        <w:t>全自动运行相关调度等用户群。</w:t>
      </w:r>
    </w:p>
    <w:p w14:paraId="542CED82">
      <w:pPr>
        <w:pStyle w:val="7"/>
        <w:ind w:firstLine="420"/>
      </w:pPr>
      <w:r>
        <w:t>无线</w:t>
      </w:r>
      <w:r>
        <w:rPr>
          <w:rFonts w:hint="eastAsia"/>
        </w:rPr>
        <w:t>调度</w:t>
      </w:r>
      <w:r>
        <w:t>通信系统应具备下列功能：</w:t>
      </w:r>
    </w:p>
    <w:p w14:paraId="5AA06E37">
      <w:pPr>
        <w:pStyle w:val="86"/>
        <w:ind w:firstLine="420"/>
        <w:rPr>
          <w:color w:val="auto"/>
        </w:rPr>
      </w:pPr>
      <w:r>
        <w:rPr>
          <w:rFonts w:hint="eastAsia"/>
          <w:color w:val="auto"/>
        </w:rPr>
        <w:t xml:space="preserve">1）  </w:t>
      </w:r>
      <w:r>
        <w:rPr>
          <w:color w:val="auto"/>
        </w:rPr>
        <w:t>虚拟专网：系统为各调度群用户提供专用调度台，组成虚拟专用网；</w:t>
      </w:r>
    </w:p>
    <w:p w14:paraId="57B11396">
      <w:pPr>
        <w:pStyle w:val="86"/>
        <w:ind w:firstLine="420"/>
        <w:rPr>
          <w:color w:val="auto"/>
        </w:rPr>
      </w:pPr>
      <w:r>
        <w:rPr>
          <w:rFonts w:hint="eastAsia"/>
          <w:color w:val="auto"/>
        </w:rPr>
        <w:t xml:space="preserve">2）  </w:t>
      </w:r>
      <w:r>
        <w:rPr>
          <w:color w:val="auto"/>
        </w:rPr>
        <w:t>调度通话：单呼、组呼、全呼、紧急呼叫、强拆、组呼的动态重组、调度监听、优先级设置及呼叫；</w:t>
      </w:r>
    </w:p>
    <w:p w14:paraId="3F495901">
      <w:pPr>
        <w:pStyle w:val="86"/>
        <w:ind w:firstLine="420"/>
        <w:rPr>
          <w:color w:val="auto"/>
        </w:rPr>
      </w:pPr>
      <w:r>
        <w:rPr>
          <w:rFonts w:hint="eastAsia"/>
          <w:color w:val="auto"/>
        </w:rPr>
        <w:t xml:space="preserve">3）  </w:t>
      </w:r>
      <w:r>
        <w:rPr>
          <w:color w:val="auto"/>
        </w:rPr>
        <w:t>通过与列车广播系统互联，中心调度员可实现列车的选呼广播和全呼广播；</w:t>
      </w:r>
    </w:p>
    <w:p w14:paraId="7BE84A56">
      <w:pPr>
        <w:pStyle w:val="86"/>
        <w:ind w:firstLine="420"/>
        <w:rPr>
          <w:color w:val="auto"/>
        </w:rPr>
      </w:pPr>
      <w:r>
        <w:rPr>
          <w:rFonts w:hint="eastAsia"/>
          <w:color w:val="auto"/>
        </w:rPr>
        <w:t xml:space="preserve">4）  </w:t>
      </w:r>
      <w:r>
        <w:rPr>
          <w:color w:val="auto"/>
        </w:rPr>
        <w:t>完成调度区域选择、越基站无隙切换、电话互联呼叫、派接、多选等功能；车载台自动转组：列车在进出车辆基地时，系统可通过信号系统提供的信息，进行行车调度通话组与车辆基地通话组的自动转换；</w:t>
      </w:r>
    </w:p>
    <w:p w14:paraId="1978B051">
      <w:pPr>
        <w:pStyle w:val="86"/>
        <w:ind w:firstLine="420"/>
        <w:rPr>
          <w:color w:val="auto"/>
        </w:rPr>
      </w:pPr>
      <w:r>
        <w:rPr>
          <w:rFonts w:hint="eastAsia"/>
          <w:color w:val="auto"/>
        </w:rPr>
        <w:t xml:space="preserve">5）  </w:t>
      </w:r>
      <w:r>
        <w:rPr>
          <w:color w:val="auto"/>
        </w:rPr>
        <w:t>对所有调度通话进行自动录音，录音时长不少于720h，车载设备的录音回放时间不少于60min；系统应具备的主要提示信号：接通音、呼叫失败音(或显示)、忙音、弱场区提示音；</w:t>
      </w:r>
    </w:p>
    <w:p w14:paraId="4610DCA1">
      <w:pPr>
        <w:pStyle w:val="86"/>
        <w:ind w:firstLine="420"/>
        <w:rPr>
          <w:color w:val="auto"/>
        </w:rPr>
      </w:pPr>
      <w:r>
        <w:rPr>
          <w:rFonts w:hint="eastAsia"/>
          <w:color w:val="auto"/>
        </w:rPr>
        <w:t xml:space="preserve">6）  </w:t>
      </w:r>
      <w:r>
        <w:rPr>
          <w:color w:val="auto"/>
        </w:rPr>
        <w:t>网管设备应具有系统配置、用户管理、故障监测报警及管理、统计报告功能；</w:t>
      </w:r>
    </w:p>
    <w:p w14:paraId="0FECF817">
      <w:pPr>
        <w:pStyle w:val="7"/>
        <w:ind w:firstLine="420"/>
      </w:pPr>
      <w:r>
        <w:rPr>
          <w:rFonts w:hint="eastAsia"/>
        </w:rPr>
        <w:t>无线调度通信系统</w:t>
      </w:r>
      <w:r>
        <w:t>覆盖范围</w:t>
      </w:r>
      <w:r>
        <w:rPr>
          <w:rFonts w:hint="eastAsia"/>
        </w:rPr>
        <w:t>应</w:t>
      </w:r>
      <w:r>
        <w:t>包括</w:t>
      </w:r>
      <w:r>
        <w:rPr>
          <w:rFonts w:hint="eastAsia"/>
        </w:rPr>
        <w:t>：正线、折返线、存车线、联络线、避让线等轨行区，</w:t>
      </w:r>
      <w:r>
        <w:t>运用库、检修库、洗车</w:t>
      </w:r>
      <w:r>
        <w:rPr>
          <w:rFonts w:hint="eastAsia"/>
        </w:rPr>
        <w:t>线/</w:t>
      </w:r>
      <w:r>
        <w:t>库、工程车库、综合楼、咽喉区、试车线、出入段/场</w:t>
      </w:r>
      <w:r>
        <w:rPr>
          <w:rFonts w:hint="eastAsia"/>
        </w:rPr>
        <w:t>线等车辆基地区域，</w:t>
      </w:r>
      <w:r>
        <w:t>站台、站厅、出入口、换乘通道等车站公共区域，区间风井</w:t>
      </w:r>
      <w:r>
        <w:rPr>
          <w:rFonts w:hint="eastAsia"/>
        </w:rPr>
        <w:t>、疏散通道，运营生产办公用房区域以及通信、信号、变电所/站等重要设备机房和设备区通道。</w:t>
      </w:r>
      <w:r>
        <w:t>。</w:t>
      </w:r>
    </w:p>
    <w:p w14:paraId="10F6378A">
      <w:pPr>
        <w:pStyle w:val="7"/>
        <w:ind w:firstLine="420"/>
      </w:pPr>
      <w:r>
        <w:t>无</w:t>
      </w:r>
      <w:r>
        <w:rPr>
          <w:rFonts w:hint="eastAsia"/>
        </w:rPr>
        <w:t>线调度</w:t>
      </w:r>
      <w:r>
        <w:t>通信系统空间波覆盖的时间地点概率应不小于90%，漏泄同轴电缆辐射电波的时间地点概率应不小于95%。</w:t>
      </w:r>
      <w:r>
        <w:rPr>
          <w:rFonts w:hint="eastAsia"/>
        </w:rPr>
        <w:t>正线覆盖的时间地点概率为100%</w:t>
      </w:r>
      <w:r>
        <w:t>。</w:t>
      </w:r>
    </w:p>
    <w:p w14:paraId="50BD70EA">
      <w:pPr>
        <w:pStyle w:val="7"/>
        <w:ind w:firstLine="420"/>
      </w:pPr>
      <w:r>
        <w:rPr>
          <w:rFonts w:hint="eastAsia"/>
        </w:rPr>
        <w:t>车载终端天线处输入信号应符合RSRP不小于-95dBm，且SINR不小于3dB。手持终端天线处输入信号应符合RSRP不小于-105dBm。</w:t>
      </w:r>
    </w:p>
    <w:p w14:paraId="0EA19B4D">
      <w:pPr>
        <w:pStyle w:val="7"/>
        <w:ind w:firstLine="420"/>
      </w:pPr>
      <w:r>
        <w:t>同站台、同站厅换乘站共同换乘区域的专用无线天馈设备宜预留共享条件，且两线无线通信系统宜预留互联互通条件。</w:t>
      </w:r>
    </w:p>
    <w:p w14:paraId="68CF87BA">
      <w:pPr>
        <w:pStyle w:val="7"/>
        <w:ind w:firstLine="420"/>
      </w:pPr>
      <w:r>
        <w:rPr>
          <w:rFonts w:hint="eastAsia"/>
        </w:rPr>
        <w:t>跨线运行的线路，应实现无线终端跨线切换。</w:t>
      </w:r>
    </w:p>
    <w:p w14:paraId="7C96D198">
      <w:pPr>
        <w:pStyle w:val="7"/>
        <w:ind w:firstLine="420"/>
      </w:pPr>
      <w:r>
        <w:t>区间漏缆敷设时，需要考虑漏缆与接触网回流线不得同侧设置，必须同侧时，宜设不少于1m的间距。无线室外铁塔的设计应符合国家规范要求。</w:t>
      </w:r>
    </w:p>
    <w:p w14:paraId="40F3AB0E">
      <w:pPr>
        <w:pStyle w:val="7"/>
        <w:ind w:firstLine="420"/>
      </w:pPr>
      <w:r>
        <w:t>车载台应防撞击、耐震动，并在司机室进行合理布置，减少由牵引/制动设备及其他车载设备引起的电磁干扰。</w:t>
      </w:r>
    </w:p>
    <w:p w14:paraId="5EF61538">
      <w:pPr>
        <w:pStyle w:val="7"/>
        <w:ind w:firstLine="420"/>
      </w:pPr>
      <w:r>
        <w:t>无线调度台通话组设置可上线资源数量宜不少于开通时需求，并有适当预留，以便于管理。</w:t>
      </w:r>
    </w:p>
    <w:p w14:paraId="2198FD15">
      <w:pPr>
        <w:pStyle w:val="5"/>
        <w:tabs>
          <w:tab w:val="left" w:pos="709"/>
          <w:tab w:val="clear" w:pos="630"/>
        </w:tabs>
      </w:pPr>
      <w:bookmarkStart w:id="1247" w:name="_Toc168061727"/>
      <w:bookmarkStart w:id="1248" w:name="_Toc168061898"/>
      <w:bookmarkStart w:id="1249" w:name="_Toc168061280"/>
      <w:bookmarkStart w:id="1250" w:name="_Toc168059472"/>
      <w:r>
        <w:t>宽带无线通信系统</w:t>
      </w:r>
      <w:bookmarkEnd w:id="1247"/>
      <w:bookmarkEnd w:id="1248"/>
      <w:bookmarkEnd w:id="1249"/>
      <w:bookmarkEnd w:id="1250"/>
    </w:p>
    <w:p w14:paraId="0531CC26">
      <w:pPr>
        <w:pStyle w:val="7"/>
        <w:ind w:firstLine="420"/>
      </w:pPr>
      <w:r>
        <w:t>宽带无线通信系统应提供城市轨道交通车地之间宽带无线通信。车地之间承载业务应包括</w:t>
      </w:r>
      <w:r>
        <w:rPr>
          <w:rFonts w:hint="eastAsia"/>
        </w:rPr>
        <w:t>：</w:t>
      </w:r>
      <w:r>
        <w:t>列车</w:t>
      </w:r>
      <w:r>
        <w:rPr>
          <w:rFonts w:hint="eastAsia"/>
        </w:rPr>
        <w:t>乘客信息</w:t>
      </w:r>
      <w:r>
        <w:t>视频业务、列车视频监视业务等，可包括列车运行控制</w:t>
      </w:r>
      <w:r>
        <w:rPr>
          <w:rFonts w:hint="eastAsia"/>
        </w:rPr>
        <w:t>业务</w:t>
      </w:r>
      <w:r>
        <w:t>、</w:t>
      </w:r>
      <w:r>
        <w:rPr>
          <w:rFonts w:hint="eastAsia"/>
        </w:rPr>
        <w:t>集群调度业务、</w:t>
      </w:r>
      <w:r>
        <w:t>列车运行状态监测</w:t>
      </w:r>
      <w:r>
        <w:rPr>
          <w:rFonts w:hint="eastAsia"/>
        </w:rPr>
        <w:t>业务</w:t>
      </w:r>
      <w:r>
        <w:t>等。</w:t>
      </w:r>
    </w:p>
    <w:p w14:paraId="62718626">
      <w:pPr>
        <w:pStyle w:val="7"/>
        <w:ind w:firstLine="420"/>
      </w:pPr>
      <w:r>
        <w:t>宽带无线通信系统制式应符合国家有关技术标准，工作频段及频点应由无线电管理部门批准。共线、同站换乘线路、车辆基地等环境下的无线覆盖和频率配置应统一规划。</w:t>
      </w:r>
    </w:p>
    <w:p w14:paraId="3834506C">
      <w:pPr>
        <w:pStyle w:val="7"/>
        <w:ind w:firstLine="420"/>
      </w:pPr>
      <w:r>
        <w:t>当宽带无线通信系统承载列车运行控制信息时，应采用专用频点，并应与列车控制系统组网方案统一设计，应设置两个独立运行的网络，分别与列车控制系统的双网连接，满足列车运行控制系统冗余覆盖组网要求。</w:t>
      </w:r>
    </w:p>
    <w:p w14:paraId="49FE194C">
      <w:pPr>
        <w:pStyle w:val="7"/>
        <w:ind w:firstLine="420"/>
      </w:pPr>
      <w:r>
        <w:rPr>
          <w:rFonts w:hint="eastAsia"/>
        </w:rPr>
        <w:t>宽带无线通信系统由中心设备、接入设备、天馈设备、终端设备等构成。</w:t>
      </w:r>
    </w:p>
    <w:p w14:paraId="341D5F30">
      <w:pPr>
        <w:pStyle w:val="7"/>
        <w:ind w:firstLine="420"/>
      </w:pPr>
      <w:r>
        <w:rPr>
          <w:rFonts w:hint="eastAsia"/>
        </w:rPr>
        <w:t>宽带无线通信系统宜设置北斗卫星导航系统作为主用时钟源，设置1588V2时钟服务器作为备用时钟源。</w:t>
      </w:r>
    </w:p>
    <w:p w14:paraId="65D98176">
      <w:pPr>
        <w:pStyle w:val="7"/>
        <w:ind w:firstLine="420"/>
      </w:pPr>
      <w:r>
        <w:t>当宽带无线通信系统承载无线集群业务时，应满足无线通信系统的</w:t>
      </w:r>
      <w:r>
        <w:rPr>
          <w:rFonts w:hint="eastAsia"/>
        </w:rPr>
        <w:t>相关</w:t>
      </w:r>
      <w:r>
        <w:t>要求。</w:t>
      </w:r>
    </w:p>
    <w:p w14:paraId="64488194">
      <w:pPr>
        <w:pStyle w:val="5"/>
        <w:tabs>
          <w:tab w:val="left" w:pos="709"/>
          <w:tab w:val="clear" w:pos="630"/>
        </w:tabs>
      </w:pPr>
      <w:bookmarkStart w:id="1251" w:name="_Toc168061899"/>
      <w:bookmarkStart w:id="1252" w:name="_Toc168061728"/>
      <w:bookmarkStart w:id="1253" w:name="_Toc168061281"/>
      <w:bookmarkStart w:id="1254" w:name="_Toc168059473"/>
      <w:r>
        <w:t>公务电话系统</w:t>
      </w:r>
      <w:bookmarkEnd w:id="1251"/>
      <w:bookmarkEnd w:id="1252"/>
      <w:bookmarkEnd w:id="1253"/>
      <w:bookmarkEnd w:id="1254"/>
    </w:p>
    <w:p w14:paraId="4C9FF251">
      <w:pPr>
        <w:pStyle w:val="7"/>
        <w:ind w:firstLine="420"/>
      </w:pPr>
      <w:r>
        <w:t>公务电话系统应是为城市轨道交通工作人员之间提供内部通话及与外部公务通信的重要手段。</w:t>
      </w:r>
    </w:p>
    <w:p w14:paraId="2F1FE851">
      <w:pPr>
        <w:pStyle w:val="7"/>
        <w:ind w:firstLine="420"/>
      </w:pPr>
      <w:r>
        <w:t>公务电话系统应由公务电话交换设备、</w:t>
      </w:r>
      <w:r>
        <w:rPr>
          <w:rFonts w:hint="eastAsia"/>
        </w:rPr>
        <w:t>电话终端</w:t>
      </w:r>
      <w:r>
        <w:t>及其附属设备组成。</w:t>
      </w:r>
    </w:p>
    <w:p w14:paraId="76202B90">
      <w:pPr>
        <w:pStyle w:val="7"/>
        <w:ind w:firstLine="420"/>
      </w:pPr>
      <w:r>
        <w:rPr>
          <w:rFonts w:hint="eastAsia"/>
        </w:rPr>
        <w:t>各线路公务电话系统的建设</w:t>
      </w:r>
      <w:r>
        <w:t>应满足北京市城市轨道交通公务电话系统网络规划。宜在车辆基地或用户量相对集中的区域设置</w:t>
      </w:r>
      <w:r>
        <w:rPr>
          <w:rFonts w:hint="eastAsia"/>
        </w:rPr>
        <w:t>电话</w:t>
      </w:r>
      <w:r>
        <w:t>交换设备，交换设备应与北京市轨道交通指挥中心设置中继相连。各线路应按照全市轨道交通公务电话号码网内统一编号的规定编号。</w:t>
      </w:r>
    </w:p>
    <w:p w14:paraId="4B341FBC">
      <w:pPr>
        <w:pStyle w:val="7"/>
        <w:ind w:firstLine="420"/>
      </w:pPr>
      <w:r>
        <w:t>公务电话交换网与公用网本地电话局的连接方式宜采用全自动呼出、呼入中继方式，并纳入本地公用网统一编号。中继线的数量，应根据话务量大小和国家有关规定确定。公务电话系统宜设置计费管理系统。</w:t>
      </w:r>
    </w:p>
    <w:p w14:paraId="29B242D8">
      <w:pPr>
        <w:pStyle w:val="7"/>
        <w:ind w:firstLine="420"/>
      </w:pPr>
      <w:r>
        <w:rPr>
          <w:rFonts w:hint="eastAsia"/>
        </w:rPr>
        <w:t>公务电话系统应具备基本电话业务、特服电话业务、计费、多方电话会议及视频会议、集中维护和管理等功能。</w:t>
      </w:r>
    </w:p>
    <w:p w14:paraId="36BB2040">
      <w:pPr>
        <w:pStyle w:val="7"/>
        <w:ind w:firstLine="420"/>
      </w:pPr>
      <w:r>
        <w:t>公务电话交换设备近期容量应根据机构设置、新增定员、有关的基础数据及经济技术比较等因素确定；远期容量应考虑发展的需要。</w:t>
      </w:r>
    </w:p>
    <w:p w14:paraId="43D1118A">
      <w:pPr>
        <w:pStyle w:val="7"/>
        <w:ind w:firstLine="420"/>
      </w:pPr>
      <w:r>
        <w:rPr>
          <w:rFonts w:hint="eastAsia"/>
        </w:rPr>
        <w:t>公务电话系统从时钟系统获取标准时间信号。采用E</w:t>
      </w:r>
      <w:r>
        <w:t>1</w:t>
      </w:r>
      <w:r>
        <w:rPr>
          <w:rFonts w:hint="eastAsia"/>
        </w:rPr>
        <w:t>数字中继对接时，时钟同步采用主从同步方式。</w:t>
      </w:r>
    </w:p>
    <w:p w14:paraId="469AB040">
      <w:pPr>
        <w:pStyle w:val="7"/>
        <w:ind w:firstLine="420"/>
        <w:rPr>
          <w:rFonts w:ascii="宋体" w:hAnsi="宋体"/>
          <w:szCs w:val="21"/>
        </w:rPr>
      </w:pPr>
      <w:r>
        <w:rPr>
          <w:rFonts w:hint="eastAsia"/>
        </w:rPr>
        <w:t>公务电话系统宜在出入口地面亭、无障碍电梯各层外、智能客服中心、站台公共区端墙等处设置乘客求助终端（音视频求助终端），并为车辆配置的车载乘客求助终端提供接入容量，宜在车站控制室、调度大厅设置接听终端。</w:t>
      </w:r>
    </w:p>
    <w:p w14:paraId="37686E47">
      <w:pPr>
        <w:pStyle w:val="5"/>
        <w:tabs>
          <w:tab w:val="left" w:pos="709"/>
          <w:tab w:val="clear" w:pos="630"/>
        </w:tabs>
      </w:pPr>
      <w:bookmarkStart w:id="1255" w:name="_Toc168061900"/>
      <w:bookmarkStart w:id="1256" w:name="_Toc168061729"/>
      <w:bookmarkStart w:id="1257" w:name="_Toc168061282"/>
      <w:bookmarkStart w:id="1258" w:name="_Toc168059474"/>
      <w:r>
        <w:t>专用电话系统</w:t>
      </w:r>
      <w:bookmarkEnd w:id="1255"/>
      <w:bookmarkEnd w:id="1256"/>
      <w:bookmarkEnd w:id="1257"/>
      <w:bookmarkEnd w:id="1258"/>
    </w:p>
    <w:p w14:paraId="3C5B6A44">
      <w:pPr>
        <w:pStyle w:val="7"/>
        <w:ind w:firstLine="420"/>
      </w:pPr>
      <w:r>
        <w:t>专用电话系统是为控制中心调度员、车站、车辆基地的值班员组织指挥行车、运营管理及确保行车安全而设置的有线电话系统设备。</w:t>
      </w:r>
    </w:p>
    <w:p w14:paraId="1A088FB1">
      <w:pPr>
        <w:pStyle w:val="7"/>
        <w:ind w:firstLine="420"/>
      </w:pPr>
      <w:r>
        <w:t>专用电话系统应包括调度电话，站间行车电话，车站、车辆基地专用直通电话以及区间电话。</w:t>
      </w:r>
    </w:p>
    <w:p w14:paraId="557D3CBC">
      <w:pPr>
        <w:pStyle w:val="7"/>
        <w:ind w:firstLine="420"/>
      </w:pPr>
      <w:r>
        <w:t>专用电话系统应由中心交换设备、车站(车辆基地)交换设备、终端设备、录音</w:t>
      </w:r>
      <w:r>
        <w:rPr>
          <w:rFonts w:hint="eastAsia"/>
        </w:rPr>
        <w:t>录像</w:t>
      </w:r>
      <w:r>
        <w:t>装置及网管设备等组成。</w:t>
      </w:r>
    </w:p>
    <w:p w14:paraId="408FE46B">
      <w:pPr>
        <w:pStyle w:val="7"/>
        <w:ind w:firstLine="420"/>
      </w:pPr>
      <w:r>
        <w:t>调度电话是为控制中心调度员与各车站(车辆基地)值班员以及与办理行车业务直接有关的工作人员提供调度通信，主要包括行车、电力、防灾环控等调度电话组。全自动运行模式下</w:t>
      </w:r>
      <w:r>
        <w:rPr>
          <w:rFonts w:hint="eastAsia"/>
        </w:rPr>
        <w:t>宜增加乘客调度、车辆检修调度等调度电话组。调度电话组可</w:t>
      </w:r>
      <w:r>
        <w:t>根据</w:t>
      </w:r>
      <w:r>
        <w:rPr>
          <w:rFonts w:hint="eastAsia"/>
        </w:rPr>
        <w:t>运营需要整合设置</w:t>
      </w:r>
      <w:r>
        <w:t>。</w:t>
      </w:r>
    </w:p>
    <w:p w14:paraId="6B3ABAD4">
      <w:pPr>
        <w:pStyle w:val="7"/>
        <w:ind w:firstLine="420"/>
      </w:pPr>
      <w:r>
        <w:t>控制中心调度台宜设置在控制中心调度大厅内。</w:t>
      </w:r>
    </w:p>
    <w:p w14:paraId="471E4EAD">
      <w:pPr>
        <w:pStyle w:val="7"/>
        <w:ind w:firstLine="420"/>
      </w:pPr>
      <w:r>
        <w:t>行车调度电话分机应设置在各车站控制室、乘务派班室以及车辆基地信号楼控制室等</w:t>
      </w:r>
      <w:r>
        <w:rPr>
          <w:rFonts w:hint="eastAsia"/>
        </w:rPr>
        <w:t>行车值班员所在</w:t>
      </w:r>
      <w:r>
        <w:t>处所。</w:t>
      </w:r>
    </w:p>
    <w:p w14:paraId="70BD1FD5">
      <w:pPr>
        <w:pStyle w:val="7"/>
        <w:ind w:firstLine="420"/>
      </w:pPr>
      <w:r>
        <w:t>电力调度电话分机应设置在各车站控制室、变电所控制室，车辆基地信号楼控制室、变电所控制室等</w:t>
      </w:r>
      <w:r>
        <w:rPr>
          <w:rFonts w:hint="eastAsia"/>
        </w:rPr>
        <w:t>电力值班人员所在</w:t>
      </w:r>
      <w:r>
        <w:t>处所。</w:t>
      </w:r>
    </w:p>
    <w:p w14:paraId="227B182E">
      <w:pPr>
        <w:pStyle w:val="7"/>
        <w:ind w:firstLine="420"/>
      </w:pPr>
      <w:r>
        <w:t>防灾环控调度电话分机应设置在各车站控制室，车辆基地信号楼控制室、消防控制室等</w:t>
      </w:r>
      <w:r>
        <w:rPr>
          <w:rFonts w:hint="eastAsia"/>
        </w:rPr>
        <w:t>防灾环控值班人员所在</w:t>
      </w:r>
      <w:r>
        <w:t>处所。</w:t>
      </w:r>
    </w:p>
    <w:p w14:paraId="675B6278">
      <w:pPr>
        <w:pStyle w:val="7"/>
        <w:ind w:firstLine="420"/>
      </w:pPr>
      <w:r>
        <w:rPr>
          <w:rFonts w:hint="eastAsia"/>
        </w:rPr>
        <w:t>全自动运行相关的乘客、车辆检修调度分机等，设置在各车站控制室相关值班员所在处所。</w:t>
      </w:r>
    </w:p>
    <w:p w14:paraId="37DD738E">
      <w:pPr>
        <w:pStyle w:val="7"/>
        <w:ind w:firstLine="420"/>
      </w:pPr>
      <w:r>
        <w:t>调度台具备与各车站、车辆基地相关值班员的单呼、</w:t>
      </w:r>
      <w:r>
        <w:rPr>
          <w:rFonts w:hint="eastAsia"/>
        </w:rPr>
        <w:t>组呼</w:t>
      </w:r>
      <w:r>
        <w:t>、全呼、选呼的直通通话功能；电话会议功能；一般呼叫和紧急呼叫功能</w:t>
      </w:r>
      <w:r>
        <w:rPr>
          <w:rFonts w:hint="eastAsia"/>
        </w:rPr>
        <w:t>。</w:t>
      </w:r>
    </w:p>
    <w:p w14:paraId="45A6DFE2">
      <w:pPr>
        <w:pStyle w:val="7"/>
        <w:ind w:firstLine="420"/>
      </w:pPr>
      <w:r>
        <w:rPr>
          <w:rFonts w:hint="eastAsia"/>
        </w:rPr>
        <w:t>录音录像装置</w:t>
      </w:r>
      <w:r>
        <w:t>应对有线及无线调度</w:t>
      </w:r>
      <w:r>
        <w:rPr>
          <w:rFonts w:hint="eastAsia"/>
        </w:rPr>
        <w:t>、乘客求助全部语音、视频进行录音录像，对公务电话、专用电话、</w:t>
      </w:r>
      <w:r>
        <w:t>广播等重要语音进行录音</w:t>
      </w:r>
      <w:r>
        <w:rPr>
          <w:rFonts w:hint="eastAsia"/>
        </w:rPr>
        <w:t>，录音录像保存时间不少于1</w:t>
      </w:r>
      <w:r>
        <w:t>80d。</w:t>
      </w:r>
    </w:p>
    <w:p w14:paraId="2DE7BE04">
      <w:pPr>
        <w:pStyle w:val="7"/>
        <w:ind w:firstLine="420"/>
      </w:pPr>
      <w:r>
        <w:t>站间行车电话应提供相邻车站值班员间办理有关行车业务联系。站间行车电话终端应设在车站值班员所在的处所。</w:t>
      </w:r>
    </w:p>
    <w:p w14:paraId="2E715BEC">
      <w:pPr>
        <w:pStyle w:val="7"/>
        <w:ind w:firstLine="420"/>
      </w:pPr>
      <w:r>
        <w:t>车站专用直通电话应提供</w:t>
      </w:r>
      <w:r>
        <w:rPr>
          <w:rFonts w:hint="eastAsia"/>
        </w:rPr>
        <w:t>行车</w:t>
      </w:r>
      <w:r>
        <w:t>值班员或站长与本站内运营业务有关人员进行通话联系。站区管辖内的道岔处可设置与车站值班员间的直通电话。车辆基地专用直通电话可根据作业性质设置行车指挥电话、乘务运转电话、段内调度指挥电话、车辆检修电话等。</w:t>
      </w:r>
    </w:p>
    <w:p w14:paraId="4DE0369D">
      <w:pPr>
        <w:pStyle w:val="7"/>
        <w:ind w:firstLine="420"/>
      </w:pPr>
      <w:r>
        <w:rPr>
          <w:rFonts w:hint="eastAsia"/>
        </w:rPr>
        <w:t>专用电话宜具备站间模拟中继备份。</w:t>
      </w:r>
    </w:p>
    <w:p w14:paraId="2D9C029F">
      <w:pPr>
        <w:pStyle w:val="7"/>
        <w:ind w:firstLine="420"/>
      </w:pPr>
      <w:r>
        <w:t>两条或多条相邻线换乘站的车站控制室及有联络线的相邻线路两端的车站控制室，应安装相邻线的行调分机及专用直通电话分机，实现本线路与其他线路之间的调度电话及直通电话通话功能。</w:t>
      </w:r>
    </w:p>
    <w:p w14:paraId="551D6294">
      <w:pPr>
        <w:pStyle w:val="7"/>
        <w:ind w:firstLine="420"/>
        <w:rPr>
          <w:rFonts w:ascii="宋体" w:hAnsi="宋体"/>
          <w:szCs w:val="21"/>
        </w:rPr>
      </w:pPr>
      <w:r>
        <w:t>在</w:t>
      </w:r>
      <w:r>
        <w:rPr>
          <w:rFonts w:hint="eastAsia"/>
        </w:rPr>
        <w:t>区间</w:t>
      </w:r>
      <w:r>
        <w:t>道岔处</w:t>
      </w:r>
      <w:r>
        <w:rPr>
          <w:rFonts w:hint="eastAsia"/>
        </w:rPr>
        <w:t>应</w:t>
      </w:r>
      <w:r>
        <w:t>设置与</w:t>
      </w:r>
      <w:r>
        <w:rPr>
          <w:rFonts w:hint="eastAsia"/>
        </w:rPr>
        <w:t>辖区</w:t>
      </w:r>
      <w:r>
        <w:t>车站值班员间的直通电话。</w:t>
      </w:r>
      <w:r>
        <w:rPr>
          <w:rFonts w:hint="eastAsia"/>
        </w:rPr>
        <w:t>道岔</w:t>
      </w:r>
      <w:r>
        <w:t>电话应密闭、防水、防潮、防震。</w:t>
      </w:r>
    </w:p>
    <w:p w14:paraId="635BB948">
      <w:pPr>
        <w:pStyle w:val="5"/>
        <w:tabs>
          <w:tab w:val="left" w:pos="709"/>
          <w:tab w:val="clear" w:pos="630"/>
        </w:tabs>
      </w:pPr>
      <w:bookmarkStart w:id="1259" w:name="_Toc168061283"/>
      <w:bookmarkStart w:id="1260" w:name="_Toc168061730"/>
      <w:bookmarkStart w:id="1261" w:name="_Toc168061901"/>
      <w:bookmarkStart w:id="1262" w:name="_Toc168059475"/>
      <w:r>
        <w:t>视频监视系统</w:t>
      </w:r>
      <w:bookmarkEnd w:id="1259"/>
      <w:bookmarkEnd w:id="1260"/>
      <w:bookmarkEnd w:id="1261"/>
      <w:bookmarkEnd w:id="1262"/>
    </w:p>
    <w:p w14:paraId="50DFE01D">
      <w:pPr>
        <w:pStyle w:val="7"/>
        <w:ind w:firstLine="420"/>
      </w:pPr>
      <w:r>
        <w:t>视频监视系统应为控制中心的调度员、</w:t>
      </w:r>
      <w:r>
        <w:rPr>
          <w:rFonts w:hint="eastAsia"/>
        </w:rPr>
        <w:t>各</w:t>
      </w:r>
      <w:r>
        <w:t>车站值班员、车辆基地值班员、列车司机等提供有关列车运行、防灾、救灾、乘客</w:t>
      </w:r>
      <w:r>
        <w:rPr>
          <w:rFonts w:hint="eastAsia"/>
        </w:rPr>
        <w:t>情况</w:t>
      </w:r>
      <w:r>
        <w:t>等方面的音视频信息。</w:t>
      </w:r>
    </w:p>
    <w:p w14:paraId="37A59406">
      <w:pPr>
        <w:pStyle w:val="7"/>
        <w:ind w:firstLine="420"/>
      </w:pPr>
      <w:r>
        <w:t>视频监视系统应</w:t>
      </w:r>
      <w:r>
        <w:rPr>
          <w:rFonts w:hint="eastAsia"/>
        </w:rPr>
        <w:t>由</w:t>
      </w:r>
      <w:r>
        <w:t>控制设备、图像摄取、音频采集、音视频信息显示、录像及视频信号传输等设备组成。</w:t>
      </w:r>
    </w:p>
    <w:p w14:paraId="662C7BB3">
      <w:pPr>
        <w:pStyle w:val="7"/>
        <w:ind w:firstLine="420"/>
      </w:pPr>
      <w:r>
        <w:rPr>
          <w:rFonts w:hint="eastAsia"/>
        </w:rPr>
        <w:t>车站站厅、站台、自动扶梯、垂直电梯、售票处、出入口和换乘通道等公共区域，通信信号设备机房、变电所、车站控制室、票务室、风亭、区间风井、轨行区人防门、防淹门、地下至地面的开口过渡段、隧道出入口等非公共区域；车辆基地的出入线洞口、咽喉区、运用库、检修库</w:t>
      </w:r>
      <w:r>
        <w:t>等区域</w:t>
      </w:r>
      <w:r>
        <w:rPr>
          <w:rFonts w:hint="eastAsia"/>
        </w:rPr>
        <w:t>及相关设备机房内应布置摄像机。</w:t>
      </w:r>
    </w:p>
    <w:p w14:paraId="539273D8">
      <w:pPr>
        <w:pStyle w:val="7"/>
        <w:ind w:firstLine="420"/>
      </w:pPr>
      <w:r>
        <w:rPr>
          <w:rFonts w:hint="eastAsia"/>
        </w:rPr>
        <w:t>摄像机应采用清晰度不低于1</w:t>
      </w:r>
      <w:r>
        <w:t>080P</w:t>
      </w:r>
      <w:r>
        <w:rPr>
          <w:rFonts w:hint="eastAsia"/>
        </w:rPr>
        <w:t>的高清制式。</w:t>
      </w:r>
    </w:p>
    <w:p w14:paraId="3472FBF0">
      <w:pPr>
        <w:pStyle w:val="7"/>
        <w:ind w:firstLine="420"/>
      </w:pPr>
      <w:r>
        <w:rPr>
          <w:rFonts w:hint="eastAsia"/>
        </w:rPr>
        <w:t>视频编解码应支持H</w:t>
      </w:r>
      <w:r>
        <w:t>.265</w:t>
      </w:r>
      <w:r>
        <w:rPr>
          <w:rFonts w:hint="eastAsia"/>
        </w:rPr>
        <w:t>、H</w:t>
      </w:r>
      <w:r>
        <w:t>.264</w:t>
      </w:r>
      <w:r>
        <w:rPr>
          <w:rFonts w:hint="eastAsia"/>
        </w:rPr>
        <w:t>或其他标准通用格式，支持多码流输出，码流不低于2</w:t>
      </w:r>
      <w:r>
        <w:t>Mbps</w:t>
      </w:r>
      <w:r>
        <w:rPr>
          <w:rFonts w:hint="eastAsia"/>
        </w:rPr>
        <w:t>。</w:t>
      </w:r>
    </w:p>
    <w:p w14:paraId="3A37F131">
      <w:pPr>
        <w:pStyle w:val="7"/>
        <w:ind w:firstLine="420"/>
      </w:pPr>
      <w:r>
        <w:rPr>
          <w:rFonts w:hint="eastAsia"/>
        </w:rPr>
        <w:t>车站公共区域、车控室以及A</w:t>
      </w:r>
      <w:r>
        <w:t>FC</w:t>
      </w:r>
      <w:r>
        <w:rPr>
          <w:rFonts w:hint="eastAsia"/>
        </w:rPr>
        <w:t>票务室等处设置的摄像机附近宜设置拾音装置。</w:t>
      </w:r>
    </w:p>
    <w:p w14:paraId="0F2CB7D3">
      <w:pPr>
        <w:pStyle w:val="7"/>
        <w:ind w:firstLine="420"/>
      </w:pPr>
      <w:r>
        <w:t>视频监视系统应具备监视、控制优先级、循环显示、图像选择、不间断实时录像、摄像范围控制、字符叠加</w:t>
      </w:r>
      <w:r>
        <w:rPr>
          <w:rFonts w:hint="eastAsia"/>
        </w:rPr>
        <w:t>、图像质量诊断、视频分析、网管</w:t>
      </w:r>
      <w:r>
        <w:t>等功能。</w:t>
      </w:r>
    </w:p>
    <w:p w14:paraId="4194D705">
      <w:pPr>
        <w:pStyle w:val="7"/>
        <w:ind w:firstLine="420"/>
      </w:pPr>
      <w:r>
        <w:t>车站控制室、车辆基地信号楼控制室、控制中心调度大厅内视频控制终端可与其他系统终端</w:t>
      </w:r>
      <w:r>
        <w:rPr>
          <w:rFonts w:hint="eastAsia"/>
        </w:rPr>
        <w:t>整合</w:t>
      </w:r>
      <w:r>
        <w:t>设置。全自动运行模式下可根据需求在中心等处增设视频控制及显示设备。</w:t>
      </w:r>
    </w:p>
    <w:p w14:paraId="0609AB98">
      <w:pPr>
        <w:pStyle w:val="7"/>
        <w:ind w:firstLine="420"/>
      </w:pPr>
      <w:r>
        <w:t>换乘站的</w:t>
      </w:r>
      <w:r>
        <w:rPr>
          <w:rFonts w:hint="eastAsia"/>
        </w:rPr>
        <w:t>车站、控制中心、公安值班员应能调看本站其他线路的站台、换乘通道、出入口等车站</w:t>
      </w:r>
      <w:r>
        <w:t>公共区域的摄像机</w:t>
      </w:r>
      <w:r>
        <w:rPr>
          <w:rFonts w:hint="eastAsia"/>
        </w:rPr>
        <w:t>实时视频</w:t>
      </w:r>
      <w:r>
        <w:t>。</w:t>
      </w:r>
    </w:p>
    <w:p w14:paraId="3C08925A">
      <w:pPr>
        <w:pStyle w:val="7"/>
        <w:ind w:firstLine="420"/>
      </w:pPr>
      <w:r>
        <w:t>视频监视系统宜与公安视频系统合并建设</w:t>
      </w:r>
      <w:r>
        <w:rPr>
          <w:rFonts w:hint="eastAsia"/>
        </w:rPr>
        <w:t>，在车站公安值班室、派出所等处设置监视终端，并将线路各车站、车辆基地、列车视频监视系统接入公安分局视频平台</w:t>
      </w:r>
      <w:r>
        <w:t>。</w:t>
      </w:r>
    </w:p>
    <w:p w14:paraId="2FE36003">
      <w:pPr>
        <w:pStyle w:val="7"/>
        <w:ind w:firstLine="420"/>
      </w:pPr>
      <w:r>
        <w:t>公安视频监视系统宜具有</w:t>
      </w:r>
      <w:r>
        <w:rPr>
          <w:rFonts w:hint="eastAsia"/>
        </w:rPr>
        <w:t>人像抓拍功能，可与视频监视系统共享监视摄像机。</w:t>
      </w:r>
    </w:p>
    <w:p w14:paraId="40E71A59">
      <w:pPr>
        <w:pStyle w:val="5"/>
        <w:tabs>
          <w:tab w:val="left" w:pos="709"/>
          <w:tab w:val="clear" w:pos="630"/>
        </w:tabs>
      </w:pPr>
      <w:bookmarkStart w:id="1263" w:name="_Toc168061731"/>
      <w:bookmarkStart w:id="1264" w:name="_Toc168061902"/>
      <w:bookmarkStart w:id="1265" w:name="_Toc168061284"/>
      <w:bookmarkStart w:id="1266" w:name="_Toc168059476"/>
      <w:r>
        <w:t>广播系统</w:t>
      </w:r>
      <w:bookmarkEnd w:id="1263"/>
      <w:bookmarkEnd w:id="1264"/>
      <w:bookmarkEnd w:id="1265"/>
      <w:bookmarkEnd w:id="1266"/>
    </w:p>
    <w:p w14:paraId="7CEA9834">
      <w:pPr>
        <w:pStyle w:val="7"/>
        <w:ind w:firstLine="420"/>
      </w:pPr>
      <w:r>
        <w:t>广播系统应保证控制中心调度员和车站值班员向乘客通告列车运行以及安全、向导、防灾等服务信息，向工作人员发布作业命令和通知，发生灾害时可兼做救灾广播。</w:t>
      </w:r>
    </w:p>
    <w:p w14:paraId="4EDDF4DB">
      <w:pPr>
        <w:pStyle w:val="7"/>
        <w:ind w:firstLine="420"/>
      </w:pPr>
      <w:r>
        <w:t>广播系统由路网广播</w:t>
      </w:r>
      <w:r>
        <w:rPr>
          <w:rFonts w:hint="eastAsia"/>
        </w:rPr>
        <w:t>系统、</w:t>
      </w:r>
      <w:r>
        <w:t>正线运营广播系统</w:t>
      </w:r>
      <w:r>
        <w:rPr>
          <w:rFonts w:hint="eastAsia"/>
        </w:rPr>
        <w:t>、车辆基地广播系统</w:t>
      </w:r>
      <w:r>
        <w:t>组成。</w:t>
      </w:r>
    </w:p>
    <w:p w14:paraId="34075A0A">
      <w:pPr>
        <w:pStyle w:val="7"/>
        <w:ind w:firstLine="420"/>
      </w:pPr>
      <w:r>
        <w:t>车站、车辆基地、控制中心广播控制终端可与其他系统终端</w:t>
      </w:r>
      <w:r>
        <w:rPr>
          <w:rFonts w:hint="eastAsia"/>
        </w:rPr>
        <w:t>整合</w:t>
      </w:r>
      <w:r>
        <w:t>设置</w:t>
      </w:r>
      <w:r>
        <w:rPr>
          <w:rFonts w:hint="eastAsia"/>
        </w:rPr>
        <w:t>，广播系统配置话筒设备</w:t>
      </w:r>
      <w:r>
        <w:t>。全自动运行模式下可根据</w:t>
      </w:r>
      <w:r>
        <w:rPr>
          <w:rFonts w:hint="eastAsia"/>
        </w:rPr>
        <w:t>需求</w:t>
      </w:r>
      <w:r>
        <w:t>在中心</w:t>
      </w:r>
      <w:r>
        <w:rPr>
          <w:rFonts w:hint="eastAsia"/>
        </w:rPr>
        <w:t>等处</w:t>
      </w:r>
      <w:r>
        <w:t>增设广播控制终端及</w:t>
      </w:r>
      <w:r>
        <w:rPr>
          <w:rFonts w:hint="eastAsia"/>
        </w:rPr>
        <w:t>话筒设备</w:t>
      </w:r>
      <w:r>
        <w:t>。</w:t>
      </w:r>
    </w:p>
    <w:p w14:paraId="1915FB5D">
      <w:pPr>
        <w:pStyle w:val="7"/>
        <w:ind w:firstLine="420"/>
      </w:pPr>
      <w:r>
        <w:rPr>
          <w:rFonts w:hint="eastAsia"/>
        </w:rPr>
        <w:t>广播系统应具备与火灾自动报警系统的联动，优先级处理，列车进站时自动语音广播，平行广播，多信源广播，预录制广播，录音等功能。</w:t>
      </w:r>
    </w:p>
    <w:p w14:paraId="7B58EE6E">
      <w:pPr>
        <w:pStyle w:val="7"/>
        <w:ind w:firstLine="420"/>
      </w:pPr>
      <w:r>
        <w:rPr>
          <w:rFonts w:hint="eastAsia"/>
        </w:rPr>
        <w:t>正线运营广播系统行车和防灾广播区域应统一设置，防灾广播应优先于行车广播。</w:t>
      </w:r>
    </w:p>
    <w:p w14:paraId="1DBFF563">
      <w:pPr>
        <w:pStyle w:val="7"/>
        <w:ind w:firstLine="420"/>
      </w:pPr>
      <w:r>
        <w:t>车站广播区宜按以下区域划分：上行站台区、下行站台区、站厅集散区、办公区、隧道广播区</w:t>
      </w:r>
      <w:r>
        <w:rPr>
          <w:rFonts w:hint="eastAsia"/>
        </w:rPr>
        <w:t>、换乘通道等</w:t>
      </w:r>
      <w:r>
        <w:t>，地面及高架线路不宜设沿线区间广播</w:t>
      </w:r>
      <w:r>
        <w:rPr>
          <w:rFonts w:hint="eastAsia"/>
        </w:rPr>
        <w:t>；安检区、自动扶梯等特定区域宜设置可变广播分区。</w:t>
      </w:r>
    </w:p>
    <w:p w14:paraId="6835A184">
      <w:pPr>
        <w:pStyle w:val="7"/>
        <w:ind w:firstLine="420"/>
      </w:pPr>
      <w:r>
        <w:t>各广播区应保证扬声器输出声压级与环境噪声声压级之比不低于10dB。在环境嘈杂区应设置噪声监测器，并自动控制音量。</w:t>
      </w:r>
    </w:p>
    <w:p w14:paraId="6C823AE3">
      <w:pPr>
        <w:pStyle w:val="7"/>
        <w:ind w:firstLine="420"/>
      </w:pPr>
      <w:r>
        <w:t>广播系统功放设备总容量应按照所有广播负荷区额定功率总和及线路的衰耗确定。功率放大器应按照N+1的方式热备用，系统应有功放自动检测倒换功能。广播功放宜采用数字技术。</w:t>
      </w:r>
    </w:p>
    <w:p w14:paraId="5B1A12EB">
      <w:pPr>
        <w:pStyle w:val="7"/>
        <w:ind w:firstLine="420"/>
      </w:pPr>
      <w:r>
        <w:rPr>
          <w:rFonts w:hint="eastAsia"/>
        </w:rPr>
        <w:t>车辆基地广播区宜包括：车场、运用库、联合检修库等。</w:t>
      </w:r>
    </w:p>
    <w:p w14:paraId="1254B656">
      <w:pPr>
        <w:pStyle w:val="7"/>
        <w:ind w:firstLine="420"/>
      </w:pPr>
      <w:r>
        <w:t>列车广播设备应与车辆配套设置。列车广播设备应兼有自动和人工播音方式，同时可接受控制中心调度员对运行列车中乘客</w:t>
      </w:r>
      <w:r>
        <w:rPr>
          <w:rFonts w:hint="eastAsia"/>
        </w:rPr>
        <w:t>进行</w:t>
      </w:r>
      <w:r>
        <w:t>语音广播。</w:t>
      </w:r>
    </w:p>
    <w:p w14:paraId="56E3C979">
      <w:pPr>
        <w:pStyle w:val="7"/>
        <w:ind w:firstLine="420"/>
      </w:pPr>
      <w:r>
        <w:t>同站台、同</w:t>
      </w:r>
      <w:r>
        <w:rPr>
          <w:rFonts w:hint="eastAsia"/>
        </w:rPr>
        <w:t>站</w:t>
      </w:r>
      <w:r>
        <w:t>厅换乘站共用换乘区域的广播扬声器设备</w:t>
      </w:r>
      <w:r>
        <w:rPr>
          <w:rFonts w:hint="eastAsia"/>
        </w:rPr>
        <w:t>宜</w:t>
      </w:r>
      <w:r>
        <w:t>共享，</w:t>
      </w:r>
      <w:r>
        <w:rPr>
          <w:rFonts w:hint="eastAsia"/>
        </w:rPr>
        <w:t>条件具备时应采用广播系统接口互连方式实现</w:t>
      </w:r>
      <w:r>
        <w:t>。</w:t>
      </w:r>
    </w:p>
    <w:p w14:paraId="7BB504B0">
      <w:pPr>
        <w:pStyle w:val="7"/>
        <w:ind w:firstLine="420"/>
      </w:pPr>
      <w:r>
        <w:t>防灾广播的功率传输线路不应与通信线缆或数据线缆共管或共槽。</w:t>
      </w:r>
    </w:p>
    <w:p w14:paraId="6A81DD0E">
      <w:pPr>
        <w:pStyle w:val="5"/>
        <w:tabs>
          <w:tab w:val="left" w:pos="709"/>
          <w:tab w:val="clear" w:pos="630"/>
        </w:tabs>
      </w:pPr>
      <w:bookmarkStart w:id="1267" w:name="_Toc168061903"/>
      <w:bookmarkStart w:id="1268" w:name="_Toc168061732"/>
      <w:bookmarkStart w:id="1269" w:name="_Toc168061285"/>
      <w:bookmarkStart w:id="1270" w:name="_Toc168059477"/>
      <w:r>
        <w:t>时钟系统</w:t>
      </w:r>
      <w:bookmarkEnd w:id="1267"/>
      <w:bookmarkEnd w:id="1268"/>
      <w:bookmarkEnd w:id="1269"/>
      <w:bookmarkEnd w:id="1270"/>
    </w:p>
    <w:p w14:paraId="130A4B83">
      <w:pPr>
        <w:pStyle w:val="7"/>
        <w:ind w:firstLine="420"/>
      </w:pPr>
      <w:r>
        <w:t>时钟系统应能为全线各站、控制中心、车辆基地提供统一的标准时间信号，能为通信各系统和其他各系统提供统一的校时信号。</w:t>
      </w:r>
    </w:p>
    <w:p w14:paraId="0CFFA9E0">
      <w:pPr>
        <w:pStyle w:val="7"/>
        <w:ind w:firstLine="420"/>
      </w:pPr>
      <w:r>
        <w:t>各线路时钟系统可采用控制中心与车站、车辆基地两级组网方式。由中心母钟(以下简称一级母钟)、车站和车辆基地的二级母钟、时间显示单元(以下简称子钟)组成。</w:t>
      </w:r>
    </w:p>
    <w:p w14:paraId="47249C37">
      <w:pPr>
        <w:pStyle w:val="7"/>
        <w:ind w:firstLine="420"/>
      </w:pPr>
      <w:r>
        <w:t>北京市轨道交通指挥中心设置中心母钟，统一向各线路提供时间信号。各线路在控制中心设置一级母钟，应能接收北京市轨道交通指挥中心母钟提供的标准时间信号或</w:t>
      </w:r>
      <w:r>
        <w:rPr>
          <w:rFonts w:hint="eastAsia"/>
        </w:rPr>
        <w:t>北斗</w:t>
      </w:r>
      <w:r>
        <w:t>卫星</w:t>
      </w:r>
      <w:r>
        <w:rPr>
          <w:rFonts w:hint="eastAsia"/>
        </w:rPr>
        <w:t>导航</w:t>
      </w:r>
      <w:r>
        <w:t>系统的标准时间信号。</w:t>
      </w:r>
    </w:p>
    <w:p w14:paraId="6289B967">
      <w:pPr>
        <w:pStyle w:val="7"/>
        <w:ind w:firstLine="420"/>
      </w:pPr>
      <w:r>
        <w:t>二级母钟设在车站、车辆基地，一级母钟定时向二级母钟发送时间编码信号校准信号，二级母钟产生时间信号提供给本地子钟。</w:t>
      </w:r>
    </w:p>
    <w:p w14:paraId="589A92F0">
      <w:pPr>
        <w:pStyle w:val="7"/>
        <w:ind w:firstLine="420"/>
      </w:pPr>
      <w:r>
        <w:t>子钟应设置在控制中心、车站、车辆基地与行车、运营管理有关的区域和房间内，一般包括中心调度室、站台、站厅、车站综合控制室、交接班室等处。子钟可采用数字式和指针式，采用双面或单面显示。在设置乘客信息系统显示终端的站台、站厅等处，宜由乘客信息系统显示终端的时钟显示替代子钟功能。在车站上、下行站台发车位置及</w:t>
      </w:r>
      <w:r>
        <w:rPr>
          <w:rFonts w:hint="eastAsia"/>
        </w:rPr>
        <w:t>车辆基地</w:t>
      </w:r>
      <w:r>
        <w:t>相关位置设置发车钟，宜与信号系统的发车计时器整合设置。</w:t>
      </w:r>
    </w:p>
    <w:p w14:paraId="3D03D7F4">
      <w:pPr>
        <w:pStyle w:val="7"/>
        <w:ind w:firstLine="420"/>
      </w:pPr>
      <w:r>
        <w:t>一级母钟自走时精度应在10</w:t>
      </w:r>
      <w:r>
        <w:rPr>
          <w:rFonts w:hint="eastAsia" w:ascii="微软雅黑" w:hAnsi="微软雅黑" w:eastAsia="微软雅黑" w:cs="微软雅黑"/>
          <w:vertAlign w:val="superscript"/>
        </w:rPr>
        <w:t>−</w:t>
      </w:r>
      <w:r>
        <w:rPr>
          <w:vertAlign w:val="superscript"/>
        </w:rPr>
        <w:t>7</w:t>
      </w:r>
      <w:r>
        <w:t>以上，二级母钟自走时精度应在10</w:t>
      </w:r>
      <w:r>
        <w:rPr>
          <w:rFonts w:hint="eastAsia" w:ascii="微软雅黑" w:hAnsi="微软雅黑" w:eastAsia="微软雅黑" w:cs="微软雅黑"/>
          <w:vertAlign w:val="superscript"/>
        </w:rPr>
        <w:t>−</w:t>
      </w:r>
      <w:r>
        <w:rPr>
          <w:vertAlign w:val="superscript"/>
        </w:rPr>
        <w:t>6</w:t>
      </w:r>
      <w:r>
        <w:t>以上。</w:t>
      </w:r>
    </w:p>
    <w:p w14:paraId="57809284">
      <w:pPr>
        <w:pStyle w:val="7"/>
        <w:ind w:firstLine="420"/>
      </w:pPr>
      <w:r>
        <w:t>一级母钟、二级母钟应配置多路输出接口，一级</w:t>
      </w:r>
      <w:r>
        <w:rPr>
          <w:rFonts w:hint="eastAsia"/>
        </w:rPr>
        <w:t>、二级</w:t>
      </w:r>
      <w:r>
        <w:t>母钟应配置数据接口，用于向其他系统提供</w:t>
      </w:r>
      <w:r>
        <w:rPr>
          <w:rFonts w:hint="eastAsia"/>
        </w:rPr>
        <w:t>时间</w:t>
      </w:r>
      <w:r>
        <w:t>信号。</w:t>
      </w:r>
    </w:p>
    <w:p w14:paraId="7A81BAD9">
      <w:pPr>
        <w:pStyle w:val="7"/>
        <w:ind w:firstLine="420"/>
      </w:pPr>
      <w:r>
        <w:t>一级母钟应能监测二级母钟的运行状态，并能显示处于故障状态下的二级母钟位置及主要故障内容。在一级母钟故障或传输通道中断时，二级母钟应能正常工作。其产生的标准时间信号，通过各输出信道驱动本地区子钟；二级母钟故障时，子钟可脱网独立运行，子钟未接到校时信息应有明显的提示或告警。</w:t>
      </w:r>
    </w:p>
    <w:p w14:paraId="5DEA226C">
      <w:pPr>
        <w:pStyle w:val="5"/>
        <w:tabs>
          <w:tab w:val="left" w:pos="851"/>
          <w:tab w:val="clear" w:pos="630"/>
        </w:tabs>
      </w:pPr>
      <w:bookmarkStart w:id="1271" w:name="_Toc168061905"/>
      <w:bookmarkStart w:id="1272" w:name="_Toc168059479"/>
      <w:bookmarkStart w:id="1273" w:name="_Toc168061734"/>
      <w:bookmarkStart w:id="1274" w:name="_Toc168061287"/>
      <w:bookmarkStart w:id="1275" w:name="_Toc168061286"/>
      <w:bookmarkStart w:id="1276" w:name="_Toc168059478"/>
      <w:bookmarkStart w:id="1277" w:name="_Toc168061733"/>
      <w:bookmarkStart w:id="1278" w:name="_Toc168061904"/>
      <w:r>
        <w:t>通信电源系统及接地</w:t>
      </w:r>
      <w:bookmarkEnd w:id="1271"/>
      <w:bookmarkEnd w:id="1272"/>
      <w:bookmarkEnd w:id="1273"/>
      <w:bookmarkEnd w:id="1274"/>
    </w:p>
    <w:p w14:paraId="7A37725B">
      <w:pPr>
        <w:pStyle w:val="7"/>
        <w:ind w:firstLine="420"/>
      </w:pPr>
      <w:r>
        <w:t>通信电源系统应保证对通信设备不间断、无瞬变的供电，满足通信设备对电源的要求。</w:t>
      </w:r>
    </w:p>
    <w:p w14:paraId="3C2B0731">
      <w:pPr>
        <w:pStyle w:val="7"/>
        <w:ind w:firstLine="420"/>
      </w:pPr>
      <w:r>
        <w:t>通信电源系统可按照独立的电源设备设置，也可纳入综合电源系统。通信电源系统应具有集中监控管理功能</w:t>
      </w:r>
      <w:r>
        <w:rPr>
          <w:rFonts w:hint="eastAsia"/>
        </w:rPr>
        <w:t>。</w:t>
      </w:r>
    </w:p>
    <w:p w14:paraId="59BFBFA3">
      <w:pPr>
        <w:pStyle w:val="7"/>
        <w:ind w:firstLine="420"/>
      </w:pPr>
      <w:r>
        <w:t>通信设备应为一级负荷供电，引接双电源双回路的交流电源至通信电源交流配电屏，当一路</w:t>
      </w:r>
      <w:r>
        <w:rPr>
          <w:rFonts w:hint="eastAsia"/>
        </w:rPr>
        <w:t>电源</w:t>
      </w:r>
      <w:r>
        <w:t>出现故障时，应能自动切换至另一路。</w:t>
      </w:r>
      <w:r>
        <w:rPr>
          <w:rFonts w:hint="eastAsia"/>
        </w:rPr>
        <w:t>两路电的切换宜由通信电源设备完成，切换信息应纳入集中监控。</w:t>
      </w:r>
    </w:p>
    <w:p w14:paraId="2C27AC14">
      <w:pPr>
        <w:pStyle w:val="7"/>
        <w:ind w:firstLine="420"/>
      </w:pPr>
      <w:r>
        <w:t>直流供电的通信设备，</w:t>
      </w:r>
      <w:r>
        <w:rPr>
          <w:rFonts w:hint="eastAsia"/>
        </w:rPr>
        <w:t>可</w:t>
      </w:r>
      <w:r>
        <w:t>采用高频开关电源方式集中供电。直流电源基础电压为</w:t>
      </w:r>
      <w:r>
        <w:rPr>
          <w:rFonts w:hint="eastAsia" w:ascii="微软雅黑" w:hAnsi="微软雅黑" w:eastAsia="微软雅黑" w:cs="微软雅黑"/>
        </w:rPr>
        <w:t>−</w:t>
      </w:r>
      <w:r>
        <w:t>48V，其他种类的直流电源电压应通过直流变换器供电。</w:t>
      </w:r>
    </w:p>
    <w:p w14:paraId="09014945">
      <w:pPr>
        <w:pStyle w:val="7"/>
        <w:ind w:firstLine="420"/>
      </w:pPr>
      <w:r>
        <w:t>交流供电的通信设备，</w:t>
      </w:r>
      <w:r>
        <w:rPr>
          <w:rFonts w:hint="eastAsia"/>
        </w:rPr>
        <w:t>宜</w:t>
      </w:r>
      <w:r>
        <w:t>采用交流不间断电源供电方式。</w:t>
      </w:r>
    </w:p>
    <w:p w14:paraId="116492EB">
      <w:pPr>
        <w:pStyle w:val="7"/>
        <w:ind w:firstLine="420"/>
      </w:pPr>
      <w:r>
        <w:t>电源设备容量的配置应符合下列要求：</w:t>
      </w:r>
    </w:p>
    <w:p w14:paraId="5A64F359">
      <w:pPr>
        <w:pStyle w:val="86"/>
        <w:ind w:firstLine="420"/>
        <w:rPr>
          <w:color w:val="auto"/>
        </w:rPr>
      </w:pPr>
      <w:r>
        <w:rPr>
          <w:color w:val="auto"/>
        </w:rPr>
        <w:t>1</w:t>
      </w:r>
      <w:r>
        <w:rPr>
          <w:rFonts w:hint="eastAsia"/>
          <w:color w:val="auto"/>
        </w:rPr>
        <w:t xml:space="preserve">）  </w:t>
      </w:r>
      <w:r>
        <w:rPr>
          <w:color w:val="auto"/>
        </w:rPr>
        <w:t>直流配电设备的容量应按远期负荷配置；</w:t>
      </w:r>
    </w:p>
    <w:p w14:paraId="6DD87D17">
      <w:pPr>
        <w:pStyle w:val="86"/>
        <w:ind w:firstLine="420"/>
        <w:rPr>
          <w:color w:val="auto"/>
        </w:rPr>
      </w:pPr>
      <w:r>
        <w:rPr>
          <w:color w:val="auto"/>
        </w:rPr>
        <w:t>2</w:t>
      </w:r>
      <w:r>
        <w:rPr>
          <w:rFonts w:hint="eastAsia"/>
          <w:color w:val="auto"/>
        </w:rPr>
        <w:t xml:space="preserve">）  </w:t>
      </w:r>
      <w:r>
        <w:rPr>
          <w:color w:val="auto"/>
        </w:rPr>
        <w:t>整流器、直流变换器、逆变器、不间断电源设备的容量应按近期配置；</w:t>
      </w:r>
    </w:p>
    <w:p w14:paraId="2543BA71">
      <w:pPr>
        <w:pStyle w:val="86"/>
        <w:ind w:firstLine="420"/>
        <w:rPr>
          <w:color w:val="auto"/>
        </w:rPr>
      </w:pPr>
      <w:r>
        <w:rPr>
          <w:color w:val="auto"/>
        </w:rPr>
        <w:t>3</w:t>
      </w:r>
      <w:r>
        <w:rPr>
          <w:rFonts w:hint="eastAsia"/>
          <w:color w:val="auto"/>
        </w:rPr>
        <w:t xml:space="preserve">）  </w:t>
      </w:r>
      <w:r>
        <w:rPr>
          <w:color w:val="auto"/>
        </w:rPr>
        <w:t>蓄电池的容量应按近期负荷配置，保证连续供电不少于2h；</w:t>
      </w:r>
    </w:p>
    <w:p w14:paraId="325447DC">
      <w:pPr>
        <w:ind w:firstLine="420" w:firstLineChars="200"/>
      </w:pPr>
      <w:r>
        <w:t>4</w:t>
      </w:r>
      <w:r>
        <w:rPr>
          <w:rFonts w:hint="eastAsia"/>
        </w:rPr>
        <w:t>）  高频开关电源蓄电池一般设置两组并联，每组容量应为总容量的1/2。交流不间断电源设备的蓄电池宜设一组。当容量不足时可并联，蓄电池组的并联组数不应超过四组。</w:t>
      </w:r>
    </w:p>
    <w:p w14:paraId="66558F59">
      <w:pPr>
        <w:ind w:firstLine="420" w:firstLineChars="200"/>
      </w:pPr>
      <w:r>
        <w:t>5</w:t>
      </w:r>
      <w:r>
        <w:rPr>
          <w:rFonts w:hint="eastAsia"/>
        </w:rPr>
        <w:t>）  当蓄电池组并联使用时，并联蓄电池组的型号、容量应相同，生产时期应相近。</w:t>
      </w:r>
    </w:p>
    <w:p w14:paraId="7B692DA8">
      <w:pPr>
        <w:pStyle w:val="7"/>
        <w:ind w:firstLine="420"/>
      </w:pPr>
      <w:r>
        <w:t>通信电源主要设备应具有集中监控管理功能，即具有性能管理、配置管理、安全管理、故障管理等功能，并应能检测到每节蓄电池工作状态。</w:t>
      </w:r>
    </w:p>
    <w:p w14:paraId="0D098E8E">
      <w:pPr>
        <w:pStyle w:val="7"/>
        <w:ind w:firstLine="420"/>
      </w:pPr>
      <w:r>
        <w:t>通信设备的接地系统设计，应满足人身安全要求和通信设备的正常运行。</w:t>
      </w:r>
    </w:p>
    <w:p w14:paraId="42AE8F43">
      <w:pPr>
        <w:pStyle w:val="7"/>
        <w:ind w:firstLine="420"/>
      </w:pPr>
      <w:r>
        <w:t>城市轨道交通车站、控制中心与车辆基地宜采用综合接地方式，车辆基地也可采用分设接地方式。室外综合接地体电阻值不应大于1Ω。</w:t>
      </w:r>
    </w:p>
    <w:p w14:paraId="3DBAE797">
      <w:pPr>
        <w:pStyle w:val="7"/>
        <w:ind w:firstLine="420"/>
      </w:pPr>
      <w:r>
        <w:t>当通信</w:t>
      </w:r>
      <w:r>
        <w:rPr>
          <w:rFonts w:hint="eastAsia"/>
        </w:rPr>
        <w:t>室外</w:t>
      </w:r>
      <w:r>
        <w:t>设备独立设置接地装置时，接地电阻值不应大于4Ω，困难时不应大于10Ω。</w:t>
      </w:r>
    </w:p>
    <w:p w14:paraId="4653550F">
      <w:pPr>
        <w:pStyle w:val="5"/>
        <w:tabs>
          <w:tab w:val="left" w:pos="851"/>
          <w:tab w:val="clear" w:pos="630"/>
        </w:tabs>
      </w:pPr>
      <w:bookmarkStart w:id="1279" w:name="_Toc168061735"/>
      <w:bookmarkStart w:id="1280" w:name="_Toc168061906"/>
      <w:bookmarkStart w:id="1281" w:name="_Toc168059480"/>
      <w:bookmarkStart w:id="1282" w:name="_Toc168061288"/>
      <w:r>
        <w:t>集中告警系统</w:t>
      </w:r>
      <w:bookmarkEnd w:id="1279"/>
      <w:bookmarkEnd w:id="1280"/>
      <w:bookmarkEnd w:id="1281"/>
      <w:bookmarkEnd w:id="1282"/>
    </w:p>
    <w:p w14:paraId="05F30C0D">
      <w:pPr>
        <w:pStyle w:val="7"/>
        <w:ind w:firstLine="420"/>
      </w:pPr>
      <w:r>
        <w:t>专用通信系统应设置集中告警系统，以保证维护人员能及时、准确地了解通信各子系统设备运行状况和故障信息，提高维护和管理效率。</w:t>
      </w:r>
    </w:p>
    <w:p w14:paraId="5821FBE7">
      <w:pPr>
        <w:pStyle w:val="7"/>
        <w:ind w:firstLine="420"/>
      </w:pPr>
      <w:r>
        <w:t>集中告警系统设备宜设置于控制中心或维护中心，并可实现故障监测、安全管理等功能。</w:t>
      </w:r>
    </w:p>
    <w:p w14:paraId="2AC9BB10">
      <w:pPr>
        <w:pStyle w:val="7"/>
        <w:ind w:firstLine="420"/>
      </w:pPr>
      <w:r>
        <w:t>集中告警系统与通信各子系统的网络管理系统间应采用标准、通用的硬件接口和通信协议。</w:t>
      </w:r>
    </w:p>
    <w:p w14:paraId="181A2F1B">
      <w:pPr>
        <w:pStyle w:val="7"/>
        <w:ind w:firstLine="420"/>
      </w:pPr>
      <w:r>
        <w:t>集中告警系统应利用通信各子系统具有的自诊断功能，采集通信各子系统的设备故障信息，进行记录和告警。</w:t>
      </w:r>
    </w:p>
    <w:p w14:paraId="3F8DCD90">
      <w:pPr>
        <w:pStyle w:val="7"/>
        <w:ind w:firstLine="420"/>
      </w:pPr>
      <w:r>
        <w:rPr>
          <w:rFonts w:hint="eastAsia"/>
        </w:rPr>
        <w:t>集中告警系统可利用信息化技术进行智能分析和决策，宜有能力通过接口将设备故障信息提供给其他综合运维系统、综合监控系统等。</w:t>
      </w:r>
    </w:p>
    <w:p w14:paraId="3E13F457">
      <w:pPr>
        <w:pStyle w:val="5"/>
        <w:tabs>
          <w:tab w:val="left" w:pos="851"/>
          <w:tab w:val="clear" w:pos="630"/>
        </w:tabs>
      </w:pPr>
      <w:bookmarkStart w:id="1283" w:name="_Toc168059482"/>
      <w:bookmarkStart w:id="1284" w:name="_Toc168061290"/>
      <w:bookmarkStart w:id="1285" w:name="_Toc168061737"/>
      <w:bookmarkStart w:id="1286" w:name="_Toc168061908"/>
      <w:r>
        <w:t>办公自动化系统</w:t>
      </w:r>
    </w:p>
    <w:p w14:paraId="1E917E15">
      <w:pPr>
        <w:pStyle w:val="7"/>
        <w:ind w:firstLine="420"/>
      </w:pPr>
      <w:r>
        <w:t>办公自动化系统应为运营单位的运营和管理提供电子办公、信息发布、日常运作和管理、资源管理、人员交流的信息平台。</w:t>
      </w:r>
    </w:p>
    <w:p w14:paraId="4E9EA240">
      <w:pPr>
        <w:pStyle w:val="7"/>
        <w:ind w:firstLine="420"/>
      </w:pPr>
      <w:r>
        <w:t>办公自动化软件平台建设宜根据运营单位的需求，统一规划和实施。</w:t>
      </w:r>
    </w:p>
    <w:p w14:paraId="36C35B0D">
      <w:pPr>
        <w:pStyle w:val="7"/>
        <w:ind w:firstLine="420"/>
      </w:pPr>
      <w:r>
        <w:t>办公自动化系统可在各线路控制中心、车站、车辆基地设置数据网络设备，在与城市轨道交通运营相关办公场所应设置用户终端设备。</w:t>
      </w:r>
    </w:p>
    <w:p w14:paraId="7F88C77A">
      <w:pPr>
        <w:pStyle w:val="7"/>
        <w:ind w:firstLine="420"/>
      </w:pPr>
      <w:r>
        <w:t>办公自动化系统的网络建设，宜根据数据流向和业务分部分层设置，包括核心层、汇聚层和接入层。</w:t>
      </w:r>
    </w:p>
    <w:p w14:paraId="3D5997A5">
      <w:pPr>
        <w:pStyle w:val="7"/>
        <w:ind w:firstLine="420"/>
      </w:pPr>
      <w:r>
        <w:t>办公自动化系统可利用传输系统作为主干传输网络，用户终端设备可通过综合布线系统接入网络设备。</w:t>
      </w:r>
    </w:p>
    <w:p w14:paraId="311B6664">
      <w:pPr>
        <w:pStyle w:val="7"/>
        <w:ind w:firstLine="420"/>
      </w:pPr>
      <w:r>
        <w:t>办公自动化系统应设置完善的网络安全措施。</w:t>
      </w:r>
    </w:p>
    <w:p w14:paraId="0333CED1">
      <w:pPr>
        <w:numPr>
          <w:ilvl w:val="1"/>
          <w:numId w:val="1"/>
        </w:numPr>
        <w:snapToGrid w:val="0"/>
        <w:spacing w:before="156" w:after="156" w:line="240" w:lineRule="auto"/>
        <w:jc w:val="center"/>
        <w:outlineLvl w:val="1"/>
        <w:rPr>
          <w:rFonts w:eastAsia="黑体"/>
          <w:bCs/>
          <w:szCs w:val="28"/>
        </w:rPr>
      </w:pPr>
      <w:bookmarkStart w:id="1287" w:name="_Toc183882515"/>
      <w:bookmarkStart w:id="1288" w:name="_Toc183765162"/>
      <w:bookmarkStart w:id="1289" w:name="_Toc183888205"/>
      <w:bookmarkStart w:id="1290" w:name="_Toc183882153"/>
      <w:bookmarkStart w:id="1291" w:name="_Toc183888567"/>
      <w:bookmarkStart w:id="1292" w:name="_Toc183790592"/>
      <w:bookmarkStart w:id="1293" w:name="_Toc183683567"/>
      <w:r>
        <w:rPr>
          <w:rFonts w:eastAsia="黑体"/>
          <w:bCs/>
          <w:szCs w:val="28"/>
        </w:rPr>
        <w:t>公安通信系统</w:t>
      </w:r>
      <w:bookmarkEnd w:id="1283"/>
      <w:bookmarkEnd w:id="1284"/>
      <w:bookmarkEnd w:id="1285"/>
      <w:bookmarkEnd w:id="1286"/>
      <w:bookmarkEnd w:id="1287"/>
      <w:bookmarkEnd w:id="1288"/>
      <w:bookmarkEnd w:id="1289"/>
      <w:bookmarkEnd w:id="1290"/>
      <w:bookmarkEnd w:id="1291"/>
      <w:bookmarkEnd w:id="1292"/>
      <w:bookmarkEnd w:id="1293"/>
    </w:p>
    <w:p w14:paraId="7591DC26">
      <w:pPr>
        <w:pStyle w:val="5"/>
        <w:tabs>
          <w:tab w:val="left" w:pos="709"/>
          <w:tab w:val="clear" w:pos="630"/>
        </w:tabs>
      </w:pPr>
      <w:r>
        <w:t>公安通信系统应根据北京市公安局轨道交通公安管理部门的需求进行设置。</w:t>
      </w:r>
    </w:p>
    <w:p w14:paraId="77B78ECC">
      <w:pPr>
        <w:pStyle w:val="5"/>
        <w:tabs>
          <w:tab w:val="left" w:pos="709"/>
          <w:tab w:val="clear" w:pos="630"/>
        </w:tabs>
      </w:pPr>
      <w:r>
        <w:t>公安通信系统宜由公安视频监视系统、公安无线通信引入系统、公安数据网络和公安电源系统等组成。</w:t>
      </w:r>
    </w:p>
    <w:p w14:paraId="57EE15BA">
      <w:pPr>
        <w:pStyle w:val="5"/>
        <w:tabs>
          <w:tab w:val="left" w:pos="709"/>
          <w:tab w:val="clear" w:pos="630"/>
        </w:tabs>
      </w:pPr>
      <w:r>
        <w:t>公安通信系统的建设</w:t>
      </w:r>
      <w:r>
        <w:rPr>
          <w:rFonts w:hint="eastAsia"/>
        </w:rPr>
        <w:t>宜共享</w:t>
      </w:r>
      <w:r>
        <w:t>通信系统的</w:t>
      </w:r>
      <w:r>
        <w:rPr>
          <w:rFonts w:hint="eastAsia"/>
        </w:rPr>
        <w:t>桥架、线槽等</w:t>
      </w:r>
      <w:r>
        <w:t>设施。</w:t>
      </w:r>
    </w:p>
    <w:p w14:paraId="63C476E1">
      <w:pPr>
        <w:pStyle w:val="5"/>
        <w:tabs>
          <w:tab w:val="left" w:pos="709"/>
          <w:tab w:val="clear" w:pos="630"/>
        </w:tabs>
      </w:pPr>
      <w:r>
        <w:t>公安视频监视系统应满足公安部门对车站</w:t>
      </w:r>
      <w:r>
        <w:rPr>
          <w:rFonts w:hint="eastAsia"/>
        </w:rPr>
        <w:t>、车辆综合接地以及列车</w:t>
      </w:r>
      <w:r>
        <w:t>范围监视的需要，可在城市轨道交通公安分局、城市轨道交通派出所及车站公安值班室进行监视。</w:t>
      </w:r>
    </w:p>
    <w:p w14:paraId="03118EAD">
      <w:pPr>
        <w:pStyle w:val="5"/>
        <w:tabs>
          <w:tab w:val="left" w:pos="709"/>
          <w:tab w:val="clear" w:pos="630"/>
        </w:tabs>
      </w:pPr>
      <w:r>
        <w:t>公安视频监视系统宜</w:t>
      </w:r>
      <w:r>
        <w:rPr>
          <w:rFonts w:hint="eastAsia"/>
        </w:rPr>
        <w:t>单独建设执法办案视频监视系统，线路各车站公安安全室、派出所六室等处设置音视频采集设备，派出所及公安分局设置控制终端及显示设备，音视频信息保存时间不少于9</w:t>
      </w:r>
      <w:r>
        <w:t>0</w:t>
      </w:r>
      <w:r>
        <w:rPr>
          <w:rFonts w:hint="eastAsia"/>
        </w:rPr>
        <w:t>天。</w:t>
      </w:r>
    </w:p>
    <w:p w14:paraId="539B3CC4">
      <w:pPr>
        <w:pStyle w:val="5"/>
        <w:tabs>
          <w:tab w:val="left" w:pos="709"/>
          <w:tab w:val="clear" w:pos="630"/>
        </w:tabs>
      </w:pPr>
      <w:r>
        <w:t>公安无线通信系统为中心公安调度员和车站值班民警、民警和民警等之间建立通信手段，是市局公安无线系统的一部分，该系统应与市局公安无线系统在系统制式、功能等方面保持一致，并根据公安部门需求将800MHz数字集群系统引入城市轨道交通或预留引入的条件。</w:t>
      </w:r>
    </w:p>
    <w:p w14:paraId="057714B5">
      <w:pPr>
        <w:pStyle w:val="5"/>
        <w:tabs>
          <w:tab w:val="left" w:pos="709"/>
          <w:tab w:val="clear" w:pos="630"/>
        </w:tabs>
      </w:pPr>
      <w:r>
        <w:t>公安无线通信引入系统应实现与市公安既有无线通信系统的兼容及互联互通。</w:t>
      </w:r>
    </w:p>
    <w:p w14:paraId="446224A4">
      <w:pPr>
        <w:pStyle w:val="5"/>
        <w:tabs>
          <w:tab w:val="left" w:pos="709"/>
          <w:tab w:val="clear" w:pos="630"/>
        </w:tabs>
      </w:pPr>
      <w:r>
        <w:t>公安无线通信引入系统应覆盖城市轨道交通范围内车站及</w:t>
      </w:r>
      <w:r>
        <w:rPr>
          <w:rFonts w:hint="eastAsia"/>
        </w:rPr>
        <w:t>地下</w:t>
      </w:r>
      <w:r>
        <w:t>隧道空间。系统覆盖区域宜包括：车站站厅、站台、出入口通道、办公区走廊</w:t>
      </w:r>
      <w:r>
        <w:rPr>
          <w:rFonts w:hint="eastAsia"/>
        </w:rPr>
        <w:t>以及地下</w:t>
      </w:r>
      <w:r>
        <w:t>隧道区间。</w:t>
      </w:r>
    </w:p>
    <w:p w14:paraId="04248CF6">
      <w:pPr>
        <w:pStyle w:val="5"/>
        <w:tabs>
          <w:tab w:val="left" w:pos="709"/>
          <w:tab w:val="clear" w:pos="630"/>
        </w:tabs>
      </w:pPr>
      <w:r>
        <w:t>站厅层、出入口及换乘通道的无线信号宜采用天线覆盖方式，隧道和站台应采用漏缆覆盖方式；高架站站台根据装修情况，可采用天线覆盖方式。</w:t>
      </w:r>
    </w:p>
    <w:p w14:paraId="094063A1">
      <w:pPr>
        <w:pStyle w:val="5"/>
        <w:tabs>
          <w:tab w:val="left" w:pos="851"/>
          <w:tab w:val="clear" w:pos="630"/>
        </w:tabs>
      </w:pPr>
      <w:r>
        <w:t>公安无线通信系统在城市轨道交通内集群分基站的频点配置，应避免与相关地面集群主基站相互干扰。</w:t>
      </w:r>
    </w:p>
    <w:p w14:paraId="063ADC0D">
      <w:pPr>
        <w:pStyle w:val="5"/>
        <w:tabs>
          <w:tab w:val="left" w:pos="851"/>
          <w:tab w:val="clear" w:pos="630"/>
        </w:tabs>
      </w:pPr>
      <w:r>
        <w:t>公安350MHz集群通信系统的信道机宜为独立模块，并应具有系统扩展能力，话音信道应满足公安频点范围内自适应工作</w:t>
      </w:r>
      <w:r>
        <w:rPr>
          <w:rFonts w:hint="eastAsia"/>
        </w:rPr>
        <w:t>要求</w:t>
      </w:r>
      <w:r>
        <w:t>。</w:t>
      </w:r>
    </w:p>
    <w:p w14:paraId="1B1899EB">
      <w:pPr>
        <w:pStyle w:val="5"/>
        <w:tabs>
          <w:tab w:val="left" w:pos="851"/>
          <w:tab w:val="clear" w:pos="630"/>
        </w:tabs>
      </w:pPr>
      <w:r>
        <w:t>公安350MHz集群通信系统在城市轨道交通无线通信系统的服务区域是以频率复用为基础的链状区域，服务要求在无线调度网内的通话，话音质量达到三级标准(音频带内信噪比不小于20dB)；在保证话音质量的条件下，边缘可通概率为系统空间波覆盖的时间地点概率应不小于90%，漏泄同轴电缆辐射电波覆盖的时间地点概率应不小于95%。</w:t>
      </w:r>
    </w:p>
    <w:p w14:paraId="19D592E2">
      <w:pPr>
        <w:pStyle w:val="5"/>
        <w:tabs>
          <w:tab w:val="left" w:pos="851"/>
          <w:tab w:val="clear" w:pos="630"/>
        </w:tabs>
      </w:pPr>
      <w:r>
        <w:t>公安350MHz集群通信系统应具备通话功能、调度功能，应满足城市轨道交通内值班民警之间、值班民警与派出所之间、值班民警与市局公交总队之间的正常通话和应急情况下的通信需求</w:t>
      </w:r>
      <w:r>
        <w:rPr>
          <w:rFonts w:hint="eastAsia"/>
        </w:rPr>
        <w:t>。</w:t>
      </w:r>
    </w:p>
    <w:p w14:paraId="317098A8">
      <w:pPr>
        <w:pStyle w:val="5"/>
        <w:tabs>
          <w:tab w:val="left" w:pos="851"/>
          <w:tab w:val="clear" w:pos="630"/>
        </w:tabs>
      </w:pPr>
      <w:r>
        <w:t>公安350MHz集群系统可通过无线调度统一指挥系统设备，引入800MHz数字集群系统的通话语音，实现两套无线系统之间的公安语音互通。</w:t>
      </w:r>
    </w:p>
    <w:p w14:paraId="479D337B">
      <w:pPr>
        <w:pStyle w:val="5"/>
        <w:tabs>
          <w:tab w:val="left" w:pos="851"/>
          <w:tab w:val="clear" w:pos="630"/>
        </w:tabs>
      </w:pPr>
      <w:r>
        <w:t>公安集群通信统一调度指挥系统应具备下列功能：</w:t>
      </w:r>
    </w:p>
    <w:p w14:paraId="74CCD657">
      <w:pPr>
        <w:pStyle w:val="86"/>
        <w:ind w:firstLine="422"/>
        <w:rPr>
          <w:color w:val="auto"/>
        </w:rPr>
      </w:pPr>
      <w:r>
        <w:rPr>
          <w:b/>
          <w:color w:val="auto"/>
        </w:rPr>
        <w:t>1</w:t>
      </w:r>
      <w:r>
        <w:rPr>
          <w:rFonts w:hint="eastAsia"/>
          <w:b/>
          <w:color w:val="auto"/>
        </w:rPr>
        <w:t xml:space="preserve">  </w:t>
      </w:r>
      <w:r>
        <w:rPr>
          <w:color w:val="auto"/>
        </w:rPr>
        <w:t>350MHz系统和800MHz系统应互联互通，实现统一调度和联动指挥；</w:t>
      </w:r>
    </w:p>
    <w:p w14:paraId="7147AD95">
      <w:pPr>
        <w:pStyle w:val="86"/>
        <w:ind w:firstLine="422"/>
        <w:rPr>
          <w:color w:val="auto"/>
        </w:rPr>
      </w:pPr>
      <w:r>
        <w:rPr>
          <w:rFonts w:hint="eastAsia"/>
          <w:b/>
          <w:color w:val="auto"/>
        </w:rPr>
        <w:t>2</w:t>
      </w:r>
      <w:r>
        <w:rPr>
          <w:b/>
          <w:color w:val="auto"/>
        </w:rPr>
        <w:t xml:space="preserve"> </w:t>
      </w:r>
      <w:r>
        <w:rPr>
          <w:color w:val="auto"/>
        </w:rPr>
        <w:t xml:space="preserve"> 常规通信与集群通信应能互联互通，实现常规终端呼叫集群终端。</w:t>
      </w:r>
    </w:p>
    <w:p w14:paraId="65DB0F35">
      <w:pPr>
        <w:pStyle w:val="5"/>
        <w:tabs>
          <w:tab w:val="left" w:pos="851"/>
          <w:tab w:val="clear" w:pos="630"/>
        </w:tabs>
      </w:pPr>
      <w:r>
        <w:t>公安数据网应能满足轨道交通公安管理部门、城市轨道交通派出所及车站公安安全室间的数据传输需求，并可接入城市公安数据网络。公安数据网络宜采用IP数据网络，宜在轨道交通公安管理部门、各派出所和车站设置数据交换设备，网络可根据信息流向分层设置。</w:t>
      </w:r>
    </w:p>
    <w:p w14:paraId="1FE35B9E">
      <w:pPr>
        <w:pStyle w:val="5"/>
        <w:tabs>
          <w:tab w:val="left" w:pos="851"/>
          <w:tab w:val="clear" w:pos="630"/>
        </w:tabs>
      </w:pPr>
      <w:r>
        <w:t>公安数据网所需的光纤宜单独敷设，采用G.652单模光缆，光缆敷设可利用专用通信系统的托架、管道或线槽，光缆的性能要求同专用通信系统的光缆。</w:t>
      </w:r>
    </w:p>
    <w:p w14:paraId="703E7D6F">
      <w:pPr>
        <w:pStyle w:val="5"/>
        <w:tabs>
          <w:tab w:val="left" w:pos="851"/>
          <w:tab w:val="clear" w:pos="630"/>
        </w:tabs>
      </w:pPr>
      <w:r>
        <w:t>公安通信电源系统应能满足公安视频监视系统、公安无线通信引入系统、公安数据网络等设备的供电需求。</w:t>
      </w:r>
    </w:p>
    <w:p w14:paraId="285EFEA4">
      <w:pPr>
        <w:pStyle w:val="5"/>
        <w:tabs>
          <w:tab w:val="left" w:pos="851"/>
          <w:tab w:val="clear" w:pos="630"/>
        </w:tabs>
      </w:pPr>
      <w:r>
        <w:t>公安通信电源系统应为一级负荷，</w:t>
      </w:r>
      <w:r>
        <w:rPr>
          <w:rFonts w:hint="eastAsia"/>
        </w:rPr>
        <w:t>宜</w:t>
      </w:r>
      <w:r>
        <w:t>纳入UPS整合系统，备用时长</w:t>
      </w:r>
      <w:r>
        <w:rPr>
          <w:rFonts w:hint="eastAsia"/>
        </w:rPr>
        <w:t>宜不低于</w:t>
      </w:r>
      <w:r>
        <w:t>0.5h。</w:t>
      </w:r>
    </w:p>
    <w:p w14:paraId="5F5BA208">
      <w:pPr>
        <w:pStyle w:val="5"/>
        <w:tabs>
          <w:tab w:val="left" w:pos="851"/>
          <w:tab w:val="clear" w:pos="630"/>
        </w:tabs>
      </w:pPr>
      <w:r>
        <w:t>公安通信系统的接地设计要求同</w:t>
      </w:r>
      <w:r>
        <w:rPr>
          <w:rFonts w:hint="eastAsia"/>
        </w:rPr>
        <w:t>17.2.9的8、9、10</w:t>
      </w:r>
      <w:r>
        <w:t>。</w:t>
      </w:r>
    </w:p>
    <w:p w14:paraId="5963FF8C">
      <w:pPr>
        <w:numPr>
          <w:ilvl w:val="1"/>
          <w:numId w:val="1"/>
        </w:numPr>
        <w:snapToGrid w:val="0"/>
        <w:spacing w:before="156" w:after="156" w:line="240" w:lineRule="auto"/>
        <w:jc w:val="center"/>
        <w:outlineLvl w:val="1"/>
        <w:rPr>
          <w:rFonts w:eastAsia="黑体"/>
          <w:bCs/>
          <w:szCs w:val="28"/>
        </w:rPr>
      </w:pPr>
      <w:bookmarkStart w:id="1294" w:name="_Toc168061738"/>
      <w:bookmarkStart w:id="1295" w:name="_Toc168061291"/>
      <w:bookmarkStart w:id="1296" w:name="_Toc168061909"/>
      <w:bookmarkStart w:id="1297" w:name="_Toc183882154"/>
      <w:bookmarkStart w:id="1298" w:name="_Toc183882516"/>
      <w:bookmarkStart w:id="1299" w:name="_Toc183790593"/>
      <w:bookmarkStart w:id="1300" w:name="_Toc183683568"/>
      <w:bookmarkStart w:id="1301" w:name="_Toc183888206"/>
      <w:bookmarkStart w:id="1302" w:name="_Toc168059483"/>
      <w:bookmarkStart w:id="1303" w:name="_Toc183888568"/>
      <w:bookmarkStart w:id="1304" w:name="_Toc183765163"/>
      <w:r>
        <w:rPr>
          <w:rFonts w:eastAsia="黑体"/>
          <w:bCs/>
          <w:szCs w:val="28"/>
        </w:rPr>
        <w:t>政务通信系统</w:t>
      </w:r>
      <w:bookmarkEnd w:id="1294"/>
      <w:bookmarkEnd w:id="1295"/>
      <w:bookmarkEnd w:id="1296"/>
      <w:bookmarkEnd w:id="1297"/>
      <w:bookmarkEnd w:id="1298"/>
      <w:bookmarkEnd w:id="1299"/>
      <w:bookmarkEnd w:id="1300"/>
      <w:bookmarkEnd w:id="1301"/>
      <w:bookmarkEnd w:id="1302"/>
      <w:bookmarkEnd w:id="1303"/>
      <w:bookmarkEnd w:id="1304"/>
    </w:p>
    <w:p w14:paraId="6C4F7440">
      <w:pPr>
        <w:pStyle w:val="5"/>
        <w:tabs>
          <w:tab w:val="left" w:pos="709"/>
          <w:tab w:val="clear" w:pos="630"/>
        </w:tabs>
      </w:pPr>
      <w:r>
        <w:t>政务通信系统建设应将</w:t>
      </w:r>
      <w:r>
        <w:rPr>
          <w:rFonts w:hint="eastAsia"/>
        </w:rPr>
        <w:t>地面</w:t>
      </w:r>
      <w:r>
        <w:t>集群信号引入地下。引入方式宜采用有线链路集中引入。轨道交通建设</w:t>
      </w:r>
      <w:r>
        <w:rPr>
          <w:rFonts w:hint="eastAsia"/>
        </w:rPr>
        <w:t>仅</w:t>
      </w:r>
      <w:r>
        <w:t>考虑地下区域内的传输链路和无线</w:t>
      </w:r>
      <w:r>
        <w:rPr>
          <w:rFonts w:hint="eastAsia"/>
        </w:rPr>
        <w:t>覆盖。</w:t>
      </w:r>
    </w:p>
    <w:p w14:paraId="3F2BA5A6">
      <w:pPr>
        <w:pStyle w:val="5"/>
        <w:tabs>
          <w:tab w:val="left" w:pos="709"/>
          <w:tab w:val="clear" w:pos="630"/>
        </w:tabs>
      </w:pPr>
      <w:r>
        <w:t>政务通信系统包括政务无线通信系统</w:t>
      </w:r>
      <w:r>
        <w:rPr>
          <w:rFonts w:hint="eastAsia"/>
        </w:rPr>
        <w:t>、</w:t>
      </w:r>
      <w:r>
        <w:t>传输系统、电源与接地等子系统。</w:t>
      </w:r>
    </w:p>
    <w:p w14:paraId="087EA873">
      <w:pPr>
        <w:pStyle w:val="5"/>
        <w:tabs>
          <w:tab w:val="left" w:pos="709"/>
          <w:tab w:val="clear" w:pos="630"/>
        </w:tabs>
      </w:pPr>
      <w:r>
        <w:t>政务无线通信系统应提供</w:t>
      </w:r>
      <w:r>
        <w:rPr>
          <w:rFonts w:hint="eastAsia"/>
        </w:rPr>
        <w:t>的主要功能包括：语音通话承载、数据承载、故障弱化、网管功能。</w:t>
      </w:r>
    </w:p>
    <w:p w14:paraId="7E1100C4">
      <w:pPr>
        <w:pStyle w:val="5"/>
        <w:tabs>
          <w:tab w:val="left" w:pos="709"/>
          <w:tab w:val="clear" w:pos="630"/>
        </w:tabs>
      </w:pPr>
      <w:r>
        <w:t>政务通信系统的交换机设置可利用地面政务无线通信交换机进行扩容的方式或新设方式。</w:t>
      </w:r>
    </w:p>
    <w:p w14:paraId="6D5759DC">
      <w:pPr>
        <w:pStyle w:val="5"/>
        <w:tabs>
          <w:tab w:val="left" w:pos="709"/>
          <w:tab w:val="clear" w:pos="630"/>
        </w:tabs>
      </w:pPr>
      <w:r>
        <w:t>政务无线通信系统的频率配置应避免信道机之间产生互调干扰。应避免和既有线换乘站的同频、邻频干扰；应避免使用城市轨道交通专用无线系统的频点，并与之保持一定的隔离度。</w:t>
      </w:r>
    </w:p>
    <w:p w14:paraId="4B1F3419">
      <w:pPr>
        <w:pStyle w:val="5"/>
        <w:tabs>
          <w:tab w:val="left" w:pos="709"/>
          <w:tab w:val="clear" w:pos="630"/>
        </w:tabs>
      </w:pPr>
      <w:r>
        <w:t>政务无线通信系统的天馈宜与公安350M集群天馈共用。政务传输系统主要为轨道交通政务无线集群基站、网管及直放站网管提供链路通道。</w:t>
      </w:r>
    </w:p>
    <w:p w14:paraId="071E8192">
      <w:pPr>
        <w:pStyle w:val="5"/>
        <w:tabs>
          <w:tab w:val="left" w:pos="709"/>
          <w:tab w:val="clear" w:pos="630"/>
        </w:tabs>
      </w:pPr>
      <w:r>
        <w:t>政务</w:t>
      </w:r>
      <w:r>
        <w:rPr>
          <w:rFonts w:hint="eastAsia"/>
        </w:rPr>
        <w:t>传输</w:t>
      </w:r>
      <w:r>
        <w:t>系统可利用通信系统光缆中的光纤资源自建传输系统，提供各基站间、基站与政务专网集群交换机间以及网管所需的以太网通道，并在政务通信控制中心设置相应网管设备。政务通信系统电源及接地应满足政务通信系统的用电及接地要求，宜与公安通信系统合并设置。</w:t>
      </w:r>
    </w:p>
    <w:p w14:paraId="385D7364">
      <w:pPr>
        <w:pStyle w:val="5"/>
        <w:tabs>
          <w:tab w:val="left" w:pos="709"/>
          <w:tab w:val="clear" w:pos="630"/>
        </w:tabs>
      </w:pPr>
      <w:r>
        <w:t>政务通信系统机房宜与公安通信共用通信机房合并设置。</w:t>
      </w:r>
    </w:p>
    <w:p w14:paraId="74208364">
      <w:pPr>
        <w:numPr>
          <w:ilvl w:val="1"/>
          <w:numId w:val="1"/>
        </w:numPr>
        <w:snapToGrid w:val="0"/>
        <w:spacing w:before="156" w:after="156" w:line="240" w:lineRule="auto"/>
        <w:jc w:val="center"/>
        <w:outlineLvl w:val="1"/>
        <w:rPr>
          <w:rFonts w:eastAsia="黑体"/>
          <w:bCs/>
          <w:szCs w:val="28"/>
        </w:rPr>
      </w:pPr>
      <w:bookmarkStart w:id="1305" w:name="_Toc183888569"/>
      <w:bookmarkStart w:id="1306" w:name="_Toc168059481"/>
      <w:bookmarkStart w:id="1307" w:name="_Toc168061289"/>
      <w:bookmarkStart w:id="1308" w:name="_Toc183882517"/>
      <w:bookmarkStart w:id="1309" w:name="_Toc183882155"/>
      <w:bookmarkStart w:id="1310" w:name="_Toc183683569"/>
      <w:bookmarkStart w:id="1311" w:name="_Toc183765164"/>
      <w:bookmarkStart w:id="1312" w:name="_Toc183888207"/>
      <w:bookmarkStart w:id="1313" w:name="_Toc183790594"/>
      <w:bookmarkStart w:id="1314" w:name="_Toc168061907"/>
      <w:bookmarkStart w:id="1315" w:name="_Toc168061736"/>
      <w:r>
        <w:rPr>
          <w:rFonts w:eastAsia="黑体"/>
          <w:bCs/>
          <w:szCs w:val="28"/>
        </w:rPr>
        <w:t>民用通信系统</w:t>
      </w:r>
      <w:bookmarkEnd w:id="1305"/>
      <w:bookmarkEnd w:id="1306"/>
      <w:bookmarkEnd w:id="1307"/>
      <w:bookmarkEnd w:id="1308"/>
      <w:bookmarkEnd w:id="1309"/>
      <w:bookmarkEnd w:id="1310"/>
      <w:bookmarkEnd w:id="1311"/>
      <w:bookmarkEnd w:id="1312"/>
      <w:bookmarkEnd w:id="1313"/>
      <w:bookmarkEnd w:id="1314"/>
      <w:bookmarkEnd w:id="1315"/>
    </w:p>
    <w:p w14:paraId="1E5D78C9">
      <w:pPr>
        <w:pStyle w:val="5"/>
        <w:tabs>
          <w:tab w:val="left" w:pos="709"/>
          <w:tab w:val="clear" w:pos="630"/>
        </w:tabs>
      </w:pPr>
      <w:r>
        <w:t>民用通信系统</w:t>
      </w:r>
      <w:r>
        <w:rPr>
          <w:rFonts w:hint="eastAsia"/>
        </w:rPr>
        <w:t>应符合现行国家标准《地铁设计规范》GB 50157的有关规定</w:t>
      </w:r>
      <w:r>
        <w:t>。</w:t>
      </w:r>
    </w:p>
    <w:p w14:paraId="02EF6867">
      <w:pPr>
        <w:pStyle w:val="5"/>
        <w:tabs>
          <w:tab w:val="left" w:pos="709"/>
          <w:tab w:val="clear" w:pos="630"/>
        </w:tabs>
      </w:pPr>
      <w:r>
        <w:rPr>
          <w:rFonts w:hint="eastAsia"/>
        </w:rPr>
        <w:t>民用通信系统宜由民用传输系统、民用通信引入系统、民用电源系统等组成。</w:t>
      </w:r>
    </w:p>
    <w:p w14:paraId="3584DF6E">
      <w:pPr>
        <w:pStyle w:val="5"/>
        <w:tabs>
          <w:tab w:val="left" w:pos="709"/>
          <w:tab w:val="clear" w:pos="630"/>
        </w:tabs>
      </w:pPr>
      <w:r>
        <w:rPr>
          <w:rFonts w:hint="eastAsia"/>
        </w:rPr>
        <w:t>民用传输系统宜由为民用通信引入系统、民用电源系统等提供传输通道，其容量应满足扩展的需要，宜预留不少于30%的余量。</w:t>
      </w:r>
    </w:p>
    <w:p w14:paraId="457C58A7">
      <w:pPr>
        <w:pStyle w:val="5"/>
        <w:tabs>
          <w:tab w:val="left" w:pos="709"/>
          <w:tab w:val="clear" w:pos="630"/>
        </w:tabs>
      </w:pPr>
      <w:r>
        <w:rPr>
          <w:rFonts w:hint="eastAsia"/>
        </w:rPr>
        <w:t>民用通信引入系统宜覆盖地下车站的站厅公共区、站台公共区、设备区、办公区、出入口通道、换乘通道、正线隧道区间。</w:t>
      </w:r>
    </w:p>
    <w:p w14:paraId="4E61D968">
      <w:pPr>
        <w:pStyle w:val="5"/>
        <w:tabs>
          <w:tab w:val="left" w:pos="709"/>
          <w:tab w:val="clear" w:pos="630"/>
        </w:tabs>
      </w:pPr>
      <w:r>
        <w:t>民用电源系统应满足民用传输系统、</w:t>
      </w:r>
      <w:r>
        <w:rPr>
          <w:rFonts w:hint="eastAsia"/>
        </w:rPr>
        <w:t>民用</w:t>
      </w:r>
      <w:r>
        <w:t>通信引入系统等设备的供电需求。可根据具体要求划定供电范围及质量要求</w:t>
      </w:r>
      <w:r>
        <w:rPr>
          <w:rFonts w:hint="eastAsia"/>
        </w:rPr>
        <w:t>。</w:t>
      </w:r>
    </w:p>
    <w:p w14:paraId="1ADE4359">
      <w:pPr>
        <w:pStyle w:val="5"/>
        <w:tabs>
          <w:tab w:val="left" w:pos="709"/>
          <w:tab w:val="clear" w:pos="630"/>
        </w:tabs>
      </w:pPr>
      <w:r>
        <w:t>民用电源系统</w:t>
      </w:r>
      <w:r>
        <w:rPr>
          <w:rFonts w:hint="eastAsia"/>
        </w:rPr>
        <w:t>宜</w:t>
      </w:r>
      <w:r>
        <w:t>由交流电源切换屏、交流配电盘、不间断电源和接地系统组成，民用传输系统的供电</w:t>
      </w:r>
      <w:r>
        <w:rPr>
          <w:rFonts w:hint="eastAsia"/>
        </w:rPr>
        <w:t>宜</w:t>
      </w:r>
      <w:r>
        <w:t>配置不间断电源电源，不间断电源的后备供电时间不少于2h。</w:t>
      </w:r>
      <w:r>
        <w:rPr>
          <w:rFonts w:hint="eastAsia"/>
        </w:rPr>
        <w:t>为民用通信引入</w:t>
      </w:r>
      <w:r>
        <w:t>设备的供电配置电量计量设备</w:t>
      </w:r>
      <w:r>
        <w:rPr>
          <w:rFonts w:hint="eastAsia"/>
        </w:rPr>
        <w:t>。</w:t>
      </w:r>
    </w:p>
    <w:p w14:paraId="5BCA7BA1">
      <w:pPr>
        <w:pStyle w:val="5"/>
        <w:tabs>
          <w:tab w:val="left" w:pos="709"/>
          <w:tab w:val="clear" w:pos="630"/>
        </w:tabs>
      </w:pPr>
      <w:r>
        <w:t>民用通信系统的接地设计要求同17.2.9.</w:t>
      </w:r>
      <w:r>
        <w:rPr>
          <w:rFonts w:hint="eastAsia"/>
        </w:rPr>
        <w:t>的</w:t>
      </w:r>
      <w:r>
        <w:t>8</w:t>
      </w:r>
      <w:r>
        <w:rPr>
          <w:rFonts w:hint="eastAsia"/>
        </w:rPr>
        <w:t>、</w:t>
      </w:r>
      <w:r>
        <w:t>9</w:t>
      </w:r>
      <w:r>
        <w:rPr>
          <w:rFonts w:hint="eastAsia"/>
        </w:rPr>
        <w:t>、</w:t>
      </w:r>
      <w:r>
        <w:t>10。</w:t>
      </w:r>
    </w:p>
    <w:bookmarkEnd w:id="1275"/>
    <w:bookmarkEnd w:id="1276"/>
    <w:bookmarkEnd w:id="1277"/>
    <w:bookmarkEnd w:id="1278"/>
    <w:p w14:paraId="01F5C894">
      <w:pPr>
        <w:numPr>
          <w:ilvl w:val="1"/>
          <w:numId w:val="1"/>
        </w:numPr>
        <w:snapToGrid w:val="0"/>
        <w:spacing w:before="156" w:after="156" w:line="240" w:lineRule="auto"/>
        <w:jc w:val="center"/>
        <w:outlineLvl w:val="1"/>
        <w:rPr>
          <w:rFonts w:eastAsia="黑体"/>
          <w:bCs/>
          <w:szCs w:val="28"/>
        </w:rPr>
      </w:pPr>
      <w:bookmarkStart w:id="1316" w:name="_Toc168059484"/>
      <w:bookmarkStart w:id="1317" w:name="_Toc168061292"/>
      <w:bookmarkStart w:id="1318" w:name="_Toc168061739"/>
      <w:bookmarkStart w:id="1319" w:name="_Toc183882156"/>
      <w:bookmarkStart w:id="1320" w:name="_Toc183888208"/>
      <w:bookmarkStart w:id="1321" w:name="_Toc168061910"/>
      <w:bookmarkStart w:id="1322" w:name="_Toc183882518"/>
      <w:bookmarkStart w:id="1323" w:name="_Toc183765165"/>
      <w:bookmarkStart w:id="1324" w:name="_Toc183790595"/>
      <w:bookmarkStart w:id="1325" w:name="_Toc183683570"/>
      <w:bookmarkStart w:id="1326" w:name="_Toc183888570"/>
      <w:r>
        <w:rPr>
          <w:rFonts w:eastAsia="黑体"/>
          <w:bCs/>
          <w:szCs w:val="28"/>
        </w:rPr>
        <w:t>通信系统防雷要求</w:t>
      </w:r>
      <w:bookmarkEnd w:id="1316"/>
      <w:bookmarkEnd w:id="1317"/>
      <w:bookmarkEnd w:id="1318"/>
      <w:bookmarkEnd w:id="1319"/>
      <w:bookmarkEnd w:id="1320"/>
      <w:bookmarkEnd w:id="1321"/>
      <w:bookmarkEnd w:id="1322"/>
      <w:bookmarkEnd w:id="1323"/>
      <w:bookmarkEnd w:id="1324"/>
      <w:bookmarkEnd w:id="1325"/>
      <w:bookmarkEnd w:id="1326"/>
    </w:p>
    <w:p w14:paraId="4D1C7742">
      <w:pPr>
        <w:pStyle w:val="5"/>
        <w:tabs>
          <w:tab w:val="left" w:pos="709"/>
          <w:tab w:val="clear" w:pos="630"/>
        </w:tabs>
      </w:pPr>
      <w:r>
        <w:t>通信设备防雷应结合设备所处空间的雷电电磁环境，保证设备和线路在空间的合理布置。通信设备防雷应按地面区域雷电活动和设备安装环境进行分区分级防护。</w:t>
      </w:r>
    </w:p>
    <w:p w14:paraId="5818003C">
      <w:pPr>
        <w:pStyle w:val="5"/>
        <w:tabs>
          <w:tab w:val="left" w:pos="709"/>
          <w:tab w:val="clear" w:pos="630"/>
        </w:tabs>
      </w:pPr>
      <w:r>
        <w:rPr>
          <w:rFonts w:hint="eastAsia"/>
        </w:rPr>
        <w:t>光缆、电缆引入室内时应做绝缘接头，室内外金属护层及金属加强芯应断开，并应彼此绝缘。并应做</w:t>
      </w:r>
      <w:r>
        <w:t>光缆终端</w:t>
      </w:r>
      <w:r>
        <w:rPr>
          <w:rFonts w:hint="eastAsia"/>
        </w:rPr>
        <w:t>、电缆终端</w:t>
      </w:r>
      <w:r>
        <w:t>。</w:t>
      </w:r>
    </w:p>
    <w:p w14:paraId="2BCDE5CD">
      <w:pPr>
        <w:pStyle w:val="5"/>
        <w:tabs>
          <w:tab w:val="left" w:pos="709"/>
          <w:tab w:val="clear" w:pos="630"/>
        </w:tabs>
      </w:pPr>
      <w:r>
        <w:t>控制中心、车辆基地、车站</w:t>
      </w:r>
      <w:r>
        <w:rPr>
          <w:rFonts w:hint="eastAsia"/>
        </w:rPr>
        <w:t>室外配线电缆</w:t>
      </w:r>
      <w:r>
        <w:t>的音频配线单元均应配置保安器</w:t>
      </w:r>
      <w:r>
        <w:rPr>
          <w:rFonts w:hint="eastAsia"/>
        </w:rPr>
        <w:t>。</w:t>
      </w:r>
    </w:p>
    <w:p w14:paraId="14F5A172">
      <w:pPr>
        <w:pStyle w:val="5"/>
        <w:tabs>
          <w:tab w:val="left" w:pos="709"/>
          <w:tab w:val="clear" w:pos="630"/>
        </w:tabs>
      </w:pPr>
      <w:r>
        <w:t>无线通信系统地面基站天线应采用防雷措施，基站天线杆加装避雷针。基站天线应加装天馈线浪涌保护器；在地面、高架区段和地下线路的出入段部分区间的漏缆及馈线，应加装浪涌保护器。</w:t>
      </w:r>
    </w:p>
    <w:p w14:paraId="2E3F6031">
      <w:pPr>
        <w:pStyle w:val="5"/>
        <w:tabs>
          <w:tab w:val="left" w:pos="709"/>
          <w:tab w:val="clear" w:pos="630"/>
        </w:tabs>
      </w:pPr>
      <w:r>
        <w:rPr>
          <w:rFonts w:hint="eastAsia"/>
        </w:rPr>
        <w:t>室外摄像机应在</w:t>
      </w:r>
      <w:r>
        <w:t>视频、电源及控制电缆的两侧(机房侧和摄像机侧)应分别加装相应的浪涌保护器</w:t>
      </w:r>
      <w:r>
        <w:rPr>
          <w:rFonts w:hint="eastAsia"/>
        </w:rPr>
        <w:t>，</w:t>
      </w:r>
      <w:r>
        <w:t>室外摄像头立杆应安装避雷针</w:t>
      </w:r>
      <w:r>
        <w:rPr>
          <w:rFonts w:hint="eastAsia"/>
        </w:rPr>
        <w:t>，均可靠接地。</w:t>
      </w:r>
    </w:p>
    <w:p w14:paraId="505A001B">
      <w:pPr>
        <w:pStyle w:val="5"/>
        <w:tabs>
          <w:tab w:val="left" w:pos="709"/>
          <w:tab w:val="clear" w:pos="630"/>
        </w:tabs>
      </w:pPr>
      <w:r>
        <w:t>车辆基地、地面站和高架站的广播系统信号线、控制线、电源线均在机柜侧或终端设备侧加装浪涌保护器；车辆基地、地面站和高架站的功率放大器的出线应加装浪涌保护器。</w:t>
      </w:r>
    </w:p>
    <w:p w14:paraId="27C2F084">
      <w:pPr>
        <w:pStyle w:val="5"/>
        <w:tabs>
          <w:tab w:val="left" w:pos="709"/>
          <w:tab w:val="clear" w:pos="630"/>
        </w:tabs>
      </w:pPr>
      <w:r>
        <w:t>地面站、高架站和车辆基地的二级母钟的信号输出线和电源输出线需要采取防雷电感应措施；地面站、高架站发车钟及车辆基地室外子钟的信号输入线和电源输入线需要加装浪涌保护器。</w:t>
      </w:r>
    </w:p>
    <w:p w14:paraId="7C91B039">
      <w:pPr>
        <w:pStyle w:val="5"/>
        <w:tabs>
          <w:tab w:val="left" w:pos="709"/>
          <w:tab w:val="clear" w:pos="630"/>
        </w:tabs>
      </w:pPr>
      <w:r>
        <w:rPr>
          <w:rFonts w:hint="eastAsia"/>
        </w:rPr>
        <w:t>北斗</w:t>
      </w:r>
      <w:r>
        <w:t>卫星</w:t>
      </w:r>
      <w:r>
        <w:rPr>
          <w:rFonts w:hint="eastAsia"/>
        </w:rPr>
        <w:t>导航</w:t>
      </w:r>
      <w:r>
        <w:t>系统天线馈线应加装高频信号浪涌保护器。</w:t>
      </w:r>
    </w:p>
    <w:p w14:paraId="7C22645A">
      <w:pPr>
        <w:pStyle w:val="5"/>
        <w:tabs>
          <w:tab w:val="left" w:pos="709"/>
          <w:tab w:val="clear" w:pos="630"/>
        </w:tabs>
      </w:pPr>
      <w:r>
        <w:t>通信电源设备的配电单元、设备输入输出处等均应设置浪涌保护器。</w:t>
      </w:r>
    </w:p>
    <w:p w14:paraId="4E70D565">
      <w:pPr>
        <w:numPr>
          <w:ilvl w:val="1"/>
          <w:numId w:val="1"/>
        </w:numPr>
        <w:snapToGrid w:val="0"/>
        <w:spacing w:before="156" w:after="156" w:line="240" w:lineRule="auto"/>
        <w:jc w:val="center"/>
        <w:outlineLvl w:val="1"/>
        <w:rPr>
          <w:rFonts w:eastAsia="黑体"/>
          <w:bCs/>
          <w:szCs w:val="28"/>
        </w:rPr>
      </w:pPr>
      <w:bookmarkStart w:id="1327" w:name="_Toc168059485"/>
      <w:bookmarkStart w:id="1328" w:name="_Toc168061293"/>
      <w:bookmarkStart w:id="1329" w:name="_Toc183882157"/>
      <w:bookmarkStart w:id="1330" w:name="_Toc183683571"/>
      <w:bookmarkStart w:id="1331" w:name="_Toc183888209"/>
      <w:bookmarkStart w:id="1332" w:name="_Toc183765166"/>
      <w:bookmarkStart w:id="1333" w:name="_Toc183790596"/>
      <w:bookmarkStart w:id="1334" w:name="_Toc168061740"/>
      <w:bookmarkStart w:id="1335" w:name="_Toc183888571"/>
      <w:bookmarkStart w:id="1336" w:name="_Toc183882519"/>
      <w:bookmarkStart w:id="1337" w:name="_Toc168061911"/>
      <w:r>
        <w:rPr>
          <w:rFonts w:eastAsia="黑体"/>
          <w:bCs/>
          <w:szCs w:val="28"/>
        </w:rPr>
        <w:t>通信用房要求</w:t>
      </w:r>
      <w:bookmarkEnd w:id="1327"/>
      <w:bookmarkEnd w:id="1328"/>
      <w:bookmarkEnd w:id="1329"/>
      <w:bookmarkEnd w:id="1330"/>
      <w:bookmarkEnd w:id="1331"/>
      <w:bookmarkEnd w:id="1332"/>
      <w:bookmarkEnd w:id="1333"/>
      <w:bookmarkEnd w:id="1334"/>
      <w:bookmarkEnd w:id="1335"/>
      <w:bookmarkEnd w:id="1336"/>
      <w:bookmarkEnd w:id="1337"/>
    </w:p>
    <w:p w14:paraId="59B7518A">
      <w:pPr>
        <w:pStyle w:val="5"/>
        <w:tabs>
          <w:tab w:val="left" w:pos="709"/>
          <w:tab w:val="clear" w:pos="630"/>
        </w:tabs>
      </w:pPr>
      <w:r>
        <w:t>专用通信设备用房可与信号设备用房、综合监控设备用房等弱电设备用房整合设置，用房面积应考虑设备更新改造需求。民用通信引入宜设立单独的设备用房。根据需要提供公安通信系统的设备用房。</w:t>
      </w:r>
    </w:p>
    <w:p w14:paraId="68C010C5">
      <w:pPr>
        <w:pStyle w:val="5"/>
        <w:tabs>
          <w:tab w:val="left" w:pos="709"/>
          <w:tab w:val="clear" w:pos="630"/>
        </w:tabs>
      </w:pPr>
      <w:r>
        <w:t>城市轨道交通通信设备用房，应根据设备合理布置的原则确定机房及生产辅助用房的面积。</w:t>
      </w:r>
    </w:p>
    <w:p w14:paraId="2B503627">
      <w:pPr>
        <w:pStyle w:val="5"/>
        <w:tabs>
          <w:tab w:val="left" w:pos="709"/>
          <w:tab w:val="clear" w:pos="630"/>
        </w:tabs>
      </w:pPr>
      <w:r>
        <w:t>城市轨道交通通信设备用房的位置安排，除应做到经济合理、运转安全外，尚应做到缆线引入方便、配线最短和便于维修等。通信设备用房内设备布置间距宜符合现行国家标准《数据中心设计规范》GB 50174的规定。</w:t>
      </w:r>
    </w:p>
    <w:p w14:paraId="3F3A2ED0">
      <w:pPr>
        <w:pStyle w:val="5"/>
        <w:tabs>
          <w:tab w:val="left" w:pos="709"/>
          <w:tab w:val="clear" w:pos="630"/>
        </w:tabs>
      </w:pPr>
      <w:r>
        <w:t>城市轨道交通通信设备机房不应与电力变电所相邻。</w:t>
      </w:r>
    </w:p>
    <w:p w14:paraId="3622C7B1">
      <w:pPr>
        <w:pStyle w:val="5"/>
        <w:tabs>
          <w:tab w:val="left" w:pos="709"/>
          <w:tab w:val="clear" w:pos="630"/>
        </w:tabs>
      </w:pPr>
      <w:r>
        <w:t>城市轨道交通通信设备机房的</w:t>
      </w:r>
      <w:r>
        <w:rPr>
          <w:rFonts w:hint="eastAsia"/>
        </w:rPr>
        <w:t>环境</w:t>
      </w:r>
      <w:r>
        <w:t>应满足通信设备的要求，并应做到能够防尘、防潮及防止静电</w:t>
      </w:r>
      <w:r>
        <w:rPr>
          <w:rFonts w:hint="eastAsia"/>
        </w:rPr>
        <w:t>，满足电磁防护要求</w:t>
      </w:r>
      <w:r>
        <w:t>。</w:t>
      </w:r>
    </w:p>
    <w:p w14:paraId="6F539AE1">
      <w:pPr>
        <w:pStyle w:val="5"/>
        <w:tabs>
          <w:tab w:val="left" w:pos="709"/>
          <w:tab w:val="clear" w:pos="630"/>
        </w:tabs>
      </w:pPr>
      <w:r>
        <w:t> 在城市轨道交通通信设备用房的设计中，应根据通信设备及布线的要求合理预留沟、槽、管、孔</w:t>
      </w:r>
      <w:r>
        <w:rPr>
          <w:rFonts w:hint="eastAsia"/>
        </w:rPr>
        <w:t>，电源线缆和其他线缆</w:t>
      </w:r>
      <w:r>
        <w:t>宜分槽敷设</w:t>
      </w:r>
      <w:r>
        <w:rPr>
          <w:rFonts w:hint="eastAsia"/>
        </w:rPr>
        <w:t>。通信管、槽贯穿隔墙、楼板的孔洞处应进行防火封堵</w:t>
      </w:r>
      <w:r>
        <w:t>。</w:t>
      </w:r>
    </w:p>
    <w:p w14:paraId="756991D0">
      <w:pPr>
        <w:pStyle w:val="5"/>
        <w:tabs>
          <w:tab w:val="left" w:pos="709"/>
          <w:tab w:val="clear" w:pos="630"/>
        </w:tabs>
      </w:pPr>
      <w:r>
        <w:rPr>
          <w:rFonts w:hint="eastAsia"/>
        </w:rPr>
        <w:t>城市轨道交通通信设备用房应采取防鼠害措施。</w:t>
      </w:r>
    </w:p>
    <w:p w14:paraId="6E0BBDF0">
      <w:pPr>
        <w:pStyle w:val="5"/>
        <w:tabs>
          <w:tab w:val="left" w:pos="709"/>
          <w:tab w:val="clear" w:pos="630"/>
        </w:tabs>
      </w:pPr>
      <w:r>
        <w:t>城市轨道交通通信设备机房的工艺要求应符合表17.17.8的规定，其他辅助用房按一般办公用房工艺要求设计。</w:t>
      </w:r>
    </w:p>
    <w:p w14:paraId="5382973F">
      <w:pPr>
        <w:pStyle w:val="198"/>
      </w:pPr>
      <w:r>
        <w:t>表.17.</w:t>
      </w:r>
      <w:r>
        <w:rPr>
          <w:rFonts w:hint="eastAsia"/>
        </w:rPr>
        <w:t>1</w:t>
      </w:r>
      <w:r>
        <w:t>7</w:t>
      </w:r>
      <w:r>
        <w:rPr>
          <w:rFonts w:hint="eastAsia"/>
        </w:rPr>
        <w:t xml:space="preserve"> </w:t>
      </w:r>
      <w:r>
        <w:t>8</w:t>
      </w:r>
      <w:r>
        <w:rPr>
          <w:rFonts w:hint="eastAsia"/>
        </w:rPr>
        <w:t xml:space="preserve">  </w:t>
      </w:r>
      <w:r>
        <w:t>通信设备机房工艺要求</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174"/>
        <w:gridCol w:w="3166"/>
      </w:tblGrid>
      <w:tr w14:paraId="435CA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7" w:hRule="atLeast"/>
        </w:trPr>
        <w:tc>
          <w:tcPr>
            <w:tcW w:w="3174" w:type="dxa"/>
            <w:tcBorders>
              <w:left w:val="single" w:color="000000" w:sz="6" w:space="0"/>
            </w:tcBorders>
            <w:vAlign w:val="center"/>
          </w:tcPr>
          <w:p w14:paraId="53F13DDA">
            <w:pPr>
              <w:pStyle w:val="235"/>
              <w:rPr>
                <w:color w:val="auto"/>
              </w:rPr>
            </w:pPr>
            <w:r>
              <w:rPr>
                <w:color w:val="auto"/>
              </w:rPr>
              <w:t>内容</w:t>
            </w:r>
          </w:p>
        </w:tc>
        <w:tc>
          <w:tcPr>
            <w:tcW w:w="3166" w:type="dxa"/>
            <w:tcBorders>
              <w:right w:val="single" w:color="000000" w:sz="6" w:space="0"/>
            </w:tcBorders>
            <w:vAlign w:val="center"/>
          </w:tcPr>
          <w:p w14:paraId="68DEB899">
            <w:pPr>
              <w:pStyle w:val="235"/>
              <w:rPr>
                <w:color w:val="auto"/>
              </w:rPr>
            </w:pPr>
            <w:r>
              <w:rPr>
                <w:color w:val="auto"/>
              </w:rPr>
              <w:t>要求</w:t>
            </w:r>
          </w:p>
        </w:tc>
      </w:tr>
      <w:tr w14:paraId="1A5CA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2" w:hRule="atLeast"/>
        </w:trPr>
        <w:tc>
          <w:tcPr>
            <w:tcW w:w="3174" w:type="dxa"/>
            <w:tcBorders>
              <w:left w:val="single" w:color="000000" w:sz="6" w:space="0"/>
            </w:tcBorders>
            <w:vAlign w:val="center"/>
          </w:tcPr>
          <w:p w14:paraId="55A72986">
            <w:pPr>
              <w:pStyle w:val="235"/>
              <w:rPr>
                <w:color w:val="auto"/>
              </w:rPr>
            </w:pPr>
            <w:r>
              <w:rPr>
                <w:color w:val="auto"/>
              </w:rPr>
              <w:t>室内最小净高(m)</w:t>
            </w:r>
          </w:p>
        </w:tc>
        <w:tc>
          <w:tcPr>
            <w:tcW w:w="3166" w:type="dxa"/>
            <w:tcBorders>
              <w:right w:val="single" w:color="000000" w:sz="6" w:space="0"/>
            </w:tcBorders>
            <w:vAlign w:val="center"/>
          </w:tcPr>
          <w:p w14:paraId="08F0D65F">
            <w:pPr>
              <w:pStyle w:val="235"/>
              <w:rPr>
                <w:color w:val="auto"/>
              </w:rPr>
            </w:pPr>
            <w:r>
              <w:rPr>
                <w:color w:val="auto"/>
              </w:rPr>
              <w:t>2.8(不含架空地板和吊顶的高度)</w:t>
            </w:r>
          </w:p>
        </w:tc>
      </w:tr>
      <w:tr w14:paraId="790B7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1" w:hRule="atLeast"/>
        </w:trPr>
        <w:tc>
          <w:tcPr>
            <w:tcW w:w="3174" w:type="dxa"/>
            <w:tcBorders>
              <w:left w:val="single" w:color="000000" w:sz="6" w:space="0"/>
            </w:tcBorders>
            <w:vAlign w:val="center"/>
          </w:tcPr>
          <w:p w14:paraId="6EC28924">
            <w:pPr>
              <w:pStyle w:val="235"/>
              <w:rPr>
                <w:color w:val="auto"/>
              </w:rPr>
            </w:pPr>
            <w:r>
              <w:rPr>
                <w:color w:val="auto"/>
              </w:rPr>
              <w:t>地面均布荷载(kg/m2)</w:t>
            </w:r>
          </w:p>
        </w:tc>
        <w:tc>
          <w:tcPr>
            <w:tcW w:w="3166" w:type="dxa"/>
            <w:tcBorders>
              <w:right w:val="single" w:color="000000" w:sz="6" w:space="0"/>
            </w:tcBorders>
            <w:vAlign w:val="center"/>
          </w:tcPr>
          <w:p w14:paraId="38142CE7">
            <w:pPr>
              <w:pStyle w:val="235"/>
              <w:rPr>
                <w:color w:val="auto"/>
              </w:rPr>
            </w:pPr>
            <w:r>
              <w:rPr>
                <w:color w:val="auto"/>
              </w:rPr>
              <w:t>通信专业提供机架重量和平面布置，建筑和结构专业计算荷载值</w:t>
            </w:r>
          </w:p>
        </w:tc>
      </w:tr>
    </w:tbl>
    <w:p w14:paraId="483F2152">
      <w:pPr>
        <w:spacing w:before="320" w:after="312" w:line="240" w:lineRule="auto"/>
        <w:rPr>
          <w:rFonts w:eastAsia="黑体"/>
          <w:bCs/>
          <w:kern w:val="44"/>
          <w:sz w:val="28"/>
          <w:szCs w:val="44"/>
        </w:rPr>
      </w:pPr>
    </w:p>
    <w:p w14:paraId="38EE1A09">
      <w:pPr>
        <w:pStyle w:val="3"/>
      </w:pPr>
      <w:r>
        <w:br w:type="page"/>
      </w:r>
      <w:bookmarkStart w:id="1338" w:name="_Toc183888572"/>
      <w:bookmarkStart w:id="1339" w:name="_Toc183882158"/>
      <w:bookmarkStart w:id="1340" w:name="_Toc183790597"/>
      <w:bookmarkStart w:id="1341" w:name="_Toc183882520"/>
      <w:bookmarkStart w:id="1342" w:name="_Toc183699876"/>
      <w:bookmarkStart w:id="1343" w:name="_Toc183735420"/>
      <w:bookmarkStart w:id="1344" w:name="_Toc183765167"/>
      <w:bookmarkStart w:id="1345" w:name="_Toc181796444"/>
      <w:bookmarkStart w:id="1346" w:name="_Toc183888210"/>
      <w:bookmarkStart w:id="1347" w:name="_Toc183683572"/>
      <w:r>
        <w:t>信</w:t>
      </w:r>
      <w:r>
        <w:rPr>
          <w:rFonts w:hint="eastAsia"/>
        </w:rPr>
        <w:t xml:space="preserve">    </w:t>
      </w:r>
      <w:r>
        <w:t>号</w:t>
      </w:r>
      <w:bookmarkEnd w:id="1338"/>
      <w:bookmarkEnd w:id="1339"/>
      <w:bookmarkEnd w:id="1340"/>
      <w:bookmarkEnd w:id="1341"/>
      <w:bookmarkEnd w:id="1342"/>
      <w:bookmarkEnd w:id="1343"/>
      <w:bookmarkEnd w:id="1344"/>
      <w:bookmarkEnd w:id="1345"/>
      <w:bookmarkEnd w:id="1346"/>
      <w:bookmarkEnd w:id="1347"/>
    </w:p>
    <w:p w14:paraId="21699D8B">
      <w:pPr>
        <w:numPr>
          <w:ilvl w:val="1"/>
          <w:numId w:val="1"/>
        </w:numPr>
        <w:snapToGrid w:val="0"/>
        <w:spacing w:before="156" w:after="156" w:line="240" w:lineRule="auto"/>
        <w:jc w:val="center"/>
        <w:outlineLvl w:val="1"/>
        <w:rPr>
          <w:rFonts w:eastAsia="黑体"/>
          <w:bCs/>
          <w:szCs w:val="28"/>
        </w:rPr>
      </w:pPr>
      <w:bookmarkStart w:id="1348" w:name="_Toc183882159"/>
      <w:bookmarkStart w:id="1349" w:name="_Toc183765168"/>
      <w:bookmarkStart w:id="1350" w:name="_Toc183790598"/>
      <w:bookmarkStart w:id="1351" w:name="_Toc183882521"/>
      <w:bookmarkStart w:id="1352" w:name="_Toc183888211"/>
      <w:bookmarkStart w:id="1353" w:name="_Toc183888573"/>
      <w:r>
        <w:rPr>
          <w:rFonts w:eastAsia="黑体"/>
          <w:bCs/>
          <w:szCs w:val="28"/>
        </w:rPr>
        <w:t>一般规定</w:t>
      </w:r>
      <w:bookmarkEnd w:id="1348"/>
      <w:bookmarkEnd w:id="1349"/>
      <w:bookmarkEnd w:id="1350"/>
      <w:bookmarkEnd w:id="1351"/>
      <w:bookmarkEnd w:id="1352"/>
      <w:bookmarkEnd w:id="1353"/>
    </w:p>
    <w:p w14:paraId="6BCDA1E7">
      <w:pPr>
        <w:pStyle w:val="5"/>
        <w:tabs>
          <w:tab w:val="left" w:pos="709"/>
          <w:tab w:val="clear" w:pos="630"/>
        </w:tabs>
        <w:rPr>
          <w:bCs/>
        </w:rPr>
      </w:pPr>
      <w:r>
        <w:t>信号</w:t>
      </w:r>
      <w:r>
        <w:rPr>
          <w:rFonts w:hint="eastAsia"/>
        </w:rPr>
        <w:t>系统</w:t>
      </w:r>
      <w:r>
        <w:rPr>
          <w:rFonts w:hint="eastAsia"/>
          <w:bCs/>
        </w:rPr>
        <w:t>应满足城市轨道交通行车组织和运营管理的需要，保证列车运行安全，提高行车效率，宜适应北京城市轨道交通技术发展需求。实现运营指挥管理的自动化、科学化、智慧化，城市轨道交通服务的现代化、人性化。</w:t>
      </w:r>
    </w:p>
    <w:p w14:paraId="4AC914E7">
      <w:pPr>
        <w:pStyle w:val="5"/>
      </w:pPr>
      <w:r>
        <w:t>信号系统</w:t>
      </w:r>
      <w:r>
        <w:rPr>
          <w:rFonts w:hint="eastAsia"/>
        </w:rPr>
        <w:t>宜</w:t>
      </w:r>
      <w:r>
        <w:t>满足网络化运营的需求。</w:t>
      </w:r>
    </w:p>
    <w:p w14:paraId="1F33B0AC">
      <w:pPr>
        <w:pStyle w:val="5"/>
      </w:pPr>
      <w:r>
        <w:t>信号系统应具有高可靠性、高可用性和高安全性。</w:t>
      </w:r>
    </w:p>
    <w:p w14:paraId="1D0D664B">
      <w:pPr>
        <w:pStyle w:val="5"/>
      </w:pPr>
      <w:r>
        <w:t>涉及</w:t>
      </w:r>
      <w:r>
        <w:rPr>
          <w:rFonts w:hint="eastAsia"/>
        </w:rPr>
        <w:t>行车安全的系统、设备及电路应符合故障－安全的原则。采用的安全系统、设备应经过安全认证。</w:t>
      </w:r>
    </w:p>
    <w:p w14:paraId="2619FA61">
      <w:pPr>
        <w:pStyle w:val="5"/>
      </w:pPr>
      <w:r>
        <w:rPr>
          <w:rFonts w:hint="eastAsia"/>
        </w:rPr>
        <w:t>信号系统应按最大行车能力要求设计。满足大运量、高密度行车、灵活编组、不同运行交路和快慢车运行的要求。</w:t>
      </w:r>
    </w:p>
    <w:p w14:paraId="4DA71861">
      <w:pPr>
        <w:pStyle w:val="5"/>
      </w:pPr>
      <w:r>
        <w:rPr>
          <w:rFonts w:hint="eastAsia"/>
        </w:rPr>
        <w:t>单线区段应按双方向运行设计，双线区段根据运营组织的需要可按双方向运行设计。折返线、渡线、停车线、出入场/段线、试车线及与其他线路的联络线均应按双方向运行设计。</w:t>
      </w:r>
    </w:p>
    <w:p w14:paraId="1E5F2379">
      <w:pPr>
        <w:pStyle w:val="5"/>
      </w:pPr>
      <w:r>
        <w:rPr>
          <w:rFonts w:hint="eastAsia"/>
        </w:rPr>
        <w:t>信号系统可由ATS子系统或具有行车指挥控制功能的设备、ATP子系统、ATO子系统、联锁子系统或具有联锁功能的设备、数据通信子系统、维护监测子系统和信号机、转辙机、列车占用—空闲检测、电源等基础设备组成。</w:t>
      </w:r>
    </w:p>
    <w:p w14:paraId="42E09174">
      <w:pPr>
        <w:pStyle w:val="5"/>
      </w:pPr>
      <w:r>
        <w:rPr>
          <w:rFonts w:hint="eastAsia"/>
        </w:rPr>
        <w:t>信号系统按所处地域划分应包括</w:t>
      </w:r>
      <w:r>
        <w:t>：</w:t>
      </w:r>
    </w:p>
    <w:p w14:paraId="3C38E755">
      <w:pPr>
        <w:widowControl/>
        <w:kinsoku w:val="0"/>
        <w:autoSpaceDE w:val="0"/>
        <w:autoSpaceDN w:val="0"/>
        <w:adjustRightInd w:val="0"/>
        <w:snapToGrid w:val="0"/>
        <w:ind w:left="420" w:leftChars="200"/>
        <w:textAlignment w:val="baseline"/>
        <w:rPr>
          <w:bCs/>
        </w:rPr>
      </w:pPr>
      <w:r>
        <w:rPr>
          <w:b/>
        </w:rPr>
        <w:t>1</w:t>
      </w:r>
      <w:r>
        <w:rPr>
          <w:bCs/>
        </w:rPr>
        <w:t xml:space="preserve">  </w:t>
      </w:r>
      <w:r>
        <w:rPr>
          <w:rFonts w:hint="eastAsia"/>
          <w:bCs/>
        </w:rPr>
        <w:t>控制中心设备</w:t>
      </w:r>
      <w:r>
        <w:rPr>
          <w:bCs/>
        </w:rPr>
        <w:t>；</w:t>
      </w:r>
    </w:p>
    <w:p w14:paraId="6E0F79B3">
      <w:pPr>
        <w:widowControl/>
        <w:kinsoku w:val="0"/>
        <w:autoSpaceDE w:val="0"/>
        <w:autoSpaceDN w:val="0"/>
        <w:adjustRightInd w:val="0"/>
        <w:snapToGrid w:val="0"/>
        <w:ind w:left="420" w:leftChars="200"/>
        <w:textAlignment w:val="baseline"/>
        <w:rPr>
          <w:bCs/>
        </w:rPr>
      </w:pPr>
      <w:r>
        <w:rPr>
          <w:b/>
        </w:rPr>
        <w:t>2</w:t>
      </w:r>
      <w:r>
        <w:rPr>
          <w:bCs/>
        </w:rPr>
        <w:t xml:space="preserve">  </w:t>
      </w:r>
      <w:r>
        <w:rPr>
          <w:rFonts w:hint="eastAsia"/>
          <w:bCs/>
        </w:rPr>
        <w:t>车站及轨旁设备</w:t>
      </w:r>
      <w:r>
        <w:rPr>
          <w:bCs/>
        </w:rPr>
        <w:t>；</w:t>
      </w:r>
    </w:p>
    <w:p w14:paraId="62BCAF5A">
      <w:pPr>
        <w:widowControl/>
        <w:kinsoku w:val="0"/>
        <w:autoSpaceDE w:val="0"/>
        <w:autoSpaceDN w:val="0"/>
        <w:adjustRightInd w:val="0"/>
        <w:snapToGrid w:val="0"/>
        <w:ind w:left="420" w:leftChars="200"/>
        <w:textAlignment w:val="baseline"/>
        <w:rPr>
          <w:bCs/>
        </w:rPr>
      </w:pPr>
      <w:r>
        <w:rPr>
          <w:b/>
        </w:rPr>
        <w:t>3</w:t>
      </w:r>
      <w:r>
        <w:rPr>
          <w:bCs/>
        </w:rPr>
        <w:t xml:space="preserve">  车载设备；</w:t>
      </w:r>
    </w:p>
    <w:p w14:paraId="7B9FFC1D">
      <w:pPr>
        <w:widowControl/>
        <w:kinsoku w:val="0"/>
        <w:autoSpaceDE w:val="0"/>
        <w:autoSpaceDN w:val="0"/>
        <w:adjustRightInd w:val="0"/>
        <w:snapToGrid w:val="0"/>
        <w:ind w:left="420" w:leftChars="200"/>
        <w:textAlignment w:val="baseline"/>
        <w:rPr>
          <w:bCs/>
        </w:rPr>
      </w:pPr>
      <w:r>
        <w:rPr>
          <w:b/>
        </w:rPr>
        <w:t>4</w:t>
      </w:r>
      <w:r>
        <w:rPr>
          <w:bCs/>
        </w:rPr>
        <w:t xml:space="preserve">  车辆基地</w:t>
      </w:r>
      <w:r>
        <w:rPr>
          <w:rFonts w:hint="eastAsia"/>
          <w:bCs/>
        </w:rPr>
        <w:t>设备</w:t>
      </w:r>
      <w:r>
        <w:rPr>
          <w:bCs/>
        </w:rPr>
        <w:t>。</w:t>
      </w:r>
    </w:p>
    <w:p w14:paraId="4397DE5E">
      <w:pPr>
        <w:pStyle w:val="5"/>
      </w:pPr>
      <w:r>
        <w:t>信号系统按闭塞方式划分可包括以下制式：</w:t>
      </w:r>
    </w:p>
    <w:p w14:paraId="343AA37A">
      <w:pPr>
        <w:widowControl/>
        <w:kinsoku w:val="0"/>
        <w:autoSpaceDE w:val="0"/>
        <w:autoSpaceDN w:val="0"/>
        <w:adjustRightInd w:val="0"/>
        <w:snapToGrid w:val="0"/>
        <w:ind w:left="420" w:leftChars="200"/>
        <w:textAlignment w:val="baseline"/>
        <w:rPr>
          <w:bCs/>
        </w:rPr>
      </w:pPr>
      <w:r>
        <w:rPr>
          <w:b/>
        </w:rPr>
        <w:t xml:space="preserve">1  </w:t>
      </w:r>
      <w:r>
        <w:rPr>
          <w:bCs/>
        </w:rPr>
        <w:t>移动闭塞；</w:t>
      </w:r>
    </w:p>
    <w:p w14:paraId="489E454E">
      <w:pPr>
        <w:widowControl/>
        <w:kinsoku w:val="0"/>
        <w:autoSpaceDE w:val="0"/>
        <w:autoSpaceDN w:val="0"/>
        <w:adjustRightInd w:val="0"/>
        <w:snapToGrid w:val="0"/>
        <w:ind w:left="420" w:leftChars="200"/>
        <w:textAlignment w:val="baseline"/>
        <w:rPr>
          <w:bCs/>
        </w:rPr>
      </w:pPr>
      <w:r>
        <w:rPr>
          <w:b/>
        </w:rPr>
        <w:t xml:space="preserve">2  </w:t>
      </w:r>
      <w:r>
        <w:rPr>
          <w:bCs/>
        </w:rPr>
        <w:t>准移动闭塞；</w:t>
      </w:r>
    </w:p>
    <w:p w14:paraId="7AD58DD6">
      <w:pPr>
        <w:widowControl/>
        <w:kinsoku w:val="0"/>
        <w:autoSpaceDE w:val="0"/>
        <w:autoSpaceDN w:val="0"/>
        <w:adjustRightInd w:val="0"/>
        <w:snapToGrid w:val="0"/>
        <w:ind w:left="420" w:leftChars="200"/>
        <w:textAlignment w:val="baseline"/>
        <w:rPr>
          <w:bCs/>
        </w:rPr>
      </w:pPr>
      <w:r>
        <w:rPr>
          <w:b/>
        </w:rPr>
        <w:t xml:space="preserve">3  </w:t>
      </w:r>
      <w:r>
        <w:rPr>
          <w:bCs/>
        </w:rPr>
        <w:t>固定闭塞。</w:t>
      </w:r>
    </w:p>
    <w:p w14:paraId="6DAF3609">
      <w:pPr>
        <w:pStyle w:val="5"/>
        <w:tabs>
          <w:tab w:val="left" w:pos="851"/>
          <w:tab w:val="clear" w:pos="630"/>
        </w:tabs>
      </w:pPr>
      <w:r>
        <w:rPr>
          <w:rFonts w:hint="eastAsia"/>
        </w:rPr>
        <w:t>根据城市轨道交通系统行车密度等运营需求和技术发展方向，宜采用移动闭塞制式的ATC系统。</w:t>
      </w:r>
    </w:p>
    <w:p w14:paraId="75B8FBAA">
      <w:pPr>
        <w:pStyle w:val="5"/>
        <w:tabs>
          <w:tab w:val="left" w:pos="851"/>
          <w:tab w:val="clear" w:pos="630"/>
        </w:tabs>
        <w:rPr>
          <w:bCs/>
        </w:rPr>
      </w:pPr>
      <w:r>
        <w:rPr>
          <w:bCs/>
        </w:rPr>
        <w:t>ATC系统控制模式应包括控制中心自动控制、控制中心人工控制、车站</w:t>
      </w:r>
      <w:r>
        <w:t>自动控制</w:t>
      </w:r>
      <w:r>
        <w:rPr>
          <w:bCs/>
        </w:rPr>
        <w:t>及车站人工控制。其控制等级应遵循车站人工控制优先于控制中心人工控制，控制中心人工控制优先于控制中心的自动控制。</w:t>
      </w:r>
    </w:p>
    <w:p w14:paraId="549BA776">
      <w:pPr>
        <w:pStyle w:val="5"/>
        <w:tabs>
          <w:tab w:val="left" w:pos="851"/>
          <w:tab w:val="clear" w:pos="630"/>
        </w:tabs>
        <w:rPr>
          <w:bCs/>
        </w:rPr>
      </w:pPr>
      <w:r>
        <w:rPr>
          <w:bCs/>
        </w:rPr>
        <w:t>ATC</w:t>
      </w:r>
      <w:r>
        <w:t>系统</w:t>
      </w:r>
      <w:r>
        <w:rPr>
          <w:bCs/>
        </w:rPr>
        <w:t>应采用连续式列车控制方式。ATC系统应以确定的系统最大规模为最高配置水平等级，并作为正常运用模式。</w:t>
      </w:r>
    </w:p>
    <w:p w14:paraId="727439B3">
      <w:pPr>
        <w:pStyle w:val="5"/>
        <w:tabs>
          <w:tab w:val="left" w:pos="851"/>
          <w:tab w:val="clear" w:pos="630"/>
        </w:tabs>
        <w:rPr>
          <w:bCs/>
        </w:rPr>
      </w:pPr>
      <w:r>
        <w:rPr>
          <w:bCs/>
        </w:rPr>
        <w:t>列车</w:t>
      </w:r>
      <w:r>
        <w:t>驾驶</w:t>
      </w:r>
      <w:r>
        <w:rPr>
          <w:bCs/>
        </w:rPr>
        <w:t>模式应符合下列要求：</w:t>
      </w:r>
    </w:p>
    <w:p w14:paraId="6FD66E14">
      <w:pPr>
        <w:widowControl/>
        <w:kinsoku w:val="0"/>
        <w:autoSpaceDE w:val="0"/>
        <w:autoSpaceDN w:val="0"/>
        <w:adjustRightInd w:val="0"/>
        <w:snapToGrid w:val="0"/>
        <w:ind w:firstLine="422" w:firstLineChars="200"/>
        <w:textAlignment w:val="baseline"/>
        <w:rPr>
          <w:bCs/>
        </w:rPr>
      </w:pPr>
      <w:r>
        <w:rPr>
          <w:b/>
        </w:rPr>
        <w:t>1</w:t>
      </w:r>
      <w:r>
        <w:rPr>
          <w:bCs/>
        </w:rPr>
        <w:t xml:space="preserve">  </w:t>
      </w:r>
      <w:r>
        <w:rPr>
          <w:rFonts w:hint="eastAsia"/>
          <w:bCs/>
        </w:rPr>
        <w:t>驾驶模式可包括</w:t>
      </w:r>
      <w:r>
        <w:rPr>
          <w:bCs/>
        </w:rPr>
        <w:t>自动驾驶模式（AM）、</w:t>
      </w:r>
      <w:r>
        <w:rPr>
          <w:rFonts w:hint="eastAsia"/>
          <w:bCs/>
        </w:rPr>
        <w:t>ATP</w:t>
      </w:r>
      <w:r>
        <w:rPr>
          <w:bCs/>
        </w:rPr>
        <w:t>防护下的人工驾驶模式（CM）、限制人工驾驶模式（RM）和非限制人工驾驶模式（EUM）</w:t>
      </w:r>
      <w:r>
        <w:rPr>
          <w:rFonts w:hint="eastAsia"/>
          <w:bCs/>
        </w:rPr>
        <w:t>。全自动运行系统的驾驶模式还应包括</w:t>
      </w:r>
      <w:r>
        <w:rPr>
          <w:bCs/>
        </w:rPr>
        <w:t>全自动运行模式（FAM）、蠕动模式模式（CAM）</w:t>
      </w:r>
      <w:r>
        <w:rPr>
          <w:rFonts w:hint="eastAsia"/>
          <w:bCs/>
        </w:rPr>
        <w:t>，宜包括远程限速驾驶模式（RRM）。</w:t>
      </w:r>
    </w:p>
    <w:p w14:paraId="1049DE65">
      <w:pPr>
        <w:widowControl/>
        <w:kinsoku w:val="0"/>
        <w:autoSpaceDE w:val="0"/>
        <w:autoSpaceDN w:val="0"/>
        <w:adjustRightInd w:val="0"/>
        <w:snapToGrid w:val="0"/>
        <w:ind w:firstLine="422" w:firstLineChars="200"/>
        <w:textAlignment w:val="baseline"/>
        <w:rPr>
          <w:bCs/>
        </w:rPr>
      </w:pPr>
      <w:r>
        <w:rPr>
          <w:b/>
        </w:rPr>
        <w:t>2</w:t>
      </w:r>
      <w:r>
        <w:rPr>
          <w:bCs/>
        </w:rPr>
        <w:t xml:space="preserve">  列车驾驶模式转换应符合下列要求：</w:t>
      </w:r>
    </w:p>
    <w:p w14:paraId="7CE5762B">
      <w:pPr>
        <w:widowControl/>
        <w:kinsoku w:val="0"/>
        <w:autoSpaceDE w:val="0"/>
        <w:autoSpaceDN w:val="0"/>
        <w:adjustRightInd w:val="0"/>
        <w:snapToGrid w:val="0"/>
        <w:ind w:right="74" w:firstLine="420" w:firstLineChars="200"/>
        <w:textAlignment w:val="baseline"/>
        <w:rPr>
          <w:bCs/>
        </w:rPr>
      </w:pPr>
      <w:r>
        <w:rPr>
          <w:bCs/>
        </w:rPr>
        <w:t>1)  ATC系统控制区域与非ATC系统控制区域的分界处设驾驶模式转换区，转换区的信号设备应与ATC系统控制区域的信号设备相一致；</w:t>
      </w:r>
    </w:p>
    <w:p w14:paraId="09F359A5">
      <w:pPr>
        <w:widowControl/>
        <w:kinsoku w:val="0"/>
        <w:autoSpaceDE w:val="0"/>
        <w:autoSpaceDN w:val="0"/>
        <w:adjustRightInd w:val="0"/>
        <w:snapToGrid w:val="0"/>
        <w:ind w:right="74" w:firstLine="420" w:firstLineChars="200"/>
        <w:textAlignment w:val="baseline"/>
        <w:rPr>
          <w:bCs/>
        </w:rPr>
      </w:pPr>
      <w:r>
        <w:rPr>
          <w:bCs/>
        </w:rPr>
        <w:t>2)  驾驶模式转换可采用自动或人工方式，并应予以记录。转换区域的设置应根据ATC系统的性能特点确定。</w:t>
      </w:r>
    </w:p>
    <w:p w14:paraId="57C2B288">
      <w:pPr>
        <w:widowControl/>
        <w:kinsoku w:val="0"/>
        <w:autoSpaceDE w:val="0"/>
        <w:autoSpaceDN w:val="0"/>
        <w:adjustRightInd w:val="0"/>
        <w:snapToGrid w:val="0"/>
        <w:ind w:firstLine="422" w:firstLineChars="200"/>
        <w:textAlignment w:val="baseline"/>
        <w:rPr>
          <w:bCs/>
        </w:rPr>
      </w:pPr>
      <w:r>
        <w:rPr>
          <w:b/>
        </w:rPr>
        <w:t xml:space="preserve">3  </w:t>
      </w:r>
      <w:r>
        <w:rPr>
          <w:bCs/>
        </w:rPr>
        <w:t>转换区域的长度宜大于最大编组列车的长度；</w:t>
      </w:r>
    </w:p>
    <w:p w14:paraId="6347EFF5">
      <w:pPr>
        <w:widowControl/>
        <w:kinsoku w:val="0"/>
        <w:autoSpaceDE w:val="0"/>
        <w:autoSpaceDN w:val="0"/>
        <w:adjustRightInd w:val="0"/>
        <w:snapToGrid w:val="0"/>
        <w:ind w:firstLine="422" w:firstLineChars="200"/>
        <w:textAlignment w:val="baseline"/>
        <w:rPr>
          <w:bCs/>
        </w:rPr>
      </w:pPr>
      <w:r>
        <w:rPr>
          <w:b/>
        </w:rPr>
        <w:t xml:space="preserve">4  </w:t>
      </w:r>
      <w:r>
        <w:rPr>
          <w:bCs/>
        </w:rPr>
        <w:t>在ATC控制区域内使用非限制模式应有破铅封、记录或授权指令要求等技术措施；</w:t>
      </w:r>
    </w:p>
    <w:p w14:paraId="59CD8110">
      <w:pPr>
        <w:widowControl/>
        <w:kinsoku w:val="0"/>
        <w:autoSpaceDE w:val="0"/>
        <w:autoSpaceDN w:val="0"/>
        <w:adjustRightInd w:val="0"/>
        <w:snapToGrid w:val="0"/>
        <w:ind w:right="74" w:firstLine="422" w:firstLineChars="200"/>
        <w:textAlignment w:val="baseline"/>
        <w:rPr>
          <w:bCs/>
        </w:rPr>
      </w:pPr>
      <w:r>
        <w:rPr>
          <w:b/>
        </w:rPr>
        <w:t xml:space="preserve">5  </w:t>
      </w:r>
      <w:r>
        <w:rPr>
          <w:bCs/>
        </w:rPr>
        <w:t>ATC系统控制区域内的列车折返作业</w:t>
      </w:r>
      <w:r>
        <w:rPr>
          <w:rFonts w:hint="eastAsia"/>
          <w:bCs/>
        </w:rPr>
        <w:t>应</w:t>
      </w:r>
      <w:r>
        <w:rPr>
          <w:bCs/>
        </w:rPr>
        <w:t>采用</w:t>
      </w:r>
      <w:r>
        <w:rPr>
          <w:rFonts w:hint="eastAsia"/>
          <w:bCs/>
        </w:rPr>
        <w:t>CM</w:t>
      </w:r>
      <w:r>
        <w:rPr>
          <w:bCs/>
        </w:rPr>
        <w:t>、A</w:t>
      </w:r>
      <w:r>
        <w:rPr>
          <w:rFonts w:hint="eastAsia"/>
          <w:bCs/>
        </w:rPr>
        <w:t>M</w:t>
      </w:r>
      <w:r>
        <w:rPr>
          <w:bCs/>
        </w:rPr>
        <w:t>或</w:t>
      </w:r>
      <w:r>
        <w:rPr>
          <w:rFonts w:hint="eastAsia"/>
          <w:bCs/>
        </w:rPr>
        <w:t>FAM</w:t>
      </w:r>
      <w:r>
        <w:rPr>
          <w:bCs/>
        </w:rPr>
        <w:t>驾驶模式，折返作业过程应保持列车定位和驾驶模式处理功能的完整性。</w:t>
      </w:r>
    </w:p>
    <w:p w14:paraId="3BDD34B4">
      <w:pPr>
        <w:pStyle w:val="5"/>
        <w:tabs>
          <w:tab w:val="left" w:pos="851"/>
          <w:tab w:val="clear" w:pos="630"/>
        </w:tabs>
        <w:rPr>
          <w:bCs/>
        </w:rPr>
      </w:pPr>
      <w:r>
        <w:rPr>
          <w:bCs/>
        </w:rPr>
        <w:t>ATC</w:t>
      </w:r>
      <w:r>
        <w:t>系统</w:t>
      </w:r>
      <w:r>
        <w:rPr>
          <w:bCs/>
        </w:rPr>
        <w:t>应能降级运用，实现故障弱化处理，并具有故障复原能力。</w:t>
      </w:r>
    </w:p>
    <w:p w14:paraId="303BBAD4">
      <w:pPr>
        <w:pStyle w:val="5"/>
        <w:tabs>
          <w:tab w:val="left" w:pos="851"/>
          <w:tab w:val="clear" w:pos="630"/>
        </w:tabs>
        <w:rPr>
          <w:bCs/>
        </w:rPr>
      </w:pPr>
      <w:r>
        <w:rPr>
          <w:bCs/>
        </w:rPr>
        <w:t>ATC系统的设计能力符合下列要求：</w:t>
      </w:r>
    </w:p>
    <w:p w14:paraId="7E7B1DE5">
      <w:pPr>
        <w:widowControl/>
        <w:kinsoku w:val="0"/>
        <w:autoSpaceDE w:val="0"/>
        <w:autoSpaceDN w:val="0"/>
        <w:adjustRightInd w:val="0"/>
        <w:snapToGrid w:val="0"/>
        <w:ind w:firstLine="422" w:firstLineChars="200"/>
        <w:textAlignment w:val="baseline"/>
        <w:rPr>
          <w:bCs/>
        </w:rPr>
      </w:pPr>
      <w:r>
        <w:rPr>
          <w:b/>
        </w:rPr>
        <w:t>1</w:t>
      </w:r>
      <w:r>
        <w:rPr>
          <w:bCs/>
        </w:rPr>
        <w:t xml:space="preserve">  ATC系统的监控范围应结合线路和站场规模设计。系统能力应与线路规模、运行能力相适应；</w:t>
      </w:r>
    </w:p>
    <w:p w14:paraId="5436D3F3">
      <w:pPr>
        <w:widowControl/>
        <w:kinsoku w:val="0"/>
        <w:autoSpaceDE w:val="0"/>
        <w:autoSpaceDN w:val="0"/>
        <w:adjustRightInd w:val="0"/>
        <w:snapToGrid w:val="0"/>
        <w:ind w:firstLine="422" w:firstLineChars="200"/>
        <w:textAlignment w:val="baseline"/>
        <w:rPr>
          <w:bCs/>
        </w:rPr>
      </w:pPr>
      <w:r>
        <w:rPr>
          <w:b/>
        </w:rPr>
        <w:t>2</w:t>
      </w:r>
      <w:r>
        <w:rPr>
          <w:bCs/>
        </w:rPr>
        <w:t xml:space="preserve">  ATC系统监控和管理的列车数量按最小追踪间隔能力所需列车数量设计，并留有不小于30%余量。新线设计时，车载信号设备配备数量，宜按初期配属列车数量计；</w:t>
      </w:r>
    </w:p>
    <w:p w14:paraId="566DF18F">
      <w:pPr>
        <w:widowControl/>
        <w:kinsoku w:val="0"/>
        <w:autoSpaceDE w:val="0"/>
        <w:autoSpaceDN w:val="0"/>
        <w:adjustRightInd w:val="0"/>
        <w:snapToGrid w:val="0"/>
        <w:ind w:firstLine="422" w:firstLineChars="200"/>
        <w:textAlignment w:val="baseline"/>
      </w:pPr>
      <w:r>
        <w:rPr>
          <w:rFonts w:hint="eastAsia"/>
          <w:b/>
        </w:rPr>
        <w:t>3</w:t>
      </w:r>
      <w:r>
        <w:t xml:space="preserve"> </w:t>
      </w:r>
      <w:r>
        <w:rPr>
          <w:rFonts w:hint="eastAsia"/>
        </w:rPr>
        <w:t>信号专业应与行车等专业配合，通过列车运行仿真计算通过能力、折返能力以及出入车辆基地的能力；</w:t>
      </w:r>
    </w:p>
    <w:p w14:paraId="52D8E473">
      <w:pPr>
        <w:widowControl/>
        <w:kinsoku w:val="0"/>
        <w:autoSpaceDE w:val="0"/>
        <w:autoSpaceDN w:val="0"/>
        <w:adjustRightInd w:val="0"/>
        <w:snapToGrid w:val="0"/>
        <w:ind w:firstLine="422" w:firstLineChars="200"/>
        <w:textAlignment w:val="baseline"/>
      </w:pPr>
      <w:r>
        <w:rPr>
          <w:rFonts w:hint="eastAsia"/>
          <w:b/>
        </w:rPr>
        <w:t>4</w:t>
      </w:r>
      <w:r>
        <w:t xml:space="preserve"> </w:t>
      </w:r>
      <w:r>
        <w:rPr>
          <w:rFonts w:hint="eastAsia"/>
        </w:rPr>
        <w:t>出入车辆基地的列车不应影响正线列车的行车能力。</w:t>
      </w:r>
    </w:p>
    <w:p w14:paraId="65C0E006">
      <w:pPr>
        <w:pStyle w:val="5"/>
        <w:tabs>
          <w:tab w:val="left" w:pos="851"/>
          <w:tab w:val="clear" w:pos="630"/>
        </w:tabs>
        <w:rPr>
          <w:bCs/>
        </w:rPr>
      </w:pPr>
      <w:r>
        <w:rPr>
          <w:rFonts w:hint="eastAsia"/>
          <w:bCs/>
        </w:rPr>
        <w:t>对于装备不同信号车载设备列车共线运行或跨线运行的线路，信号系统应满足互联互通运营需求且应符合下列要求：</w:t>
      </w:r>
    </w:p>
    <w:p w14:paraId="335F34A0">
      <w:pPr>
        <w:widowControl/>
        <w:kinsoku w:val="0"/>
        <w:autoSpaceDE w:val="0"/>
        <w:autoSpaceDN w:val="0"/>
        <w:adjustRightInd w:val="0"/>
        <w:snapToGrid w:val="0"/>
        <w:ind w:firstLine="422" w:firstLineChars="200"/>
        <w:textAlignment w:val="baseline"/>
        <w:rPr>
          <w:bCs/>
        </w:rPr>
      </w:pPr>
      <w:r>
        <w:rPr>
          <w:rFonts w:hint="eastAsia"/>
          <w:b/>
        </w:rPr>
        <w:t>1</w:t>
      </w:r>
      <w:r>
        <w:rPr>
          <w:rFonts w:hint="eastAsia"/>
          <w:bCs/>
        </w:rPr>
        <w:t xml:space="preserve">  城市轨道交通不同闭塞制式信号系统的跨线运行宜采用兼容方式实现；</w:t>
      </w:r>
    </w:p>
    <w:p w14:paraId="6672ADEC">
      <w:pPr>
        <w:widowControl/>
        <w:kinsoku w:val="0"/>
        <w:autoSpaceDE w:val="0"/>
        <w:autoSpaceDN w:val="0"/>
        <w:adjustRightInd w:val="0"/>
        <w:snapToGrid w:val="0"/>
        <w:ind w:firstLine="422" w:firstLineChars="200"/>
        <w:textAlignment w:val="baseline"/>
        <w:rPr>
          <w:bCs/>
        </w:rPr>
      </w:pPr>
      <w:r>
        <w:rPr>
          <w:rFonts w:hint="eastAsia"/>
          <w:b/>
        </w:rPr>
        <w:t>2</w:t>
      </w:r>
      <w:r>
        <w:rPr>
          <w:rFonts w:hint="eastAsia"/>
          <w:bCs/>
        </w:rPr>
        <w:t xml:space="preserve">  同闭塞制式信号系统与互联互通需求相关的系统设计原则、防护策略应统一，功能分配应兼容。</w:t>
      </w:r>
    </w:p>
    <w:p w14:paraId="588721BB">
      <w:pPr>
        <w:pStyle w:val="5"/>
        <w:tabs>
          <w:tab w:val="left" w:pos="851"/>
          <w:tab w:val="clear" w:pos="630"/>
        </w:tabs>
      </w:pPr>
      <w:r>
        <w:rPr>
          <w:rFonts w:hint="eastAsia"/>
          <w:bCs/>
        </w:rPr>
        <w:t>对于具</w:t>
      </w:r>
      <w:r>
        <w:rPr>
          <w:rFonts w:hint="eastAsia"/>
        </w:rPr>
        <w:t>备灵活编组功能线路，信号系统应适应不同编组长度列车的混合运行，对于具备机械编组功能的线路，信号系统还应具备人工或自动控制列车联挂和解编的功能。</w:t>
      </w:r>
    </w:p>
    <w:p w14:paraId="5325EB75">
      <w:pPr>
        <w:pStyle w:val="5"/>
        <w:tabs>
          <w:tab w:val="left" w:pos="851"/>
          <w:tab w:val="clear" w:pos="630"/>
        </w:tabs>
      </w:pPr>
      <w:r>
        <w:t>ATC系统应能与通信、电力监控、防灾报警和环境监控等系统接口。当城市轨道交通配置综合监控系统时，ATC系统应能与其接口或部分纳入综合监控系统，并可建设以行车指挥系统为核心的综合自动化系统</w:t>
      </w:r>
      <w:r>
        <w:rPr>
          <w:rFonts w:hint="eastAsia"/>
        </w:rPr>
        <w:t>。</w:t>
      </w:r>
    </w:p>
    <w:p w14:paraId="70C6D040">
      <w:pPr>
        <w:pStyle w:val="5"/>
        <w:tabs>
          <w:tab w:val="left" w:pos="851"/>
          <w:tab w:val="clear" w:pos="630"/>
        </w:tabs>
        <w:rPr>
          <w:bCs/>
        </w:rPr>
      </w:pPr>
      <w:r>
        <w:rPr>
          <w:rFonts w:hint="eastAsia"/>
        </w:rPr>
        <w:t>系统采用区</w:t>
      </w:r>
      <w:r>
        <w:rPr>
          <w:rFonts w:hint="eastAsia"/>
          <w:bCs/>
        </w:rPr>
        <w:t>域控制方式符合下列要求：</w:t>
      </w:r>
    </w:p>
    <w:p w14:paraId="163024E8">
      <w:pPr>
        <w:widowControl/>
        <w:kinsoku w:val="0"/>
        <w:autoSpaceDE w:val="0"/>
        <w:autoSpaceDN w:val="0"/>
        <w:adjustRightInd w:val="0"/>
        <w:snapToGrid w:val="0"/>
        <w:ind w:firstLine="422" w:firstLineChars="200"/>
        <w:textAlignment w:val="baseline"/>
        <w:rPr>
          <w:bCs/>
        </w:rPr>
      </w:pPr>
      <w:r>
        <w:rPr>
          <w:rFonts w:hint="eastAsia"/>
          <w:b/>
        </w:rPr>
        <w:t>1</w:t>
      </w:r>
      <w:r>
        <w:rPr>
          <w:rFonts w:hint="eastAsia"/>
          <w:bCs/>
        </w:rPr>
        <w:t xml:space="preserve">  控制区域的划分应根据车站配线、区域范围内线路长度、系统设备控制能力、系统性能指标、故障影响范围及维护维修管理设置等因素确定；</w:t>
      </w:r>
    </w:p>
    <w:p w14:paraId="5004A349">
      <w:pPr>
        <w:widowControl/>
        <w:kinsoku w:val="0"/>
        <w:autoSpaceDE w:val="0"/>
        <w:autoSpaceDN w:val="0"/>
        <w:adjustRightInd w:val="0"/>
        <w:snapToGrid w:val="0"/>
        <w:ind w:firstLine="422" w:firstLineChars="200"/>
        <w:textAlignment w:val="baseline"/>
        <w:rPr>
          <w:bCs/>
        </w:rPr>
      </w:pPr>
      <w:r>
        <w:rPr>
          <w:rFonts w:hint="eastAsia"/>
          <w:b/>
        </w:rPr>
        <w:t>2</w:t>
      </w:r>
      <w:r>
        <w:rPr>
          <w:rFonts w:hint="eastAsia"/>
          <w:bCs/>
        </w:rPr>
        <w:t xml:space="preserve">  联锁控制区域所辖车站数目宜不超过3座；</w:t>
      </w:r>
    </w:p>
    <w:p w14:paraId="5CF8FA8A">
      <w:pPr>
        <w:widowControl/>
        <w:kinsoku w:val="0"/>
        <w:autoSpaceDE w:val="0"/>
        <w:autoSpaceDN w:val="0"/>
        <w:adjustRightInd w:val="0"/>
        <w:snapToGrid w:val="0"/>
        <w:ind w:firstLine="422" w:firstLineChars="200"/>
        <w:textAlignment w:val="baseline"/>
        <w:rPr>
          <w:bCs/>
        </w:rPr>
      </w:pPr>
      <w:r>
        <w:rPr>
          <w:rFonts w:hint="eastAsia"/>
          <w:b/>
        </w:rPr>
        <w:t>3</w:t>
      </w:r>
      <w:r>
        <w:rPr>
          <w:rFonts w:hint="eastAsia"/>
          <w:bCs/>
        </w:rPr>
        <w:t xml:space="preserve">  ATP控制区域所辖车站数目宜不超过6座；</w:t>
      </w:r>
    </w:p>
    <w:p w14:paraId="56B063DC">
      <w:pPr>
        <w:widowControl/>
        <w:kinsoku w:val="0"/>
        <w:autoSpaceDE w:val="0"/>
        <w:autoSpaceDN w:val="0"/>
        <w:adjustRightInd w:val="0"/>
        <w:snapToGrid w:val="0"/>
        <w:ind w:firstLine="422" w:firstLineChars="200"/>
        <w:textAlignment w:val="baseline"/>
        <w:rPr>
          <w:bCs/>
        </w:rPr>
      </w:pPr>
      <w:r>
        <w:rPr>
          <w:rFonts w:hint="eastAsia"/>
          <w:b/>
        </w:rPr>
        <w:t>4</w:t>
      </w:r>
      <w:r>
        <w:rPr>
          <w:rFonts w:hint="eastAsia"/>
          <w:bCs/>
        </w:rPr>
        <w:t xml:space="preserve">  区域控制站可与所辖非区域控制站间进行操作权转换，非区域控制站接收操作权后可对本站所辖信号设备进行控制。</w:t>
      </w:r>
    </w:p>
    <w:p w14:paraId="47F3E60F">
      <w:pPr>
        <w:pStyle w:val="5"/>
        <w:tabs>
          <w:tab w:val="left" w:pos="851"/>
          <w:tab w:val="clear" w:pos="630"/>
        </w:tabs>
      </w:pPr>
      <w:r>
        <w:rPr>
          <w:bCs/>
        </w:rPr>
        <w:t>信号</w:t>
      </w:r>
      <w:r>
        <w:t>系统应具有良好的电磁兼容性。</w:t>
      </w:r>
    </w:p>
    <w:p w14:paraId="72CD9FF1">
      <w:pPr>
        <w:pStyle w:val="5"/>
        <w:tabs>
          <w:tab w:val="left" w:pos="851"/>
          <w:tab w:val="clear" w:pos="630"/>
        </w:tabs>
      </w:pPr>
      <w:r>
        <w:t>信号系统的车载设备</w:t>
      </w:r>
      <w:r>
        <w:rPr>
          <w:rFonts w:hint="eastAsia"/>
        </w:rPr>
        <w:t>不应</w:t>
      </w:r>
      <w:r>
        <w:t>超出车辆限界，信号系统的地面设备</w:t>
      </w:r>
      <w:r>
        <w:rPr>
          <w:rFonts w:hint="eastAsia"/>
        </w:rPr>
        <w:t>不应</w:t>
      </w:r>
      <w:r>
        <w:t>侵入设备限界。</w:t>
      </w:r>
    </w:p>
    <w:p w14:paraId="557DE03A">
      <w:pPr>
        <w:pStyle w:val="5"/>
        <w:tabs>
          <w:tab w:val="left" w:pos="851"/>
          <w:tab w:val="clear" w:pos="630"/>
        </w:tabs>
      </w:pPr>
      <w:r>
        <w:rPr>
          <w:rFonts w:hint="eastAsia"/>
        </w:rPr>
        <w:t>信号系统应符合国家和北京市对信号系统网络安全等级保护要求，安全保护等级应满足三级要求。</w:t>
      </w:r>
    </w:p>
    <w:p w14:paraId="590FFEB0">
      <w:pPr>
        <w:pStyle w:val="5"/>
        <w:tabs>
          <w:tab w:val="left" w:pos="851"/>
          <w:tab w:val="clear" w:pos="630"/>
        </w:tabs>
      </w:pPr>
      <w:r>
        <w:t>信号系统采用的设备和器材应符合有关现行国家标准或有关行业标准的规定。</w:t>
      </w:r>
    </w:p>
    <w:p w14:paraId="55AA9C2C">
      <w:pPr>
        <w:pStyle w:val="5"/>
        <w:tabs>
          <w:tab w:val="left" w:pos="851"/>
          <w:tab w:val="clear" w:pos="630"/>
        </w:tabs>
      </w:pPr>
      <w:r>
        <w:t>信号</w:t>
      </w:r>
      <w:r>
        <w:rPr>
          <w:rFonts w:hint="eastAsia"/>
        </w:rPr>
        <w:t>系统所采用的设备、器材应符合现行国家标准《城市轨道交通信号系统通用技术条件》GB/T12758的有关规定，并应满足北京地区使用的环境条件要求。信号设备应便于维修并减少维修频度，便于测试、更换和降低运营成本。</w:t>
      </w:r>
    </w:p>
    <w:p w14:paraId="0D3635F4">
      <w:pPr>
        <w:pStyle w:val="5"/>
        <w:tabs>
          <w:tab w:val="left" w:pos="851"/>
          <w:tab w:val="clear" w:pos="630"/>
        </w:tabs>
      </w:pPr>
      <w:r>
        <w:t>设于高架线路或地面线路的信号设备宜与城市景观相协调。</w:t>
      </w:r>
    </w:p>
    <w:p w14:paraId="73C08FAE">
      <w:pPr>
        <w:pStyle w:val="5"/>
        <w:tabs>
          <w:tab w:val="left" w:pos="851"/>
          <w:tab w:val="clear" w:pos="630"/>
        </w:tabs>
      </w:pPr>
      <w:r>
        <w:rPr>
          <w:rFonts w:hint="eastAsia"/>
        </w:rPr>
        <w:t>信号系统与其他专业或系统接口时，相关设备应具有信息收发的记录功能，宜具有信息收发的监测功能。</w:t>
      </w:r>
    </w:p>
    <w:p w14:paraId="3D54EF56">
      <w:pPr>
        <w:numPr>
          <w:ilvl w:val="1"/>
          <w:numId w:val="1"/>
        </w:numPr>
        <w:snapToGrid w:val="0"/>
        <w:spacing w:before="156" w:after="156" w:line="240" w:lineRule="auto"/>
        <w:jc w:val="center"/>
        <w:outlineLvl w:val="1"/>
        <w:rPr>
          <w:rFonts w:eastAsia="黑体"/>
          <w:bCs/>
          <w:szCs w:val="28"/>
        </w:rPr>
      </w:pPr>
      <w:bookmarkStart w:id="1354" w:name="_Toc183888212"/>
      <w:bookmarkStart w:id="1355" w:name="_Toc183790599"/>
      <w:bookmarkStart w:id="1356" w:name="_Toc181796445"/>
      <w:bookmarkStart w:id="1357" w:name="_Toc183882522"/>
      <w:bookmarkStart w:id="1358" w:name="_Toc183888574"/>
      <w:bookmarkStart w:id="1359" w:name="_Toc183765169"/>
      <w:bookmarkStart w:id="1360" w:name="_Toc183882160"/>
      <w:r>
        <w:rPr>
          <w:rFonts w:eastAsia="黑体"/>
          <w:bCs/>
          <w:szCs w:val="28"/>
        </w:rPr>
        <w:t>列车自动监控子系统</w:t>
      </w:r>
      <w:bookmarkEnd w:id="1354"/>
      <w:bookmarkEnd w:id="1355"/>
      <w:bookmarkEnd w:id="1356"/>
      <w:bookmarkEnd w:id="1357"/>
      <w:bookmarkEnd w:id="1358"/>
      <w:bookmarkEnd w:id="1359"/>
      <w:bookmarkEnd w:id="1360"/>
    </w:p>
    <w:p w14:paraId="7E6E8A15">
      <w:pPr>
        <w:pStyle w:val="5"/>
        <w:tabs>
          <w:tab w:val="left" w:pos="709"/>
          <w:tab w:val="clear" w:pos="630"/>
        </w:tabs>
      </w:pPr>
      <w:r>
        <w:rPr>
          <w:rFonts w:hint="eastAsia"/>
        </w:rPr>
        <w:t>ATS系统构成应满足下列要求：</w:t>
      </w:r>
    </w:p>
    <w:p w14:paraId="71B451A5">
      <w:pPr>
        <w:ind w:firstLine="438" w:firstLineChars="200"/>
      </w:pPr>
      <w:r>
        <w:rPr>
          <w:rFonts w:hint="eastAsia"/>
          <w:b/>
          <w:bCs/>
          <w:snapToGrid w:val="0"/>
          <w:spacing w:val="4"/>
          <w:kern w:val="0"/>
          <w:szCs w:val="21"/>
        </w:rPr>
        <w:t>1</w:t>
      </w:r>
      <w:r>
        <w:rPr>
          <w:rFonts w:hint="eastAsia"/>
        </w:rPr>
        <w:t xml:space="preserve">  ATS系统设备按地域划分为控制中心、车站和车辆基地ATS设备；</w:t>
      </w:r>
    </w:p>
    <w:p w14:paraId="2DAD1743">
      <w:pPr>
        <w:ind w:firstLine="438" w:firstLineChars="200"/>
      </w:pPr>
      <w:r>
        <w:rPr>
          <w:rFonts w:hint="eastAsia"/>
          <w:b/>
          <w:bCs/>
          <w:snapToGrid w:val="0"/>
          <w:spacing w:val="4"/>
          <w:kern w:val="0"/>
          <w:szCs w:val="21"/>
        </w:rPr>
        <w:t>2</w:t>
      </w:r>
      <w:r>
        <w:rPr>
          <w:rFonts w:hint="eastAsia"/>
        </w:rPr>
        <w:t xml:space="preserve">  控制中心ATS设备应包括服务器、工作站、网络设备、接口设备、培训设备、打印机等；工作站应包括行车调度工作站、时刻表编辑工作站、运行图显示工作站和培训工作站等，全自动运行线路还应配置车辆调度工作站；</w:t>
      </w:r>
    </w:p>
    <w:p w14:paraId="6462239A">
      <w:pPr>
        <w:ind w:firstLine="438" w:firstLineChars="200"/>
      </w:pPr>
      <w:r>
        <w:rPr>
          <w:rFonts w:hint="eastAsia"/>
          <w:b/>
          <w:bCs/>
          <w:snapToGrid w:val="0"/>
          <w:spacing w:val="4"/>
          <w:kern w:val="0"/>
          <w:szCs w:val="21"/>
        </w:rPr>
        <w:t>3</w:t>
      </w:r>
      <w:r>
        <w:rPr>
          <w:rFonts w:hint="eastAsia"/>
        </w:rPr>
        <w:t xml:space="preserve">  车站和车辆基地ATS设备应包括服务器、工作站、网络等设备；</w:t>
      </w:r>
    </w:p>
    <w:p w14:paraId="23FCC8FA">
      <w:pPr>
        <w:ind w:firstLine="438" w:firstLineChars="200"/>
      </w:pPr>
      <w:r>
        <w:rPr>
          <w:rFonts w:hint="eastAsia"/>
          <w:b/>
          <w:bCs/>
          <w:snapToGrid w:val="0"/>
          <w:spacing w:val="4"/>
          <w:kern w:val="0"/>
          <w:szCs w:val="21"/>
        </w:rPr>
        <w:t xml:space="preserve">4  </w:t>
      </w:r>
      <w:r>
        <w:rPr>
          <w:rFonts w:hint="eastAsia"/>
        </w:rPr>
        <w:t>ATS系统构架和配置应满足下列要求：</w:t>
      </w:r>
    </w:p>
    <w:p w14:paraId="33B6E63A">
      <w:pPr>
        <w:ind w:firstLine="420" w:firstLineChars="200"/>
      </w:pPr>
      <w:r>
        <w:rPr>
          <w:rFonts w:hint="eastAsia"/>
        </w:rPr>
        <w:t>1)  网络拓扑结构采用冗余方式；</w:t>
      </w:r>
    </w:p>
    <w:p w14:paraId="0AAB1CE2">
      <w:pPr>
        <w:ind w:firstLine="420" w:firstLineChars="200"/>
      </w:pPr>
      <w:r>
        <w:rPr>
          <w:rFonts w:hint="eastAsia"/>
        </w:rPr>
        <w:t>2)  主要服务器采用双机热备方式；当主机故障时，主备机切换应确保系统功能完整、各种显示连续、正确；</w:t>
      </w:r>
    </w:p>
    <w:p w14:paraId="617FCD76">
      <w:pPr>
        <w:ind w:firstLine="420" w:firstLineChars="200"/>
      </w:pPr>
      <w:r>
        <w:rPr>
          <w:rFonts w:hint="eastAsia"/>
        </w:rPr>
        <w:t>3)  调度工作站的数量，根据在线列车数量、线路长度和车站数量等因素合理配置；各调度工作站应互为备用，调度工作站的多个显示器输出控制应相对独立；</w:t>
      </w:r>
    </w:p>
    <w:p w14:paraId="7EFA0D04">
      <w:pPr>
        <w:ind w:firstLine="420" w:firstLineChars="200"/>
      </w:pPr>
      <w:r>
        <w:rPr>
          <w:rFonts w:hint="eastAsia"/>
        </w:rPr>
        <w:t>4）  区域控制站及车辆基地设置ATS控制工作站，宜与联锁系统工作站合设，ATS控制工作站的多个显示器输出控制应相对独立非区域控制站设置ATS显示工作站；</w:t>
      </w:r>
    </w:p>
    <w:p w14:paraId="59D25AE5">
      <w:pPr>
        <w:ind w:firstLine="420" w:firstLineChars="200"/>
      </w:pPr>
      <w:r>
        <w:rPr>
          <w:rFonts w:hint="eastAsia"/>
        </w:rPr>
        <w:t>5)  轮乘室、车辆基地控制室、交路折返站和与车辆基地衔接站车站控制室应设置ATS显示工作站，站台监察亭宜设置ATS显示工作站；</w:t>
      </w:r>
    </w:p>
    <w:p w14:paraId="75F5FA8D">
      <w:pPr>
        <w:ind w:firstLine="420" w:firstLineChars="200"/>
      </w:pPr>
      <w:r>
        <w:rPr>
          <w:rFonts w:hint="eastAsia"/>
        </w:rPr>
        <w:t>6）  车辆基地司机派班室应设置ATS司机派班工作站；</w:t>
      </w:r>
    </w:p>
    <w:p w14:paraId="7899DA9F">
      <w:pPr>
        <w:ind w:firstLine="420" w:firstLineChars="200"/>
      </w:pPr>
      <w:r>
        <w:rPr>
          <w:rFonts w:hint="eastAsia"/>
        </w:rPr>
        <w:t>7）  ATS系统中心级设备可纳入云平台统一部署；</w:t>
      </w:r>
    </w:p>
    <w:p w14:paraId="4164F914">
      <w:pPr>
        <w:ind w:firstLine="420" w:firstLineChars="200"/>
      </w:pPr>
      <w:r>
        <w:rPr>
          <w:rFonts w:hint="eastAsia"/>
        </w:rPr>
        <w:t>8）  非全自动运行线路备用控制中心ATS服务器和工作站宜简配；</w:t>
      </w:r>
    </w:p>
    <w:p w14:paraId="59B43CB8">
      <w:pPr>
        <w:ind w:firstLine="420" w:firstLineChars="200"/>
      </w:pPr>
      <w:r>
        <w:rPr>
          <w:rFonts w:hint="eastAsia"/>
        </w:rPr>
        <w:t>9）  全自动运行线路，备用控制中心ATS服务器应热备冗余配置，工作站宜简配。</w:t>
      </w:r>
    </w:p>
    <w:p w14:paraId="728A517B">
      <w:pPr>
        <w:pStyle w:val="5"/>
        <w:tabs>
          <w:tab w:val="left" w:pos="709"/>
          <w:tab w:val="clear" w:pos="630"/>
        </w:tabs>
        <w:rPr>
          <w:bCs/>
        </w:rPr>
      </w:pPr>
      <w:r>
        <w:rPr>
          <w:rFonts w:hint="eastAsia"/>
          <w:bCs/>
        </w:rPr>
        <w:t>ATS</w:t>
      </w:r>
      <w:r>
        <w:rPr>
          <w:rFonts w:hint="eastAsia"/>
        </w:rPr>
        <w:t>系统</w:t>
      </w:r>
      <w:r>
        <w:rPr>
          <w:rFonts w:hint="eastAsia"/>
          <w:bCs/>
        </w:rPr>
        <w:t>应具备下列主要功能：</w:t>
      </w:r>
    </w:p>
    <w:p w14:paraId="3F64D871">
      <w:pPr>
        <w:ind w:firstLine="430" w:firstLineChars="200"/>
      </w:pPr>
      <w:r>
        <w:rPr>
          <w:rFonts w:hint="eastAsia"/>
          <w:b/>
          <w:bCs/>
          <w:snapToGrid w:val="0"/>
          <w:spacing w:val="2"/>
          <w:kern w:val="0"/>
          <w:szCs w:val="21"/>
        </w:rPr>
        <w:t>1</w:t>
      </w:r>
      <w:r>
        <w:rPr>
          <w:rFonts w:hint="eastAsia"/>
        </w:rPr>
        <w:t xml:space="preserve">  列车自动识别、跟踪、车次号显示；</w:t>
      </w:r>
    </w:p>
    <w:p w14:paraId="1AD02B2A">
      <w:pPr>
        <w:ind w:firstLine="430" w:firstLineChars="200"/>
      </w:pPr>
      <w:r>
        <w:rPr>
          <w:rFonts w:hint="eastAsia"/>
          <w:b/>
          <w:bCs/>
          <w:snapToGrid w:val="0"/>
          <w:spacing w:val="2"/>
          <w:kern w:val="0"/>
          <w:szCs w:val="21"/>
        </w:rPr>
        <w:t xml:space="preserve">2 </w:t>
      </w:r>
      <w:r>
        <w:rPr>
          <w:rFonts w:hint="eastAsia"/>
        </w:rPr>
        <w:t xml:space="preserve"> 时刻表编制及管理；</w:t>
      </w:r>
    </w:p>
    <w:p w14:paraId="3F14A201">
      <w:pPr>
        <w:ind w:firstLine="430" w:firstLineChars="200"/>
      </w:pPr>
      <w:r>
        <w:rPr>
          <w:rFonts w:hint="eastAsia"/>
          <w:b/>
          <w:bCs/>
          <w:snapToGrid w:val="0"/>
          <w:spacing w:val="2"/>
          <w:kern w:val="0"/>
          <w:szCs w:val="21"/>
        </w:rPr>
        <w:t>3</w:t>
      </w:r>
      <w:r>
        <w:rPr>
          <w:rFonts w:hint="eastAsia"/>
        </w:rPr>
        <w:t xml:space="preserve">  进路自动/人工控制；</w:t>
      </w:r>
    </w:p>
    <w:p w14:paraId="1597DF9A">
      <w:pPr>
        <w:ind w:firstLine="430" w:firstLineChars="200"/>
      </w:pPr>
      <w:r>
        <w:rPr>
          <w:rFonts w:hint="eastAsia"/>
          <w:b/>
          <w:bCs/>
          <w:snapToGrid w:val="0"/>
          <w:spacing w:val="2"/>
          <w:kern w:val="0"/>
          <w:szCs w:val="21"/>
        </w:rPr>
        <w:t>4</w:t>
      </w:r>
      <w:r>
        <w:rPr>
          <w:rFonts w:hint="eastAsia"/>
        </w:rPr>
        <w:t xml:space="preserve">  列车运行调整；</w:t>
      </w:r>
    </w:p>
    <w:p w14:paraId="7E69C53F">
      <w:pPr>
        <w:ind w:firstLine="430" w:firstLineChars="200"/>
      </w:pPr>
      <w:r>
        <w:rPr>
          <w:rFonts w:hint="eastAsia"/>
          <w:b/>
          <w:bCs/>
          <w:snapToGrid w:val="0"/>
          <w:spacing w:val="2"/>
          <w:kern w:val="0"/>
          <w:szCs w:val="21"/>
        </w:rPr>
        <w:t xml:space="preserve">5 </w:t>
      </w:r>
      <w:r>
        <w:rPr>
          <w:rFonts w:hint="eastAsia"/>
        </w:rPr>
        <w:t xml:space="preserve"> 列车运行和设备状态自动监视；</w:t>
      </w:r>
    </w:p>
    <w:p w14:paraId="3AC10BD5">
      <w:pPr>
        <w:ind w:firstLine="430" w:firstLineChars="200"/>
      </w:pPr>
      <w:r>
        <w:rPr>
          <w:rFonts w:hint="eastAsia"/>
          <w:b/>
          <w:bCs/>
          <w:snapToGrid w:val="0"/>
          <w:spacing w:val="2"/>
          <w:kern w:val="0"/>
          <w:szCs w:val="21"/>
        </w:rPr>
        <w:t>6</w:t>
      </w:r>
      <w:r>
        <w:rPr>
          <w:rFonts w:hint="eastAsia"/>
        </w:rPr>
        <w:t xml:space="preserve">  操作与数据记录、回放、输出及统计处理；</w:t>
      </w:r>
    </w:p>
    <w:p w14:paraId="1AEFAD4B">
      <w:pPr>
        <w:ind w:firstLine="430" w:firstLineChars="200"/>
      </w:pPr>
      <w:r>
        <w:rPr>
          <w:b/>
          <w:bCs/>
          <w:snapToGrid w:val="0"/>
          <w:spacing w:val="2"/>
          <w:kern w:val="0"/>
          <w:szCs w:val="21"/>
        </w:rPr>
        <w:t>7</w:t>
      </w:r>
      <w:r>
        <w:rPr>
          <w:rFonts w:hint="eastAsia"/>
          <w:b/>
          <w:bCs/>
          <w:snapToGrid w:val="0"/>
          <w:spacing w:val="2"/>
          <w:kern w:val="0"/>
          <w:szCs w:val="21"/>
        </w:rPr>
        <w:t xml:space="preserve"> </w:t>
      </w:r>
      <w:r>
        <w:rPr>
          <w:rFonts w:hint="eastAsia"/>
        </w:rPr>
        <w:t xml:space="preserve"> 列车运用计划和车辆管理；</w:t>
      </w:r>
    </w:p>
    <w:p w14:paraId="77D7D196">
      <w:pPr>
        <w:ind w:firstLine="430" w:firstLineChars="200"/>
      </w:pPr>
      <w:r>
        <w:rPr>
          <w:b/>
          <w:bCs/>
          <w:snapToGrid w:val="0"/>
          <w:spacing w:val="2"/>
          <w:kern w:val="0"/>
          <w:szCs w:val="21"/>
        </w:rPr>
        <w:t>8</w:t>
      </w:r>
      <w:r>
        <w:rPr>
          <w:rFonts w:hint="eastAsia"/>
        </w:rPr>
        <w:t xml:space="preserve">  系统故障复原处理；</w:t>
      </w:r>
    </w:p>
    <w:p w14:paraId="2D90624D">
      <w:pPr>
        <w:ind w:firstLine="422" w:firstLineChars="200"/>
      </w:pPr>
      <w:r>
        <w:rPr>
          <w:rFonts w:hint="eastAsia"/>
          <w:b/>
        </w:rPr>
        <w:t>9</w:t>
      </w:r>
      <w:r>
        <w:rPr>
          <w:rFonts w:hint="eastAsia"/>
        </w:rPr>
        <w:t xml:space="preserve">  临时限速设置和取消功能；</w:t>
      </w:r>
    </w:p>
    <w:p w14:paraId="1717F2BA">
      <w:pPr>
        <w:ind w:firstLine="430" w:firstLineChars="200"/>
      </w:pPr>
      <w:r>
        <w:rPr>
          <w:rFonts w:hint="eastAsia"/>
          <w:b/>
          <w:bCs/>
          <w:snapToGrid w:val="0"/>
          <w:spacing w:val="2"/>
          <w:kern w:val="0"/>
          <w:szCs w:val="21"/>
        </w:rPr>
        <w:t>10</w:t>
      </w:r>
      <w:r>
        <w:rPr>
          <w:rFonts w:hint="eastAsia"/>
        </w:rPr>
        <w:t xml:space="preserve">  设置进入区间的列车数量；</w:t>
      </w:r>
    </w:p>
    <w:p w14:paraId="0CC77961">
      <w:pPr>
        <w:ind w:firstLine="430" w:firstLineChars="200"/>
      </w:pPr>
      <w:r>
        <w:rPr>
          <w:rFonts w:hint="eastAsia"/>
          <w:b/>
          <w:bCs/>
          <w:snapToGrid w:val="0"/>
          <w:spacing w:val="2"/>
          <w:kern w:val="0"/>
          <w:szCs w:val="21"/>
        </w:rPr>
        <w:t>11</w:t>
      </w:r>
      <w:r>
        <w:rPr>
          <w:rFonts w:hint="eastAsia"/>
        </w:rPr>
        <w:t xml:space="preserve">  可具备运行图的实时编制及动态调整功能；</w:t>
      </w:r>
    </w:p>
    <w:p w14:paraId="5B882D5E">
      <w:pPr>
        <w:ind w:firstLine="430" w:firstLineChars="200"/>
      </w:pPr>
      <w:r>
        <w:rPr>
          <w:rFonts w:hint="eastAsia"/>
          <w:b/>
          <w:bCs/>
          <w:snapToGrid w:val="0"/>
          <w:spacing w:val="2"/>
          <w:kern w:val="0"/>
          <w:szCs w:val="21"/>
        </w:rPr>
        <w:t xml:space="preserve">12  </w:t>
      </w:r>
      <w:r>
        <w:rPr>
          <w:rFonts w:hint="eastAsia"/>
        </w:rPr>
        <w:t>纳入ATS监视或监控范围内的段/场应具备列车车组号跟踪功能；</w:t>
      </w:r>
    </w:p>
    <w:p w14:paraId="124152A8">
      <w:pPr>
        <w:ind w:firstLine="430" w:firstLineChars="200"/>
      </w:pPr>
      <w:r>
        <w:rPr>
          <w:rFonts w:hint="eastAsia"/>
          <w:b/>
          <w:bCs/>
          <w:snapToGrid w:val="0"/>
          <w:spacing w:val="2"/>
          <w:kern w:val="0"/>
          <w:szCs w:val="21"/>
        </w:rPr>
        <w:t xml:space="preserve">13  </w:t>
      </w:r>
      <w:r>
        <w:rPr>
          <w:rFonts w:hint="eastAsia"/>
        </w:rPr>
        <w:t>列车运行模拟及培训；</w:t>
      </w:r>
    </w:p>
    <w:p w14:paraId="6F0CB2E5">
      <w:pPr>
        <w:ind w:firstLine="430" w:firstLineChars="200"/>
      </w:pPr>
      <w:r>
        <w:rPr>
          <w:rFonts w:hint="eastAsia"/>
          <w:b/>
          <w:bCs/>
          <w:snapToGrid w:val="0"/>
          <w:spacing w:val="2"/>
          <w:kern w:val="0"/>
          <w:szCs w:val="21"/>
        </w:rPr>
        <w:t>14</w:t>
      </w:r>
      <w:r>
        <w:rPr>
          <w:rFonts w:hint="eastAsia"/>
        </w:rPr>
        <w:t xml:space="preserve">  对于有固定不同编组列车共线运行的线路，ATS系统还应具备编组信息显示功能。</w:t>
      </w:r>
    </w:p>
    <w:p w14:paraId="5538006A">
      <w:pPr>
        <w:ind w:firstLine="430" w:firstLineChars="200"/>
      </w:pPr>
      <w:r>
        <w:rPr>
          <w:rFonts w:hint="eastAsia"/>
          <w:b/>
          <w:bCs/>
          <w:snapToGrid w:val="0"/>
          <w:spacing w:val="2"/>
          <w:kern w:val="0"/>
          <w:szCs w:val="21"/>
        </w:rPr>
        <w:t xml:space="preserve">15 </w:t>
      </w:r>
      <w:r>
        <w:rPr>
          <w:rFonts w:hint="eastAsia"/>
        </w:rPr>
        <w:t xml:space="preserve"> 具备机械编组功能的线路,ATS系统还应具有以下主要功能：</w:t>
      </w:r>
    </w:p>
    <w:p w14:paraId="6074BAD9">
      <w:pPr>
        <w:ind w:firstLine="420" w:firstLineChars="200"/>
      </w:pPr>
      <w:r>
        <w:rPr>
          <w:rFonts w:hint="eastAsia"/>
        </w:rPr>
        <w:t>1）  应对列车联挂、解编作业的各个阶段、编组信息、列车车组号、编组/非编组列车对应站台屏蔽门的打开/关闭状态信息进行显示，并对异常情况进行报警；</w:t>
      </w:r>
    </w:p>
    <w:p w14:paraId="7930F696">
      <w:pPr>
        <w:ind w:firstLine="420" w:firstLineChars="200"/>
      </w:pPr>
      <w:r>
        <w:rPr>
          <w:rFonts w:hint="eastAsia"/>
        </w:rPr>
        <w:t>2）  应能编制不同运营时段与运营间隔、客流匹配的灵活编组基本运行图/时刻表，机械编组模式的联挂、解编计划应在基本运行图/时刻表中体现。</w:t>
      </w:r>
    </w:p>
    <w:p w14:paraId="6670DDF0">
      <w:pPr>
        <w:numPr>
          <w:ilvl w:val="2"/>
          <w:numId w:val="1"/>
        </w:numPr>
        <w:tabs>
          <w:tab w:val="left" w:pos="709"/>
          <w:tab w:val="left" w:pos="794"/>
        </w:tabs>
        <w:outlineLvl w:val="2"/>
        <w:rPr>
          <w:bCs/>
        </w:rPr>
      </w:pPr>
      <w:r>
        <w:rPr>
          <w:rFonts w:hint="eastAsia"/>
          <w:bCs/>
        </w:rPr>
        <w:t>全自动运行线路ATS系统除满足18.2.2的功能外，还具备下列主要功能：</w:t>
      </w:r>
    </w:p>
    <w:p w14:paraId="12FF2D5C">
      <w:pPr>
        <w:ind w:firstLine="430" w:firstLineChars="200"/>
      </w:pPr>
      <w:r>
        <w:rPr>
          <w:rFonts w:hint="eastAsia"/>
          <w:b/>
          <w:bCs/>
          <w:snapToGrid w:val="0"/>
          <w:spacing w:val="2"/>
          <w:kern w:val="0"/>
          <w:szCs w:val="21"/>
        </w:rPr>
        <w:t>1</w:t>
      </w:r>
      <w:r>
        <w:rPr>
          <w:rFonts w:hint="eastAsia"/>
        </w:rPr>
        <w:t xml:space="preserve">  自动控制区域、非自动控制区域分区显示功能；</w:t>
      </w:r>
    </w:p>
    <w:p w14:paraId="627BEED9">
      <w:pPr>
        <w:ind w:firstLine="430" w:firstLineChars="200"/>
      </w:pPr>
      <w:r>
        <w:rPr>
          <w:rFonts w:hint="eastAsia"/>
          <w:b/>
          <w:bCs/>
          <w:snapToGrid w:val="0"/>
          <w:spacing w:val="2"/>
          <w:kern w:val="0"/>
          <w:szCs w:val="21"/>
        </w:rPr>
        <w:t>2</w:t>
      </w:r>
      <w:r>
        <w:rPr>
          <w:rFonts w:hint="eastAsia"/>
        </w:rPr>
        <w:t xml:space="preserve">  应具有通过人工操作实现对列车设置全自动运行授权的功能；</w:t>
      </w:r>
    </w:p>
    <w:p w14:paraId="4786DF29">
      <w:pPr>
        <w:ind w:firstLine="430" w:firstLineChars="200"/>
      </w:pPr>
      <w:r>
        <w:rPr>
          <w:rFonts w:hint="eastAsia"/>
          <w:b/>
          <w:bCs/>
          <w:snapToGrid w:val="0"/>
          <w:spacing w:val="2"/>
          <w:kern w:val="0"/>
          <w:szCs w:val="21"/>
        </w:rPr>
        <w:t>3</w:t>
      </w:r>
      <w:r>
        <w:rPr>
          <w:rFonts w:hint="eastAsia"/>
        </w:rPr>
        <w:t xml:space="preserve">  应具备雨雪模式，包括：进入雨雪模式提示、雨雪模式的设置及取消；</w:t>
      </w:r>
    </w:p>
    <w:p w14:paraId="1C2C0A0E">
      <w:pPr>
        <w:ind w:firstLine="430" w:firstLineChars="200"/>
      </w:pPr>
      <w:r>
        <w:rPr>
          <w:rFonts w:hint="eastAsia"/>
          <w:b/>
          <w:bCs/>
          <w:snapToGrid w:val="0"/>
          <w:spacing w:val="2"/>
          <w:kern w:val="0"/>
          <w:szCs w:val="21"/>
        </w:rPr>
        <w:t>4</w:t>
      </w:r>
      <w:r>
        <w:rPr>
          <w:rFonts w:hint="eastAsia"/>
        </w:rPr>
        <w:t xml:space="preserve">  当与其他系统联动控制时，应实现全自动运行正常、故障及应急场景的管理和控制功能。</w:t>
      </w:r>
    </w:p>
    <w:p w14:paraId="608A6C9D">
      <w:pPr>
        <w:numPr>
          <w:ilvl w:val="2"/>
          <w:numId w:val="1"/>
        </w:numPr>
        <w:tabs>
          <w:tab w:val="left" w:pos="709"/>
          <w:tab w:val="left" w:pos="794"/>
        </w:tabs>
        <w:jc w:val="left"/>
        <w:outlineLvl w:val="2"/>
        <w:rPr>
          <w:bCs/>
          <w:snapToGrid w:val="0"/>
        </w:rPr>
      </w:pPr>
      <w:r>
        <w:rPr>
          <w:bCs/>
          <w:snapToGrid w:val="0"/>
        </w:rPr>
        <w:t>ATS系统符合下列要求</w:t>
      </w:r>
      <w:r>
        <w:rPr>
          <w:bCs/>
          <w:snapToGrid w:val="0"/>
          <w:spacing w:val="1"/>
        </w:rPr>
        <w:t>：</w:t>
      </w:r>
    </w:p>
    <w:p w14:paraId="39759F59">
      <w:pPr>
        <w:widowControl/>
        <w:kinsoku w:val="0"/>
        <w:autoSpaceDE w:val="0"/>
        <w:autoSpaceDN w:val="0"/>
        <w:adjustRightInd w:val="0"/>
        <w:snapToGrid w:val="0"/>
        <w:ind w:firstLine="462" w:firstLineChars="200"/>
        <w:textAlignment w:val="baseline"/>
        <w:rPr>
          <w:snapToGrid w:val="0"/>
          <w:spacing w:val="10"/>
          <w:kern w:val="0"/>
          <w:szCs w:val="21"/>
        </w:rPr>
      </w:pPr>
      <w:r>
        <w:rPr>
          <w:b/>
          <w:bCs/>
          <w:snapToGrid w:val="0"/>
          <w:spacing w:val="10"/>
          <w:kern w:val="0"/>
          <w:szCs w:val="21"/>
        </w:rPr>
        <w:t>1</w:t>
      </w:r>
      <w:r>
        <w:rPr>
          <w:snapToGrid w:val="0"/>
          <w:spacing w:val="10"/>
          <w:kern w:val="0"/>
          <w:szCs w:val="21"/>
        </w:rPr>
        <w:t xml:space="preserve">  </w:t>
      </w:r>
      <w:r>
        <w:rPr>
          <w:rFonts w:hint="eastAsia"/>
          <w:snapToGrid w:val="0"/>
          <w:spacing w:val="10"/>
          <w:kern w:val="0"/>
          <w:szCs w:val="21"/>
        </w:rPr>
        <w:t>ATS系统的安全完整性等级应满足SIL2级的要求；采用以行车指挥为核心的综合自动化系统时，综合自动化系统的安全完整性等级应满足SIL2级的要求；</w:t>
      </w:r>
    </w:p>
    <w:p w14:paraId="706EEAC7">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2</w:t>
      </w:r>
      <w:r>
        <w:rPr>
          <w:snapToGrid w:val="0"/>
          <w:spacing w:val="3"/>
          <w:kern w:val="0"/>
          <w:szCs w:val="21"/>
        </w:rPr>
        <w:t xml:space="preserve">  </w:t>
      </w:r>
      <w:r>
        <w:rPr>
          <w:snapToGrid w:val="0"/>
          <w:spacing w:val="5"/>
          <w:kern w:val="0"/>
          <w:szCs w:val="21"/>
        </w:rPr>
        <w:t>同一</w:t>
      </w:r>
      <w:r>
        <w:rPr>
          <w:snapToGrid w:val="0"/>
          <w:kern w:val="0"/>
          <w:szCs w:val="21"/>
        </w:rPr>
        <w:t>ATS</w:t>
      </w:r>
      <w:r>
        <w:rPr>
          <w:snapToGrid w:val="0"/>
          <w:spacing w:val="5"/>
          <w:kern w:val="0"/>
          <w:szCs w:val="21"/>
        </w:rPr>
        <w:t>系统可监控一条或多条运营线路。监控多条运营线路时，应保证各条线路具有独立运</w:t>
      </w:r>
      <w:r>
        <w:rPr>
          <w:snapToGrid w:val="0"/>
          <w:spacing w:val="2"/>
          <w:kern w:val="0"/>
          <w:szCs w:val="21"/>
        </w:rPr>
        <w:t>营或混合</w:t>
      </w:r>
      <w:r>
        <w:rPr>
          <w:snapToGrid w:val="0"/>
          <w:spacing w:val="1"/>
          <w:kern w:val="0"/>
          <w:szCs w:val="21"/>
        </w:rPr>
        <w:t>运营的能力；</w:t>
      </w:r>
    </w:p>
    <w:p w14:paraId="6A31BF23">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3</w:t>
      </w:r>
      <w:r>
        <w:rPr>
          <w:snapToGrid w:val="0"/>
          <w:spacing w:val="12"/>
          <w:kern w:val="0"/>
          <w:szCs w:val="21"/>
        </w:rPr>
        <w:t xml:space="preserve">  </w:t>
      </w:r>
      <w:r>
        <w:rPr>
          <w:snapToGrid w:val="0"/>
          <w:spacing w:val="3"/>
          <w:kern w:val="0"/>
          <w:szCs w:val="21"/>
        </w:rPr>
        <w:t>运营线路上的车站、站间、折返线等均应纳入正线</w:t>
      </w:r>
      <w:r>
        <w:rPr>
          <w:snapToGrid w:val="0"/>
          <w:kern w:val="0"/>
          <w:szCs w:val="21"/>
        </w:rPr>
        <w:t>ATS</w:t>
      </w:r>
      <w:r>
        <w:rPr>
          <w:snapToGrid w:val="0"/>
          <w:spacing w:val="3"/>
          <w:kern w:val="0"/>
          <w:szCs w:val="21"/>
        </w:rPr>
        <w:t>系统监控范</w:t>
      </w:r>
      <w:r>
        <w:rPr>
          <w:snapToGrid w:val="0"/>
          <w:kern w:val="0"/>
          <w:szCs w:val="21"/>
        </w:rPr>
        <w:t>围；</w:t>
      </w:r>
    </w:p>
    <w:p w14:paraId="117EA2D2">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4</w:t>
      </w:r>
      <w:r>
        <w:rPr>
          <w:snapToGrid w:val="0"/>
          <w:spacing w:val="16"/>
          <w:kern w:val="0"/>
          <w:szCs w:val="21"/>
        </w:rPr>
        <w:t xml:space="preserve">  </w:t>
      </w:r>
      <w:r>
        <w:rPr>
          <w:snapToGrid w:val="0"/>
          <w:kern w:val="0"/>
          <w:szCs w:val="21"/>
        </w:rPr>
        <w:t>ATS</w:t>
      </w:r>
      <w:r>
        <w:rPr>
          <w:snapToGrid w:val="0"/>
          <w:spacing w:val="6"/>
          <w:kern w:val="0"/>
          <w:szCs w:val="21"/>
        </w:rPr>
        <w:t>系统应满足列车运行交路的要求，凡具有折返条件的车站均应按具有折返作业处理；</w:t>
      </w:r>
    </w:p>
    <w:p w14:paraId="4239047E">
      <w:pPr>
        <w:widowControl/>
        <w:kinsoku w:val="0"/>
        <w:autoSpaceDE w:val="0"/>
        <w:autoSpaceDN w:val="0"/>
        <w:adjustRightInd w:val="0"/>
        <w:snapToGrid w:val="0"/>
        <w:ind w:right="55" w:firstLine="462" w:firstLineChars="200"/>
        <w:textAlignment w:val="baseline"/>
        <w:rPr>
          <w:snapToGrid w:val="0"/>
          <w:kern w:val="0"/>
          <w:szCs w:val="21"/>
        </w:rPr>
      </w:pPr>
      <w:r>
        <w:rPr>
          <w:b/>
          <w:bCs/>
          <w:snapToGrid w:val="0"/>
          <w:spacing w:val="10"/>
          <w:kern w:val="0"/>
          <w:szCs w:val="21"/>
        </w:rPr>
        <w:t>5</w:t>
      </w:r>
      <w:r>
        <w:rPr>
          <w:snapToGrid w:val="0"/>
          <w:spacing w:val="9"/>
          <w:kern w:val="0"/>
          <w:szCs w:val="21"/>
        </w:rPr>
        <w:t xml:space="preserve">  </w:t>
      </w:r>
      <w:r>
        <w:rPr>
          <w:snapToGrid w:val="0"/>
          <w:spacing w:val="8"/>
          <w:kern w:val="0"/>
          <w:szCs w:val="21"/>
        </w:rPr>
        <w:t>系统故障或车站作业需要时，经控制中心调度员与车站值班员办理手续后，可实现站控与遥控</w:t>
      </w:r>
      <w:r>
        <w:rPr>
          <w:snapToGrid w:val="0"/>
          <w:spacing w:val="6"/>
          <w:kern w:val="0"/>
          <w:szCs w:val="21"/>
        </w:rPr>
        <w:t>转换；车站值班员也可强行办理站控作业；站控与遥控转换过程中，不应影响列车运行；</w:t>
      </w:r>
    </w:p>
    <w:p w14:paraId="206E2413">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6</w:t>
      </w:r>
      <w:r>
        <w:rPr>
          <w:snapToGrid w:val="0"/>
          <w:spacing w:val="10"/>
          <w:kern w:val="0"/>
          <w:szCs w:val="21"/>
        </w:rPr>
        <w:t xml:space="preserve">  </w:t>
      </w:r>
      <w:r>
        <w:rPr>
          <w:snapToGrid w:val="0"/>
          <w:spacing w:val="5"/>
          <w:kern w:val="0"/>
          <w:szCs w:val="21"/>
        </w:rPr>
        <w:t>列车进路控制应以</w:t>
      </w:r>
      <w:r>
        <w:rPr>
          <w:rFonts w:hint="eastAsia"/>
          <w:snapToGrid w:val="0"/>
          <w:spacing w:val="5"/>
          <w:kern w:val="0"/>
          <w:szCs w:val="21"/>
        </w:rPr>
        <w:t>进路或路径</w:t>
      </w:r>
      <w:r>
        <w:rPr>
          <w:snapToGrid w:val="0"/>
          <w:spacing w:val="5"/>
          <w:kern w:val="0"/>
          <w:szCs w:val="21"/>
        </w:rPr>
        <w:t>为依据，根据运行时刻表和列车识别号等条件实现控制；</w:t>
      </w:r>
    </w:p>
    <w:p w14:paraId="3C6ABFA0">
      <w:pPr>
        <w:widowControl/>
        <w:kinsoku w:val="0"/>
        <w:autoSpaceDE w:val="0"/>
        <w:autoSpaceDN w:val="0"/>
        <w:adjustRightInd w:val="0"/>
        <w:snapToGrid w:val="0"/>
        <w:ind w:right="56" w:firstLine="462" w:firstLineChars="200"/>
        <w:textAlignment w:val="baseline"/>
        <w:rPr>
          <w:snapToGrid w:val="0"/>
          <w:kern w:val="0"/>
          <w:szCs w:val="21"/>
        </w:rPr>
      </w:pPr>
      <w:r>
        <w:rPr>
          <w:rFonts w:hint="eastAsia"/>
          <w:b/>
          <w:bCs/>
          <w:snapToGrid w:val="0"/>
          <w:spacing w:val="10"/>
          <w:kern w:val="0"/>
          <w:szCs w:val="21"/>
        </w:rPr>
        <w:t>7</w:t>
      </w:r>
      <w:r>
        <w:rPr>
          <w:snapToGrid w:val="0"/>
          <w:spacing w:val="10"/>
          <w:kern w:val="0"/>
          <w:szCs w:val="21"/>
        </w:rPr>
        <w:t xml:space="preserve">  根</w:t>
      </w:r>
      <w:r>
        <w:rPr>
          <w:snapToGrid w:val="0"/>
          <w:spacing w:val="9"/>
          <w:kern w:val="0"/>
          <w:szCs w:val="21"/>
        </w:rPr>
        <w:t>据</w:t>
      </w:r>
      <w:r>
        <w:rPr>
          <w:snapToGrid w:val="0"/>
          <w:spacing w:val="5"/>
          <w:kern w:val="0"/>
          <w:szCs w:val="21"/>
        </w:rPr>
        <w:t>车辆基地的信号系统控制方式、规模和作业特点，确定</w:t>
      </w:r>
      <w:r>
        <w:rPr>
          <w:snapToGrid w:val="0"/>
          <w:kern w:val="0"/>
          <w:szCs w:val="21"/>
        </w:rPr>
        <w:t>ATS</w:t>
      </w:r>
      <w:r>
        <w:rPr>
          <w:snapToGrid w:val="0"/>
          <w:spacing w:val="5"/>
          <w:kern w:val="0"/>
          <w:szCs w:val="21"/>
        </w:rPr>
        <w:t>系统对车辆段或停车场的</w:t>
      </w:r>
      <w:r>
        <w:rPr>
          <w:snapToGrid w:val="0"/>
          <w:spacing w:val="6"/>
          <w:kern w:val="0"/>
          <w:szCs w:val="21"/>
        </w:rPr>
        <w:t>监</w:t>
      </w:r>
      <w:r>
        <w:rPr>
          <w:snapToGrid w:val="0"/>
          <w:spacing w:val="3"/>
          <w:kern w:val="0"/>
          <w:szCs w:val="21"/>
        </w:rPr>
        <w:t>督/监控方式和范围。</w:t>
      </w:r>
    </w:p>
    <w:p w14:paraId="664624FB">
      <w:pPr>
        <w:numPr>
          <w:ilvl w:val="2"/>
          <w:numId w:val="1"/>
        </w:numPr>
        <w:tabs>
          <w:tab w:val="left" w:pos="709"/>
          <w:tab w:val="left" w:pos="794"/>
        </w:tabs>
        <w:jc w:val="left"/>
        <w:outlineLvl w:val="2"/>
        <w:rPr>
          <w:bCs/>
          <w:snapToGrid w:val="0"/>
        </w:rPr>
      </w:pPr>
      <w:r>
        <w:rPr>
          <w:bCs/>
          <w:snapToGrid w:val="0"/>
        </w:rPr>
        <w:t>ATS系统接口满足下列要求：</w:t>
      </w:r>
    </w:p>
    <w:p w14:paraId="2C059271">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1</w:t>
      </w:r>
      <w:r>
        <w:rPr>
          <w:snapToGrid w:val="0"/>
          <w:spacing w:val="-4"/>
          <w:kern w:val="0"/>
          <w:szCs w:val="21"/>
        </w:rPr>
        <w:t xml:space="preserve">  </w:t>
      </w:r>
      <w:r>
        <w:rPr>
          <w:snapToGrid w:val="0"/>
          <w:spacing w:val="-2"/>
          <w:kern w:val="0"/>
          <w:szCs w:val="21"/>
        </w:rPr>
        <w:t>ATS系统</w:t>
      </w:r>
      <w:r>
        <w:rPr>
          <w:rFonts w:hint="eastAsia"/>
          <w:snapToGrid w:val="0"/>
          <w:spacing w:val="-2"/>
          <w:kern w:val="0"/>
          <w:szCs w:val="21"/>
        </w:rPr>
        <w:t>应</w:t>
      </w:r>
      <w:r>
        <w:rPr>
          <w:snapToGrid w:val="0"/>
          <w:spacing w:val="-2"/>
          <w:kern w:val="0"/>
          <w:szCs w:val="21"/>
        </w:rPr>
        <w:t>与CI、ATP、ATO等系统接口，实现ATC系统的完整功能；</w:t>
      </w:r>
    </w:p>
    <w:p w14:paraId="6CCFCA0C">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2</w:t>
      </w:r>
      <w:r>
        <w:rPr>
          <w:snapToGrid w:val="0"/>
          <w:spacing w:val="5"/>
          <w:kern w:val="0"/>
          <w:position w:val="1"/>
          <w:szCs w:val="21"/>
        </w:rPr>
        <w:t xml:space="preserve">  </w:t>
      </w:r>
      <w:r>
        <w:rPr>
          <w:snapToGrid w:val="0"/>
          <w:kern w:val="0"/>
          <w:position w:val="1"/>
          <w:szCs w:val="21"/>
        </w:rPr>
        <w:t>ATS</w:t>
      </w:r>
      <w:r>
        <w:rPr>
          <w:snapToGrid w:val="0"/>
          <w:spacing w:val="5"/>
          <w:kern w:val="0"/>
          <w:position w:val="1"/>
          <w:szCs w:val="21"/>
        </w:rPr>
        <w:t>系统</w:t>
      </w:r>
      <w:r>
        <w:rPr>
          <w:rFonts w:hint="eastAsia"/>
          <w:snapToGrid w:val="0"/>
          <w:spacing w:val="-2"/>
          <w:kern w:val="0"/>
          <w:szCs w:val="21"/>
        </w:rPr>
        <w:t>应</w:t>
      </w:r>
      <w:r>
        <w:rPr>
          <w:snapToGrid w:val="0"/>
          <w:spacing w:val="5"/>
          <w:kern w:val="0"/>
          <w:position w:val="1"/>
          <w:szCs w:val="21"/>
        </w:rPr>
        <w:t>与无线通信、广播、乘客信息等系统接口，主要提供时刻表/运行图、列车位置等信</w:t>
      </w:r>
      <w:r>
        <w:rPr>
          <w:snapToGrid w:val="0"/>
          <w:spacing w:val="2"/>
          <w:kern w:val="0"/>
          <w:position w:val="1"/>
          <w:szCs w:val="21"/>
        </w:rPr>
        <w:t>息</w:t>
      </w:r>
      <w:r>
        <w:rPr>
          <w:snapToGrid w:val="0"/>
          <w:kern w:val="0"/>
          <w:position w:val="1"/>
          <w:szCs w:val="21"/>
        </w:rPr>
        <w:t>；</w:t>
      </w:r>
    </w:p>
    <w:p w14:paraId="7A8715C2">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 xml:space="preserve">3  </w:t>
      </w:r>
      <w:r>
        <w:rPr>
          <w:snapToGrid w:val="0"/>
          <w:spacing w:val="10"/>
          <w:kern w:val="0"/>
          <w:szCs w:val="21"/>
        </w:rPr>
        <w:t>ATS系统应接收时钟系统的时间信号，实现信号系统的时间</w:t>
      </w:r>
      <w:r>
        <w:rPr>
          <w:snapToGrid w:val="0"/>
          <w:spacing w:val="6"/>
          <w:kern w:val="0"/>
          <w:szCs w:val="21"/>
        </w:rPr>
        <w:t>同步</w:t>
      </w:r>
      <w:r>
        <w:rPr>
          <w:snapToGrid w:val="0"/>
          <w:spacing w:val="1"/>
          <w:kern w:val="0"/>
          <w:szCs w:val="21"/>
        </w:rPr>
        <w:t>；</w:t>
      </w:r>
    </w:p>
    <w:p w14:paraId="2B5AA6CB">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4</w:t>
      </w:r>
      <w:r>
        <w:rPr>
          <w:snapToGrid w:val="0"/>
          <w:spacing w:val="12"/>
          <w:kern w:val="0"/>
          <w:szCs w:val="21"/>
        </w:rPr>
        <w:t xml:space="preserve">  </w:t>
      </w:r>
      <w:r>
        <w:rPr>
          <w:snapToGrid w:val="0"/>
          <w:kern w:val="0"/>
          <w:szCs w:val="21"/>
        </w:rPr>
        <w:t>ATS</w:t>
      </w:r>
      <w:r>
        <w:rPr>
          <w:snapToGrid w:val="0"/>
          <w:spacing w:val="6"/>
          <w:kern w:val="0"/>
          <w:szCs w:val="21"/>
        </w:rPr>
        <w:t>系统可与电力监控、防灾报警和环境监控或综合监控等</w:t>
      </w:r>
      <w:r>
        <w:rPr>
          <w:snapToGrid w:val="0"/>
          <w:spacing w:val="10"/>
          <w:kern w:val="0"/>
          <w:szCs w:val="21"/>
        </w:rPr>
        <w:t>系统</w:t>
      </w:r>
      <w:r>
        <w:rPr>
          <w:snapToGrid w:val="0"/>
          <w:spacing w:val="6"/>
          <w:kern w:val="0"/>
          <w:szCs w:val="21"/>
        </w:rPr>
        <w:t>接口，实现信息交换；</w:t>
      </w:r>
    </w:p>
    <w:p w14:paraId="4FBD8233">
      <w:pPr>
        <w:widowControl/>
        <w:kinsoku w:val="0"/>
        <w:autoSpaceDE w:val="0"/>
        <w:autoSpaceDN w:val="0"/>
        <w:adjustRightInd w:val="0"/>
        <w:snapToGrid w:val="0"/>
        <w:ind w:right="74" w:firstLine="462" w:firstLineChars="200"/>
        <w:textAlignment w:val="baseline"/>
        <w:rPr>
          <w:snapToGrid w:val="0"/>
          <w:spacing w:val="4"/>
          <w:kern w:val="0"/>
          <w:szCs w:val="21"/>
        </w:rPr>
      </w:pPr>
      <w:r>
        <w:rPr>
          <w:b/>
          <w:bCs/>
          <w:snapToGrid w:val="0"/>
          <w:spacing w:val="10"/>
          <w:kern w:val="0"/>
          <w:szCs w:val="21"/>
        </w:rPr>
        <w:t>5</w:t>
      </w:r>
      <w:r>
        <w:rPr>
          <w:snapToGrid w:val="0"/>
          <w:spacing w:val="8"/>
          <w:kern w:val="0"/>
          <w:szCs w:val="21"/>
        </w:rPr>
        <w:t xml:space="preserve">  </w:t>
      </w:r>
      <w:r>
        <w:rPr>
          <w:snapToGrid w:val="0"/>
          <w:kern w:val="0"/>
          <w:szCs w:val="21"/>
        </w:rPr>
        <w:t>ATS</w:t>
      </w:r>
      <w:r>
        <w:rPr>
          <w:snapToGrid w:val="0"/>
          <w:spacing w:val="4"/>
          <w:kern w:val="0"/>
          <w:szCs w:val="21"/>
        </w:rPr>
        <w:t>系统应具有与北京市轨道交通指挥中心系统的接口功能，</w:t>
      </w:r>
      <w:r>
        <w:rPr>
          <w:snapToGrid w:val="0"/>
          <w:kern w:val="0"/>
          <w:szCs w:val="21"/>
        </w:rPr>
        <w:t>ATS</w:t>
      </w:r>
      <w:r>
        <w:rPr>
          <w:snapToGrid w:val="0"/>
          <w:spacing w:val="4"/>
          <w:kern w:val="0"/>
          <w:szCs w:val="21"/>
        </w:rPr>
        <w:t>系统接口设计应满足北京市</w:t>
      </w:r>
      <w:r>
        <w:rPr>
          <w:snapToGrid w:val="0"/>
          <w:spacing w:val="6"/>
          <w:kern w:val="0"/>
          <w:szCs w:val="21"/>
        </w:rPr>
        <w:t>轨</w:t>
      </w:r>
      <w:r>
        <w:rPr>
          <w:snapToGrid w:val="0"/>
          <w:spacing w:val="4"/>
          <w:kern w:val="0"/>
          <w:szCs w:val="21"/>
        </w:rPr>
        <w:t>道交通指挥中心系统的统一接口要求；</w:t>
      </w:r>
    </w:p>
    <w:p w14:paraId="3438D12B">
      <w:pPr>
        <w:pStyle w:val="86"/>
        <w:ind w:firstLine="462"/>
        <w:rPr>
          <w:snapToGrid w:val="0"/>
          <w:color w:val="auto"/>
          <w:kern w:val="0"/>
          <w:szCs w:val="21"/>
        </w:rPr>
      </w:pPr>
      <w:r>
        <w:rPr>
          <w:rFonts w:hint="eastAsia"/>
          <w:b/>
          <w:bCs/>
          <w:snapToGrid w:val="0"/>
          <w:color w:val="auto"/>
          <w:spacing w:val="10"/>
          <w:kern w:val="0"/>
          <w:szCs w:val="21"/>
        </w:rPr>
        <w:t>6</w:t>
      </w:r>
      <w:r>
        <w:rPr>
          <w:snapToGrid w:val="0"/>
          <w:color w:val="auto"/>
          <w:spacing w:val="12"/>
          <w:kern w:val="0"/>
          <w:szCs w:val="21"/>
        </w:rPr>
        <w:t xml:space="preserve">  </w:t>
      </w:r>
      <w:r>
        <w:rPr>
          <w:rFonts w:hint="eastAsia"/>
          <w:color w:val="auto"/>
        </w:rPr>
        <w:t>全自动运行线路，ATS系统应与站台屏蔽门系统接口实现对位隔离功能；</w:t>
      </w:r>
    </w:p>
    <w:p w14:paraId="02BD3504">
      <w:pPr>
        <w:widowControl/>
        <w:kinsoku w:val="0"/>
        <w:autoSpaceDE w:val="0"/>
        <w:autoSpaceDN w:val="0"/>
        <w:adjustRightInd w:val="0"/>
        <w:snapToGrid w:val="0"/>
        <w:ind w:firstLine="462" w:firstLineChars="200"/>
        <w:textAlignment w:val="baseline"/>
        <w:rPr>
          <w:snapToGrid w:val="0"/>
          <w:spacing w:val="6"/>
          <w:kern w:val="0"/>
          <w:szCs w:val="21"/>
        </w:rPr>
      </w:pPr>
      <w:r>
        <w:rPr>
          <w:rFonts w:hint="eastAsia"/>
          <w:b/>
          <w:bCs/>
          <w:snapToGrid w:val="0"/>
          <w:spacing w:val="10"/>
          <w:kern w:val="0"/>
          <w:szCs w:val="21"/>
        </w:rPr>
        <w:t>7</w:t>
      </w:r>
      <w:r>
        <w:rPr>
          <w:snapToGrid w:val="0"/>
          <w:spacing w:val="9"/>
          <w:kern w:val="0"/>
          <w:szCs w:val="21"/>
        </w:rPr>
        <w:t xml:space="preserve">  </w:t>
      </w:r>
      <w:r>
        <w:rPr>
          <w:snapToGrid w:val="0"/>
          <w:kern w:val="0"/>
          <w:szCs w:val="21"/>
        </w:rPr>
        <w:t>ATS</w:t>
      </w:r>
      <w:r>
        <w:rPr>
          <w:snapToGrid w:val="0"/>
          <w:spacing w:val="6"/>
          <w:kern w:val="0"/>
          <w:szCs w:val="21"/>
        </w:rPr>
        <w:t>系统与相关系统的接口应有可靠的隔离措施。</w:t>
      </w:r>
    </w:p>
    <w:p w14:paraId="2FA79E7D">
      <w:pPr>
        <w:numPr>
          <w:ilvl w:val="1"/>
          <w:numId w:val="1"/>
        </w:numPr>
        <w:snapToGrid w:val="0"/>
        <w:spacing w:before="156" w:after="156" w:line="240" w:lineRule="auto"/>
        <w:jc w:val="center"/>
        <w:outlineLvl w:val="1"/>
        <w:rPr>
          <w:rFonts w:eastAsia="黑体"/>
          <w:bCs/>
          <w:szCs w:val="28"/>
        </w:rPr>
      </w:pPr>
      <w:bookmarkStart w:id="1361" w:name="_Toc183790600"/>
      <w:bookmarkStart w:id="1362" w:name="_Toc183765170"/>
      <w:bookmarkStart w:id="1363" w:name="_Toc183888575"/>
      <w:bookmarkStart w:id="1364" w:name="_Toc183882161"/>
      <w:bookmarkStart w:id="1365" w:name="_Toc183882523"/>
      <w:bookmarkStart w:id="1366" w:name="_Toc183888213"/>
      <w:r>
        <w:rPr>
          <w:rFonts w:eastAsia="黑体"/>
          <w:bCs/>
          <w:szCs w:val="28"/>
        </w:rPr>
        <w:t>列车自动防护子系统</w:t>
      </w:r>
      <w:bookmarkEnd w:id="1361"/>
      <w:bookmarkEnd w:id="1362"/>
      <w:bookmarkEnd w:id="1363"/>
      <w:bookmarkEnd w:id="1364"/>
      <w:bookmarkEnd w:id="1365"/>
      <w:bookmarkEnd w:id="1366"/>
    </w:p>
    <w:p w14:paraId="4C77F88E">
      <w:pPr>
        <w:numPr>
          <w:ilvl w:val="2"/>
          <w:numId w:val="1"/>
        </w:numPr>
        <w:tabs>
          <w:tab w:val="left" w:pos="709"/>
          <w:tab w:val="left" w:pos="794"/>
        </w:tabs>
        <w:jc w:val="left"/>
        <w:outlineLvl w:val="2"/>
      </w:pPr>
      <w:r>
        <w:rPr>
          <w:rFonts w:hint="eastAsia"/>
        </w:rPr>
        <w:t>ATP系统构成应由车站及轨旁设备和车载设备组成。</w:t>
      </w:r>
    </w:p>
    <w:p w14:paraId="31873395">
      <w:pPr>
        <w:numPr>
          <w:ilvl w:val="2"/>
          <w:numId w:val="1"/>
        </w:numPr>
        <w:tabs>
          <w:tab w:val="left" w:pos="709"/>
          <w:tab w:val="left" w:pos="794"/>
        </w:tabs>
        <w:jc w:val="left"/>
        <w:outlineLvl w:val="2"/>
      </w:pPr>
      <w:r>
        <w:rPr>
          <w:rFonts w:hint="eastAsia"/>
        </w:rPr>
        <w:t>车站及轨旁设备主要应包括ATP计算机设备、通信传输设备、维护设备及相关接口设备等。</w:t>
      </w:r>
    </w:p>
    <w:p w14:paraId="2AD2A65C">
      <w:pPr>
        <w:numPr>
          <w:ilvl w:val="2"/>
          <w:numId w:val="1"/>
        </w:numPr>
        <w:tabs>
          <w:tab w:val="left" w:pos="709"/>
          <w:tab w:val="left" w:pos="794"/>
        </w:tabs>
        <w:jc w:val="left"/>
        <w:outlineLvl w:val="2"/>
      </w:pPr>
      <w:r>
        <w:rPr>
          <w:rFonts w:hint="eastAsia"/>
        </w:rPr>
        <w:t>ATP车载设备主要包括车载ATP计算机设备、测速设备、人机显示设备、车地通信设备及相关接口设备等。</w:t>
      </w:r>
    </w:p>
    <w:p w14:paraId="6E44D8FB">
      <w:pPr>
        <w:numPr>
          <w:ilvl w:val="2"/>
          <w:numId w:val="1"/>
        </w:numPr>
        <w:tabs>
          <w:tab w:val="left" w:pos="709"/>
          <w:tab w:val="left" w:pos="794"/>
        </w:tabs>
        <w:jc w:val="left"/>
        <w:outlineLvl w:val="2"/>
        <w:rPr>
          <w:bCs/>
          <w:snapToGrid w:val="0"/>
        </w:rPr>
      </w:pPr>
      <w:r>
        <w:rPr>
          <w:rFonts w:hint="eastAsia"/>
          <w:bCs/>
          <w:snapToGrid w:val="0"/>
        </w:rPr>
        <w:t>车站</w:t>
      </w:r>
      <w:r>
        <w:rPr>
          <w:bCs/>
          <w:snapToGrid w:val="0"/>
        </w:rPr>
        <w:t>ATP计算机设备应采用二乘二取二或三取二的安全冗余结构。</w:t>
      </w:r>
    </w:p>
    <w:p w14:paraId="624512E9">
      <w:pPr>
        <w:numPr>
          <w:ilvl w:val="2"/>
          <w:numId w:val="1"/>
        </w:numPr>
        <w:tabs>
          <w:tab w:val="left" w:pos="709"/>
          <w:tab w:val="left" w:pos="794"/>
        </w:tabs>
        <w:jc w:val="left"/>
        <w:outlineLvl w:val="2"/>
      </w:pPr>
      <w:r>
        <w:rPr>
          <w:rFonts w:hint="eastAsia"/>
        </w:rPr>
        <w:t>ATP设备的站间通道及安全信息的传输通道，应采用独立的热备冗余通信通道。</w:t>
      </w:r>
    </w:p>
    <w:p w14:paraId="0EF36D0F">
      <w:pPr>
        <w:numPr>
          <w:ilvl w:val="2"/>
          <w:numId w:val="1"/>
        </w:numPr>
        <w:tabs>
          <w:tab w:val="left" w:pos="709"/>
          <w:tab w:val="left" w:pos="794"/>
        </w:tabs>
        <w:jc w:val="left"/>
        <w:outlineLvl w:val="2"/>
      </w:pPr>
      <w:r>
        <w:rPr>
          <w:snapToGrid w:val="0"/>
          <w:kern w:val="0"/>
          <w:szCs w:val="21"/>
          <w:lang w:bidi="ar"/>
        </w:rPr>
        <w:t>列车首尾两端宜各设一套ATP车载计算机设备，两端</w:t>
      </w:r>
      <w:r>
        <w:rPr>
          <w:rFonts w:hint="eastAsia"/>
          <w:snapToGrid w:val="0"/>
          <w:kern w:val="0"/>
          <w:szCs w:val="21"/>
          <w:lang w:bidi="ar"/>
        </w:rPr>
        <w:t>车载</w:t>
      </w:r>
      <w:r>
        <w:rPr>
          <w:snapToGrid w:val="0"/>
          <w:kern w:val="0"/>
          <w:szCs w:val="21"/>
          <w:lang w:bidi="ar"/>
        </w:rPr>
        <w:t>设备</w:t>
      </w:r>
      <w:r>
        <w:rPr>
          <w:rFonts w:hint="eastAsia"/>
          <w:snapToGrid w:val="0"/>
          <w:kern w:val="0"/>
          <w:szCs w:val="21"/>
          <w:lang w:bidi="ar"/>
        </w:rPr>
        <w:t>宜自成系统。采用单端各设置一套三取二或二乘二取二结构的车载ATP设备时，车头、车尾可不考虑冗余，否则头尾两端车载设备应满足热备冗余的要求</w:t>
      </w:r>
      <w:r>
        <w:rPr>
          <w:rFonts w:hint="eastAsia"/>
        </w:rPr>
        <w:t>。</w:t>
      </w:r>
    </w:p>
    <w:p w14:paraId="2BAB87F5">
      <w:pPr>
        <w:numPr>
          <w:ilvl w:val="2"/>
          <w:numId w:val="1"/>
        </w:numPr>
        <w:tabs>
          <w:tab w:val="left" w:pos="709"/>
          <w:tab w:val="left" w:pos="794"/>
        </w:tabs>
        <w:jc w:val="left"/>
        <w:outlineLvl w:val="2"/>
        <w:rPr>
          <w:snapToGrid w:val="0"/>
          <w:kern w:val="0"/>
          <w:szCs w:val="21"/>
          <w:lang w:bidi="ar"/>
        </w:rPr>
      </w:pPr>
      <w:r>
        <w:rPr>
          <w:bCs/>
          <w:snapToGrid w:val="0"/>
        </w:rPr>
        <w:t>ATP</w:t>
      </w:r>
      <w:r>
        <w:rPr>
          <w:rFonts w:hint="eastAsia"/>
          <w:snapToGrid w:val="0"/>
          <w:kern w:val="0"/>
          <w:szCs w:val="21"/>
          <w:lang w:bidi="ar"/>
        </w:rPr>
        <w:t>系统应具备下列主要功能：</w:t>
      </w:r>
    </w:p>
    <w:p w14:paraId="6E8B7B9F">
      <w:pPr>
        <w:ind w:firstLine="446" w:firstLineChars="200"/>
        <w:rPr>
          <w:snapToGrid w:val="0"/>
          <w:lang w:bidi="ar"/>
        </w:rPr>
      </w:pPr>
      <w:r>
        <w:rPr>
          <w:rFonts w:hint="eastAsia"/>
          <w:b/>
          <w:bCs/>
          <w:snapToGrid w:val="0"/>
          <w:spacing w:val="6"/>
          <w:kern w:val="0"/>
          <w:szCs w:val="21"/>
        </w:rPr>
        <w:t xml:space="preserve">1  </w:t>
      </w:r>
      <w:r>
        <w:rPr>
          <w:rFonts w:hint="eastAsia"/>
          <w:snapToGrid w:val="0"/>
          <w:lang w:bidi="ar"/>
        </w:rPr>
        <w:t>检测列车位置，实现列车管理和列车间隔控制；</w:t>
      </w:r>
    </w:p>
    <w:p w14:paraId="781276BF">
      <w:pPr>
        <w:ind w:firstLine="446" w:firstLineChars="200"/>
        <w:rPr>
          <w:snapToGrid w:val="0"/>
          <w:lang w:bidi="ar"/>
        </w:rPr>
      </w:pPr>
      <w:r>
        <w:rPr>
          <w:rFonts w:hint="eastAsia"/>
          <w:b/>
          <w:bCs/>
          <w:snapToGrid w:val="0"/>
          <w:spacing w:val="6"/>
          <w:kern w:val="0"/>
          <w:szCs w:val="21"/>
        </w:rPr>
        <w:t xml:space="preserve">2  </w:t>
      </w:r>
      <w:r>
        <w:rPr>
          <w:rFonts w:hint="eastAsia"/>
          <w:snapToGrid w:val="0"/>
          <w:lang w:bidi="ar"/>
        </w:rPr>
        <w:t>监督列车运行速度，实现列车超速防护控制；</w:t>
      </w:r>
    </w:p>
    <w:p w14:paraId="7762847B">
      <w:pPr>
        <w:ind w:firstLine="446" w:firstLineChars="200"/>
        <w:rPr>
          <w:snapToGrid w:val="0"/>
          <w:lang w:bidi="ar"/>
        </w:rPr>
      </w:pPr>
      <w:r>
        <w:rPr>
          <w:rFonts w:hint="eastAsia"/>
          <w:b/>
          <w:bCs/>
          <w:snapToGrid w:val="0"/>
          <w:spacing w:val="6"/>
          <w:kern w:val="0"/>
          <w:szCs w:val="21"/>
        </w:rPr>
        <w:t xml:space="preserve">3  </w:t>
      </w:r>
      <w:r>
        <w:rPr>
          <w:rFonts w:hint="eastAsia"/>
          <w:snapToGrid w:val="0"/>
          <w:lang w:bidi="ar"/>
        </w:rPr>
        <w:t>列车退行和非预期移动防护；</w:t>
      </w:r>
    </w:p>
    <w:p w14:paraId="19814FB5">
      <w:pPr>
        <w:ind w:firstLine="446" w:firstLineChars="200"/>
        <w:rPr>
          <w:snapToGrid w:val="0"/>
          <w:lang w:bidi="ar"/>
        </w:rPr>
      </w:pPr>
      <w:r>
        <w:rPr>
          <w:rFonts w:hint="eastAsia"/>
          <w:b/>
          <w:bCs/>
          <w:snapToGrid w:val="0"/>
          <w:spacing w:val="6"/>
          <w:kern w:val="0"/>
          <w:szCs w:val="21"/>
        </w:rPr>
        <w:t xml:space="preserve">4  </w:t>
      </w:r>
      <w:r>
        <w:rPr>
          <w:rFonts w:hint="eastAsia"/>
          <w:snapToGrid w:val="0"/>
          <w:lang w:bidi="ar"/>
        </w:rPr>
        <w:t>为列车车门的开闭提供安全监督信息；</w:t>
      </w:r>
    </w:p>
    <w:p w14:paraId="10DB9152">
      <w:pPr>
        <w:ind w:firstLine="446" w:firstLineChars="200"/>
        <w:rPr>
          <w:snapToGrid w:val="0"/>
          <w:lang w:bidi="ar"/>
        </w:rPr>
      </w:pPr>
      <w:r>
        <w:rPr>
          <w:rFonts w:hint="eastAsia"/>
          <w:b/>
          <w:bCs/>
          <w:snapToGrid w:val="0"/>
          <w:spacing w:val="6"/>
          <w:kern w:val="0"/>
          <w:szCs w:val="21"/>
        </w:rPr>
        <w:t>5</w:t>
      </w:r>
      <w:r>
        <w:rPr>
          <w:rFonts w:hint="eastAsia"/>
          <w:snapToGrid w:val="0"/>
          <w:lang w:bidi="ar"/>
        </w:rPr>
        <w:t xml:space="preserve">  记录司机操作及设备状态；</w:t>
      </w:r>
    </w:p>
    <w:p w14:paraId="5262C3F7">
      <w:pPr>
        <w:ind w:firstLine="446" w:firstLineChars="200"/>
        <w:rPr>
          <w:snapToGrid w:val="0"/>
          <w:lang w:bidi="ar"/>
        </w:rPr>
      </w:pPr>
      <w:r>
        <w:rPr>
          <w:rFonts w:hint="eastAsia"/>
          <w:b/>
          <w:bCs/>
          <w:snapToGrid w:val="0"/>
          <w:spacing w:val="6"/>
          <w:kern w:val="0"/>
          <w:szCs w:val="21"/>
        </w:rPr>
        <w:t xml:space="preserve">6  </w:t>
      </w:r>
      <w:r>
        <w:rPr>
          <w:rFonts w:hint="eastAsia"/>
          <w:snapToGrid w:val="0"/>
          <w:lang w:bidi="ar"/>
        </w:rPr>
        <w:t>实现车载信号设备的日检，宜通过上电自检完成；</w:t>
      </w:r>
    </w:p>
    <w:p w14:paraId="3204B804">
      <w:pPr>
        <w:ind w:firstLine="446" w:firstLineChars="200"/>
        <w:rPr>
          <w:snapToGrid w:val="0"/>
          <w:lang w:bidi="ar"/>
        </w:rPr>
      </w:pPr>
      <w:r>
        <w:rPr>
          <w:rFonts w:hint="eastAsia"/>
          <w:b/>
          <w:bCs/>
          <w:snapToGrid w:val="0"/>
          <w:spacing w:val="6"/>
          <w:kern w:val="0"/>
          <w:szCs w:val="21"/>
        </w:rPr>
        <w:t>7</w:t>
      </w:r>
      <w:r>
        <w:rPr>
          <w:rFonts w:hint="eastAsia"/>
          <w:snapToGrid w:val="0"/>
          <w:lang w:bidi="ar"/>
        </w:rPr>
        <w:t xml:space="preserve">  车门状态、列车停稳状态和列车完整性监督功能；</w:t>
      </w:r>
    </w:p>
    <w:p w14:paraId="7A1450C2">
      <w:pPr>
        <w:ind w:firstLine="446" w:firstLineChars="200"/>
        <w:rPr>
          <w:snapToGrid w:val="0"/>
          <w:lang w:bidi="ar"/>
        </w:rPr>
      </w:pPr>
      <w:r>
        <w:rPr>
          <w:rFonts w:hint="eastAsia"/>
          <w:b/>
          <w:bCs/>
          <w:snapToGrid w:val="0"/>
          <w:spacing w:val="6"/>
          <w:kern w:val="0"/>
          <w:szCs w:val="21"/>
        </w:rPr>
        <w:t xml:space="preserve">8  </w:t>
      </w:r>
      <w:r>
        <w:rPr>
          <w:rFonts w:hint="eastAsia"/>
          <w:snapToGrid w:val="0"/>
          <w:lang w:bidi="ar"/>
        </w:rPr>
        <w:t>具备车地通信功能时，实现临时限速防护、区域防护和站台屏蔽门状态监督和防护功能；</w:t>
      </w:r>
    </w:p>
    <w:p w14:paraId="786B2479">
      <w:pPr>
        <w:ind w:firstLine="446" w:firstLineChars="200"/>
      </w:pPr>
      <w:r>
        <w:rPr>
          <w:rFonts w:hint="eastAsia"/>
          <w:b/>
          <w:bCs/>
          <w:snapToGrid w:val="0"/>
          <w:spacing w:val="6"/>
          <w:kern w:val="0"/>
          <w:szCs w:val="21"/>
        </w:rPr>
        <w:t xml:space="preserve">9  </w:t>
      </w:r>
      <w:r>
        <w:rPr>
          <w:rFonts w:hint="eastAsia"/>
          <w:snapToGrid w:val="0"/>
          <w:lang w:bidi="ar"/>
        </w:rPr>
        <w:t>具备机械编组功能的线路</w:t>
      </w:r>
      <w:r>
        <w:rPr>
          <w:rFonts w:hint="eastAsia"/>
          <w:snapToGrid w:val="0"/>
          <w:kern w:val="0"/>
          <w:szCs w:val="21"/>
          <w:lang w:bidi="ar"/>
        </w:rPr>
        <w:t>，</w:t>
      </w:r>
      <w:r>
        <w:rPr>
          <w:rFonts w:hint="eastAsia"/>
          <w:snapToGrid w:val="0"/>
          <w:lang w:bidi="ar"/>
        </w:rPr>
        <w:t>ATP系统应对AM-CBTC、CM-CBTC模式下的联挂、解编过程进行安全防护。</w:t>
      </w:r>
    </w:p>
    <w:p w14:paraId="41633BDB">
      <w:pPr>
        <w:numPr>
          <w:ilvl w:val="2"/>
          <w:numId w:val="1"/>
        </w:numPr>
        <w:tabs>
          <w:tab w:val="left" w:pos="709"/>
          <w:tab w:val="left" w:pos="794"/>
        </w:tabs>
        <w:outlineLvl w:val="2"/>
        <w:rPr>
          <w:bCs/>
          <w:snapToGrid w:val="0"/>
          <w:kern w:val="0"/>
          <w:szCs w:val="21"/>
          <w:lang w:bidi="ar"/>
        </w:rPr>
      </w:pPr>
      <w:r>
        <w:rPr>
          <w:rFonts w:hint="eastAsia"/>
          <w:bCs/>
          <w:snapToGrid w:val="0"/>
          <w:kern w:val="0"/>
          <w:szCs w:val="21"/>
          <w:lang w:bidi="ar"/>
        </w:rPr>
        <w:t>全自动运行线路ATP系统除满足18.3.7的功能外，还应具备下列功能：</w:t>
      </w:r>
    </w:p>
    <w:p w14:paraId="16FC0AD1">
      <w:pPr>
        <w:ind w:firstLine="446" w:firstLineChars="200"/>
        <w:rPr>
          <w:snapToGrid w:val="0"/>
          <w:lang w:bidi="ar"/>
        </w:rPr>
      </w:pPr>
      <w:r>
        <w:rPr>
          <w:rFonts w:hint="eastAsia"/>
          <w:b/>
          <w:bCs/>
          <w:snapToGrid w:val="0"/>
          <w:spacing w:val="6"/>
          <w:kern w:val="0"/>
          <w:szCs w:val="21"/>
        </w:rPr>
        <w:t>1</w:t>
      </w:r>
      <w:r>
        <w:rPr>
          <w:rFonts w:hint="eastAsia"/>
          <w:snapToGrid w:val="0"/>
          <w:lang w:bidi="ar"/>
        </w:rPr>
        <w:t xml:space="preserve">  远程及本地休眠、唤醒功能；</w:t>
      </w:r>
    </w:p>
    <w:p w14:paraId="5E37A7A0">
      <w:pPr>
        <w:ind w:firstLine="446" w:firstLineChars="200"/>
        <w:rPr>
          <w:snapToGrid w:val="0"/>
          <w:lang w:bidi="ar"/>
        </w:rPr>
      </w:pPr>
      <w:r>
        <w:rPr>
          <w:rFonts w:hint="eastAsia"/>
          <w:b/>
          <w:bCs/>
          <w:snapToGrid w:val="0"/>
          <w:spacing w:val="6"/>
          <w:kern w:val="0"/>
          <w:szCs w:val="21"/>
        </w:rPr>
        <w:t xml:space="preserve">2  </w:t>
      </w:r>
      <w:r>
        <w:rPr>
          <w:rFonts w:hint="eastAsia"/>
          <w:snapToGrid w:val="0"/>
          <w:lang w:bidi="ar"/>
        </w:rPr>
        <w:t>自动化区域的人员防护；</w:t>
      </w:r>
    </w:p>
    <w:p w14:paraId="18268BB4">
      <w:pPr>
        <w:ind w:firstLine="446" w:firstLineChars="200"/>
        <w:rPr>
          <w:snapToGrid w:val="0"/>
          <w:lang w:bidi="ar"/>
        </w:rPr>
      </w:pPr>
      <w:r>
        <w:rPr>
          <w:rFonts w:hint="eastAsia"/>
          <w:b/>
          <w:bCs/>
          <w:snapToGrid w:val="0"/>
          <w:spacing w:val="6"/>
          <w:kern w:val="0"/>
          <w:szCs w:val="21"/>
        </w:rPr>
        <w:t>3</w:t>
      </w:r>
      <w:r>
        <w:rPr>
          <w:rFonts w:hint="eastAsia"/>
          <w:snapToGrid w:val="0"/>
          <w:lang w:bidi="ar"/>
        </w:rPr>
        <w:t xml:space="preserve">  障碍物防护功能；</w:t>
      </w:r>
    </w:p>
    <w:p w14:paraId="19CA456B">
      <w:pPr>
        <w:ind w:firstLine="446" w:firstLineChars="200"/>
        <w:rPr>
          <w:snapToGrid w:val="0"/>
          <w:lang w:bidi="ar"/>
        </w:rPr>
      </w:pPr>
      <w:r>
        <w:rPr>
          <w:rFonts w:hint="eastAsia"/>
          <w:b/>
          <w:bCs/>
          <w:snapToGrid w:val="0"/>
          <w:spacing w:val="6"/>
          <w:kern w:val="0"/>
          <w:szCs w:val="21"/>
        </w:rPr>
        <w:t>4</w:t>
      </w:r>
      <w:r>
        <w:rPr>
          <w:rFonts w:hint="eastAsia"/>
          <w:snapToGrid w:val="0"/>
          <w:lang w:bidi="ar"/>
        </w:rPr>
        <w:t xml:space="preserve">  发车安全防护功能；</w:t>
      </w:r>
    </w:p>
    <w:p w14:paraId="7FD5E937">
      <w:pPr>
        <w:ind w:firstLine="446" w:firstLineChars="200"/>
        <w:rPr>
          <w:snapToGrid w:val="0"/>
          <w:lang w:bidi="ar"/>
        </w:rPr>
      </w:pPr>
      <w:r>
        <w:rPr>
          <w:rFonts w:hint="eastAsia"/>
          <w:b/>
          <w:bCs/>
          <w:snapToGrid w:val="0"/>
          <w:spacing w:val="6"/>
          <w:kern w:val="0"/>
          <w:szCs w:val="21"/>
        </w:rPr>
        <w:t>5</w:t>
      </w:r>
      <w:r>
        <w:rPr>
          <w:rFonts w:hint="eastAsia"/>
          <w:snapToGrid w:val="0"/>
          <w:lang w:bidi="ar"/>
        </w:rPr>
        <w:t xml:space="preserve">  冗余测速及定位功能；</w:t>
      </w:r>
    </w:p>
    <w:p w14:paraId="4C60F0E5">
      <w:pPr>
        <w:ind w:firstLine="446" w:firstLineChars="200"/>
        <w:rPr>
          <w:snapToGrid w:val="0"/>
          <w:lang w:bidi="ar"/>
        </w:rPr>
      </w:pPr>
      <w:r>
        <w:rPr>
          <w:rFonts w:hint="eastAsia"/>
          <w:b/>
          <w:bCs/>
          <w:snapToGrid w:val="0"/>
          <w:spacing w:val="6"/>
          <w:kern w:val="0"/>
          <w:szCs w:val="21"/>
        </w:rPr>
        <w:t xml:space="preserve">6  </w:t>
      </w:r>
      <w:r>
        <w:rPr>
          <w:rFonts w:hint="eastAsia"/>
          <w:snapToGrid w:val="0"/>
          <w:lang w:bidi="ar"/>
        </w:rPr>
        <w:t>对跳跃、蠕动模式及远程限速模式运行的安全防护功能；</w:t>
      </w:r>
    </w:p>
    <w:p w14:paraId="3E065C3B">
      <w:pPr>
        <w:ind w:firstLine="446" w:firstLineChars="200"/>
        <w:rPr>
          <w:snapToGrid w:val="0"/>
          <w:lang w:bidi="ar"/>
        </w:rPr>
      </w:pPr>
      <w:r>
        <w:rPr>
          <w:rFonts w:hint="eastAsia"/>
          <w:b/>
          <w:bCs/>
          <w:snapToGrid w:val="0"/>
          <w:spacing w:val="6"/>
          <w:kern w:val="0"/>
          <w:szCs w:val="21"/>
        </w:rPr>
        <w:t xml:space="preserve">7  </w:t>
      </w:r>
      <w:r>
        <w:rPr>
          <w:rFonts w:hint="eastAsia"/>
          <w:snapToGrid w:val="0"/>
          <w:lang w:bidi="ar"/>
        </w:rPr>
        <w:t>库门监督及防护；</w:t>
      </w:r>
    </w:p>
    <w:p w14:paraId="150D1183">
      <w:pPr>
        <w:ind w:firstLine="446" w:firstLineChars="200"/>
        <w:rPr>
          <w:snapToGrid w:val="0"/>
          <w:lang w:bidi="ar"/>
        </w:rPr>
      </w:pPr>
      <w:r>
        <w:rPr>
          <w:rFonts w:hint="eastAsia"/>
          <w:b/>
          <w:bCs/>
          <w:snapToGrid w:val="0"/>
          <w:spacing w:val="6"/>
          <w:kern w:val="0"/>
          <w:szCs w:val="21"/>
        </w:rPr>
        <w:t xml:space="preserve">8  </w:t>
      </w:r>
      <w:r>
        <w:rPr>
          <w:rFonts w:hint="eastAsia"/>
          <w:snapToGrid w:val="0"/>
          <w:lang w:bidi="ar"/>
        </w:rPr>
        <w:t>车门与站台屏蔽门间的对位隔离接口联动功能；</w:t>
      </w:r>
    </w:p>
    <w:p w14:paraId="31658C68">
      <w:pPr>
        <w:ind w:firstLine="446" w:firstLineChars="200"/>
        <w:rPr>
          <w:snapToGrid w:val="0"/>
          <w:lang w:bidi="ar"/>
        </w:rPr>
      </w:pPr>
      <w:r>
        <w:rPr>
          <w:rFonts w:hint="eastAsia"/>
          <w:b/>
          <w:bCs/>
          <w:snapToGrid w:val="0"/>
          <w:spacing w:val="6"/>
          <w:kern w:val="0"/>
          <w:szCs w:val="21"/>
        </w:rPr>
        <w:t xml:space="preserve">9  </w:t>
      </w:r>
      <w:r>
        <w:rPr>
          <w:rFonts w:hint="eastAsia"/>
          <w:snapToGrid w:val="0"/>
          <w:lang w:bidi="ar"/>
        </w:rPr>
        <w:t>执行并反馈远程控制命令；</w:t>
      </w:r>
    </w:p>
    <w:p w14:paraId="1FC84601">
      <w:pPr>
        <w:ind w:firstLine="446" w:firstLineChars="200"/>
        <w:rPr>
          <w:snapToGrid w:val="0"/>
          <w:lang w:bidi="ar"/>
        </w:rPr>
      </w:pPr>
      <w:r>
        <w:rPr>
          <w:rFonts w:hint="eastAsia"/>
          <w:b/>
          <w:bCs/>
          <w:snapToGrid w:val="0"/>
          <w:spacing w:val="6"/>
          <w:kern w:val="0"/>
          <w:szCs w:val="21"/>
        </w:rPr>
        <w:t xml:space="preserve">10  </w:t>
      </w:r>
      <w:r>
        <w:rPr>
          <w:rFonts w:hint="eastAsia"/>
          <w:snapToGrid w:val="0"/>
          <w:lang w:bidi="ar"/>
        </w:rPr>
        <w:t>洗车防护；</w:t>
      </w:r>
    </w:p>
    <w:p w14:paraId="61324E22">
      <w:pPr>
        <w:ind w:firstLine="446" w:firstLineChars="200"/>
      </w:pPr>
      <w:r>
        <w:rPr>
          <w:rFonts w:hint="eastAsia"/>
          <w:b/>
          <w:bCs/>
          <w:snapToGrid w:val="0"/>
          <w:spacing w:val="6"/>
          <w:kern w:val="0"/>
          <w:szCs w:val="21"/>
        </w:rPr>
        <w:t xml:space="preserve">11  </w:t>
      </w:r>
      <w:r>
        <w:rPr>
          <w:rFonts w:hint="eastAsia"/>
        </w:rPr>
        <w:t>具备机械编组功能的线路，ATP系统应对FAM模式下的联挂、解编过程进行安全防护；</w:t>
      </w:r>
    </w:p>
    <w:p w14:paraId="61EC49EA">
      <w:pPr>
        <w:ind w:firstLine="446" w:firstLineChars="200"/>
      </w:pPr>
      <w:r>
        <w:rPr>
          <w:rFonts w:hint="eastAsia"/>
          <w:b/>
          <w:bCs/>
          <w:snapToGrid w:val="0"/>
          <w:spacing w:val="6"/>
          <w:kern w:val="0"/>
          <w:szCs w:val="21"/>
        </w:rPr>
        <w:t>12</w:t>
      </w:r>
      <w:r>
        <w:rPr>
          <w:rFonts w:hint="eastAsia"/>
        </w:rPr>
        <w:t xml:space="preserve">  雨雪模式下，采用较低GEBR值进行列车运行安全防护。</w:t>
      </w:r>
    </w:p>
    <w:p w14:paraId="40DC6E80">
      <w:pPr>
        <w:numPr>
          <w:ilvl w:val="2"/>
          <w:numId w:val="1"/>
        </w:numPr>
        <w:tabs>
          <w:tab w:val="left" w:pos="709"/>
          <w:tab w:val="left" w:pos="794"/>
        </w:tabs>
        <w:jc w:val="left"/>
        <w:outlineLvl w:val="2"/>
      </w:pPr>
      <w:r>
        <w:rPr>
          <w:bCs/>
          <w:snapToGrid w:val="0"/>
        </w:rPr>
        <w:t>ATP</w:t>
      </w:r>
      <w:r>
        <w:rPr>
          <w:rFonts w:hint="eastAsia"/>
        </w:rPr>
        <w:t>系统应满足下列要求：</w:t>
      </w:r>
    </w:p>
    <w:p w14:paraId="6387EBD4">
      <w:pPr>
        <w:ind w:firstLine="430" w:firstLineChars="200"/>
      </w:pPr>
      <w:r>
        <w:rPr>
          <w:rFonts w:hint="eastAsia"/>
          <w:b/>
          <w:bCs/>
          <w:snapToGrid w:val="0"/>
          <w:spacing w:val="2"/>
          <w:kern w:val="0"/>
          <w:szCs w:val="21"/>
        </w:rPr>
        <w:t>1</w:t>
      </w:r>
      <w:r>
        <w:rPr>
          <w:rFonts w:hint="eastAsia"/>
        </w:rPr>
        <w:t xml:space="preserve">  城市轨道交通系统信号系统应配备ATP系统，其系统安全完整性等级应满足SIL4级要求；ATP系统内部设备之间的信息传输应符合故障-安全原则；</w:t>
      </w:r>
    </w:p>
    <w:p w14:paraId="706F2138">
      <w:pPr>
        <w:ind w:firstLine="430" w:firstLineChars="200"/>
      </w:pPr>
      <w:r>
        <w:rPr>
          <w:rFonts w:hint="eastAsia"/>
          <w:b/>
          <w:bCs/>
          <w:snapToGrid w:val="0"/>
          <w:spacing w:val="2"/>
          <w:kern w:val="0"/>
          <w:szCs w:val="21"/>
        </w:rPr>
        <w:t>2</w:t>
      </w:r>
      <w:r>
        <w:rPr>
          <w:rFonts w:hint="eastAsia"/>
        </w:rPr>
        <w:t xml:space="preserve">  为保证行车安全，在安全防护预定停车点的外方应设安全防护距离，安全防护距离应通过计算确定；</w:t>
      </w:r>
    </w:p>
    <w:p w14:paraId="725A4F30">
      <w:pPr>
        <w:ind w:firstLine="430" w:firstLineChars="200"/>
      </w:pPr>
      <w:r>
        <w:rPr>
          <w:b/>
          <w:bCs/>
          <w:snapToGrid w:val="0"/>
          <w:spacing w:val="2"/>
          <w:kern w:val="0"/>
          <w:szCs w:val="21"/>
        </w:rPr>
        <w:t>3</w:t>
      </w:r>
      <w:r>
        <w:t xml:space="preserve"> </w:t>
      </w:r>
      <w:r>
        <w:rPr>
          <w:rFonts w:hint="eastAsia"/>
        </w:rPr>
        <w:t xml:space="preserve"> </w:t>
      </w:r>
      <w:r>
        <w:t>ATP</w:t>
      </w:r>
      <w:r>
        <w:rPr>
          <w:rFonts w:hint="eastAsia"/>
        </w:rPr>
        <w:t>系统应采用连续式控制方式，宜采用一次性速度</w:t>
      </w:r>
      <w:r>
        <w:t>−</w:t>
      </w:r>
      <w:r>
        <w:rPr>
          <w:rFonts w:hint="eastAsia"/>
        </w:rPr>
        <w:t>距离控制模式；</w:t>
      </w:r>
    </w:p>
    <w:p w14:paraId="0D9CC95F">
      <w:pPr>
        <w:ind w:firstLine="430" w:firstLineChars="200"/>
      </w:pPr>
      <w:r>
        <w:rPr>
          <w:rFonts w:hint="eastAsia"/>
          <w:b/>
          <w:bCs/>
          <w:snapToGrid w:val="0"/>
          <w:spacing w:val="2"/>
          <w:kern w:val="0"/>
          <w:szCs w:val="21"/>
        </w:rPr>
        <w:t>4</w:t>
      </w:r>
      <w:r>
        <w:rPr>
          <w:rFonts w:hint="eastAsia"/>
        </w:rPr>
        <w:t xml:space="preserve">  ATP系统应支持多种运行等级和驾驶模式， 应具有多种运行等级列车混合运行能力；</w:t>
      </w:r>
    </w:p>
    <w:p w14:paraId="52E5E866">
      <w:pPr>
        <w:ind w:firstLine="430" w:firstLineChars="200"/>
      </w:pPr>
      <w:r>
        <w:rPr>
          <w:rFonts w:hint="eastAsia"/>
          <w:b/>
          <w:bCs/>
          <w:snapToGrid w:val="0"/>
          <w:spacing w:val="2"/>
          <w:kern w:val="0"/>
          <w:szCs w:val="21"/>
        </w:rPr>
        <w:t>5</w:t>
      </w:r>
      <w:r>
        <w:rPr>
          <w:rFonts w:hint="eastAsia"/>
        </w:rPr>
        <w:t xml:space="preserve">  地车站ATP设备向ATP车载设备传送的移动授权信息、站台紧急关闭状态、站台屏蔽门状态、临时限速等信息，应满足ATP车载设备控制方式和控制精度的要求；</w:t>
      </w:r>
    </w:p>
    <w:p w14:paraId="5911754F">
      <w:pPr>
        <w:ind w:firstLine="430" w:firstLineChars="200"/>
      </w:pPr>
      <w:r>
        <w:rPr>
          <w:rFonts w:hint="eastAsia"/>
          <w:b/>
          <w:bCs/>
          <w:snapToGrid w:val="0"/>
          <w:spacing w:val="2"/>
          <w:kern w:val="0"/>
          <w:szCs w:val="21"/>
        </w:rPr>
        <w:t>6</w:t>
      </w:r>
      <w:r>
        <w:rPr>
          <w:rFonts w:hint="eastAsia"/>
        </w:rPr>
        <w:t xml:space="preserve">  轨旁信号机的显示含义应与车站ATP设备生成的移动授权位置含义相符。室外信号机采取定位灭灯方式时，值班员工作站上的信号复示器显示应与ATP生成的移动授权位置含义相符</w:t>
      </w:r>
      <w:r>
        <w:rPr>
          <w:rFonts w:hint="eastAsia"/>
          <w:snapToGrid w:val="0"/>
          <w:kern w:val="0"/>
          <w:szCs w:val="21"/>
          <w:lang w:bidi="ar"/>
        </w:rPr>
        <w:t>。</w:t>
      </w:r>
    </w:p>
    <w:p w14:paraId="0DCE32E4">
      <w:pPr>
        <w:numPr>
          <w:ilvl w:val="2"/>
          <w:numId w:val="1"/>
        </w:numPr>
        <w:tabs>
          <w:tab w:val="left" w:pos="794"/>
          <w:tab w:val="left" w:pos="993"/>
        </w:tabs>
        <w:jc w:val="left"/>
        <w:outlineLvl w:val="2"/>
        <w:rPr>
          <w:bCs/>
          <w:snapToGrid w:val="0"/>
        </w:rPr>
      </w:pPr>
      <w:r>
        <w:rPr>
          <w:bCs/>
          <w:snapToGrid w:val="0"/>
        </w:rPr>
        <w:t>列车定位及信息传递符合下列规定：</w:t>
      </w:r>
    </w:p>
    <w:p w14:paraId="3A830A7A">
      <w:pPr>
        <w:widowControl/>
        <w:kinsoku w:val="0"/>
        <w:autoSpaceDE w:val="0"/>
        <w:autoSpaceDN w:val="0"/>
        <w:adjustRightInd w:val="0"/>
        <w:snapToGrid w:val="0"/>
        <w:ind w:firstLine="430" w:firstLineChars="200"/>
        <w:textAlignment w:val="baseline"/>
        <w:rPr>
          <w:snapToGrid w:val="0"/>
          <w:kern w:val="0"/>
          <w:szCs w:val="21"/>
        </w:rPr>
      </w:pPr>
      <w:r>
        <w:rPr>
          <w:b/>
          <w:bCs/>
          <w:snapToGrid w:val="0"/>
          <w:spacing w:val="2"/>
          <w:kern w:val="0"/>
          <w:szCs w:val="21"/>
        </w:rPr>
        <w:t>1</w:t>
      </w:r>
      <w:r>
        <w:rPr>
          <w:snapToGrid w:val="0"/>
          <w:spacing w:val="12"/>
          <w:kern w:val="0"/>
          <w:szCs w:val="21"/>
        </w:rPr>
        <w:t xml:space="preserve"> </w:t>
      </w:r>
      <w:r>
        <w:rPr>
          <w:rFonts w:hint="eastAsia"/>
          <w:snapToGrid w:val="0"/>
          <w:spacing w:val="12"/>
          <w:kern w:val="0"/>
          <w:szCs w:val="21"/>
        </w:rPr>
        <w:t xml:space="preserve"> </w:t>
      </w:r>
      <w:r>
        <w:rPr>
          <w:snapToGrid w:val="0"/>
          <w:kern w:val="0"/>
          <w:szCs w:val="21"/>
        </w:rPr>
        <w:t>ATP</w:t>
      </w:r>
      <w:r>
        <w:rPr>
          <w:snapToGrid w:val="0"/>
          <w:spacing w:val="6"/>
          <w:kern w:val="0"/>
          <w:szCs w:val="21"/>
        </w:rPr>
        <w:t>系统</w:t>
      </w:r>
      <w:r>
        <w:rPr>
          <w:rFonts w:hint="eastAsia"/>
          <w:snapToGrid w:val="0"/>
          <w:spacing w:val="6"/>
          <w:kern w:val="0"/>
          <w:szCs w:val="21"/>
        </w:rPr>
        <w:t>应</w:t>
      </w:r>
      <w:r>
        <w:rPr>
          <w:snapToGrid w:val="0"/>
          <w:spacing w:val="6"/>
          <w:kern w:val="0"/>
          <w:szCs w:val="21"/>
        </w:rPr>
        <w:t>具有多种列车位置检测能力。列车位置检测可采用轨道电路、计轴、轨旁电缆环线、应答器和/或辅以速度传感器等方式，根据需要可采用多普勒雷达、加速度计等设备</w:t>
      </w:r>
      <w:r>
        <w:rPr>
          <w:snapToGrid w:val="0"/>
          <w:spacing w:val="1"/>
          <w:kern w:val="0"/>
          <w:szCs w:val="21"/>
        </w:rPr>
        <w:t>；</w:t>
      </w:r>
    </w:p>
    <w:p w14:paraId="5035C642">
      <w:pPr>
        <w:widowControl/>
        <w:kinsoku w:val="0"/>
        <w:autoSpaceDE w:val="0"/>
        <w:autoSpaceDN w:val="0"/>
        <w:adjustRightInd w:val="0"/>
        <w:snapToGrid w:val="0"/>
        <w:ind w:firstLine="430" w:firstLineChars="200"/>
        <w:textAlignment w:val="baseline"/>
        <w:rPr>
          <w:snapToGrid w:val="0"/>
          <w:kern w:val="0"/>
          <w:szCs w:val="21"/>
        </w:rPr>
      </w:pPr>
      <w:r>
        <w:rPr>
          <w:b/>
          <w:bCs/>
          <w:snapToGrid w:val="0"/>
          <w:spacing w:val="2"/>
          <w:kern w:val="0"/>
          <w:szCs w:val="21"/>
        </w:rPr>
        <w:t>2</w:t>
      </w:r>
      <w:r>
        <w:rPr>
          <w:snapToGrid w:val="0"/>
          <w:spacing w:val="10"/>
          <w:kern w:val="0"/>
          <w:szCs w:val="21"/>
        </w:rPr>
        <w:t xml:space="preserve"> </w:t>
      </w:r>
      <w:r>
        <w:rPr>
          <w:rFonts w:hint="eastAsia"/>
          <w:snapToGrid w:val="0"/>
          <w:spacing w:val="10"/>
          <w:kern w:val="0"/>
          <w:szCs w:val="21"/>
        </w:rPr>
        <w:t xml:space="preserve"> </w:t>
      </w:r>
      <w:r>
        <w:rPr>
          <w:snapToGrid w:val="0"/>
          <w:spacing w:val="5"/>
          <w:kern w:val="0"/>
          <w:szCs w:val="21"/>
        </w:rPr>
        <w:t>车地信息传递可采用轨道电路、轨旁电缆环线、应答器、无线通信等传输方式。</w:t>
      </w:r>
    </w:p>
    <w:p w14:paraId="3A03A6F2">
      <w:pPr>
        <w:numPr>
          <w:ilvl w:val="2"/>
          <w:numId w:val="1"/>
        </w:numPr>
        <w:tabs>
          <w:tab w:val="left" w:pos="794"/>
          <w:tab w:val="left" w:pos="993"/>
        </w:tabs>
        <w:jc w:val="left"/>
        <w:outlineLvl w:val="2"/>
      </w:pPr>
      <w:r>
        <w:rPr>
          <w:rFonts w:hint="eastAsia"/>
        </w:rPr>
        <w:t>车载</w:t>
      </w:r>
      <w:r>
        <w:rPr>
          <w:rFonts w:hint="eastAsia"/>
          <w:bCs/>
          <w:snapToGrid w:val="0"/>
        </w:rPr>
        <w:t>ATP</w:t>
      </w:r>
      <w:r>
        <w:rPr>
          <w:rFonts w:hint="eastAsia"/>
        </w:rPr>
        <w:t>设备应满足下列要求：</w:t>
      </w:r>
    </w:p>
    <w:p w14:paraId="39286B01">
      <w:pPr>
        <w:ind w:firstLine="430" w:firstLineChars="200"/>
      </w:pPr>
      <w:r>
        <w:rPr>
          <w:rFonts w:hint="eastAsia"/>
          <w:b/>
          <w:bCs/>
          <w:snapToGrid w:val="0"/>
          <w:spacing w:val="2"/>
          <w:kern w:val="0"/>
          <w:szCs w:val="21"/>
        </w:rPr>
        <w:t>1</w:t>
      </w:r>
      <w:r>
        <w:rPr>
          <w:rFonts w:hint="eastAsia"/>
        </w:rPr>
        <w:t xml:space="preserve">  ATP系统导致列车停车为最高安全准则。车地连续通信中断或地面信息严重丢失、列车完整性电路断路、列车超速、列车的非预期移动、车载设备重度故障等均应导致强迫性制动；</w:t>
      </w:r>
    </w:p>
    <w:p w14:paraId="5E9DDE14">
      <w:pPr>
        <w:ind w:firstLine="430" w:firstLineChars="200"/>
      </w:pPr>
      <w:r>
        <w:rPr>
          <w:rFonts w:hint="eastAsia"/>
          <w:b/>
          <w:bCs/>
          <w:snapToGrid w:val="0"/>
          <w:spacing w:val="2"/>
          <w:kern w:val="0"/>
          <w:szCs w:val="21"/>
        </w:rPr>
        <w:t>2</w:t>
      </w:r>
      <w:r>
        <w:rPr>
          <w:rFonts w:hint="eastAsia"/>
        </w:rPr>
        <w:t xml:space="preserve">  车载ATP设备的车内信号应是行车的主体信号。车内信号应至少包括列车允许速度、列车实际运行速度、列车运行前方的目标距离等项内容；在两端司机室内均应装设速度显示、报警等装置；</w:t>
      </w:r>
    </w:p>
    <w:p w14:paraId="695D8180">
      <w:pPr>
        <w:ind w:firstLine="430" w:firstLineChars="200"/>
      </w:pPr>
      <w:r>
        <w:rPr>
          <w:rFonts w:hint="eastAsia"/>
          <w:b/>
          <w:bCs/>
          <w:snapToGrid w:val="0"/>
          <w:spacing w:val="2"/>
          <w:kern w:val="0"/>
          <w:szCs w:val="21"/>
        </w:rPr>
        <w:t>3</w:t>
      </w:r>
      <w:r>
        <w:rPr>
          <w:rFonts w:hint="eastAsia"/>
        </w:rPr>
        <w:t xml:space="preserve">  ATP执行强迫停车控制时，应切断列车牵引。当施加紧急制动时，列车停车过程不得中途缓解； </w:t>
      </w:r>
    </w:p>
    <w:p w14:paraId="433DFC58">
      <w:pPr>
        <w:ind w:firstLine="430" w:firstLineChars="200"/>
      </w:pPr>
      <w:r>
        <w:rPr>
          <w:rFonts w:hint="eastAsia"/>
          <w:b/>
          <w:bCs/>
          <w:snapToGrid w:val="0"/>
          <w:spacing w:val="2"/>
          <w:kern w:val="0"/>
          <w:szCs w:val="21"/>
        </w:rPr>
        <w:t>4</w:t>
      </w:r>
      <w:r>
        <w:rPr>
          <w:rFonts w:hint="eastAsia"/>
        </w:rPr>
        <w:t xml:space="preserve">  车载信号设备与车辆接口电路的布线应与其主回路等环节的高压布线分开敷设并实施防护，与车辆电器的接口应有隔离措施；</w:t>
      </w:r>
    </w:p>
    <w:p w14:paraId="3C068493">
      <w:pPr>
        <w:ind w:firstLine="430" w:firstLineChars="200"/>
      </w:pPr>
      <w:r>
        <w:rPr>
          <w:rFonts w:hint="eastAsia"/>
          <w:b/>
          <w:bCs/>
          <w:snapToGrid w:val="0"/>
          <w:spacing w:val="2"/>
          <w:kern w:val="0"/>
          <w:szCs w:val="21"/>
        </w:rPr>
        <w:t>5</w:t>
      </w:r>
      <w:r>
        <w:rPr>
          <w:rFonts w:hint="eastAsia"/>
        </w:rPr>
        <w:t xml:space="preserve">  列车处于停车且开门的状态下，车载设备应防止列车的错误启动和非预期的移动；</w:t>
      </w:r>
    </w:p>
    <w:p w14:paraId="6118D59D">
      <w:pPr>
        <w:ind w:firstLine="430" w:firstLineChars="200"/>
      </w:pPr>
      <w:r>
        <w:rPr>
          <w:rFonts w:hint="eastAsia"/>
          <w:b/>
          <w:bCs/>
          <w:snapToGrid w:val="0"/>
          <w:spacing w:val="2"/>
          <w:kern w:val="0"/>
          <w:szCs w:val="21"/>
        </w:rPr>
        <w:t>6</w:t>
      </w:r>
      <w:r>
        <w:rPr>
          <w:rFonts w:hint="eastAsia"/>
        </w:rPr>
        <w:t xml:space="preserve">  当列车在站间运行过程中发生车门错误开启，车载ATP设备应采取报警、停车等防护措施；</w:t>
      </w:r>
    </w:p>
    <w:p w14:paraId="10C7DC8D">
      <w:pPr>
        <w:ind w:firstLine="430" w:firstLineChars="200"/>
      </w:pPr>
      <w:r>
        <w:rPr>
          <w:rFonts w:hint="eastAsia"/>
          <w:b/>
          <w:bCs/>
          <w:snapToGrid w:val="0"/>
          <w:spacing w:val="2"/>
          <w:kern w:val="0"/>
          <w:szCs w:val="21"/>
        </w:rPr>
        <w:t>7</w:t>
      </w:r>
      <w:r>
        <w:rPr>
          <w:rFonts w:hint="eastAsia"/>
        </w:rPr>
        <w:t xml:space="preserve">  列车在进站过程中接收到ATS系统的扣车命令时，不应产生紧急制动；当列车在车站停车时，车载ATP移动授权指令的生成，不应受列车停站时间的制约；</w:t>
      </w:r>
    </w:p>
    <w:p w14:paraId="5E64D201">
      <w:pPr>
        <w:ind w:firstLine="430" w:firstLineChars="200"/>
      </w:pPr>
      <w:r>
        <w:rPr>
          <w:rFonts w:hint="eastAsia"/>
          <w:b/>
          <w:bCs/>
          <w:snapToGrid w:val="0"/>
          <w:spacing w:val="2"/>
          <w:kern w:val="0"/>
          <w:szCs w:val="21"/>
        </w:rPr>
        <w:t>8</w:t>
      </w:r>
      <w:r>
        <w:rPr>
          <w:rFonts w:hint="eastAsia"/>
        </w:rPr>
        <w:t xml:space="preserve">  ATP输出开车门允许信号，不应与列车的停站时间发生关联；</w:t>
      </w:r>
    </w:p>
    <w:p w14:paraId="5CD966D3">
      <w:pPr>
        <w:ind w:firstLine="430" w:firstLineChars="200"/>
      </w:pPr>
      <w:r>
        <w:rPr>
          <w:rFonts w:hint="eastAsia"/>
          <w:b/>
          <w:bCs/>
          <w:snapToGrid w:val="0"/>
          <w:spacing w:val="2"/>
          <w:kern w:val="0"/>
          <w:szCs w:val="21"/>
        </w:rPr>
        <w:t>9</w:t>
      </w:r>
      <w:r>
        <w:rPr>
          <w:rFonts w:hint="eastAsia"/>
        </w:rPr>
        <w:t xml:space="preserve">  应配置车载数据存储单元，记录车载ATP与ATO系统与车辆系统、ATS系统、车站ATP系统的通信数据，并记录司机对信号设备相关操作。保存记录数据时间应不少于7天，移动闭塞系统宜具备在地面维护工作站远程下载车载数据功能。</w:t>
      </w:r>
    </w:p>
    <w:p w14:paraId="1B4A8D2A">
      <w:pPr>
        <w:ind w:firstLine="430" w:firstLineChars="200"/>
        <w:rPr>
          <w:snapToGrid w:val="0"/>
          <w:kern w:val="0"/>
          <w:szCs w:val="21"/>
        </w:rPr>
      </w:pPr>
      <w:r>
        <w:rPr>
          <w:rFonts w:hint="eastAsia"/>
          <w:b/>
          <w:bCs/>
          <w:snapToGrid w:val="0"/>
          <w:spacing w:val="2"/>
          <w:kern w:val="0"/>
          <w:szCs w:val="21"/>
        </w:rPr>
        <w:t>10</w:t>
      </w:r>
      <w:r>
        <w:rPr>
          <w:rFonts w:hint="eastAsia"/>
        </w:rPr>
        <w:t xml:space="preserve">  采用交流牵引供电制式或双流制牵引供电制式的工程，车载ATP系统应具备ATP自动过分相、ATP自动过双流制转换区的控制功能。</w:t>
      </w:r>
    </w:p>
    <w:p w14:paraId="161635F0">
      <w:pPr>
        <w:numPr>
          <w:ilvl w:val="2"/>
          <w:numId w:val="1"/>
        </w:numPr>
        <w:tabs>
          <w:tab w:val="left" w:pos="794"/>
          <w:tab w:val="left" w:pos="993"/>
        </w:tabs>
        <w:jc w:val="left"/>
        <w:outlineLvl w:val="2"/>
        <w:rPr>
          <w:bCs/>
          <w:snapToGrid w:val="0"/>
        </w:rPr>
      </w:pPr>
      <w:r>
        <w:rPr>
          <w:bCs/>
          <w:snapToGrid w:val="0"/>
        </w:rPr>
        <w:t>ATP系统降级运行模式</w:t>
      </w:r>
      <w:r>
        <w:rPr>
          <w:rFonts w:hint="eastAsia"/>
          <w:bCs/>
          <w:snapToGrid w:val="0"/>
        </w:rPr>
        <w:t>应</w:t>
      </w:r>
      <w:r>
        <w:rPr>
          <w:bCs/>
          <w:snapToGrid w:val="0"/>
        </w:rPr>
        <w:t>满足下列要求：</w:t>
      </w:r>
    </w:p>
    <w:p w14:paraId="6D1FFC12">
      <w:pPr>
        <w:widowControl/>
        <w:kinsoku w:val="0"/>
        <w:autoSpaceDE w:val="0"/>
        <w:autoSpaceDN w:val="0"/>
        <w:adjustRightInd w:val="0"/>
        <w:snapToGrid w:val="0"/>
        <w:ind w:firstLine="430" w:firstLineChars="200"/>
        <w:textAlignment w:val="baseline"/>
        <w:rPr>
          <w:snapToGrid w:val="0"/>
          <w:kern w:val="0"/>
          <w:szCs w:val="21"/>
        </w:rPr>
      </w:pPr>
      <w:r>
        <w:rPr>
          <w:rFonts w:hint="eastAsia"/>
          <w:b/>
          <w:bCs/>
          <w:snapToGrid w:val="0"/>
          <w:spacing w:val="2"/>
          <w:kern w:val="0"/>
          <w:szCs w:val="21"/>
        </w:rPr>
        <w:t xml:space="preserve">1  </w:t>
      </w:r>
      <w:r>
        <w:rPr>
          <w:snapToGrid w:val="0"/>
          <w:spacing w:val="8"/>
          <w:kern w:val="0"/>
          <w:szCs w:val="21"/>
        </w:rPr>
        <w:t>降</w:t>
      </w:r>
      <w:r>
        <w:rPr>
          <w:snapToGrid w:val="0"/>
          <w:spacing w:val="5"/>
          <w:kern w:val="0"/>
          <w:szCs w:val="21"/>
        </w:rPr>
        <w:t>级</w:t>
      </w:r>
      <w:r>
        <w:rPr>
          <w:snapToGrid w:val="0"/>
          <w:spacing w:val="4"/>
          <w:kern w:val="0"/>
          <w:szCs w:val="21"/>
        </w:rPr>
        <w:t>运行模式建立和退出应自动或人工操作完成，并应有明确表示；</w:t>
      </w:r>
    </w:p>
    <w:p w14:paraId="7F162E1B">
      <w:pPr>
        <w:widowControl/>
        <w:kinsoku w:val="0"/>
        <w:autoSpaceDE w:val="0"/>
        <w:autoSpaceDN w:val="0"/>
        <w:adjustRightInd w:val="0"/>
        <w:snapToGrid w:val="0"/>
        <w:ind w:firstLine="430" w:firstLineChars="200"/>
        <w:textAlignment w:val="baseline"/>
        <w:rPr>
          <w:snapToGrid w:val="0"/>
          <w:kern w:val="0"/>
          <w:szCs w:val="21"/>
        </w:rPr>
      </w:pPr>
      <w:r>
        <w:rPr>
          <w:rFonts w:hint="eastAsia"/>
          <w:b/>
          <w:bCs/>
          <w:snapToGrid w:val="0"/>
          <w:spacing w:val="2"/>
          <w:kern w:val="0"/>
          <w:szCs w:val="21"/>
        </w:rPr>
        <w:t xml:space="preserve">2  </w:t>
      </w:r>
      <w:r>
        <w:rPr>
          <w:snapToGrid w:val="0"/>
          <w:spacing w:val="1"/>
          <w:kern w:val="0"/>
          <w:szCs w:val="21"/>
        </w:rPr>
        <w:t>基于无线通信的</w:t>
      </w:r>
      <w:r>
        <w:rPr>
          <w:snapToGrid w:val="0"/>
          <w:kern w:val="0"/>
          <w:szCs w:val="21"/>
        </w:rPr>
        <w:t>ATP</w:t>
      </w:r>
      <w:r>
        <w:rPr>
          <w:snapToGrid w:val="0"/>
          <w:spacing w:val="1"/>
          <w:kern w:val="0"/>
          <w:szCs w:val="21"/>
        </w:rPr>
        <w:t>系统可具有点式降</w:t>
      </w:r>
      <w:r>
        <w:rPr>
          <w:snapToGrid w:val="0"/>
          <w:kern w:val="0"/>
          <w:szCs w:val="21"/>
        </w:rPr>
        <w:t>级模式；</w:t>
      </w:r>
    </w:p>
    <w:p w14:paraId="10F3AD7C">
      <w:pPr>
        <w:widowControl/>
        <w:kinsoku w:val="0"/>
        <w:autoSpaceDE w:val="0"/>
        <w:autoSpaceDN w:val="0"/>
        <w:adjustRightInd w:val="0"/>
        <w:snapToGrid w:val="0"/>
        <w:ind w:firstLine="430" w:firstLineChars="200"/>
        <w:textAlignment w:val="baseline"/>
        <w:rPr>
          <w:snapToGrid w:val="0"/>
          <w:spacing w:val="4"/>
          <w:kern w:val="0"/>
          <w:szCs w:val="21"/>
        </w:rPr>
      </w:pPr>
      <w:r>
        <w:rPr>
          <w:rFonts w:hint="eastAsia"/>
          <w:b/>
          <w:bCs/>
          <w:snapToGrid w:val="0"/>
          <w:spacing w:val="2"/>
          <w:kern w:val="0"/>
          <w:szCs w:val="21"/>
        </w:rPr>
        <w:t xml:space="preserve">3  </w:t>
      </w:r>
      <w:r>
        <w:rPr>
          <w:rFonts w:hint="eastAsia"/>
          <w:snapToGrid w:val="0"/>
          <w:spacing w:val="4"/>
          <w:kern w:val="0"/>
          <w:szCs w:val="21"/>
        </w:rPr>
        <w:t>车地无线通信正常情况下，点式降级模式应实现车门与站台屏蔽门的联动功能；</w:t>
      </w:r>
    </w:p>
    <w:p w14:paraId="6F532245">
      <w:pPr>
        <w:widowControl/>
        <w:kinsoku w:val="0"/>
        <w:autoSpaceDE w:val="0"/>
        <w:autoSpaceDN w:val="0"/>
        <w:adjustRightInd w:val="0"/>
        <w:snapToGrid w:val="0"/>
        <w:ind w:firstLine="430" w:firstLineChars="200"/>
        <w:textAlignment w:val="baseline"/>
        <w:rPr>
          <w:snapToGrid w:val="0"/>
          <w:spacing w:val="5"/>
          <w:kern w:val="0"/>
          <w:szCs w:val="21"/>
        </w:rPr>
      </w:pPr>
      <w:r>
        <w:rPr>
          <w:rFonts w:hint="eastAsia"/>
          <w:b/>
          <w:bCs/>
          <w:snapToGrid w:val="0"/>
          <w:spacing w:val="2"/>
          <w:kern w:val="0"/>
          <w:szCs w:val="21"/>
        </w:rPr>
        <w:t xml:space="preserve">4  </w:t>
      </w:r>
      <w:r>
        <w:rPr>
          <w:rFonts w:hint="eastAsia"/>
          <w:snapToGrid w:val="0"/>
          <w:spacing w:val="4"/>
          <w:kern w:val="0"/>
          <w:szCs w:val="21"/>
        </w:rPr>
        <w:t>车地无线通信正常情况下，点式降级模式应具备在站台轨、折返轨处信号机显示红灯时，禁止列车启动功能。</w:t>
      </w:r>
    </w:p>
    <w:p w14:paraId="6356A20E">
      <w:pPr>
        <w:numPr>
          <w:ilvl w:val="2"/>
          <w:numId w:val="1"/>
        </w:numPr>
        <w:tabs>
          <w:tab w:val="left" w:pos="794"/>
          <w:tab w:val="left" w:pos="993"/>
        </w:tabs>
        <w:jc w:val="left"/>
        <w:outlineLvl w:val="2"/>
      </w:pPr>
      <w:r>
        <w:rPr>
          <w:rFonts w:hint="eastAsia"/>
        </w:rPr>
        <w:t>ATP</w:t>
      </w:r>
      <w:r>
        <w:rPr>
          <w:rFonts w:hint="eastAsia"/>
          <w:bCs/>
          <w:snapToGrid w:val="0"/>
        </w:rPr>
        <w:t>系统</w:t>
      </w:r>
      <w:r>
        <w:rPr>
          <w:rFonts w:hint="eastAsia"/>
        </w:rPr>
        <w:t>应具有以下安全接口：</w:t>
      </w:r>
    </w:p>
    <w:p w14:paraId="0D93EFFF">
      <w:pPr>
        <w:widowControl/>
        <w:kinsoku w:val="0"/>
        <w:autoSpaceDE w:val="0"/>
        <w:autoSpaceDN w:val="0"/>
        <w:adjustRightInd w:val="0"/>
        <w:snapToGrid w:val="0"/>
        <w:ind w:firstLine="430" w:firstLineChars="200"/>
        <w:textAlignment w:val="baseline"/>
      </w:pPr>
      <w:r>
        <w:rPr>
          <w:rFonts w:hint="eastAsia"/>
          <w:b/>
          <w:bCs/>
          <w:snapToGrid w:val="0"/>
          <w:spacing w:val="2"/>
          <w:kern w:val="0"/>
          <w:szCs w:val="21"/>
        </w:rPr>
        <w:t xml:space="preserve">1  </w:t>
      </w:r>
      <w:r>
        <w:rPr>
          <w:rFonts w:hint="eastAsia"/>
        </w:rPr>
        <w:t>与ATS系统的接口；</w:t>
      </w:r>
    </w:p>
    <w:p w14:paraId="7F6AB53E">
      <w:pPr>
        <w:widowControl/>
        <w:kinsoku w:val="0"/>
        <w:autoSpaceDE w:val="0"/>
        <w:autoSpaceDN w:val="0"/>
        <w:adjustRightInd w:val="0"/>
        <w:snapToGrid w:val="0"/>
        <w:ind w:firstLine="430" w:firstLineChars="200"/>
        <w:textAlignment w:val="baseline"/>
      </w:pPr>
      <w:r>
        <w:rPr>
          <w:rFonts w:hint="eastAsia"/>
          <w:b/>
          <w:bCs/>
          <w:snapToGrid w:val="0"/>
          <w:spacing w:val="2"/>
          <w:kern w:val="0"/>
          <w:szCs w:val="21"/>
        </w:rPr>
        <w:t xml:space="preserve">2  </w:t>
      </w:r>
      <w:r>
        <w:rPr>
          <w:rFonts w:hint="eastAsia"/>
        </w:rPr>
        <w:t>与计算机联锁系统或具有联锁功能的设备的接口；</w:t>
      </w:r>
    </w:p>
    <w:p w14:paraId="3BB800C9">
      <w:pPr>
        <w:widowControl/>
        <w:kinsoku w:val="0"/>
        <w:autoSpaceDE w:val="0"/>
        <w:autoSpaceDN w:val="0"/>
        <w:adjustRightInd w:val="0"/>
        <w:snapToGrid w:val="0"/>
        <w:ind w:firstLine="430" w:firstLineChars="200"/>
        <w:textAlignment w:val="baseline"/>
      </w:pPr>
      <w:r>
        <w:rPr>
          <w:rFonts w:hint="eastAsia"/>
          <w:b/>
          <w:bCs/>
          <w:snapToGrid w:val="0"/>
          <w:spacing w:val="2"/>
          <w:kern w:val="0"/>
          <w:szCs w:val="21"/>
        </w:rPr>
        <w:t xml:space="preserve">3  </w:t>
      </w:r>
      <w:r>
        <w:rPr>
          <w:rFonts w:hint="eastAsia"/>
        </w:rPr>
        <w:t>与车辆系统接口；</w:t>
      </w:r>
    </w:p>
    <w:p w14:paraId="1D030333">
      <w:pPr>
        <w:widowControl/>
        <w:kinsoku w:val="0"/>
        <w:autoSpaceDE w:val="0"/>
        <w:autoSpaceDN w:val="0"/>
        <w:adjustRightInd w:val="0"/>
        <w:snapToGrid w:val="0"/>
        <w:ind w:firstLine="430" w:firstLineChars="200"/>
        <w:textAlignment w:val="baseline"/>
      </w:pPr>
      <w:r>
        <w:rPr>
          <w:rFonts w:hint="eastAsia"/>
          <w:b/>
          <w:bCs/>
          <w:snapToGrid w:val="0"/>
          <w:spacing w:val="2"/>
          <w:kern w:val="0"/>
          <w:szCs w:val="21"/>
        </w:rPr>
        <w:t xml:space="preserve">4  </w:t>
      </w:r>
      <w:r>
        <w:rPr>
          <w:rFonts w:hint="eastAsia"/>
        </w:rPr>
        <w:t>全自动运行线路还应具有以下安全接口：</w:t>
      </w:r>
    </w:p>
    <w:p w14:paraId="179E8FC0">
      <w:pPr>
        <w:widowControl/>
        <w:kinsoku w:val="0"/>
        <w:autoSpaceDE w:val="0"/>
        <w:autoSpaceDN w:val="0"/>
        <w:adjustRightInd w:val="0"/>
        <w:snapToGrid w:val="0"/>
        <w:ind w:firstLine="420" w:firstLineChars="200"/>
        <w:textAlignment w:val="baseline"/>
      </w:pPr>
      <w:r>
        <w:rPr>
          <w:rFonts w:hint="eastAsia"/>
        </w:rPr>
        <w:t>1）  与列车障碍物检测系统的接口；</w:t>
      </w:r>
    </w:p>
    <w:p w14:paraId="38FD7285">
      <w:pPr>
        <w:widowControl/>
        <w:kinsoku w:val="0"/>
        <w:autoSpaceDE w:val="0"/>
        <w:autoSpaceDN w:val="0"/>
        <w:adjustRightInd w:val="0"/>
        <w:snapToGrid w:val="0"/>
        <w:ind w:firstLine="420" w:firstLineChars="200"/>
        <w:textAlignment w:val="baseline"/>
        <w:rPr>
          <w:snapToGrid w:val="0"/>
          <w:spacing w:val="2"/>
          <w:kern w:val="0"/>
          <w:szCs w:val="21"/>
        </w:rPr>
      </w:pPr>
      <w:r>
        <w:rPr>
          <w:rFonts w:hint="eastAsia"/>
        </w:rPr>
        <w:t>2）  若采用信号系统与间隙探测系统直接接口方式，应与间隙探测系统接口。</w:t>
      </w:r>
    </w:p>
    <w:p w14:paraId="6E1F33E0">
      <w:pPr>
        <w:numPr>
          <w:ilvl w:val="1"/>
          <w:numId w:val="1"/>
        </w:numPr>
        <w:snapToGrid w:val="0"/>
        <w:spacing w:before="156" w:after="156" w:line="240" w:lineRule="auto"/>
        <w:jc w:val="center"/>
        <w:outlineLvl w:val="1"/>
        <w:rPr>
          <w:rFonts w:eastAsia="黑体"/>
          <w:bCs/>
          <w:szCs w:val="28"/>
        </w:rPr>
      </w:pPr>
      <w:bookmarkStart w:id="1367" w:name="_Toc183765171"/>
      <w:bookmarkStart w:id="1368" w:name="_Toc183882524"/>
      <w:bookmarkStart w:id="1369" w:name="_Toc183888576"/>
      <w:bookmarkStart w:id="1370" w:name="_Toc183790601"/>
      <w:bookmarkStart w:id="1371" w:name="_Toc183882162"/>
      <w:bookmarkStart w:id="1372" w:name="_Toc183888214"/>
      <w:r>
        <w:rPr>
          <w:rFonts w:eastAsia="黑体"/>
          <w:bCs/>
          <w:szCs w:val="28"/>
        </w:rPr>
        <w:t>列车自动运行子系统</w:t>
      </w:r>
      <w:bookmarkEnd w:id="1367"/>
      <w:bookmarkEnd w:id="1368"/>
      <w:bookmarkEnd w:id="1369"/>
      <w:bookmarkEnd w:id="1370"/>
      <w:bookmarkEnd w:id="1371"/>
      <w:bookmarkEnd w:id="1372"/>
    </w:p>
    <w:p w14:paraId="3E16173B">
      <w:pPr>
        <w:numPr>
          <w:ilvl w:val="2"/>
          <w:numId w:val="1"/>
        </w:numPr>
        <w:tabs>
          <w:tab w:val="left" w:pos="709"/>
          <w:tab w:val="left" w:pos="794"/>
        </w:tabs>
        <w:jc w:val="left"/>
        <w:outlineLvl w:val="2"/>
      </w:pPr>
      <w:r>
        <w:rPr>
          <w:bCs/>
          <w:snapToGrid w:val="0"/>
        </w:rPr>
        <w:t>A</w:t>
      </w:r>
      <w:r>
        <w:rPr>
          <w:rFonts w:hint="eastAsia"/>
        </w:rPr>
        <w:t>TO系统应由车站及轨旁设备和车载设备组成，若为具有ATP防护功能的车辆基地宜包含车辆基地ATO设备。</w:t>
      </w:r>
    </w:p>
    <w:p w14:paraId="7085F9D6">
      <w:pPr>
        <w:numPr>
          <w:ilvl w:val="2"/>
          <w:numId w:val="1"/>
        </w:numPr>
        <w:tabs>
          <w:tab w:val="left" w:pos="709"/>
          <w:tab w:val="left" w:pos="794"/>
        </w:tabs>
        <w:jc w:val="left"/>
        <w:outlineLvl w:val="2"/>
      </w:pPr>
      <w:r>
        <w:rPr>
          <w:rFonts w:hint="eastAsia"/>
          <w:snapToGrid w:val="0"/>
        </w:rPr>
        <w:t>车站及轨旁和车辆基地</w:t>
      </w:r>
      <w:r>
        <w:rPr>
          <w:snapToGrid w:val="0"/>
        </w:rPr>
        <w:t>ATO设备应主要包括轨旁定位设备、ATO地面接口等设备。ATO</w:t>
      </w:r>
      <w:r>
        <w:rPr>
          <w:rFonts w:hint="eastAsia"/>
          <w:snapToGrid w:val="0"/>
        </w:rPr>
        <w:t>宜</w:t>
      </w:r>
      <w:r>
        <w:rPr>
          <w:snapToGrid w:val="0"/>
        </w:rPr>
        <w:t>利用ATP系统的轨旁</w:t>
      </w:r>
      <w:r>
        <w:rPr>
          <w:snapToGrid w:val="0"/>
          <w:spacing w:val="1"/>
        </w:rPr>
        <w:t>设备，但不应影响</w:t>
      </w:r>
      <w:r>
        <w:rPr>
          <w:snapToGrid w:val="0"/>
        </w:rPr>
        <w:t>ATP系统的安全性。</w:t>
      </w:r>
    </w:p>
    <w:p w14:paraId="5ECE8AEA">
      <w:pPr>
        <w:numPr>
          <w:ilvl w:val="2"/>
          <w:numId w:val="1"/>
        </w:numPr>
        <w:tabs>
          <w:tab w:val="left" w:pos="709"/>
          <w:tab w:val="left" w:pos="794"/>
        </w:tabs>
        <w:jc w:val="left"/>
        <w:outlineLvl w:val="2"/>
      </w:pPr>
      <w:r>
        <w:rPr>
          <w:rFonts w:hint="eastAsia"/>
        </w:rPr>
        <w:t>车载ATO设备主要包括ATO车载计算机及相关接口等设备，全自动运行线路车载ATO设备应采用冗余结构。</w:t>
      </w:r>
    </w:p>
    <w:p w14:paraId="34B41CBC">
      <w:pPr>
        <w:numPr>
          <w:ilvl w:val="2"/>
          <w:numId w:val="1"/>
        </w:numPr>
        <w:tabs>
          <w:tab w:val="left" w:pos="709"/>
          <w:tab w:val="left" w:pos="794"/>
        </w:tabs>
        <w:jc w:val="left"/>
        <w:outlineLvl w:val="2"/>
        <w:rPr>
          <w:bCs/>
          <w:snapToGrid w:val="0"/>
        </w:rPr>
      </w:pPr>
      <w:r>
        <w:rPr>
          <w:bCs/>
          <w:snapToGrid w:val="0"/>
        </w:rPr>
        <w:t>ATO系统可分为司机监控下的自动驾驶模式和无人驾驶模式。</w:t>
      </w:r>
    </w:p>
    <w:p w14:paraId="7CBF1715">
      <w:pPr>
        <w:numPr>
          <w:ilvl w:val="2"/>
          <w:numId w:val="1"/>
        </w:numPr>
        <w:tabs>
          <w:tab w:val="left" w:pos="709"/>
          <w:tab w:val="left" w:pos="794"/>
        </w:tabs>
        <w:jc w:val="left"/>
        <w:outlineLvl w:val="2"/>
      </w:pPr>
      <w:r>
        <w:rPr>
          <w:bCs/>
          <w:snapToGrid w:val="0"/>
        </w:rPr>
        <w:t>A</w:t>
      </w:r>
      <w:r>
        <w:rPr>
          <w:rFonts w:hint="eastAsia"/>
        </w:rPr>
        <w:t>TO系统应具备下列主要功能：</w:t>
      </w:r>
    </w:p>
    <w:p w14:paraId="49E58913">
      <w:pPr>
        <w:widowControl/>
        <w:kinsoku w:val="0"/>
        <w:autoSpaceDE w:val="0"/>
        <w:autoSpaceDN w:val="0"/>
        <w:adjustRightInd w:val="0"/>
        <w:snapToGrid w:val="0"/>
        <w:ind w:firstLine="414" w:firstLineChars="200"/>
        <w:textAlignment w:val="baseline"/>
      </w:pPr>
      <w:r>
        <w:rPr>
          <w:rFonts w:hint="eastAsia"/>
          <w:b/>
          <w:bCs/>
          <w:snapToGrid w:val="0"/>
          <w:spacing w:val="-2"/>
          <w:kern w:val="0"/>
          <w:szCs w:val="21"/>
        </w:rPr>
        <w:t>1</w:t>
      </w:r>
      <w:r>
        <w:rPr>
          <w:b/>
        </w:rPr>
        <w:t xml:space="preserve"> </w:t>
      </w:r>
      <w:r>
        <w:t xml:space="preserve"> </w:t>
      </w:r>
      <w:r>
        <w:rPr>
          <w:rFonts w:hint="eastAsia"/>
        </w:rPr>
        <w:t>站间自动运行；</w:t>
      </w:r>
    </w:p>
    <w:p w14:paraId="05C86EE7">
      <w:pPr>
        <w:widowControl/>
        <w:kinsoku w:val="0"/>
        <w:autoSpaceDE w:val="0"/>
        <w:autoSpaceDN w:val="0"/>
        <w:adjustRightInd w:val="0"/>
        <w:snapToGrid w:val="0"/>
        <w:ind w:firstLine="414" w:firstLineChars="200"/>
        <w:textAlignment w:val="baseline"/>
      </w:pPr>
      <w:r>
        <w:rPr>
          <w:rFonts w:hint="eastAsia"/>
          <w:b/>
          <w:bCs/>
          <w:snapToGrid w:val="0"/>
          <w:spacing w:val="-2"/>
          <w:kern w:val="0"/>
          <w:szCs w:val="21"/>
        </w:rPr>
        <w:t>2</w:t>
      </w:r>
      <w:r>
        <w:t xml:space="preserve">  </w:t>
      </w:r>
      <w:r>
        <w:rPr>
          <w:rFonts w:hint="eastAsia"/>
        </w:rPr>
        <w:t>车站定点停车；</w:t>
      </w:r>
    </w:p>
    <w:p w14:paraId="755354F4">
      <w:pPr>
        <w:widowControl/>
        <w:kinsoku w:val="0"/>
        <w:autoSpaceDE w:val="0"/>
        <w:autoSpaceDN w:val="0"/>
        <w:adjustRightInd w:val="0"/>
        <w:snapToGrid w:val="0"/>
        <w:ind w:firstLine="414" w:firstLineChars="200"/>
        <w:textAlignment w:val="baseline"/>
      </w:pPr>
      <w:r>
        <w:rPr>
          <w:rFonts w:hint="eastAsia"/>
          <w:b/>
          <w:bCs/>
          <w:snapToGrid w:val="0"/>
          <w:spacing w:val="-2"/>
          <w:kern w:val="0"/>
          <w:szCs w:val="21"/>
        </w:rPr>
        <w:t>3</w:t>
      </w:r>
      <w:r>
        <w:t xml:space="preserve">  </w:t>
      </w:r>
      <w:r>
        <w:rPr>
          <w:rFonts w:hint="eastAsia"/>
        </w:rPr>
        <w:t>车站通过；</w:t>
      </w:r>
    </w:p>
    <w:p w14:paraId="18EF07F5">
      <w:pPr>
        <w:widowControl/>
        <w:kinsoku w:val="0"/>
        <w:autoSpaceDE w:val="0"/>
        <w:autoSpaceDN w:val="0"/>
        <w:adjustRightInd w:val="0"/>
        <w:snapToGrid w:val="0"/>
        <w:ind w:firstLine="414" w:firstLineChars="200"/>
        <w:textAlignment w:val="baseline"/>
      </w:pPr>
      <w:r>
        <w:rPr>
          <w:rFonts w:hint="eastAsia"/>
          <w:b/>
          <w:bCs/>
          <w:snapToGrid w:val="0"/>
          <w:spacing w:val="-2"/>
          <w:kern w:val="0"/>
          <w:szCs w:val="21"/>
        </w:rPr>
        <w:t>4</w:t>
      </w:r>
      <w:r>
        <w:t xml:space="preserve">  </w:t>
      </w:r>
      <w:r>
        <w:rPr>
          <w:rFonts w:hint="eastAsia"/>
        </w:rPr>
        <w:t>有司机或无司机监督下的自动折返；</w:t>
      </w:r>
    </w:p>
    <w:p w14:paraId="25110A76">
      <w:pPr>
        <w:widowControl/>
        <w:kinsoku w:val="0"/>
        <w:autoSpaceDE w:val="0"/>
        <w:autoSpaceDN w:val="0"/>
        <w:adjustRightInd w:val="0"/>
        <w:snapToGrid w:val="0"/>
        <w:ind w:firstLine="414" w:firstLineChars="200"/>
        <w:textAlignment w:val="baseline"/>
      </w:pPr>
      <w:r>
        <w:rPr>
          <w:rFonts w:hint="eastAsia"/>
          <w:b/>
          <w:bCs/>
          <w:snapToGrid w:val="0"/>
          <w:spacing w:val="-2"/>
          <w:kern w:val="0"/>
          <w:szCs w:val="21"/>
        </w:rPr>
        <w:t>5</w:t>
      </w:r>
      <w:r>
        <w:t xml:space="preserve">  </w:t>
      </w:r>
      <w:r>
        <w:rPr>
          <w:rFonts w:hint="eastAsia"/>
        </w:rPr>
        <w:t>列车车门、站台屏蔽门的控制；</w:t>
      </w:r>
    </w:p>
    <w:p w14:paraId="19CB1D26">
      <w:pPr>
        <w:widowControl/>
        <w:kinsoku w:val="0"/>
        <w:autoSpaceDE w:val="0"/>
        <w:autoSpaceDN w:val="0"/>
        <w:adjustRightInd w:val="0"/>
        <w:snapToGrid w:val="0"/>
        <w:ind w:firstLine="414" w:firstLineChars="200"/>
        <w:textAlignment w:val="baseline"/>
      </w:pPr>
      <w:r>
        <w:rPr>
          <w:rFonts w:hint="eastAsia"/>
          <w:b/>
          <w:bCs/>
          <w:snapToGrid w:val="0"/>
          <w:spacing w:val="-2"/>
          <w:kern w:val="0"/>
          <w:szCs w:val="21"/>
        </w:rPr>
        <w:t>6</w:t>
      </w:r>
      <w:r>
        <w:t xml:space="preserve">  </w:t>
      </w:r>
      <w:r>
        <w:rPr>
          <w:rFonts w:hint="eastAsia"/>
        </w:rPr>
        <w:t>列车运行自动调整；</w:t>
      </w:r>
    </w:p>
    <w:p w14:paraId="2029EAD6">
      <w:pPr>
        <w:widowControl/>
        <w:kinsoku w:val="0"/>
        <w:autoSpaceDE w:val="0"/>
        <w:autoSpaceDN w:val="0"/>
        <w:adjustRightInd w:val="0"/>
        <w:snapToGrid w:val="0"/>
        <w:ind w:firstLine="414" w:firstLineChars="200"/>
        <w:textAlignment w:val="baseline"/>
      </w:pPr>
      <w:r>
        <w:rPr>
          <w:rFonts w:hint="eastAsia"/>
          <w:b/>
          <w:bCs/>
          <w:snapToGrid w:val="0"/>
          <w:spacing w:val="-2"/>
          <w:kern w:val="0"/>
          <w:szCs w:val="21"/>
        </w:rPr>
        <w:t>7</w:t>
      </w:r>
      <w:r>
        <w:rPr>
          <w:b/>
        </w:rPr>
        <w:t xml:space="preserve"> </w:t>
      </w:r>
      <w:r>
        <w:t xml:space="preserve"> </w:t>
      </w:r>
      <w:r>
        <w:rPr>
          <w:rFonts w:hint="eastAsia"/>
        </w:rPr>
        <w:t>列车运行节能控制；</w:t>
      </w:r>
    </w:p>
    <w:p w14:paraId="0322D7C8">
      <w:pPr>
        <w:widowControl/>
        <w:kinsoku w:val="0"/>
        <w:autoSpaceDE w:val="0"/>
        <w:autoSpaceDN w:val="0"/>
        <w:adjustRightInd w:val="0"/>
        <w:snapToGrid w:val="0"/>
        <w:ind w:firstLine="414" w:firstLineChars="200"/>
        <w:textAlignment w:val="baseline"/>
        <w:rPr>
          <w:snapToGrid w:val="0"/>
          <w:kern w:val="0"/>
          <w:szCs w:val="21"/>
        </w:rPr>
      </w:pPr>
      <w:r>
        <w:rPr>
          <w:rFonts w:hint="eastAsia"/>
          <w:b/>
          <w:bCs/>
          <w:snapToGrid w:val="0"/>
          <w:spacing w:val="-2"/>
          <w:kern w:val="0"/>
          <w:szCs w:val="21"/>
        </w:rPr>
        <w:t>8</w:t>
      </w:r>
      <w:r>
        <w:rPr>
          <w:snapToGrid w:val="0"/>
          <w:kern w:val="0"/>
          <w:szCs w:val="21"/>
        </w:rPr>
        <w:t xml:space="preserve">  </w:t>
      </w:r>
      <w:r>
        <w:rPr>
          <w:rFonts w:hint="eastAsia"/>
          <w:snapToGrid w:val="0"/>
          <w:kern w:val="0"/>
          <w:szCs w:val="21"/>
        </w:rPr>
        <w:t>具备机械编组功能的线路，ATO系统应具备AM-CBTC模式下控制列车进行自动联挂、解编的功能。</w:t>
      </w:r>
    </w:p>
    <w:p w14:paraId="6ABCC46F">
      <w:pPr>
        <w:numPr>
          <w:ilvl w:val="2"/>
          <w:numId w:val="1"/>
        </w:numPr>
        <w:tabs>
          <w:tab w:val="left" w:pos="709"/>
          <w:tab w:val="left" w:pos="794"/>
        </w:tabs>
        <w:jc w:val="left"/>
        <w:outlineLvl w:val="2"/>
      </w:pPr>
      <w:r>
        <w:rPr>
          <w:rFonts w:hint="eastAsia"/>
        </w:rPr>
        <w:t>全自动运行系统除满足</w:t>
      </w:r>
      <w:r>
        <w:t>18.4.</w:t>
      </w:r>
      <w:r>
        <w:rPr>
          <w:rFonts w:hint="eastAsia"/>
        </w:rPr>
        <w:t>5功能外，还应满足下列要求：</w:t>
      </w:r>
    </w:p>
    <w:p w14:paraId="66C8B9AE">
      <w:pPr>
        <w:widowControl/>
        <w:kinsoku w:val="0"/>
        <w:autoSpaceDE w:val="0"/>
        <w:autoSpaceDN w:val="0"/>
        <w:adjustRightInd w:val="0"/>
        <w:snapToGrid w:val="0"/>
        <w:ind w:firstLine="422" w:firstLineChars="200"/>
        <w:textAlignment w:val="baseline"/>
      </w:pPr>
      <w:r>
        <w:rPr>
          <w:rFonts w:hint="eastAsia"/>
          <w:b/>
        </w:rPr>
        <w:t>1</w:t>
      </w:r>
      <w:r>
        <w:rPr>
          <w:rFonts w:hint="eastAsia"/>
        </w:rPr>
        <w:t xml:space="preserve">  远程和本地休眠、唤醒功能；</w:t>
      </w:r>
    </w:p>
    <w:p w14:paraId="3D883382">
      <w:pPr>
        <w:widowControl/>
        <w:kinsoku w:val="0"/>
        <w:autoSpaceDE w:val="0"/>
        <w:autoSpaceDN w:val="0"/>
        <w:adjustRightInd w:val="0"/>
        <w:snapToGrid w:val="0"/>
        <w:ind w:firstLine="422" w:firstLineChars="200"/>
        <w:textAlignment w:val="baseline"/>
      </w:pPr>
      <w:r>
        <w:rPr>
          <w:rFonts w:hint="eastAsia"/>
          <w:b/>
        </w:rPr>
        <w:t>2</w:t>
      </w:r>
      <w:r>
        <w:rPr>
          <w:rFonts w:hint="eastAsia"/>
        </w:rPr>
        <w:t xml:space="preserve">  跳跃、自动对位调整功能；</w:t>
      </w:r>
    </w:p>
    <w:p w14:paraId="2D2CE043">
      <w:pPr>
        <w:widowControl/>
        <w:kinsoku w:val="0"/>
        <w:autoSpaceDE w:val="0"/>
        <w:autoSpaceDN w:val="0"/>
        <w:adjustRightInd w:val="0"/>
        <w:snapToGrid w:val="0"/>
        <w:ind w:firstLine="422" w:firstLineChars="200"/>
        <w:textAlignment w:val="baseline"/>
      </w:pPr>
      <w:r>
        <w:rPr>
          <w:rFonts w:hint="eastAsia"/>
          <w:b/>
        </w:rPr>
        <w:t>3</w:t>
      </w:r>
      <w:r>
        <w:rPr>
          <w:rFonts w:hint="eastAsia"/>
        </w:rPr>
        <w:t xml:space="preserve">  蠕动运行模式、远程限速运行功能；</w:t>
      </w:r>
    </w:p>
    <w:p w14:paraId="2DA4429B">
      <w:pPr>
        <w:widowControl/>
        <w:kinsoku w:val="0"/>
        <w:autoSpaceDE w:val="0"/>
        <w:autoSpaceDN w:val="0"/>
        <w:adjustRightInd w:val="0"/>
        <w:snapToGrid w:val="0"/>
        <w:ind w:firstLine="422" w:firstLineChars="200"/>
        <w:textAlignment w:val="baseline"/>
      </w:pPr>
      <w:r>
        <w:rPr>
          <w:rFonts w:hint="eastAsia"/>
          <w:b/>
        </w:rPr>
        <w:t>4</w:t>
      </w:r>
      <w:r>
        <w:rPr>
          <w:rFonts w:hint="eastAsia"/>
        </w:rPr>
        <w:t xml:space="preserve">  应配合车门与站台屏蔽门实现故障对位隔离功能；</w:t>
      </w:r>
    </w:p>
    <w:p w14:paraId="119C0D1A">
      <w:pPr>
        <w:widowControl/>
        <w:kinsoku w:val="0"/>
        <w:autoSpaceDE w:val="0"/>
        <w:autoSpaceDN w:val="0"/>
        <w:adjustRightInd w:val="0"/>
        <w:snapToGrid w:val="0"/>
        <w:ind w:firstLine="422" w:firstLineChars="200"/>
        <w:textAlignment w:val="baseline"/>
      </w:pPr>
      <w:r>
        <w:rPr>
          <w:rFonts w:hint="eastAsia"/>
          <w:b/>
        </w:rPr>
        <w:t>5</w:t>
      </w:r>
      <w:r>
        <w:rPr>
          <w:rFonts w:hint="eastAsia"/>
        </w:rPr>
        <w:t xml:space="preserve">  站台自动发车功能；</w:t>
      </w:r>
    </w:p>
    <w:p w14:paraId="2AAF5B4A">
      <w:pPr>
        <w:widowControl/>
        <w:kinsoku w:val="0"/>
        <w:autoSpaceDE w:val="0"/>
        <w:autoSpaceDN w:val="0"/>
        <w:adjustRightInd w:val="0"/>
        <w:snapToGrid w:val="0"/>
        <w:ind w:firstLine="422" w:firstLineChars="200"/>
        <w:textAlignment w:val="baseline"/>
      </w:pPr>
      <w:r>
        <w:rPr>
          <w:rFonts w:hint="eastAsia"/>
          <w:b/>
        </w:rPr>
        <w:t>6</w:t>
      </w:r>
      <w:r>
        <w:rPr>
          <w:rFonts w:hint="eastAsia"/>
        </w:rPr>
        <w:t xml:space="preserve">  清客功能；</w:t>
      </w:r>
    </w:p>
    <w:p w14:paraId="244DEC3E">
      <w:pPr>
        <w:widowControl/>
        <w:kinsoku w:val="0"/>
        <w:autoSpaceDE w:val="0"/>
        <w:autoSpaceDN w:val="0"/>
        <w:adjustRightInd w:val="0"/>
        <w:snapToGrid w:val="0"/>
        <w:ind w:firstLine="422" w:firstLineChars="200"/>
        <w:textAlignment w:val="baseline"/>
      </w:pPr>
      <w:r>
        <w:rPr>
          <w:rFonts w:hint="eastAsia"/>
          <w:b/>
        </w:rPr>
        <w:t>7</w:t>
      </w:r>
      <w:r>
        <w:rPr>
          <w:rFonts w:hint="eastAsia"/>
        </w:rPr>
        <w:t xml:space="preserve">  全自动折返功能；</w:t>
      </w:r>
    </w:p>
    <w:p w14:paraId="5C6CCF81">
      <w:pPr>
        <w:widowControl/>
        <w:kinsoku w:val="0"/>
        <w:autoSpaceDE w:val="0"/>
        <w:autoSpaceDN w:val="0"/>
        <w:adjustRightInd w:val="0"/>
        <w:snapToGrid w:val="0"/>
        <w:ind w:firstLine="422" w:firstLineChars="200"/>
        <w:textAlignment w:val="baseline"/>
      </w:pPr>
      <w:r>
        <w:rPr>
          <w:rFonts w:hint="eastAsia"/>
          <w:b/>
        </w:rPr>
        <w:t xml:space="preserve">8 </w:t>
      </w:r>
      <w:r>
        <w:rPr>
          <w:rFonts w:hint="eastAsia"/>
        </w:rPr>
        <w:t xml:space="preserve"> 全自动进出车辆基地功能；</w:t>
      </w:r>
    </w:p>
    <w:p w14:paraId="55615E8E">
      <w:pPr>
        <w:widowControl/>
        <w:kinsoku w:val="0"/>
        <w:autoSpaceDE w:val="0"/>
        <w:autoSpaceDN w:val="0"/>
        <w:adjustRightInd w:val="0"/>
        <w:snapToGrid w:val="0"/>
        <w:ind w:firstLine="422" w:firstLineChars="200"/>
        <w:textAlignment w:val="baseline"/>
      </w:pPr>
      <w:r>
        <w:rPr>
          <w:rFonts w:hint="eastAsia"/>
          <w:b/>
        </w:rPr>
        <w:t>9</w:t>
      </w:r>
      <w:r>
        <w:rPr>
          <w:rFonts w:hint="eastAsia"/>
        </w:rPr>
        <w:t xml:space="preserve">  全自动洗车功能；</w:t>
      </w:r>
    </w:p>
    <w:p w14:paraId="13754D7F">
      <w:pPr>
        <w:widowControl/>
        <w:kinsoku w:val="0"/>
        <w:autoSpaceDE w:val="0"/>
        <w:autoSpaceDN w:val="0"/>
        <w:adjustRightInd w:val="0"/>
        <w:snapToGrid w:val="0"/>
        <w:ind w:firstLine="422" w:firstLineChars="200"/>
        <w:textAlignment w:val="baseline"/>
      </w:pPr>
      <w:r>
        <w:rPr>
          <w:rFonts w:hint="eastAsia"/>
          <w:b/>
        </w:rPr>
        <w:t>10</w:t>
      </w:r>
      <w:r>
        <w:rPr>
          <w:rFonts w:hint="eastAsia"/>
        </w:rPr>
        <w:t xml:space="preserve">  具备机械编组功能的线路，ATO系统应具备FAM模式下控制列车进行自动联挂、解编的功能;</w:t>
      </w:r>
    </w:p>
    <w:p w14:paraId="162AC7CC">
      <w:pPr>
        <w:widowControl/>
        <w:kinsoku w:val="0"/>
        <w:autoSpaceDE w:val="0"/>
        <w:autoSpaceDN w:val="0"/>
        <w:adjustRightInd w:val="0"/>
        <w:snapToGrid w:val="0"/>
        <w:ind w:firstLine="420" w:firstLineChars="200"/>
        <w:textAlignment w:val="baseline"/>
        <w:rPr>
          <w:snapToGrid w:val="0"/>
          <w:kern w:val="0"/>
          <w:szCs w:val="21"/>
        </w:rPr>
      </w:pPr>
      <w:r>
        <w:rPr>
          <w:rFonts w:hint="eastAsia"/>
        </w:rPr>
        <w:t>11  雨雪模式下，与车辆联动实现限制最大牵引、最大制动输出功能。</w:t>
      </w:r>
    </w:p>
    <w:p w14:paraId="023F9B9B">
      <w:pPr>
        <w:numPr>
          <w:ilvl w:val="2"/>
          <w:numId w:val="1"/>
        </w:numPr>
        <w:tabs>
          <w:tab w:val="left" w:pos="709"/>
          <w:tab w:val="left" w:pos="794"/>
        </w:tabs>
        <w:jc w:val="left"/>
        <w:outlineLvl w:val="2"/>
        <w:rPr>
          <w:bCs/>
          <w:snapToGrid w:val="0"/>
        </w:rPr>
      </w:pPr>
      <w:r>
        <w:rPr>
          <w:bCs/>
          <w:snapToGrid w:val="0"/>
        </w:rPr>
        <w:t>在ATO模式下应具备以下三种开关门模式：</w:t>
      </w:r>
    </w:p>
    <w:p w14:paraId="5D412927">
      <w:pPr>
        <w:widowControl/>
        <w:kinsoku w:val="0"/>
        <w:autoSpaceDE w:val="0"/>
        <w:autoSpaceDN w:val="0"/>
        <w:adjustRightInd w:val="0"/>
        <w:snapToGrid w:val="0"/>
        <w:ind w:firstLine="414" w:firstLineChars="200"/>
        <w:textAlignment w:val="baseline"/>
        <w:rPr>
          <w:snapToGrid w:val="0"/>
          <w:kern w:val="0"/>
          <w:szCs w:val="21"/>
        </w:rPr>
      </w:pPr>
      <w:r>
        <w:rPr>
          <w:b/>
          <w:bCs/>
          <w:snapToGrid w:val="0"/>
          <w:spacing w:val="-2"/>
          <w:kern w:val="0"/>
          <w:szCs w:val="21"/>
        </w:rPr>
        <w:t>1</w:t>
      </w:r>
      <w:r>
        <w:rPr>
          <w:b/>
          <w:snapToGrid w:val="0"/>
          <w:spacing w:val="2"/>
          <w:kern w:val="0"/>
          <w:szCs w:val="21"/>
        </w:rPr>
        <w:t xml:space="preserve"> </w:t>
      </w:r>
      <w:r>
        <w:rPr>
          <w:snapToGrid w:val="0"/>
          <w:spacing w:val="2"/>
          <w:kern w:val="0"/>
          <w:szCs w:val="21"/>
        </w:rPr>
        <w:t xml:space="preserve"> </w:t>
      </w:r>
      <w:r>
        <w:rPr>
          <w:snapToGrid w:val="0"/>
          <w:spacing w:val="1"/>
          <w:kern w:val="0"/>
          <w:szCs w:val="21"/>
        </w:rPr>
        <w:t>自动开车门，人工关闭车门；</w:t>
      </w:r>
    </w:p>
    <w:p w14:paraId="27D49E94">
      <w:pPr>
        <w:widowControl/>
        <w:kinsoku w:val="0"/>
        <w:autoSpaceDE w:val="0"/>
        <w:autoSpaceDN w:val="0"/>
        <w:adjustRightInd w:val="0"/>
        <w:snapToGrid w:val="0"/>
        <w:ind w:firstLine="414" w:firstLineChars="200"/>
        <w:textAlignment w:val="baseline"/>
        <w:rPr>
          <w:snapToGrid w:val="0"/>
          <w:kern w:val="0"/>
          <w:szCs w:val="21"/>
        </w:rPr>
      </w:pPr>
      <w:r>
        <w:rPr>
          <w:b/>
          <w:bCs/>
          <w:snapToGrid w:val="0"/>
          <w:spacing w:val="-2"/>
          <w:kern w:val="0"/>
          <w:szCs w:val="21"/>
        </w:rPr>
        <w:t>2</w:t>
      </w:r>
      <w:r>
        <w:rPr>
          <w:b/>
          <w:snapToGrid w:val="0"/>
          <w:spacing w:val="2"/>
          <w:kern w:val="0"/>
          <w:szCs w:val="21"/>
        </w:rPr>
        <w:t xml:space="preserve"> </w:t>
      </w:r>
      <w:r>
        <w:rPr>
          <w:snapToGrid w:val="0"/>
          <w:spacing w:val="2"/>
          <w:kern w:val="0"/>
          <w:szCs w:val="21"/>
        </w:rPr>
        <w:t xml:space="preserve"> 人工开车门，人工关闭车门；</w:t>
      </w:r>
    </w:p>
    <w:p w14:paraId="22D46357">
      <w:pPr>
        <w:widowControl/>
        <w:kinsoku w:val="0"/>
        <w:autoSpaceDE w:val="0"/>
        <w:autoSpaceDN w:val="0"/>
        <w:adjustRightInd w:val="0"/>
        <w:snapToGrid w:val="0"/>
        <w:ind w:firstLine="414" w:firstLineChars="200"/>
        <w:textAlignment w:val="baseline"/>
        <w:rPr>
          <w:snapToGrid w:val="0"/>
          <w:spacing w:val="1"/>
          <w:kern w:val="0"/>
          <w:szCs w:val="21"/>
        </w:rPr>
      </w:pPr>
      <w:r>
        <w:rPr>
          <w:b/>
          <w:bCs/>
          <w:snapToGrid w:val="0"/>
          <w:spacing w:val="-2"/>
          <w:kern w:val="0"/>
          <w:szCs w:val="21"/>
        </w:rPr>
        <w:t>3</w:t>
      </w:r>
      <w:r>
        <w:rPr>
          <w:b/>
          <w:snapToGrid w:val="0"/>
          <w:spacing w:val="2"/>
          <w:kern w:val="0"/>
          <w:szCs w:val="21"/>
        </w:rPr>
        <w:t xml:space="preserve"> </w:t>
      </w:r>
      <w:r>
        <w:rPr>
          <w:snapToGrid w:val="0"/>
          <w:spacing w:val="2"/>
          <w:kern w:val="0"/>
          <w:szCs w:val="21"/>
        </w:rPr>
        <w:t xml:space="preserve"> </w:t>
      </w:r>
      <w:r>
        <w:rPr>
          <w:snapToGrid w:val="0"/>
          <w:spacing w:val="1"/>
          <w:kern w:val="0"/>
          <w:szCs w:val="21"/>
        </w:rPr>
        <w:t>自动开、关车门。</w:t>
      </w:r>
    </w:p>
    <w:p w14:paraId="48F3D6B3">
      <w:pPr>
        <w:numPr>
          <w:ilvl w:val="2"/>
          <w:numId w:val="1"/>
        </w:numPr>
        <w:tabs>
          <w:tab w:val="left" w:pos="709"/>
          <w:tab w:val="left" w:pos="794"/>
        </w:tabs>
        <w:jc w:val="left"/>
        <w:outlineLvl w:val="2"/>
      </w:pPr>
      <w:r>
        <w:rPr>
          <w:bCs/>
          <w:snapToGrid w:val="0"/>
        </w:rPr>
        <w:t>A</w:t>
      </w:r>
      <w:r>
        <w:rPr>
          <w:rFonts w:hint="eastAsia"/>
        </w:rPr>
        <w:t>TO系统应满足下列要求：</w:t>
      </w:r>
    </w:p>
    <w:p w14:paraId="4D805F8D">
      <w:pPr>
        <w:widowControl/>
        <w:kinsoku w:val="0"/>
        <w:autoSpaceDE w:val="0"/>
        <w:autoSpaceDN w:val="0"/>
        <w:adjustRightInd w:val="0"/>
        <w:snapToGrid w:val="0"/>
        <w:ind w:firstLine="414" w:firstLineChars="200"/>
        <w:textAlignment w:val="baseline"/>
        <w:rPr>
          <w:bCs/>
          <w:snapToGrid w:val="0"/>
          <w:spacing w:val="-2"/>
          <w:kern w:val="0"/>
          <w:szCs w:val="21"/>
        </w:rPr>
      </w:pPr>
      <w:r>
        <w:rPr>
          <w:rFonts w:hint="eastAsia"/>
          <w:b/>
          <w:bCs/>
          <w:snapToGrid w:val="0"/>
          <w:spacing w:val="-2"/>
          <w:kern w:val="0"/>
          <w:szCs w:val="21"/>
        </w:rPr>
        <w:t>1</w:t>
      </w:r>
      <w:r>
        <w:rPr>
          <w:rFonts w:hint="eastAsia"/>
          <w:bCs/>
          <w:snapToGrid w:val="0"/>
          <w:spacing w:val="-2"/>
          <w:kern w:val="0"/>
          <w:szCs w:val="21"/>
        </w:rPr>
        <w:t xml:space="preserve">  ATO系统的安全完整性等级应满足SIL2级的要求；</w:t>
      </w:r>
    </w:p>
    <w:p w14:paraId="50DE8BD9">
      <w:pPr>
        <w:widowControl/>
        <w:kinsoku w:val="0"/>
        <w:autoSpaceDE w:val="0"/>
        <w:autoSpaceDN w:val="0"/>
        <w:adjustRightInd w:val="0"/>
        <w:snapToGrid w:val="0"/>
        <w:ind w:firstLine="414" w:firstLineChars="200"/>
        <w:textAlignment w:val="baseline"/>
        <w:rPr>
          <w:bCs/>
          <w:snapToGrid w:val="0"/>
          <w:spacing w:val="-2"/>
          <w:kern w:val="0"/>
          <w:szCs w:val="21"/>
        </w:rPr>
      </w:pPr>
      <w:r>
        <w:rPr>
          <w:rFonts w:hint="eastAsia"/>
          <w:b/>
          <w:bCs/>
          <w:snapToGrid w:val="0"/>
          <w:spacing w:val="-2"/>
          <w:kern w:val="0"/>
          <w:szCs w:val="21"/>
        </w:rPr>
        <w:t xml:space="preserve">2 </w:t>
      </w:r>
      <w:r>
        <w:rPr>
          <w:rFonts w:hint="eastAsia"/>
          <w:bCs/>
          <w:snapToGrid w:val="0"/>
          <w:spacing w:val="-2"/>
          <w:kern w:val="0"/>
          <w:szCs w:val="21"/>
        </w:rPr>
        <w:t xml:space="preserve"> ATO系统应能提供多种区间运行模式，适应列车运行调整的需要，满足行车间隔控制的要求；</w:t>
      </w:r>
    </w:p>
    <w:p w14:paraId="04A7E5B1">
      <w:pPr>
        <w:widowControl/>
        <w:kinsoku w:val="0"/>
        <w:autoSpaceDE w:val="0"/>
        <w:autoSpaceDN w:val="0"/>
        <w:adjustRightInd w:val="0"/>
        <w:snapToGrid w:val="0"/>
        <w:ind w:firstLine="414" w:firstLineChars="200"/>
        <w:textAlignment w:val="baseline"/>
        <w:rPr>
          <w:bCs/>
          <w:snapToGrid w:val="0"/>
          <w:spacing w:val="-2"/>
          <w:kern w:val="0"/>
          <w:szCs w:val="21"/>
        </w:rPr>
      </w:pPr>
      <w:r>
        <w:rPr>
          <w:rFonts w:hint="eastAsia"/>
          <w:b/>
          <w:bCs/>
          <w:snapToGrid w:val="0"/>
          <w:spacing w:val="-2"/>
          <w:kern w:val="0"/>
          <w:szCs w:val="21"/>
        </w:rPr>
        <w:t>3</w:t>
      </w:r>
      <w:r>
        <w:rPr>
          <w:rFonts w:hint="eastAsia"/>
          <w:bCs/>
          <w:snapToGrid w:val="0"/>
          <w:spacing w:val="-2"/>
          <w:kern w:val="0"/>
          <w:szCs w:val="21"/>
        </w:rPr>
        <w:t xml:space="preserve">  ATO系统定点停车精度应根据站台计算长度、列车性能和站台屏蔽门的设置等因素选定。定点停车精度宜在±0.3m范围内；</w:t>
      </w:r>
    </w:p>
    <w:p w14:paraId="38237352">
      <w:pPr>
        <w:widowControl/>
        <w:kinsoku w:val="0"/>
        <w:autoSpaceDE w:val="0"/>
        <w:autoSpaceDN w:val="0"/>
        <w:adjustRightInd w:val="0"/>
        <w:snapToGrid w:val="0"/>
        <w:ind w:firstLine="414" w:firstLineChars="200"/>
        <w:textAlignment w:val="baseline"/>
        <w:rPr>
          <w:bCs/>
          <w:snapToGrid w:val="0"/>
          <w:spacing w:val="-2"/>
          <w:kern w:val="0"/>
          <w:szCs w:val="21"/>
        </w:rPr>
      </w:pPr>
      <w:r>
        <w:rPr>
          <w:rFonts w:hint="eastAsia"/>
          <w:b/>
          <w:bCs/>
          <w:snapToGrid w:val="0"/>
          <w:spacing w:val="-2"/>
          <w:kern w:val="0"/>
          <w:szCs w:val="21"/>
        </w:rPr>
        <w:t>4</w:t>
      </w:r>
      <w:r>
        <w:rPr>
          <w:rFonts w:hint="eastAsia"/>
          <w:bCs/>
          <w:snapToGrid w:val="0"/>
          <w:spacing w:val="-2"/>
          <w:kern w:val="0"/>
          <w:szCs w:val="21"/>
        </w:rPr>
        <w:t xml:space="preserve">  ATO系统控制应满足舒适度、快捷及准时的要求；</w:t>
      </w:r>
    </w:p>
    <w:p w14:paraId="430BD739">
      <w:pPr>
        <w:widowControl/>
        <w:kinsoku w:val="0"/>
        <w:autoSpaceDE w:val="0"/>
        <w:autoSpaceDN w:val="0"/>
        <w:adjustRightInd w:val="0"/>
        <w:snapToGrid w:val="0"/>
        <w:ind w:firstLine="414" w:firstLineChars="200"/>
        <w:textAlignment w:val="baseline"/>
        <w:rPr>
          <w:bCs/>
          <w:snapToGrid w:val="0"/>
          <w:spacing w:val="-2"/>
          <w:kern w:val="0"/>
          <w:szCs w:val="21"/>
        </w:rPr>
      </w:pPr>
      <w:r>
        <w:rPr>
          <w:rFonts w:hint="eastAsia"/>
          <w:b/>
          <w:bCs/>
          <w:snapToGrid w:val="0"/>
          <w:spacing w:val="-2"/>
          <w:kern w:val="0"/>
          <w:szCs w:val="21"/>
        </w:rPr>
        <w:t>5</w:t>
      </w:r>
      <w:r>
        <w:rPr>
          <w:rFonts w:hint="eastAsia"/>
          <w:bCs/>
          <w:snapToGrid w:val="0"/>
          <w:spacing w:val="-2"/>
          <w:kern w:val="0"/>
          <w:szCs w:val="21"/>
        </w:rPr>
        <w:t xml:space="preserve">  ATO系统应能控制列车实现车站通过作业；</w:t>
      </w:r>
    </w:p>
    <w:p w14:paraId="384C75A8">
      <w:pPr>
        <w:widowControl/>
        <w:kinsoku w:val="0"/>
        <w:autoSpaceDE w:val="0"/>
        <w:autoSpaceDN w:val="0"/>
        <w:adjustRightInd w:val="0"/>
        <w:snapToGrid w:val="0"/>
        <w:ind w:firstLine="414" w:firstLineChars="200"/>
        <w:textAlignment w:val="baseline"/>
        <w:rPr>
          <w:bCs/>
          <w:snapToGrid w:val="0"/>
          <w:spacing w:val="-2"/>
          <w:kern w:val="0"/>
          <w:szCs w:val="21"/>
        </w:rPr>
      </w:pPr>
      <w:r>
        <w:rPr>
          <w:rFonts w:hint="eastAsia"/>
          <w:b/>
          <w:bCs/>
          <w:snapToGrid w:val="0"/>
          <w:spacing w:val="-2"/>
          <w:kern w:val="0"/>
          <w:szCs w:val="21"/>
        </w:rPr>
        <w:t>6</w:t>
      </w:r>
      <w:r>
        <w:rPr>
          <w:rFonts w:hint="eastAsia"/>
          <w:bCs/>
          <w:snapToGrid w:val="0"/>
          <w:spacing w:val="-2"/>
          <w:kern w:val="0"/>
          <w:szCs w:val="21"/>
        </w:rPr>
        <w:t xml:space="preserve">  司机监控的ATO系统应根据线路条件、道岔状态、前方列车位置等信息及速度调整指令，实现列车速度自动控制。列车在区间停车应接近前方目的地。列车区间停车后，在允许信号的条件下应能自动启动。车站发车时，列车启动由司机控制； </w:t>
      </w:r>
    </w:p>
    <w:p w14:paraId="684A809A">
      <w:pPr>
        <w:widowControl/>
        <w:kinsoku w:val="0"/>
        <w:autoSpaceDE w:val="0"/>
        <w:autoSpaceDN w:val="0"/>
        <w:adjustRightInd w:val="0"/>
        <w:snapToGrid w:val="0"/>
        <w:ind w:firstLine="414" w:firstLineChars="200"/>
        <w:textAlignment w:val="baseline"/>
        <w:rPr>
          <w:bCs/>
          <w:snapToGrid w:val="0"/>
          <w:spacing w:val="-2"/>
          <w:kern w:val="0"/>
          <w:szCs w:val="21"/>
        </w:rPr>
      </w:pPr>
      <w:r>
        <w:rPr>
          <w:rFonts w:hint="eastAsia"/>
          <w:b/>
          <w:bCs/>
          <w:snapToGrid w:val="0"/>
          <w:spacing w:val="-2"/>
          <w:kern w:val="0"/>
          <w:szCs w:val="21"/>
        </w:rPr>
        <w:t>7</w:t>
      </w:r>
      <w:r>
        <w:rPr>
          <w:rFonts w:hint="eastAsia"/>
          <w:bCs/>
          <w:snapToGrid w:val="0"/>
          <w:spacing w:val="-2"/>
          <w:kern w:val="0"/>
          <w:szCs w:val="21"/>
        </w:rPr>
        <w:t xml:space="preserve">  系统发生故障时，应能转为司机控制；</w:t>
      </w:r>
    </w:p>
    <w:p w14:paraId="0D34743B">
      <w:pPr>
        <w:widowControl/>
        <w:kinsoku w:val="0"/>
        <w:autoSpaceDE w:val="0"/>
        <w:autoSpaceDN w:val="0"/>
        <w:adjustRightInd w:val="0"/>
        <w:snapToGrid w:val="0"/>
        <w:ind w:firstLine="414" w:firstLineChars="200"/>
        <w:textAlignment w:val="baseline"/>
        <w:rPr>
          <w:bCs/>
          <w:snapToGrid w:val="0"/>
          <w:spacing w:val="-2"/>
          <w:kern w:val="0"/>
          <w:szCs w:val="21"/>
        </w:rPr>
      </w:pPr>
      <w:r>
        <w:rPr>
          <w:rFonts w:hint="eastAsia"/>
          <w:b/>
          <w:bCs/>
          <w:snapToGrid w:val="0"/>
          <w:spacing w:val="-2"/>
          <w:kern w:val="0"/>
          <w:szCs w:val="21"/>
        </w:rPr>
        <w:t>8</w:t>
      </w:r>
      <w:r>
        <w:rPr>
          <w:rFonts w:hint="eastAsia"/>
          <w:bCs/>
          <w:snapToGrid w:val="0"/>
          <w:spacing w:val="-2"/>
          <w:kern w:val="0"/>
          <w:szCs w:val="21"/>
        </w:rPr>
        <w:t xml:space="preserve">  ATO系统不应同时输出制动指令和牵引指令；</w:t>
      </w:r>
    </w:p>
    <w:p w14:paraId="305BBE92">
      <w:pPr>
        <w:widowControl/>
        <w:kinsoku w:val="0"/>
        <w:autoSpaceDE w:val="0"/>
        <w:autoSpaceDN w:val="0"/>
        <w:adjustRightInd w:val="0"/>
        <w:snapToGrid w:val="0"/>
        <w:ind w:firstLine="414" w:firstLineChars="200"/>
        <w:textAlignment w:val="baseline"/>
        <w:rPr>
          <w:bCs/>
          <w:snapToGrid w:val="0"/>
          <w:spacing w:val="-2"/>
          <w:kern w:val="0"/>
          <w:szCs w:val="21"/>
        </w:rPr>
      </w:pPr>
      <w:r>
        <w:rPr>
          <w:rFonts w:hint="eastAsia"/>
          <w:b/>
          <w:bCs/>
          <w:snapToGrid w:val="0"/>
          <w:spacing w:val="-2"/>
          <w:kern w:val="0"/>
          <w:szCs w:val="21"/>
        </w:rPr>
        <w:t>9</w:t>
      </w:r>
      <w:r>
        <w:rPr>
          <w:rFonts w:hint="eastAsia"/>
          <w:bCs/>
          <w:snapToGrid w:val="0"/>
          <w:spacing w:val="-2"/>
          <w:kern w:val="0"/>
          <w:szCs w:val="21"/>
        </w:rPr>
        <w:t xml:space="preserve">  信号车载设备应能将故障诊断与报警信息实时传送至ATS及维护支持系统；</w:t>
      </w:r>
    </w:p>
    <w:p w14:paraId="4AAAB749">
      <w:pPr>
        <w:widowControl/>
        <w:kinsoku w:val="0"/>
        <w:autoSpaceDE w:val="0"/>
        <w:autoSpaceDN w:val="0"/>
        <w:adjustRightInd w:val="0"/>
        <w:snapToGrid w:val="0"/>
        <w:ind w:firstLine="414" w:firstLineChars="200"/>
        <w:textAlignment w:val="baseline"/>
        <w:rPr>
          <w:bCs/>
          <w:snapToGrid w:val="0"/>
          <w:spacing w:val="-2"/>
          <w:kern w:val="0"/>
          <w:szCs w:val="21"/>
        </w:rPr>
      </w:pPr>
      <w:r>
        <w:rPr>
          <w:rFonts w:hint="eastAsia"/>
          <w:b/>
          <w:bCs/>
          <w:snapToGrid w:val="0"/>
          <w:spacing w:val="-2"/>
          <w:kern w:val="0"/>
          <w:szCs w:val="21"/>
        </w:rPr>
        <w:t xml:space="preserve">10 </w:t>
      </w:r>
      <w:r>
        <w:rPr>
          <w:rFonts w:hint="eastAsia"/>
          <w:bCs/>
          <w:snapToGrid w:val="0"/>
          <w:spacing w:val="-2"/>
          <w:kern w:val="0"/>
          <w:szCs w:val="21"/>
        </w:rPr>
        <w:t xml:space="preserve"> 系统应能接收控制中心或车站值班室的</w:t>
      </w:r>
      <w:r>
        <w:rPr>
          <w:bCs/>
          <w:snapToGrid w:val="0"/>
          <w:spacing w:val="-2"/>
          <w:kern w:val="0"/>
          <w:szCs w:val="21"/>
        </w:rPr>
        <w:t>停车、临时限速等控制</w:t>
      </w:r>
      <w:r>
        <w:rPr>
          <w:rFonts w:hint="eastAsia"/>
          <w:bCs/>
          <w:snapToGrid w:val="0"/>
          <w:spacing w:val="-2"/>
          <w:kern w:val="0"/>
          <w:szCs w:val="21"/>
        </w:rPr>
        <w:t>；</w:t>
      </w:r>
    </w:p>
    <w:p w14:paraId="124659F8">
      <w:pPr>
        <w:widowControl/>
        <w:kinsoku w:val="0"/>
        <w:autoSpaceDE w:val="0"/>
        <w:autoSpaceDN w:val="0"/>
        <w:adjustRightInd w:val="0"/>
        <w:snapToGrid w:val="0"/>
        <w:ind w:firstLine="414" w:firstLineChars="200"/>
        <w:textAlignment w:val="baseline"/>
      </w:pPr>
      <w:r>
        <w:rPr>
          <w:rFonts w:hint="eastAsia"/>
          <w:b/>
          <w:bCs/>
          <w:snapToGrid w:val="0"/>
          <w:spacing w:val="-2"/>
          <w:kern w:val="0"/>
          <w:szCs w:val="21"/>
        </w:rPr>
        <w:t xml:space="preserve">11 </w:t>
      </w:r>
      <w:r>
        <w:rPr>
          <w:rFonts w:hint="eastAsia"/>
          <w:bCs/>
          <w:snapToGrid w:val="0"/>
          <w:spacing w:val="-2"/>
          <w:kern w:val="0"/>
          <w:szCs w:val="21"/>
        </w:rPr>
        <w:t xml:space="preserve"> </w:t>
      </w:r>
      <w:r>
        <w:rPr>
          <w:rFonts w:hint="eastAsia"/>
        </w:rPr>
        <w:t>采用交流牵引供电制式或双流制牵引供电制式的工程，在自动过分相或双流制转换区时，ATO应控制列车采用惰行方式运行。</w:t>
      </w:r>
    </w:p>
    <w:p w14:paraId="2FF62888">
      <w:pPr>
        <w:numPr>
          <w:ilvl w:val="1"/>
          <w:numId w:val="1"/>
        </w:numPr>
        <w:snapToGrid w:val="0"/>
        <w:spacing w:before="156" w:after="156" w:line="240" w:lineRule="auto"/>
        <w:jc w:val="center"/>
        <w:outlineLvl w:val="1"/>
        <w:rPr>
          <w:rFonts w:eastAsia="黑体"/>
          <w:bCs/>
          <w:szCs w:val="28"/>
        </w:rPr>
      </w:pPr>
      <w:bookmarkStart w:id="1373" w:name="_Toc183765172"/>
      <w:bookmarkStart w:id="1374" w:name="_Toc183888577"/>
      <w:bookmarkStart w:id="1375" w:name="_Toc183882163"/>
      <w:bookmarkStart w:id="1376" w:name="_Toc183882525"/>
      <w:bookmarkStart w:id="1377" w:name="_Toc183790602"/>
      <w:bookmarkStart w:id="1378" w:name="_Toc183888215"/>
      <w:r>
        <w:rPr>
          <w:rFonts w:hint="eastAsia" w:eastAsia="黑体"/>
          <w:bCs/>
          <w:szCs w:val="28"/>
        </w:rPr>
        <w:t>计算机联锁</w:t>
      </w:r>
      <w:r>
        <w:rPr>
          <w:rFonts w:eastAsia="黑体"/>
          <w:bCs/>
          <w:szCs w:val="28"/>
        </w:rPr>
        <w:t>子系统</w:t>
      </w:r>
      <w:bookmarkEnd w:id="1373"/>
      <w:bookmarkEnd w:id="1374"/>
      <w:bookmarkEnd w:id="1375"/>
      <w:bookmarkEnd w:id="1376"/>
      <w:bookmarkEnd w:id="1377"/>
      <w:bookmarkEnd w:id="1378"/>
    </w:p>
    <w:p w14:paraId="117DAE0B">
      <w:pPr>
        <w:numPr>
          <w:ilvl w:val="2"/>
          <w:numId w:val="1"/>
        </w:numPr>
        <w:tabs>
          <w:tab w:val="left" w:pos="709"/>
          <w:tab w:val="left" w:pos="794"/>
        </w:tabs>
        <w:jc w:val="left"/>
        <w:outlineLvl w:val="2"/>
      </w:pPr>
      <w:r>
        <w:rPr>
          <w:bCs/>
          <w:snapToGrid w:val="0"/>
        </w:rPr>
        <w:t>城市</w:t>
      </w:r>
      <w:r>
        <w:rPr>
          <w:rFonts w:hint="eastAsia"/>
        </w:rPr>
        <w:t>轨道交通信号系统应配置计算机联锁子系统，联锁子系统逻辑控制设备可与ATP子系统设备合设并由ATP子系统设备实现联锁逻辑控制功能，其系统安全完整性等级应满足SIL4级标准；计算机联锁子系统内部设备之间的信息传输也应符合故障－安全原则。</w:t>
      </w:r>
    </w:p>
    <w:p w14:paraId="1D8A9E29">
      <w:pPr>
        <w:numPr>
          <w:ilvl w:val="2"/>
          <w:numId w:val="1"/>
        </w:numPr>
        <w:tabs>
          <w:tab w:val="left" w:pos="709"/>
          <w:tab w:val="left" w:pos="794"/>
        </w:tabs>
        <w:jc w:val="left"/>
        <w:outlineLvl w:val="2"/>
      </w:pPr>
      <w:r>
        <w:rPr>
          <w:bCs/>
          <w:snapToGrid w:val="0"/>
        </w:rPr>
        <w:t>计算机</w:t>
      </w:r>
      <w:r>
        <w:rPr>
          <w:rFonts w:hint="eastAsia"/>
        </w:rPr>
        <w:t>联锁子系统主要由车站及轨旁和车辆基地设备构成，应包括计算机联锁设备、列车位置检测设备、信号机、转辙机及相关接口等设备。</w:t>
      </w:r>
    </w:p>
    <w:p w14:paraId="69E24D47">
      <w:pPr>
        <w:numPr>
          <w:ilvl w:val="2"/>
          <w:numId w:val="1"/>
        </w:numPr>
        <w:tabs>
          <w:tab w:val="left" w:pos="709"/>
          <w:tab w:val="left" w:pos="794"/>
        </w:tabs>
        <w:jc w:val="left"/>
        <w:outlineLvl w:val="2"/>
        <w:rPr>
          <w:bCs/>
          <w:snapToGrid w:val="0"/>
        </w:rPr>
      </w:pPr>
      <w:r>
        <w:rPr>
          <w:bCs/>
          <w:snapToGrid w:val="0"/>
        </w:rPr>
        <w:t>计算机联锁设备应采用二乘二取二的冗余结</w:t>
      </w:r>
      <w:r>
        <w:rPr>
          <w:bCs/>
          <w:snapToGrid w:val="0"/>
          <w:spacing w:val="2"/>
        </w:rPr>
        <w:t>构</w:t>
      </w:r>
      <w:r>
        <w:rPr>
          <w:bCs/>
          <w:snapToGrid w:val="0"/>
        </w:rPr>
        <w:t>。</w:t>
      </w:r>
    </w:p>
    <w:p w14:paraId="29BB9A73">
      <w:pPr>
        <w:numPr>
          <w:ilvl w:val="2"/>
          <w:numId w:val="1"/>
        </w:numPr>
        <w:tabs>
          <w:tab w:val="left" w:pos="709"/>
          <w:tab w:val="left" w:pos="794"/>
        </w:tabs>
        <w:jc w:val="left"/>
        <w:outlineLvl w:val="2"/>
      </w:pPr>
      <w:r>
        <w:rPr>
          <w:bCs/>
          <w:snapToGrid w:val="0"/>
        </w:rPr>
        <w:t>联锁</w:t>
      </w:r>
      <w:r>
        <w:rPr>
          <w:rFonts w:hint="eastAsia"/>
        </w:rPr>
        <w:t>设备的站间通道，应采用独立的热备冗余通信通道。</w:t>
      </w:r>
    </w:p>
    <w:p w14:paraId="1D20F8B5">
      <w:pPr>
        <w:numPr>
          <w:ilvl w:val="2"/>
          <w:numId w:val="1"/>
        </w:numPr>
        <w:tabs>
          <w:tab w:val="left" w:pos="709"/>
          <w:tab w:val="left" w:pos="794"/>
        </w:tabs>
        <w:jc w:val="left"/>
        <w:outlineLvl w:val="2"/>
      </w:pPr>
      <w:r>
        <w:rPr>
          <w:bCs/>
          <w:snapToGrid w:val="0"/>
        </w:rPr>
        <w:t>计算机</w:t>
      </w:r>
      <w:r>
        <w:rPr>
          <w:rFonts w:hint="eastAsia"/>
        </w:rPr>
        <w:t>联锁子系统应具备下列主要功能：</w:t>
      </w:r>
    </w:p>
    <w:p w14:paraId="14F203CF">
      <w:pPr>
        <w:widowControl/>
        <w:kinsoku w:val="0"/>
        <w:autoSpaceDE w:val="0"/>
        <w:autoSpaceDN w:val="0"/>
        <w:adjustRightInd w:val="0"/>
        <w:snapToGrid w:val="0"/>
        <w:ind w:firstLine="422" w:firstLineChars="200"/>
        <w:textAlignment w:val="baseline"/>
      </w:pPr>
      <w:r>
        <w:rPr>
          <w:rFonts w:hint="eastAsia"/>
          <w:b/>
        </w:rPr>
        <w:t>1</w:t>
      </w:r>
      <w:r>
        <w:rPr>
          <w:rFonts w:hint="eastAsia"/>
        </w:rPr>
        <w:t xml:space="preserve">  确保进路上的道岔、信号机和区段的联锁，当联锁条件不符时，禁止进路开通，敌对进路应相互照查，不应同时开通；</w:t>
      </w:r>
    </w:p>
    <w:p w14:paraId="2388DDB0">
      <w:pPr>
        <w:widowControl/>
        <w:kinsoku w:val="0"/>
        <w:autoSpaceDE w:val="0"/>
        <w:autoSpaceDN w:val="0"/>
        <w:adjustRightInd w:val="0"/>
        <w:snapToGrid w:val="0"/>
        <w:ind w:firstLine="422" w:firstLineChars="200"/>
        <w:textAlignment w:val="baseline"/>
      </w:pPr>
      <w:r>
        <w:rPr>
          <w:rFonts w:hint="eastAsia"/>
          <w:b/>
        </w:rPr>
        <w:t>2</w:t>
      </w:r>
      <w:r>
        <w:rPr>
          <w:rFonts w:hint="eastAsia"/>
        </w:rPr>
        <w:t xml:space="preserve">  根据需要可自动选出带保护区段的进路并锁闭。可自动排列通过进路及折返进路；</w:t>
      </w:r>
    </w:p>
    <w:p w14:paraId="54AD7956">
      <w:pPr>
        <w:widowControl/>
        <w:kinsoku w:val="0"/>
        <w:autoSpaceDE w:val="0"/>
        <w:autoSpaceDN w:val="0"/>
        <w:adjustRightInd w:val="0"/>
        <w:snapToGrid w:val="0"/>
        <w:ind w:firstLine="422" w:firstLineChars="200"/>
        <w:textAlignment w:val="baseline"/>
      </w:pPr>
      <w:r>
        <w:rPr>
          <w:rFonts w:hint="eastAsia"/>
          <w:b/>
        </w:rPr>
        <w:t xml:space="preserve">3 </w:t>
      </w:r>
      <w:r>
        <w:rPr>
          <w:rFonts w:hint="eastAsia"/>
        </w:rPr>
        <w:t xml:space="preserve"> 联锁道岔应能实现进路锁闭、区段锁闭及人工锁闭，应能实现单独操纵和进路选动；</w:t>
      </w:r>
    </w:p>
    <w:p w14:paraId="1E14AE43">
      <w:pPr>
        <w:widowControl/>
        <w:kinsoku w:val="0"/>
        <w:autoSpaceDE w:val="0"/>
        <w:autoSpaceDN w:val="0"/>
        <w:adjustRightInd w:val="0"/>
        <w:snapToGrid w:val="0"/>
        <w:ind w:firstLine="422" w:firstLineChars="200"/>
        <w:textAlignment w:val="baseline"/>
      </w:pPr>
      <w:r>
        <w:rPr>
          <w:rFonts w:hint="eastAsia"/>
          <w:b/>
        </w:rPr>
        <w:t xml:space="preserve">4 </w:t>
      </w:r>
      <w:r>
        <w:rPr>
          <w:rFonts w:hint="eastAsia"/>
        </w:rPr>
        <w:t xml:space="preserve"> 具有进路式开放引导信号的功能；</w:t>
      </w:r>
    </w:p>
    <w:p w14:paraId="1A6E07E6">
      <w:pPr>
        <w:widowControl/>
        <w:kinsoku w:val="0"/>
        <w:autoSpaceDE w:val="0"/>
        <w:autoSpaceDN w:val="0"/>
        <w:adjustRightInd w:val="0"/>
        <w:snapToGrid w:val="0"/>
        <w:ind w:firstLine="422" w:firstLineChars="200"/>
        <w:textAlignment w:val="baseline"/>
      </w:pPr>
      <w:r>
        <w:rPr>
          <w:rFonts w:hint="eastAsia"/>
          <w:b/>
        </w:rPr>
        <w:t>5</w:t>
      </w:r>
      <w:r>
        <w:rPr>
          <w:rFonts w:hint="eastAsia"/>
        </w:rPr>
        <w:t xml:space="preserve">  根据需要应能实现进路式闭塞或站间闭塞的行车方式；</w:t>
      </w:r>
    </w:p>
    <w:p w14:paraId="0A31C7F1">
      <w:pPr>
        <w:pStyle w:val="86"/>
        <w:ind w:firstLine="422"/>
        <w:rPr>
          <w:rStyle w:val="233"/>
          <w:color w:val="auto"/>
        </w:rPr>
      </w:pPr>
      <w:r>
        <w:rPr>
          <w:rFonts w:hint="eastAsia"/>
          <w:b/>
          <w:color w:val="auto"/>
        </w:rPr>
        <w:t xml:space="preserve">6 </w:t>
      </w:r>
      <w:r>
        <w:rPr>
          <w:rStyle w:val="2401"/>
          <w:rFonts w:hint="eastAsia"/>
          <w:color w:val="auto"/>
        </w:rPr>
        <w:t xml:space="preserve"> 根据城市轨道交通运营作业特殊需要，设备集中站应具备设置区间临时限速、区间(或股道)封锁、信号机封锁、道岔封锁、站台紧急关闭(每个车站设置)等功能，各项功能应有相应的状态表示；</w:t>
      </w:r>
    </w:p>
    <w:p w14:paraId="32D023AC">
      <w:pPr>
        <w:widowControl/>
        <w:kinsoku w:val="0"/>
        <w:autoSpaceDE w:val="0"/>
        <w:autoSpaceDN w:val="0"/>
        <w:adjustRightInd w:val="0"/>
        <w:snapToGrid w:val="0"/>
        <w:ind w:firstLine="422" w:firstLineChars="200"/>
        <w:textAlignment w:val="baseline"/>
      </w:pPr>
      <w:r>
        <w:rPr>
          <w:rFonts w:hint="eastAsia"/>
          <w:b/>
        </w:rPr>
        <w:t>7</w:t>
      </w:r>
      <w:r>
        <w:rPr>
          <w:rFonts w:hint="eastAsia"/>
        </w:rPr>
        <w:t xml:space="preserve">  向ATP/ATS提供信号机的显示状态、列车进路设置状态、保护区段的建立、区间(或股道)封锁、站台紧急关闭、区间运行方向等信息；</w:t>
      </w:r>
    </w:p>
    <w:p w14:paraId="75F53D05">
      <w:pPr>
        <w:pStyle w:val="697"/>
        <w:spacing w:line="320" w:lineRule="exact"/>
        <w:ind w:firstLine="422" w:firstLineChars="200"/>
        <w:rPr>
          <w:rFonts w:eastAsia="宋体"/>
          <w:sz w:val="21"/>
        </w:rPr>
      </w:pPr>
      <w:r>
        <w:rPr>
          <w:rFonts w:hint="eastAsia" w:eastAsia="宋体"/>
          <w:b/>
          <w:sz w:val="21"/>
        </w:rPr>
        <w:t>8</w:t>
      </w:r>
      <w:r>
        <w:rPr>
          <w:rFonts w:hint="eastAsia" w:eastAsia="宋体"/>
          <w:sz w:val="21"/>
        </w:rPr>
        <w:t xml:space="preserve">  应具有较完善的自诊断功能，能对包括联锁设备等工作状况实施监督，并能根据需要在控制中心和维修中心实施远程故障诊断；</w:t>
      </w:r>
    </w:p>
    <w:p w14:paraId="5C32EA37">
      <w:pPr>
        <w:pStyle w:val="697"/>
        <w:spacing w:line="320" w:lineRule="exact"/>
        <w:ind w:firstLine="422" w:firstLineChars="200"/>
        <w:rPr>
          <w:rFonts w:eastAsia="宋体"/>
          <w:sz w:val="21"/>
        </w:rPr>
      </w:pPr>
      <w:r>
        <w:rPr>
          <w:rFonts w:hint="eastAsia" w:eastAsia="宋体"/>
          <w:b/>
          <w:sz w:val="21"/>
        </w:rPr>
        <w:t xml:space="preserve">9 </w:t>
      </w:r>
      <w:r>
        <w:rPr>
          <w:rFonts w:hint="eastAsia" w:eastAsia="宋体"/>
          <w:sz w:val="21"/>
        </w:rPr>
        <w:t xml:space="preserve"> 实现与其他线路联锁设备的接口，为对方联锁设备提供监督、控制的条件；</w:t>
      </w:r>
    </w:p>
    <w:p w14:paraId="2850347F">
      <w:pPr>
        <w:pStyle w:val="697"/>
        <w:spacing w:line="320" w:lineRule="exact"/>
        <w:ind w:firstLine="422" w:firstLineChars="200"/>
        <w:rPr>
          <w:rFonts w:eastAsia="宋体"/>
          <w:sz w:val="21"/>
        </w:rPr>
      </w:pPr>
      <w:r>
        <w:rPr>
          <w:rFonts w:hint="eastAsia" w:eastAsia="宋体"/>
          <w:b/>
          <w:sz w:val="21"/>
        </w:rPr>
        <w:t>10</w:t>
      </w:r>
      <w:r>
        <w:rPr>
          <w:rFonts w:hint="eastAsia" w:eastAsia="宋体"/>
          <w:sz w:val="21"/>
        </w:rPr>
        <w:t xml:space="preserve">  车辆基地联锁应实现调车进路控制并具备与试车线间的非进路调车功能；</w:t>
      </w:r>
    </w:p>
    <w:p w14:paraId="27FAB0EC">
      <w:pPr>
        <w:pStyle w:val="697"/>
        <w:spacing w:line="320" w:lineRule="exact"/>
        <w:ind w:firstLine="422" w:firstLineChars="200"/>
        <w:rPr>
          <w:rFonts w:eastAsia="宋体"/>
          <w:sz w:val="21"/>
        </w:rPr>
      </w:pPr>
      <w:r>
        <w:rPr>
          <w:rFonts w:hint="eastAsia" w:eastAsia="宋体"/>
          <w:b/>
          <w:sz w:val="21"/>
        </w:rPr>
        <w:t xml:space="preserve">11  </w:t>
      </w:r>
      <w:r>
        <w:rPr>
          <w:rFonts w:hint="eastAsia" w:eastAsia="宋体"/>
          <w:sz w:val="21"/>
        </w:rPr>
        <w:t>对于有不同编组数的固定编组列车、机械编组列车共线运行的线路，进路的保护区段长度、接近区段长度、自动触发区段长度、延时解锁时间等系统配置参数应满足线路上共线运行的所有编组类型列车中最不利的车辆参数要求；</w:t>
      </w:r>
    </w:p>
    <w:p w14:paraId="57621DD5">
      <w:pPr>
        <w:pStyle w:val="697"/>
        <w:spacing w:line="320" w:lineRule="exact"/>
        <w:ind w:firstLine="422" w:firstLineChars="200"/>
        <w:rPr>
          <w:rFonts w:eastAsia="宋体"/>
          <w:sz w:val="21"/>
        </w:rPr>
      </w:pPr>
      <w:r>
        <w:rPr>
          <w:rFonts w:hint="eastAsia" w:eastAsia="宋体"/>
          <w:b/>
          <w:sz w:val="21"/>
        </w:rPr>
        <w:t xml:space="preserve">12 </w:t>
      </w:r>
      <w:r>
        <w:rPr>
          <w:rFonts w:hint="eastAsia" w:eastAsia="宋体"/>
          <w:sz w:val="21"/>
        </w:rPr>
        <w:t xml:space="preserve"> 具备机械编组功能的线路，联锁系统应实现对列车联挂或解编作业的进路控制功能。</w:t>
      </w:r>
    </w:p>
    <w:p w14:paraId="6A1F54E2">
      <w:pPr>
        <w:numPr>
          <w:ilvl w:val="2"/>
          <w:numId w:val="1"/>
        </w:numPr>
        <w:tabs>
          <w:tab w:val="left" w:pos="709"/>
          <w:tab w:val="left" w:pos="794"/>
        </w:tabs>
        <w:jc w:val="left"/>
        <w:outlineLvl w:val="2"/>
      </w:pPr>
      <w:r>
        <w:rPr>
          <w:bCs/>
          <w:snapToGrid w:val="0"/>
        </w:rPr>
        <w:t>计算机</w:t>
      </w:r>
      <w:r>
        <w:rPr>
          <w:rFonts w:hint="eastAsia"/>
        </w:rPr>
        <w:t>联锁设备应满足下列要求：</w:t>
      </w:r>
    </w:p>
    <w:p w14:paraId="4F086081">
      <w:pPr>
        <w:widowControl/>
        <w:kinsoku w:val="0"/>
        <w:autoSpaceDE w:val="0"/>
        <w:autoSpaceDN w:val="0"/>
        <w:adjustRightInd w:val="0"/>
        <w:snapToGrid w:val="0"/>
        <w:ind w:right="73" w:firstLine="422" w:firstLineChars="200"/>
        <w:textAlignment w:val="baseline"/>
      </w:pPr>
      <w:r>
        <w:rPr>
          <w:b/>
        </w:rPr>
        <w:t xml:space="preserve">1 </w:t>
      </w:r>
      <w:r>
        <w:t xml:space="preserve"> </w:t>
      </w:r>
      <w:r>
        <w:rPr>
          <w:rFonts w:hint="eastAsia"/>
        </w:rPr>
        <w:t>联锁是保证列车运行安全的核心设备，应满足故障</w:t>
      </w:r>
      <w:r>
        <w:t>−</w:t>
      </w:r>
      <w:r>
        <w:rPr>
          <w:rFonts w:hint="eastAsia"/>
        </w:rPr>
        <w:t>安全原则；涉及行车安全的、与联锁结合的控制电路均应符合故障-安全原则；</w:t>
      </w:r>
    </w:p>
    <w:p w14:paraId="0F6B1F1D">
      <w:pPr>
        <w:widowControl/>
        <w:kinsoku w:val="0"/>
        <w:autoSpaceDE w:val="0"/>
        <w:autoSpaceDN w:val="0"/>
        <w:adjustRightInd w:val="0"/>
        <w:snapToGrid w:val="0"/>
        <w:ind w:right="73" w:firstLine="422" w:firstLineChars="200"/>
        <w:textAlignment w:val="baseline"/>
      </w:pPr>
      <w:r>
        <w:rPr>
          <w:rFonts w:hint="eastAsia"/>
          <w:b/>
        </w:rPr>
        <w:t xml:space="preserve">2 </w:t>
      </w:r>
      <w:r>
        <w:rPr>
          <w:rFonts w:hint="eastAsia"/>
        </w:rPr>
        <w:t xml:space="preserve"> 进路解锁宜采用分段解锁方式。进路锁闭应分为预先锁闭和接近锁闭。锁闭的进路应能随列车正常运行自动解锁、人工办理取消进路和延时解锁，并应防止错误解锁。当接近锁闭时,取消进路应延时解锁或收到停车保证信息后立即解锁。延时解锁时间应保证列车能在进路解锁前安全停车；</w:t>
      </w:r>
    </w:p>
    <w:p w14:paraId="1B9564BE">
      <w:pPr>
        <w:widowControl/>
        <w:kinsoku w:val="0"/>
        <w:autoSpaceDE w:val="0"/>
        <w:autoSpaceDN w:val="0"/>
        <w:adjustRightInd w:val="0"/>
        <w:snapToGrid w:val="0"/>
        <w:ind w:right="73" w:firstLine="422" w:firstLineChars="200"/>
        <w:textAlignment w:val="baseline"/>
      </w:pPr>
      <w:r>
        <w:rPr>
          <w:rFonts w:hint="eastAsia"/>
          <w:b/>
        </w:rPr>
        <w:t xml:space="preserve">3 </w:t>
      </w:r>
      <w:r>
        <w:rPr>
          <w:rFonts w:hint="eastAsia"/>
        </w:rPr>
        <w:t xml:space="preserve"> 影响行车效率的进路上的多组道岔应采用同时动作方式；</w:t>
      </w:r>
    </w:p>
    <w:p w14:paraId="4D469242">
      <w:pPr>
        <w:widowControl/>
        <w:kinsoku w:val="0"/>
        <w:autoSpaceDE w:val="0"/>
        <w:autoSpaceDN w:val="0"/>
        <w:adjustRightInd w:val="0"/>
        <w:snapToGrid w:val="0"/>
        <w:ind w:right="73" w:firstLine="422" w:firstLineChars="200"/>
        <w:textAlignment w:val="baseline"/>
      </w:pPr>
      <w:r>
        <w:rPr>
          <w:rFonts w:hint="eastAsia"/>
          <w:b/>
        </w:rPr>
        <w:t xml:space="preserve">4 </w:t>
      </w:r>
      <w:r>
        <w:rPr>
          <w:rFonts w:hint="eastAsia"/>
        </w:rPr>
        <w:t xml:space="preserve"> 车站站台及车站综合控制室应设站台紧急关闭按钮。站台紧急关闭按钮电路应符合故障-安全原则；</w:t>
      </w:r>
    </w:p>
    <w:p w14:paraId="2765C186">
      <w:pPr>
        <w:widowControl/>
        <w:kinsoku w:val="0"/>
        <w:autoSpaceDE w:val="0"/>
        <w:autoSpaceDN w:val="0"/>
        <w:adjustRightInd w:val="0"/>
        <w:snapToGrid w:val="0"/>
        <w:ind w:right="73" w:firstLine="422" w:firstLineChars="200"/>
        <w:textAlignment w:val="baseline"/>
      </w:pPr>
      <w:r>
        <w:rPr>
          <w:rFonts w:hint="eastAsia"/>
          <w:b/>
        </w:rPr>
        <w:t xml:space="preserve">5  </w:t>
      </w:r>
      <w:r>
        <w:rPr>
          <w:rFonts w:hint="eastAsia"/>
        </w:rPr>
        <w:t>信号机采用定位亮灯方式时，防护信号机显示允许信号因故未能显示时，应自动点亮禁止信号。信号机显示禁止信号因故未能点亮时，该信号应视为禁止信号；</w:t>
      </w:r>
    </w:p>
    <w:p w14:paraId="05BDF977">
      <w:pPr>
        <w:widowControl/>
        <w:kinsoku w:val="0"/>
        <w:autoSpaceDE w:val="0"/>
        <w:autoSpaceDN w:val="0"/>
        <w:adjustRightInd w:val="0"/>
        <w:snapToGrid w:val="0"/>
        <w:ind w:right="73" w:firstLine="422" w:firstLineChars="200"/>
        <w:textAlignment w:val="baseline"/>
      </w:pPr>
      <w:r>
        <w:rPr>
          <w:rFonts w:hint="eastAsia"/>
          <w:b/>
        </w:rPr>
        <w:t xml:space="preserve">6 </w:t>
      </w:r>
      <w:r>
        <w:rPr>
          <w:rFonts w:hint="eastAsia"/>
        </w:rPr>
        <w:t xml:space="preserve"> 当装设引导信号的信号机因故不能正常开放时，可使用引导进路锁闭方式开放引导信号。</w:t>
      </w:r>
    </w:p>
    <w:p w14:paraId="6417FE27">
      <w:pPr>
        <w:numPr>
          <w:ilvl w:val="2"/>
          <w:numId w:val="1"/>
        </w:numPr>
        <w:tabs>
          <w:tab w:val="left" w:pos="709"/>
          <w:tab w:val="left" w:pos="794"/>
        </w:tabs>
        <w:jc w:val="left"/>
        <w:outlineLvl w:val="2"/>
      </w:pPr>
      <w:r>
        <w:rPr>
          <w:rFonts w:hint="eastAsia"/>
        </w:rPr>
        <w:t>全自动运行系统除满足18.5.6要求外，还应满足下列要求：</w:t>
      </w:r>
    </w:p>
    <w:p w14:paraId="077E19A7">
      <w:pPr>
        <w:widowControl/>
        <w:kinsoku w:val="0"/>
        <w:autoSpaceDE w:val="0"/>
        <w:autoSpaceDN w:val="0"/>
        <w:adjustRightInd w:val="0"/>
        <w:snapToGrid w:val="0"/>
        <w:ind w:right="73" w:firstLine="422" w:firstLineChars="200"/>
        <w:textAlignment w:val="baseline"/>
      </w:pPr>
      <w:r>
        <w:rPr>
          <w:rFonts w:hint="eastAsia"/>
          <w:b/>
        </w:rPr>
        <w:t xml:space="preserve">1 </w:t>
      </w:r>
      <w:r>
        <w:rPr>
          <w:rFonts w:hint="eastAsia"/>
        </w:rPr>
        <w:t xml:space="preserve"> 在车站应设置人员防护开关（SPKS）、人员防护旁路按钮/开关，对进入正线的人员进行安全防护、对人员全部撤出防护区域后发生故障的人员防护开关进行旁路。</w:t>
      </w:r>
    </w:p>
    <w:p w14:paraId="0BAADC56">
      <w:pPr>
        <w:widowControl/>
        <w:kinsoku w:val="0"/>
        <w:autoSpaceDE w:val="0"/>
        <w:autoSpaceDN w:val="0"/>
        <w:adjustRightInd w:val="0"/>
        <w:snapToGrid w:val="0"/>
        <w:ind w:right="73" w:firstLine="422" w:firstLineChars="200"/>
        <w:textAlignment w:val="baseline"/>
      </w:pPr>
      <w:r>
        <w:rPr>
          <w:rFonts w:hint="eastAsia"/>
          <w:b/>
        </w:rPr>
        <w:t xml:space="preserve">2 </w:t>
      </w:r>
      <w:r>
        <w:rPr>
          <w:rFonts w:hint="eastAsia"/>
        </w:rPr>
        <w:t xml:space="preserve"> 正线宜在车站每侧站台的两端区间进入点分别设置1个SPKS，宜每侧站台对应设置1个人员防护旁路按钮/开关。人员防护开关、人员防护旁路按钮/开关应设置在IBP盘上，人员防护开关也可在轨旁设置。SPKS的防护范围原则如下：</w:t>
      </w:r>
    </w:p>
    <w:p w14:paraId="34D3795A">
      <w:pPr>
        <w:widowControl/>
        <w:kinsoku w:val="0"/>
        <w:autoSpaceDE w:val="0"/>
        <w:autoSpaceDN w:val="0"/>
        <w:adjustRightInd w:val="0"/>
        <w:snapToGrid w:val="0"/>
        <w:ind w:right="73" w:firstLine="420" w:firstLineChars="200"/>
        <w:textAlignment w:val="baseline"/>
      </w:pPr>
      <w:r>
        <w:rPr>
          <w:rFonts w:hint="eastAsia"/>
        </w:rPr>
        <w:t>1）  出站SPKS应防护本站出站信号机处计轴至下一站进站处计轴/线路尽头之间的区段；</w:t>
      </w:r>
    </w:p>
    <w:p w14:paraId="2FE34EAF">
      <w:pPr>
        <w:widowControl/>
        <w:kinsoku w:val="0"/>
        <w:autoSpaceDE w:val="0"/>
        <w:autoSpaceDN w:val="0"/>
        <w:adjustRightInd w:val="0"/>
        <w:snapToGrid w:val="0"/>
        <w:ind w:right="73" w:firstLine="420" w:firstLineChars="200"/>
        <w:textAlignment w:val="baseline"/>
      </w:pPr>
      <w:r>
        <w:rPr>
          <w:rFonts w:hint="eastAsia"/>
        </w:rPr>
        <w:t>2）  进站SPKS应防护上一站出站信号机处计轴/线路尽头至本站出站信号机处计轴之间的区段；</w:t>
      </w:r>
    </w:p>
    <w:p w14:paraId="3E4E5303">
      <w:pPr>
        <w:widowControl/>
        <w:kinsoku w:val="0"/>
        <w:autoSpaceDE w:val="0"/>
        <w:autoSpaceDN w:val="0"/>
        <w:adjustRightInd w:val="0"/>
        <w:snapToGrid w:val="0"/>
        <w:ind w:right="73" w:firstLine="420" w:firstLineChars="200"/>
        <w:textAlignment w:val="baseline"/>
      </w:pPr>
      <w:r>
        <w:rPr>
          <w:rFonts w:hint="eastAsia"/>
        </w:rPr>
        <w:t>3）  双停车线宜就近划分至相应上行或下行的SPKS防护范围，单停车线宜同时纳入上行和下行的SPKS防护范围；</w:t>
      </w:r>
    </w:p>
    <w:p w14:paraId="5DD35FD9">
      <w:pPr>
        <w:widowControl/>
        <w:kinsoku w:val="0"/>
        <w:autoSpaceDE w:val="0"/>
        <w:autoSpaceDN w:val="0"/>
        <w:adjustRightInd w:val="0"/>
        <w:snapToGrid w:val="0"/>
        <w:ind w:right="73" w:firstLine="420" w:firstLineChars="200"/>
        <w:textAlignment w:val="baseline"/>
      </w:pPr>
      <w:r>
        <w:rPr>
          <w:rFonts w:hint="eastAsia"/>
        </w:rPr>
        <w:t>4）  出入段/场线宜就近划分至正线相应上行或下行的SPKS防护范围；</w:t>
      </w:r>
    </w:p>
    <w:p w14:paraId="1110E5CC">
      <w:pPr>
        <w:widowControl/>
        <w:kinsoku w:val="0"/>
        <w:autoSpaceDE w:val="0"/>
        <w:autoSpaceDN w:val="0"/>
        <w:adjustRightInd w:val="0"/>
        <w:snapToGrid w:val="0"/>
        <w:ind w:right="73" w:firstLine="420" w:firstLineChars="200"/>
        <w:textAlignment w:val="baseline"/>
      </w:pPr>
      <w:r>
        <w:rPr>
          <w:rFonts w:hint="eastAsia"/>
        </w:rPr>
        <w:t>5）  正线与段/场间的SPKS防护分界宜与联锁分界一致。</w:t>
      </w:r>
    </w:p>
    <w:p w14:paraId="504C6E0B">
      <w:pPr>
        <w:pStyle w:val="697"/>
        <w:spacing w:line="320" w:lineRule="exact"/>
        <w:ind w:firstLine="422" w:firstLineChars="200"/>
        <w:rPr>
          <w:rFonts w:eastAsia="宋体"/>
          <w:sz w:val="21"/>
        </w:rPr>
      </w:pPr>
      <w:r>
        <w:rPr>
          <w:rFonts w:hint="eastAsia" w:eastAsia="宋体"/>
          <w:b/>
          <w:sz w:val="21"/>
        </w:rPr>
        <w:t xml:space="preserve">3 </w:t>
      </w:r>
      <w:r>
        <w:rPr>
          <w:rFonts w:hint="eastAsia" w:eastAsia="宋体"/>
          <w:sz w:val="21"/>
        </w:rPr>
        <w:t xml:space="preserve"> 车站应设置站台门控箱，站台门控箱内应设置站台关门按钮、站台开门按钮和清客确认按钮，实现车门与站台屏蔽门的开门、关门、再开门、再关门功能和清客确认功能；</w:t>
      </w:r>
    </w:p>
    <w:p w14:paraId="1F2678E9">
      <w:pPr>
        <w:widowControl/>
        <w:kinsoku w:val="0"/>
        <w:autoSpaceDE w:val="0"/>
        <w:autoSpaceDN w:val="0"/>
        <w:adjustRightInd w:val="0"/>
        <w:snapToGrid w:val="0"/>
        <w:ind w:right="73" w:firstLine="434" w:firstLineChars="200"/>
        <w:textAlignment w:val="baseline"/>
        <w:rPr>
          <w:snapToGrid w:val="0"/>
          <w:spacing w:val="3"/>
          <w:kern w:val="0"/>
          <w:szCs w:val="21"/>
        </w:rPr>
      </w:pPr>
      <w:r>
        <w:rPr>
          <w:rFonts w:hint="eastAsia"/>
          <w:b/>
          <w:snapToGrid w:val="0"/>
          <w:spacing w:val="3"/>
          <w:kern w:val="0"/>
          <w:szCs w:val="21"/>
        </w:rPr>
        <w:t>4</w:t>
      </w:r>
      <w:r>
        <w:rPr>
          <w:b/>
          <w:snapToGrid w:val="0"/>
          <w:spacing w:val="3"/>
          <w:kern w:val="0"/>
          <w:szCs w:val="21"/>
        </w:rPr>
        <w:t xml:space="preserve">  </w:t>
      </w:r>
      <w:r>
        <w:rPr>
          <w:rFonts w:hint="eastAsia"/>
          <w:snapToGrid w:val="0"/>
          <w:spacing w:val="3"/>
          <w:kern w:val="0"/>
          <w:szCs w:val="21"/>
        </w:rPr>
        <w:t>段/场SPKS的设置及防护要求应满足1</w:t>
      </w:r>
      <w:r>
        <w:rPr>
          <w:snapToGrid w:val="0"/>
          <w:spacing w:val="3"/>
          <w:kern w:val="0"/>
          <w:szCs w:val="21"/>
        </w:rPr>
        <w:t>8</w:t>
      </w:r>
      <w:r>
        <w:rPr>
          <w:rFonts w:hint="eastAsia"/>
          <w:snapToGrid w:val="0"/>
          <w:spacing w:val="3"/>
          <w:kern w:val="0"/>
          <w:szCs w:val="21"/>
        </w:rPr>
        <w:t>.8.8的要求。</w:t>
      </w:r>
    </w:p>
    <w:p w14:paraId="21F93F1D">
      <w:pPr>
        <w:numPr>
          <w:ilvl w:val="2"/>
          <w:numId w:val="1"/>
        </w:numPr>
        <w:tabs>
          <w:tab w:val="left" w:pos="709"/>
          <w:tab w:val="left" w:pos="794"/>
        </w:tabs>
        <w:jc w:val="left"/>
        <w:outlineLvl w:val="2"/>
      </w:pPr>
      <w:r>
        <w:rPr>
          <w:bCs/>
          <w:snapToGrid w:val="0"/>
        </w:rPr>
        <w:t>正线</w:t>
      </w:r>
      <w:r>
        <w:rPr>
          <w:rFonts w:hint="eastAsia"/>
        </w:rPr>
        <w:t>信号机的设置应满足下列要求：</w:t>
      </w:r>
    </w:p>
    <w:p w14:paraId="71F70569">
      <w:pPr>
        <w:pStyle w:val="697"/>
        <w:spacing w:line="320" w:lineRule="exact"/>
        <w:ind w:firstLine="422" w:firstLineChars="200"/>
        <w:rPr>
          <w:rFonts w:eastAsia="宋体"/>
          <w:sz w:val="21"/>
        </w:rPr>
      </w:pPr>
      <w:r>
        <w:rPr>
          <w:rFonts w:hint="eastAsia" w:eastAsia="宋体"/>
          <w:b/>
          <w:sz w:val="21"/>
        </w:rPr>
        <w:t>1</w:t>
      </w:r>
      <w:r>
        <w:rPr>
          <w:rFonts w:hint="eastAsia" w:eastAsia="宋体"/>
          <w:sz w:val="21"/>
        </w:rPr>
        <w:t xml:space="preserve"> </w:t>
      </w:r>
      <w:r>
        <w:rPr>
          <w:rFonts w:eastAsia="宋体"/>
          <w:sz w:val="21"/>
        </w:rPr>
        <w:t xml:space="preserve"> </w:t>
      </w:r>
      <w:r>
        <w:rPr>
          <w:rFonts w:hint="eastAsia" w:eastAsia="宋体"/>
          <w:sz w:val="21"/>
        </w:rPr>
        <w:t>在ATC控制区域的线路上宜设道岔防护信号机、出站信号机、出段/场信号机和线路尽头信号机。根据运营需要可设置其他类型的信号机；</w:t>
      </w:r>
    </w:p>
    <w:p w14:paraId="2C979118">
      <w:pPr>
        <w:widowControl/>
        <w:kinsoku w:val="0"/>
        <w:autoSpaceDE w:val="0"/>
        <w:autoSpaceDN w:val="0"/>
        <w:adjustRightInd w:val="0"/>
        <w:snapToGrid w:val="0"/>
        <w:ind w:firstLine="422" w:firstLineChars="200"/>
        <w:textAlignment w:val="baseline"/>
      </w:pPr>
      <w:r>
        <w:rPr>
          <w:rFonts w:hint="eastAsia"/>
          <w:b/>
        </w:rPr>
        <w:t>2</w:t>
      </w:r>
      <w:r>
        <w:rPr>
          <w:b/>
        </w:rPr>
        <w:t xml:space="preserve"> </w:t>
      </w:r>
      <w:r>
        <w:t xml:space="preserve"> </w:t>
      </w:r>
      <w:r>
        <w:rPr>
          <w:rFonts w:hint="eastAsia"/>
        </w:rPr>
        <w:t>具有出站性质以外的道岔防护信号机应设引导信号；</w:t>
      </w:r>
    </w:p>
    <w:p w14:paraId="4DA61A9D">
      <w:pPr>
        <w:widowControl/>
        <w:kinsoku w:val="0"/>
        <w:autoSpaceDE w:val="0"/>
        <w:autoSpaceDN w:val="0"/>
        <w:adjustRightInd w:val="0"/>
        <w:snapToGrid w:val="0"/>
        <w:ind w:firstLine="422" w:firstLineChars="200"/>
        <w:textAlignment w:val="baseline"/>
      </w:pPr>
      <w:r>
        <w:rPr>
          <w:rFonts w:hint="eastAsia"/>
          <w:b/>
        </w:rPr>
        <w:t>3</w:t>
      </w:r>
      <w:r>
        <w:rPr>
          <w:b/>
        </w:rPr>
        <w:t xml:space="preserve"> </w:t>
      </w:r>
      <w:r>
        <w:t xml:space="preserve"> </w:t>
      </w:r>
      <w:r>
        <w:rPr>
          <w:rFonts w:hint="eastAsia"/>
        </w:rPr>
        <w:t>信号机应采用LED或其他光源构成的色灯信号机；</w:t>
      </w:r>
    </w:p>
    <w:p w14:paraId="7857CB27">
      <w:pPr>
        <w:widowControl/>
        <w:kinsoku w:val="0"/>
        <w:autoSpaceDE w:val="0"/>
        <w:autoSpaceDN w:val="0"/>
        <w:adjustRightInd w:val="0"/>
        <w:snapToGrid w:val="0"/>
        <w:ind w:firstLine="422" w:firstLineChars="200"/>
        <w:textAlignment w:val="baseline"/>
      </w:pPr>
      <w:r>
        <w:rPr>
          <w:rFonts w:hint="eastAsia"/>
          <w:b/>
        </w:rPr>
        <w:t>4</w:t>
      </w:r>
      <w:r>
        <w:rPr>
          <w:b/>
        </w:rPr>
        <w:t xml:space="preserve"> </w:t>
      </w:r>
      <w:r>
        <w:t xml:space="preserve"> </w:t>
      </w:r>
      <w:r>
        <w:rPr>
          <w:rFonts w:hint="eastAsia"/>
        </w:rPr>
        <w:t>段/场内信号机的设置要求应满足1</w:t>
      </w:r>
      <w:r>
        <w:t>8</w:t>
      </w:r>
      <w:r>
        <w:rPr>
          <w:rFonts w:hint="eastAsia"/>
        </w:rPr>
        <w:t>.8的要求。</w:t>
      </w:r>
    </w:p>
    <w:p w14:paraId="5B199A5E">
      <w:pPr>
        <w:numPr>
          <w:ilvl w:val="2"/>
          <w:numId w:val="1"/>
        </w:numPr>
        <w:tabs>
          <w:tab w:val="left" w:pos="709"/>
          <w:tab w:val="left" w:pos="794"/>
        </w:tabs>
        <w:jc w:val="left"/>
        <w:outlineLvl w:val="2"/>
        <w:rPr>
          <w:bCs/>
          <w:snapToGrid w:val="0"/>
        </w:rPr>
      </w:pPr>
      <w:r>
        <w:rPr>
          <w:rFonts w:hint="eastAsia"/>
        </w:rPr>
        <w:t>道岔防护信号机、出站信号机兼做道岔防护信号机应采用黄、绿、红三灯位信号机构，红灯显示为定位。其显示及</w:t>
      </w:r>
      <w:r>
        <w:rPr>
          <w:bCs/>
          <w:snapToGrid w:val="0"/>
          <w:spacing w:val="3"/>
        </w:rPr>
        <w:t>含义</w:t>
      </w:r>
      <w:r>
        <w:rPr>
          <w:rFonts w:hint="eastAsia"/>
        </w:rPr>
        <w:t>如下：</w:t>
      </w:r>
    </w:p>
    <w:p w14:paraId="0043E417">
      <w:pPr>
        <w:widowControl/>
        <w:kinsoku w:val="0"/>
        <w:autoSpaceDE w:val="0"/>
        <w:autoSpaceDN w:val="0"/>
        <w:adjustRightInd w:val="0"/>
        <w:snapToGrid w:val="0"/>
        <w:ind w:firstLine="486" w:firstLineChars="200"/>
        <w:textAlignment w:val="baseline"/>
        <w:rPr>
          <w:snapToGrid w:val="0"/>
          <w:kern w:val="0"/>
          <w:szCs w:val="21"/>
        </w:rPr>
      </w:pPr>
      <w:r>
        <w:rPr>
          <w:b/>
          <w:bCs/>
          <w:snapToGrid w:val="0"/>
          <w:spacing w:val="16"/>
          <w:kern w:val="0"/>
          <w:szCs w:val="21"/>
        </w:rPr>
        <w:t>1</w:t>
      </w:r>
      <w:r>
        <w:rPr>
          <w:snapToGrid w:val="0"/>
          <w:spacing w:val="7"/>
          <w:kern w:val="0"/>
          <w:szCs w:val="21"/>
        </w:rPr>
        <w:t xml:space="preserve">  </w:t>
      </w:r>
      <w:r>
        <w:rPr>
          <w:snapToGrid w:val="0"/>
          <w:spacing w:val="4"/>
          <w:kern w:val="0"/>
          <w:szCs w:val="21"/>
        </w:rPr>
        <w:t>绿色灯光</w:t>
      </w:r>
      <w:r>
        <w:rPr>
          <w:bCs/>
          <w:snapToGrid w:val="0"/>
          <w:spacing w:val="16"/>
          <w:kern w:val="0"/>
          <w:szCs w:val="21"/>
        </w:rPr>
        <w:t>——</w:t>
      </w:r>
      <w:r>
        <w:rPr>
          <w:snapToGrid w:val="0"/>
          <w:spacing w:val="4"/>
          <w:kern w:val="0"/>
          <w:szCs w:val="21"/>
        </w:rPr>
        <w:t>表示道岔已锁闭，并开通直向，准许列车按规定速度运行；</w:t>
      </w:r>
    </w:p>
    <w:p w14:paraId="4791F4F6">
      <w:pPr>
        <w:widowControl/>
        <w:kinsoku w:val="0"/>
        <w:autoSpaceDE w:val="0"/>
        <w:autoSpaceDN w:val="0"/>
        <w:adjustRightInd w:val="0"/>
        <w:snapToGrid w:val="0"/>
        <w:ind w:firstLine="486" w:firstLineChars="200"/>
        <w:textAlignment w:val="baseline"/>
        <w:rPr>
          <w:snapToGrid w:val="0"/>
          <w:kern w:val="0"/>
          <w:szCs w:val="21"/>
        </w:rPr>
      </w:pPr>
      <w:r>
        <w:rPr>
          <w:b/>
          <w:bCs/>
          <w:snapToGrid w:val="0"/>
          <w:spacing w:val="16"/>
          <w:kern w:val="0"/>
          <w:szCs w:val="21"/>
        </w:rPr>
        <w:t>2</w:t>
      </w:r>
      <w:r>
        <w:rPr>
          <w:snapToGrid w:val="0"/>
          <w:spacing w:val="8"/>
          <w:kern w:val="0"/>
          <w:szCs w:val="21"/>
        </w:rPr>
        <w:t xml:space="preserve">  黄色</w:t>
      </w:r>
      <w:r>
        <w:rPr>
          <w:snapToGrid w:val="0"/>
          <w:spacing w:val="6"/>
          <w:kern w:val="0"/>
          <w:szCs w:val="21"/>
        </w:rPr>
        <w:t>灯</w:t>
      </w:r>
      <w:r>
        <w:rPr>
          <w:snapToGrid w:val="0"/>
          <w:spacing w:val="4"/>
          <w:kern w:val="0"/>
          <w:szCs w:val="21"/>
        </w:rPr>
        <w:t>光</w:t>
      </w:r>
      <w:r>
        <w:rPr>
          <w:bCs/>
          <w:snapToGrid w:val="0"/>
          <w:spacing w:val="16"/>
          <w:kern w:val="0"/>
          <w:szCs w:val="21"/>
        </w:rPr>
        <w:t>——</w:t>
      </w:r>
      <w:r>
        <w:rPr>
          <w:snapToGrid w:val="0"/>
          <w:spacing w:val="4"/>
          <w:kern w:val="0"/>
          <w:szCs w:val="21"/>
        </w:rPr>
        <w:t>表示道岔已锁闭，并开通侧向，准许列车按规定的限制速度运行；</w:t>
      </w:r>
    </w:p>
    <w:p w14:paraId="456F5A75">
      <w:pPr>
        <w:widowControl/>
        <w:kinsoku w:val="0"/>
        <w:autoSpaceDE w:val="0"/>
        <w:autoSpaceDN w:val="0"/>
        <w:adjustRightInd w:val="0"/>
        <w:snapToGrid w:val="0"/>
        <w:ind w:firstLine="486" w:firstLineChars="200"/>
        <w:textAlignment w:val="baseline"/>
        <w:rPr>
          <w:snapToGrid w:val="0"/>
          <w:kern w:val="0"/>
          <w:szCs w:val="21"/>
        </w:rPr>
      </w:pPr>
      <w:r>
        <w:rPr>
          <w:b/>
          <w:bCs/>
          <w:snapToGrid w:val="0"/>
          <w:spacing w:val="16"/>
          <w:kern w:val="0"/>
          <w:szCs w:val="21"/>
        </w:rPr>
        <w:t>3</w:t>
      </w:r>
      <w:r>
        <w:rPr>
          <w:snapToGrid w:val="0"/>
          <w:spacing w:val="3"/>
          <w:kern w:val="0"/>
          <w:szCs w:val="21"/>
        </w:rPr>
        <w:t xml:space="preserve">  </w:t>
      </w:r>
      <w:r>
        <w:rPr>
          <w:snapToGrid w:val="0"/>
          <w:spacing w:val="2"/>
          <w:kern w:val="0"/>
          <w:szCs w:val="21"/>
        </w:rPr>
        <w:t>红色灯光</w:t>
      </w:r>
      <w:r>
        <w:rPr>
          <w:bCs/>
          <w:snapToGrid w:val="0"/>
          <w:spacing w:val="16"/>
          <w:kern w:val="0"/>
          <w:szCs w:val="21"/>
        </w:rPr>
        <w:t>——</w:t>
      </w:r>
      <w:r>
        <w:rPr>
          <w:snapToGrid w:val="0"/>
          <w:spacing w:val="2"/>
          <w:kern w:val="0"/>
          <w:szCs w:val="21"/>
        </w:rPr>
        <w:t>不准列车越过信号机；</w:t>
      </w:r>
    </w:p>
    <w:p w14:paraId="5BEE219B">
      <w:pPr>
        <w:widowControl/>
        <w:kinsoku w:val="0"/>
        <w:autoSpaceDE w:val="0"/>
        <w:autoSpaceDN w:val="0"/>
        <w:adjustRightInd w:val="0"/>
        <w:snapToGrid w:val="0"/>
        <w:ind w:firstLine="422" w:firstLineChars="200"/>
        <w:textAlignment w:val="baseline"/>
      </w:pPr>
      <w:r>
        <w:rPr>
          <w:b/>
        </w:rPr>
        <w:t>4</w:t>
      </w:r>
      <w:r>
        <w:t xml:space="preserve">  红色灯光+黄色灯光——表</w:t>
      </w:r>
      <w:r>
        <w:rPr>
          <w:rFonts w:hint="eastAsia"/>
        </w:rPr>
        <w:t>示</w:t>
      </w:r>
      <w:r>
        <w:t>开放引导信号，准许列车以不大于规定的速度(如25km/h)越过该架信号机并随时准备停车。</w:t>
      </w:r>
    </w:p>
    <w:p w14:paraId="598C0EC0">
      <w:pPr>
        <w:numPr>
          <w:ilvl w:val="2"/>
          <w:numId w:val="1"/>
        </w:numPr>
        <w:tabs>
          <w:tab w:val="left" w:pos="851"/>
          <w:tab w:val="left" w:pos="993"/>
        </w:tabs>
        <w:jc w:val="left"/>
        <w:outlineLvl w:val="2"/>
        <w:rPr>
          <w:bCs/>
          <w:snapToGrid w:val="0"/>
        </w:rPr>
      </w:pPr>
      <w:r>
        <w:rPr>
          <w:bCs/>
          <w:snapToGrid w:val="0"/>
        </w:rPr>
        <w:t>出站信号机、区间</w:t>
      </w:r>
      <w:r>
        <w:rPr>
          <w:rFonts w:hint="eastAsia"/>
          <w:bCs/>
          <w:snapToGrid w:val="0"/>
        </w:rPr>
        <w:t>分隔</w:t>
      </w:r>
      <w:r>
        <w:rPr>
          <w:bCs/>
          <w:snapToGrid w:val="0"/>
        </w:rPr>
        <w:t>信号机及折返进路终端设置的阻挡信号机</w:t>
      </w:r>
      <w:r>
        <w:rPr>
          <w:rFonts w:hint="eastAsia"/>
          <w:bCs/>
          <w:snapToGrid w:val="0"/>
        </w:rPr>
        <w:t>应采用</w:t>
      </w:r>
      <w:r>
        <w:rPr>
          <w:bCs/>
          <w:snapToGrid w:val="0"/>
        </w:rPr>
        <w:t>绿、红二显示机构，红灯</w:t>
      </w:r>
      <w:r>
        <w:rPr>
          <w:bCs/>
          <w:snapToGrid w:val="0"/>
          <w:spacing w:val="3"/>
        </w:rPr>
        <w:t>为定位显示。</w:t>
      </w:r>
      <w:r>
        <w:rPr>
          <w:rFonts w:hint="eastAsia"/>
        </w:rPr>
        <w:t>其显示及</w:t>
      </w:r>
      <w:r>
        <w:rPr>
          <w:bCs/>
          <w:snapToGrid w:val="0"/>
          <w:spacing w:val="3"/>
        </w:rPr>
        <w:t>含义</w:t>
      </w:r>
      <w:r>
        <w:rPr>
          <w:rFonts w:hint="eastAsia"/>
        </w:rPr>
        <w:t>如下：</w:t>
      </w:r>
    </w:p>
    <w:p w14:paraId="6D1EB49D">
      <w:pPr>
        <w:widowControl/>
        <w:kinsoku w:val="0"/>
        <w:autoSpaceDE w:val="0"/>
        <w:autoSpaceDN w:val="0"/>
        <w:adjustRightInd w:val="0"/>
        <w:snapToGrid w:val="0"/>
        <w:ind w:firstLine="486" w:firstLineChars="200"/>
        <w:textAlignment w:val="baseline"/>
        <w:rPr>
          <w:bCs/>
          <w:snapToGrid w:val="0"/>
          <w:spacing w:val="16"/>
          <w:kern w:val="0"/>
          <w:szCs w:val="21"/>
        </w:rPr>
      </w:pPr>
      <w:r>
        <w:rPr>
          <w:rFonts w:hint="eastAsia"/>
          <w:b/>
          <w:bCs/>
          <w:snapToGrid w:val="0"/>
          <w:spacing w:val="16"/>
          <w:kern w:val="0"/>
          <w:szCs w:val="21"/>
        </w:rPr>
        <w:t>1</w:t>
      </w:r>
      <w:r>
        <w:rPr>
          <w:rFonts w:hint="eastAsia"/>
          <w:bCs/>
          <w:snapToGrid w:val="0"/>
          <w:spacing w:val="16"/>
          <w:kern w:val="0"/>
          <w:szCs w:val="21"/>
        </w:rPr>
        <w:t xml:space="preserve">  绿色灯光</w:t>
      </w:r>
      <w:r>
        <w:rPr>
          <w:bCs/>
          <w:snapToGrid w:val="0"/>
          <w:spacing w:val="16"/>
          <w:kern w:val="0"/>
          <w:szCs w:val="21"/>
        </w:rPr>
        <w:t>——</w:t>
      </w:r>
      <w:r>
        <w:rPr>
          <w:rFonts w:hint="eastAsia"/>
          <w:bCs/>
          <w:snapToGrid w:val="0"/>
          <w:spacing w:val="16"/>
          <w:kern w:val="0"/>
          <w:szCs w:val="21"/>
        </w:rPr>
        <w:t>准许列车按规定的速度越过该架信号机；</w:t>
      </w:r>
    </w:p>
    <w:p w14:paraId="4E03D535">
      <w:pPr>
        <w:widowControl/>
        <w:kinsoku w:val="0"/>
        <w:autoSpaceDE w:val="0"/>
        <w:autoSpaceDN w:val="0"/>
        <w:adjustRightInd w:val="0"/>
        <w:snapToGrid w:val="0"/>
        <w:ind w:firstLine="486" w:firstLineChars="200"/>
        <w:textAlignment w:val="baseline"/>
        <w:rPr>
          <w:bCs/>
          <w:snapToGrid w:val="0"/>
          <w:spacing w:val="16"/>
          <w:kern w:val="0"/>
          <w:szCs w:val="21"/>
        </w:rPr>
      </w:pPr>
      <w:r>
        <w:rPr>
          <w:rFonts w:hint="eastAsia"/>
          <w:b/>
          <w:bCs/>
          <w:snapToGrid w:val="0"/>
          <w:spacing w:val="16"/>
          <w:kern w:val="0"/>
          <w:szCs w:val="21"/>
        </w:rPr>
        <w:t>2</w:t>
      </w:r>
      <w:r>
        <w:rPr>
          <w:rFonts w:hint="eastAsia"/>
          <w:bCs/>
          <w:snapToGrid w:val="0"/>
          <w:spacing w:val="16"/>
          <w:kern w:val="0"/>
          <w:szCs w:val="21"/>
        </w:rPr>
        <w:t xml:space="preserve">  红色灯光</w:t>
      </w:r>
      <w:r>
        <w:rPr>
          <w:bCs/>
          <w:snapToGrid w:val="0"/>
          <w:spacing w:val="16"/>
          <w:kern w:val="0"/>
          <w:szCs w:val="21"/>
        </w:rPr>
        <w:t>——</w:t>
      </w:r>
      <w:r>
        <w:rPr>
          <w:rFonts w:hint="eastAsia"/>
          <w:bCs/>
          <w:snapToGrid w:val="0"/>
          <w:spacing w:val="16"/>
          <w:kern w:val="0"/>
          <w:szCs w:val="21"/>
        </w:rPr>
        <w:t>不准列车越过信号机。</w:t>
      </w:r>
    </w:p>
    <w:p w14:paraId="04173AEF">
      <w:pPr>
        <w:numPr>
          <w:ilvl w:val="2"/>
          <w:numId w:val="1"/>
        </w:numPr>
        <w:tabs>
          <w:tab w:val="left" w:pos="851"/>
          <w:tab w:val="left" w:pos="993"/>
        </w:tabs>
        <w:jc w:val="left"/>
        <w:outlineLvl w:val="2"/>
        <w:rPr>
          <w:bCs/>
          <w:snapToGrid w:val="0"/>
        </w:rPr>
      </w:pPr>
      <w:r>
        <w:rPr>
          <w:bCs/>
          <w:snapToGrid w:val="0"/>
        </w:rPr>
        <w:t>出段</w:t>
      </w:r>
      <w:r>
        <w:rPr>
          <w:rFonts w:hint="eastAsia"/>
          <w:bCs/>
          <w:snapToGrid w:val="0"/>
        </w:rPr>
        <w:t>/场</w:t>
      </w:r>
      <w:r>
        <w:rPr>
          <w:rFonts w:hint="eastAsia"/>
        </w:rPr>
        <w:t>信号机应采用绿、红二灯位信号机构，红灯显示为定位。其显示及</w:t>
      </w:r>
      <w:r>
        <w:rPr>
          <w:bCs/>
          <w:snapToGrid w:val="0"/>
          <w:spacing w:val="3"/>
        </w:rPr>
        <w:t>含义</w:t>
      </w:r>
      <w:r>
        <w:rPr>
          <w:rFonts w:hint="eastAsia"/>
        </w:rPr>
        <w:t>如下：</w:t>
      </w:r>
    </w:p>
    <w:p w14:paraId="0A3C8CCA">
      <w:pPr>
        <w:widowControl/>
        <w:kinsoku w:val="0"/>
        <w:autoSpaceDE w:val="0"/>
        <w:autoSpaceDN w:val="0"/>
        <w:adjustRightInd w:val="0"/>
        <w:snapToGrid w:val="0"/>
        <w:ind w:firstLine="486" w:firstLineChars="200"/>
        <w:textAlignment w:val="baseline"/>
        <w:rPr>
          <w:snapToGrid w:val="0"/>
          <w:kern w:val="0"/>
          <w:szCs w:val="21"/>
        </w:rPr>
      </w:pPr>
      <w:r>
        <w:rPr>
          <w:b/>
          <w:bCs/>
          <w:snapToGrid w:val="0"/>
          <w:spacing w:val="16"/>
          <w:kern w:val="0"/>
          <w:szCs w:val="21"/>
        </w:rPr>
        <w:t>1</w:t>
      </w:r>
      <w:r>
        <w:rPr>
          <w:snapToGrid w:val="0"/>
          <w:spacing w:val="6"/>
          <w:kern w:val="0"/>
          <w:szCs w:val="21"/>
        </w:rPr>
        <w:t xml:space="preserve">  </w:t>
      </w:r>
      <w:r>
        <w:rPr>
          <w:snapToGrid w:val="0"/>
          <w:spacing w:val="4"/>
          <w:kern w:val="0"/>
          <w:szCs w:val="21"/>
        </w:rPr>
        <w:t>绿</w:t>
      </w:r>
      <w:r>
        <w:rPr>
          <w:snapToGrid w:val="0"/>
          <w:spacing w:val="3"/>
          <w:kern w:val="0"/>
          <w:szCs w:val="21"/>
        </w:rPr>
        <w:t>色灯光</w:t>
      </w:r>
      <w:r>
        <w:rPr>
          <w:bCs/>
          <w:snapToGrid w:val="0"/>
          <w:spacing w:val="16"/>
          <w:kern w:val="0"/>
          <w:szCs w:val="21"/>
        </w:rPr>
        <w:t>——</w:t>
      </w:r>
      <w:r>
        <w:rPr>
          <w:snapToGrid w:val="0"/>
          <w:spacing w:val="3"/>
          <w:kern w:val="0"/>
          <w:szCs w:val="21"/>
        </w:rPr>
        <w:t>正线的进路准备就绪，允许列车进入正线运行；</w:t>
      </w:r>
    </w:p>
    <w:p w14:paraId="4FF1CA11">
      <w:pPr>
        <w:widowControl/>
        <w:kinsoku w:val="0"/>
        <w:autoSpaceDE w:val="0"/>
        <w:autoSpaceDN w:val="0"/>
        <w:adjustRightInd w:val="0"/>
        <w:snapToGrid w:val="0"/>
        <w:ind w:firstLine="486" w:firstLineChars="200"/>
        <w:textAlignment w:val="baseline"/>
        <w:rPr>
          <w:snapToGrid w:val="0"/>
          <w:spacing w:val="3"/>
          <w:kern w:val="0"/>
          <w:szCs w:val="21"/>
        </w:rPr>
      </w:pPr>
      <w:r>
        <w:rPr>
          <w:b/>
          <w:bCs/>
          <w:snapToGrid w:val="0"/>
          <w:spacing w:val="16"/>
          <w:kern w:val="0"/>
          <w:szCs w:val="21"/>
        </w:rPr>
        <w:t>2</w:t>
      </w:r>
      <w:r>
        <w:rPr>
          <w:snapToGrid w:val="0"/>
          <w:spacing w:val="3"/>
          <w:kern w:val="0"/>
          <w:szCs w:val="21"/>
        </w:rPr>
        <w:t xml:space="preserve">  红色灯光</w:t>
      </w:r>
      <w:r>
        <w:rPr>
          <w:bCs/>
          <w:snapToGrid w:val="0"/>
          <w:spacing w:val="16"/>
          <w:kern w:val="0"/>
          <w:szCs w:val="21"/>
        </w:rPr>
        <w:t>——</w:t>
      </w:r>
      <w:r>
        <w:rPr>
          <w:snapToGrid w:val="0"/>
          <w:spacing w:val="3"/>
          <w:kern w:val="0"/>
          <w:szCs w:val="21"/>
        </w:rPr>
        <w:t>不准列车越过信号机。</w:t>
      </w:r>
    </w:p>
    <w:p w14:paraId="09E1E038">
      <w:pPr>
        <w:numPr>
          <w:ilvl w:val="2"/>
          <w:numId w:val="1"/>
        </w:numPr>
        <w:tabs>
          <w:tab w:val="left" w:pos="851"/>
          <w:tab w:val="left" w:pos="993"/>
        </w:tabs>
        <w:jc w:val="left"/>
        <w:outlineLvl w:val="2"/>
      </w:pPr>
      <w:r>
        <w:rPr>
          <w:bCs/>
          <w:snapToGrid w:val="0"/>
        </w:rPr>
        <w:t>线路</w:t>
      </w:r>
      <w:r>
        <w:rPr>
          <w:rFonts w:hint="eastAsia"/>
        </w:rPr>
        <w:t>尽头应设阻挡信号机，尽头阻挡信号机应采用绿、红两灯位信号</w:t>
      </w:r>
      <w:r>
        <w:rPr>
          <w:rFonts w:hint="eastAsia"/>
          <w:bCs/>
          <w:snapToGrid w:val="0"/>
        </w:rPr>
        <w:t>机构</w:t>
      </w:r>
      <w:r>
        <w:rPr>
          <w:rFonts w:hint="eastAsia"/>
        </w:rPr>
        <w:t>，绿灯封闭，显示红色灯光，不准列车越过信号机。</w:t>
      </w:r>
    </w:p>
    <w:p w14:paraId="3963895A">
      <w:pPr>
        <w:numPr>
          <w:ilvl w:val="2"/>
          <w:numId w:val="1"/>
        </w:numPr>
        <w:tabs>
          <w:tab w:val="left" w:pos="851"/>
          <w:tab w:val="left" w:pos="993"/>
        </w:tabs>
        <w:jc w:val="left"/>
        <w:outlineLvl w:val="2"/>
        <w:rPr>
          <w:bCs/>
        </w:rPr>
      </w:pPr>
      <w:r>
        <w:rPr>
          <w:bCs/>
          <w:snapToGrid w:val="0"/>
        </w:rPr>
        <w:t>按</w:t>
      </w:r>
      <w:r>
        <w:rPr>
          <w:rFonts w:hint="eastAsia"/>
          <w:bCs/>
          <w:snapToGrid w:val="0"/>
        </w:rPr>
        <w:t>地面信号</w:t>
      </w:r>
      <w:r>
        <w:rPr>
          <w:rFonts w:hint="eastAsia"/>
          <w:bCs/>
        </w:rPr>
        <w:t>显示行车时，信号机的显示距离应根据该架信号机前方线路条件、列车性能等要素进行计算，满足列车以常用制动在信号机前方停车的距离要求。</w:t>
      </w:r>
    </w:p>
    <w:p w14:paraId="3A9926B3">
      <w:pPr>
        <w:numPr>
          <w:ilvl w:val="2"/>
          <w:numId w:val="1"/>
        </w:numPr>
        <w:tabs>
          <w:tab w:val="left" w:pos="851"/>
          <w:tab w:val="left" w:pos="993"/>
        </w:tabs>
        <w:jc w:val="left"/>
        <w:outlineLvl w:val="2"/>
      </w:pPr>
      <w:r>
        <w:rPr>
          <w:bCs/>
          <w:snapToGrid w:val="0"/>
        </w:rPr>
        <w:t>尽头</w:t>
      </w:r>
      <w:r>
        <w:rPr>
          <w:rFonts w:hint="eastAsia"/>
        </w:rPr>
        <w:t>式阻挡信号机、非互联互通联络线上的道岔防护信号机在CBTC模式和降级模式下均应常态亮灯；出段/场信号机、互联互通联络线上的道岔防护信号机应常态亮灯，有CBTC列车接近时灭灯；其他信号机</w:t>
      </w:r>
      <w:r>
        <w:rPr>
          <w:rFonts w:hint="eastAsia"/>
          <w:bCs/>
          <w:snapToGrid w:val="0"/>
          <w:spacing w:val="6"/>
        </w:rPr>
        <w:t>应</w:t>
      </w:r>
      <w:r>
        <w:rPr>
          <w:rFonts w:hint="eastAsia"/>
        </w:rPr>
        <w:t>在CBTC模式下常态灭灯，降级模式下点灯。</w:t>
      </w:r>
    </w:p>
    <w:p w14:paraId="206E752D">
      <w:pPr>
        <w:numPr>
          <w:ilvl w:val="2"/>
          <w:numId w:val="1"/>
        </w:numPr>
        <w:tabs>
          <w:tab w:val="left" w:pos="851"/>
          <w:tab w:val="left" w:pos="993"/>
        </w:tabs>
        <w:jc w:val="left"/>
        <w:outlineLvl w:val="2"/>
        <w:rPr>
          <w:rFonts w:ascii="宋体" w:hAnsi="宋体" w:cs="宋体"/>
          <w:kern w:val="0"/>
        </w:rPr>
      </w:pPr>
      <w:r>
        <w:rPr>
          <w:bCs/>
          <w:snapToGrid w:val="0"/>
          <w:szCs w:val="21"/>
        </w:rPr>
        <w:t>计算机</w:t>
      </w:r>
      <w:r>
        <w:rPr>
          <w:rFonts w:hint="eastAsia"/>
          <w:bCs/>
          <w:snapToGrid w:val="0"/>
        </w:rPr>
        <w:t>联锁</w:t>
      </w:r>
      <w:r>
        <w:rPr>
          <w:rFonts w:hint="eastAsia" w:ascii="宋体" w:hAnsi="宋体" w:cs="宋体"/>
          <w:kern w:val="0"/>
        </w:rPr>
        <w:t>子系统具有以下安全接口：</w:t>
      </w:r>
    </w:p>
    <w:p w14:paraId="4891F226">
      <w:pPr>
        <w:widowControl/>
        <w:kinsoku w:val="0"/>
        <w:autoSpaceDE w:val="0"/>
        <w:autoSpaceDN w:val="0"/>
        <w:adjustRightInd w:val="0"/>
        <w:snapToGrid w:val="0"/>
        <w:ind w:firstLine="422" w:firstLineChars="200"/>
        <w:textAlignment w:val="baseline"/>
      </w:pPr>
      <w:r>
        <w:rPr>
          <w:rFonts w:hint="eastAsia"/>
          <w:b/>
          <w:bCs/>
        </w:rPr>
        <w:t>1</w:t>
      </w:r>
      <w:r>
        <w:t xml:space="preserve">  </w:t>
      </w:r>
      <w:r>
        <w:rPr>
          <w:rFonts w:hint="eastAsia"/>
        </w:rPr>
        <w:t>与</w:t>
      </w:r>
      <w:r>
        <w:t>ATP</w:t>
      </w:r>
      <w:r>
        <w:rPr>
          <w:rFonts w:hint="eastAsia"/>
        </w:rPr>
        <w:t>、ATS系统的接口；</w:t>
      </w:r>
    </w:p>
    <w:p w14:paraId="22037B7E">
      <w:pPr>
        <w:widowControl/>
        <w:kinsoku w:val="0"/>
        <w:autoSpaceDE w:val="0"/>
        <w:autoSpaceDN w:val="0"/>
        <w:adjustRightInd w:val="0"/>
        <w:snapToGrid w:val="0"/>
        <w:ind w:firstLine="422" w:firstLineChars="200"/>
        <w:textAlignment w:val="baseline"/>
      </w:pPr>
      <w:r>
        <w:rPr>
          <w:b/>
          <w:bCs/>
        </w:rPr>
        <w:t>2</w:t>
      </w:r>
      <w:r>
        <w:t xml:space="preserve">  </w:t>
      </w:r>
      <w:r>
        <w:rPr>
          <w:rFonts w:hint="eastAsia"/>
        </w:rPr>
        <w:t>与车辆基地计算机联锁系统的接口；</w:t>
      </w:r>
    </w:p>
    <w:p w14:paraId="7AA54286">
      <w:pPr>
        <w:widowControl/>
        <w:kinsoku w:val="0"/>
        <w:autoSpaceDE w:val="0"/>
        <w:autoSpaceDN w:val="0"/>
        <w:adjustRightInd w:val="0"/>
        <w:snapToGrid w:val="0"/>
        <w:ind w:firstLine="422" w:firstLineChars="200"/>
        <w:textAlignment w:val="baseline"/>
      </w:pPr>
      <w:r>
        <w:rPr>
          <w:b/>
          <w:bCs/>
        </w:rPr>
        <w:t>3</w:t>
      </w:r>
      <w:r>
        <w:t xml:space="preserve">  </w:t>
      </w:r>
      <w:r>
        <w:rPr>
          <w:rFonts w:hint="eastAsia"/>
        </w:rPr>
        <w:t>与站台屏蔽门的接口；</w:t>
      </w:r>
    </w:p>
    <w:p w14:paraId="30F5FFE6">
      <w:pPr>
        <w:widowControl/>
        <w:kinsoku w:val="0"/>
        <w:autoSpaceDE w:val="0"/>
        <w:autoSpaceDN w:val="0"/>
        <w:adjustRightInd w:val="0"/>
        <w:snapToGrid w:val="0"/>
        <w:ind w:firstLine="422" w:firstLineChars="200"/>
        <w:textAlignment w:val="baseline"/>
      </w:pPr>
      <w:r>
        <w:rPr>
          <w:b/>
          <w:bCs/>
        </w:rPr>
        <w:t>4</w:t>
      </w:r>
      <w:r>
        <w:t xml:space="preserve">  </w:t>
      </w:r>
      <w:r>
        <w:rPr>
          <w:rFonts w:hint="eastAsia"/>
        </w:rPr>
        <w:t>与综合后备盘的接口；</w:t>
      </w:r>
    </w:p>
    <w:p w14:paraId="6866DFB6">
      <w:pPr>
        <w:widowControl/>
        <w:kinsoku w:val="0"/>
        <w:autoSpaceDE w:val="0"/>
        <w:autoSpaceDN w:val="0"/>
        <w:adjustRightInd w:val="0"/>
        <w:snapToGrid w:val="0"/>
        <w:ind w:firstLine="422" w:firstLineChars="200"/>
        <w:textAlignment w:val="baseline"/>
      </w:pPr>
      <w:r>
        <w:rPr>
          <w:b/>
          <w:bCs/>
        </w:rPr>
        <w:t>5</w:t>
      </w:r>
      <w:r>
        <w:t xml:space="preserve">  </w:t>
      </w:r>
      <w:r>
        <w:rPr>
          <w:rFonts w:hint="eastAsia"/>
        </w:rPr>
        <w:t>与其他联络线的接口。</w:t>
      </w:r>
    </w:p>
    <w:p w14:paraId="4DA13C0F">
      <w:pPr>
        <w:numPr>
          <w:ilvl w:val="2"/>
          <w:numId w:val="1"/>
        </w:numPr>
        <w:tabs>
          <w:tab w:val="left" w:pos="851"/>
          <w:tab w:val="left" w:pos="993"/>
        </w:tabs>
        <w:jc w:val="left"/>
        <w:outlineLvl w:val="2"/>
      </w:pPr>
      <w:r>
        <w:rPr>
          <w:rFonts w:hint="eastAsia"/>
        </w:rPr>
        <w:t>全自动运行线路除具备</w:t>
      </w:r>
      <w:r>
        <w:t>18</w:t>
      </w:r>
      <w:r>
        <w:rPr>
          <w:rFonts w:hint="eastAsia"/>
        </w:rPr>
        <w:t>.5.15的安全接口外，还应具有与车库门、自动</w:t>
      </w:r>
      <w:r>
        <w:rPr>
          <w:rFonts w:hint="eastAsia"/>
          <w:bCs/>
          <w:snapToGrid w:val="0"/>
        </w:rPr>
        <w:t>洗车</w:t>
      </w:r>
      <w:r>
        <w:rPr>
          <w:rFonts w:hint="eastAsia"/>
        </w:rPr>
        <w:t>机的接口；若采用信号系统与间隙探测系统直接接口方式，应与间隙探测接口。</w:t>
      </w:r>
    </w:p>
    <w:p w14:paraId="3D89D75A">
      <w:pPr>
        <w:numPr>
          <w:ilvl w:val="1"/>
          <w:numId w:val="1"/>
        </w:numPr>
        <w:snapToGrid w:val="0"/>
        <w:spacing w:before="156" w:after="156" w:line="240" w:lineRule="auto"/>
        <w:jc w:val="center"/>
        <w:outlineLvl w:val="1"/>
        <w:rPr>
          <w:rFonts w:eastAsia="黑体"/>
          <w:bCs/>
          <w:szCs w:val="28"/>
        </w:rPr>
      </w:pPr>
      <w:bookmarkStart w:id="1379" w:name="_Toc183765173"/>
      <w:bookmarkStart w:id="1380" w:name="_Toc183888216"/>
      <w:bookmarkStart w:id="1381" w:name="_Toc183888578"/>
      <w:bookmarkStart w:id="1382" w:name="_Toc183882526"/>
      <w:bookmarkStart w:id="1383" w:name="_Toc183790603"/>
      <w:bookmarkStart w:id="1384" w:name="_Toc183882164"/>
      <w:r>
        <w:rPr>
          <w:rFonts w:eastAsia="黑体"/>
          <w:bCs/>
          <w:szCs w:val="28"/>
        </w:rPr>
        <w:t>数据通信子系统</w:t>
      </w:r>
      <w:bookmarkEnd w:id="1379"/>
      <w:bookmarkEnd w:id="1380"/>
      <w:bookmarkEnd w:id="1381"/>
      <w:bookmarkEnd w:id="1382"/>
      <w:bookmarkEnd w:id="1383"/>
      <w:bookmarkEnd w:id="1384"/>
    </w:p>
    <w:p w14:paraId="6C17719B">
      <w:pPr>
        <w:numPr>
          <w:ilvl w:val="2"/>
          <w:numId w:val="1"/>
        </w:numPr>
        <w:tabs>
          <w:tab w:val="left" w:pos="794"/>
          <w:tab w:val="left" w:pos="851"/>
        </w:tabs>
        <w:jc w:val="left"/>
        <w:outlineLvl w:val="2"/>
        <w:rPr>
          <w:bCs/>
          <w:snapToGrid w:val="0"/>
        </w:rPr>
      </w:pPr>
      <w:r>
        <w:rPr>
          <w:rFonts w:hint="eastAsia"/>
          <w:bCs/>
          <w:snapToGrid w:val="0"/>
        </w:rPr>
        <w:t>数据通信子系统应由有线网络、无线通信网络或车地通信设备和网络管理设备组成。无线通信网络或车地通信设备可利用无线通信、轨旁电缆环线、轨道电路等信息传输方式。</w:t>
      </w:r>
    </w:p>
    <w:p w14:paraId="5A6E4650">
      <w:pPr>
        <w:numPr>
          <w:ilvl w:val="2"/>
          <w:numId w:val="1"/>
        </w:numPr>
        <w:tabs>
          <w:tab w:val="left" w:pos="794"/>
          <w:tab w:val="left" w:pos="851"/>
        </w:tabs>
        <w:jc w:val="left"/>
        <w:outlineLvl w:val="2"/>
        <w:rPr>
          <w:bCs/>
          <w:snapToGrid w:val="0"/>
        </w:rPr>
      </w:pPr>
      <w:r>
        <w:rPr>
          <w:rFonts w:hint="eastAsia"/>
          <w:bCs/>
          <w:snapToGrid w:val="0"/>
        </w:rPr>
        <w:t>有线网络、无线通信网络应采用冗余设计,单点故障不应影响信息传输的实时性和连续性</w:t>
      </w:r>
      <w:r>
        <w:rPr>
          <w:bCs/>
          <w:snapToGrid w:val="0"/>
        </w:rPr>
        <w:t>。</w:t>
      </w:r>
    </w:p>
    <w:p w14:paraId="538C4068">
      <w:pPr>
        <w:numPr>
          <w:ilvl w:val="2"/>
          <w:numId w:val="1"/>
        </w:numPr>
        <w:tabs>
          <w:tab w:val="left" w:pos="794"/>
          <w:tab w:val="left" w:pos="851"/>
        </w:tabs>
        <w:jc w:val="left"/>
        <w:outlineLvl w:val="2"/>
        <w:rPr>
          <w:bCs/>
          <w:snapToGrid w:val="0"/>
        </w:rPr>
      </w:pPr>
      <w:r>
        <w:rPr>
          <w:rFonts w:hint="eastAsia"/>
          <w:bCs/>
          <w:snapToGrid w:val="0"/>
        </w:rPr>
        <w:t>地面有线网络可采用独立的通信网络,与其他系统的接口应有隔离措施。信号系统内部单个传输通道的故障不应影响其他传输通道的正常工作。车载网络可与车辆网络融合设置,融合网络应能满足信号系统的安全完整性等级的要求</w:t>
      </w:r>
      <w:r>
        <w:rPr>
          <w:bCs/>
          <w:snapToGrid w:val="0"/>
        </w:rPr>
        <w:t>。</w:t>
      </w:r>
    </w:p>
    <w:p w14:paraId="468FAB59">
      <w:pPr>
        <w:numPr>
          <w:ilvl w:val="2"/>
          <w:numId w:val="1"/>
        </w:numPr>
        <w:tabs>
          <w:tab w:val="left" w:pos="794"/>
          <w:tab w:val="left" w:pos="851"/>
        </w:tabs>
        <w:jc w:val="left"/>
        <w:outlineLvl w:val="2"/>
        <w:rPr>
          <w:bCs/>
        </w:rPr>
      </w:pPr>
      <w:r>
        <w:rPr>
          <w:rFonts w:hint="eastAsia"/>
          <w:bCs/>
          <w:snapToGrid w:val="0"/>
        </w:rPr>
        <w:t>数据通信</w:t>
      </w:r>
      <w:r>
        <w:rPr>
          <w:rFonts w:hint="eastAsia"/>
          <w:bCs/>
        </w:rPr>
        <w:t>子系统容量、传输速率和传输距离应满足控制列车运行实时监控的需要和行车指挥的运用要求。</w:t>
      </w:r>
    </w:p>
    <w:p w14:paraId="10AD5FCF">
      <w:pPr>
        <w:numPr>
          <w:ilvl w:val="2"/>
          <w:numId w:val="1"/>
        </w:numPr>
        <w:tabs>
          <w:tab w:val="left" w:pos="794"/>
          <w:tab w:val="left" w:pos="851"/>
        </w:tabs>
        <w:jc w:val="left"/>
        <w:outlineLvl w:val="2"/>
        <w:rPr>
          <w:bCs/>
          <w:snapToGrid w:val="0"/>
        </w:rPr>
      </w:pPr>
      <w:r>
        <w:rPr>
          <w:rFonts w:hint="eastAsia"/>
          <w:bCs/>
        </w:rPr>
        <w:t>数据通</w:t>
      </w:r>
      <w:r>
        <w:rPr>
          <w:rFonts w:hint="eastAsia"/>
          <w:bCs/>
          <w:snapToGrid w:val="0"/>
        </w:rPr>
        <w:t>信子系统应具有自愈、自诊断、网络维护及配置管理等功能。</w:t>
      </w:r>
    </w:p>
    <w:p w14:paraId="66413FF2">
      <w:pPr>
        <w:numPr>
          <w:ilvl w:val="2"/>
          <w:numId w:val="1"/>
        </w:numPr>
        <w:tabs>
          <w:tab w:val="left" w:pos="794"/>
          <w:tab w:val="left" w:pos="851"/>
        </w:tabs>
        <w:jc w:val="left"/>
        <w:outlineLvl w:val="2"/>
        <w:rPr>
          <w:bCs/>
          <w:snapToGrid w:val="0"/>
        </w:rPr>
      </w:pPr>
      <w:r>
        <w:rPr>
          <w:rFonts w:hint="eastAsia"/>
          <w:bCs/>
          <w:snapToGrid w:val="0"/>
        </w:rPr>
        <w:t>数据通信子系统设备在规定的工作环境、线路状态和电磁干扰影响等条件下，应实现信号系统子系统间、子系统内部安全可靠的信息传输。</w:t>
      </w:r>
    </w:p>
    <w:p w14:paraId="703F0625">
      <w:pPr>
        <w:numPr>
          <w:ilvl w:val="2"/>
          <w:numId w:val="1"/>
        </w:numPr>
        <w:tabs>
          <w:tab w:val="left" w:pos="794"/>
          <w:tab w:val="left" w:pos="851"/>
        </w:tabs>
        <w:jc w:val="left"/>
        <w:outlineLvl w:val="2"/>
        <w:rPr>
          <w:bCs/>
          <w:snapToGrid w:val="0"/>
        </w:rPr>
      </w:pPr>
      <w:r>
        <w:rPr>
          <w:rFonts w:hint="eastAsia"/>
          <w:bCs/>
          <w:snapToGrid w:val="0"/>
        </w:rPr>
        <w:t>基于无线通信方式的无线通信系统应符合下列规定：</w:t>
      </w:r>
    </w:p>
    <w:p w14:paraId="3CDBB479">
      <w:pPr>
        <w:widowControl/>
        <w:kinsoku w:val="0"/>
        <w:autoSpaceDE w:val="0"/>
        <w:autoSpaceDN w:val="0"/>
        <w:adjustRightInd w:val="0"/>
        <w:snapToGrid w:val="0"/>
        <w:ind w:right="74" w:firstLine="422" w:firstLineChars="200"/>
        <w:textAlignment w:val="baseline"/>
        <w:rPr>
          <w:bCs/>
          <w:snapToGrid w:val="0"/>
          <w:kern w:val="0"/>
          <w:szCs w:val="21"/>
        </w:rPr>
      </w:pPr>
      <w:r>
        <w:rPr>
          <w:rFonts w:hint="eastAsia"/>
          <w:b/>
          <w:bCs/>
          <w:snapToGrid w:val="0"/>
          <w:kern w:val="0"/>
          <w:szCs w:val="21"/>
        </w:rPr>
        <w:t>1</w:t>
      </w:r>
      <w:r>
        <w:rPr>
          <w:rFonts w:hint="eastAsia"/>
          <w:bCs/>
          <w:snapToGrid w:val="0"/>
          <w:kern w:val="0"/>
          <w:szCs w:val="21"/>
        </w:rPr>
        <w:t xml:space="preserve">  宜采用标准的通信设备，其无线场强覆盖可采用天线、漏缆和裂缝波导管等方式，也可根据现场条件混合使用；</w:t>
      </w:r>
    </w:p>
    <w:p w14:paraId="53A769B0">
      <w:pPr>
        <w:widowControl/>
        <w:kinsoku w:val="0"/>
        <w:autoSpaceDE w:val="0"/>
        <w:autoSpaceDN w:val="0"/>
        <w:adjustRightInd w:val="0"/>
        <w:snapToGrid w:val="0"/>
        <w:ind w:right="74" w:firstLine="422" w:firstLineChars="200"/>
        <w:textAlignment w:val="baseline"/>
        <w:rPr>
          <w:bCs/>
          <w:snapToGrid w:val="0"/>
          <w:kern w:val="0"/>
          <w:szCs w:val="21"/>
        </w:rPr>
      </w:pPr>
      <w:r>
        <w:rPr>
          <w:rFonts w:hint="eastAsia"/>
          <w:b/>
          <w:bCs/>
          <w:snapToGrid w:val="0"/>
          <w:kern w:val="0"/>
          <w:szCs w:val="21"/>
        </w:rPr>
        <w:t>2</w:t>
      </w:r>
      <w:r>
        <w:rPr>
          <w:rFonts w:hint="eastAsia"/>
          <w:bCs/>
          <w:snapToGrid w:val="0"/>
          <w:kern w:val="0"/>
          <w:szCs w:val="21"/>
        </w:rPr>
        <w:t xml:space="preserve">  应保证列车高速移动时的漫游切换，不应影响车站ATP设备对列车控制的连续性和实时性；</w:t>
      </w:r>
    </w:p>
    <w:p w14:paraId="588E55B6">
      <w:pPr>
        <w:widowControl/>
        <w:kinsoku w:val="0"/>
        <w:autoSpaceDE w:val="0"/>
        <w:autoSpaceDN w:val="0"/>
        <w:adjustRightInd w:val="0"/>
        <w:snapToGrid w:val="0"/>
        <w:ind w:right="74" w:firstLine="422" w:firstLineChars="200"/>
        <w:textAlignment w:val="baseline"/>
        <w:rPr>
          <w:bCs/>
          <w:snapToGrid w:val="0"/>
          <w:kern w:val="0"/>
          <w:szCs w:val="21"/>
        </w:rPr>
      </w:pPr>
      <w:r>
        <w:rPr>
          <w:rFonts w:hint="eastAsia"/>
          <w:b/>
          <w:bCs/>
          <w:snapToGrid w:val="0"/>
          <w:kern w:val="0"/>
          <w:szCs w:val="21"/>
        </w:rPr>
        <w:t>3</w:t>
      </w:r>
      <w:r>
        <w:rPr>
          <w:rFonts w:hint="eastAsia"/>
          <w:bCs/>
          <w:snapToGrid w:val="0"/>
          <w:kern w:val="0"/>
          <w:szCs w:val="21"/>
        </w:rPr>
        <w:t xml:space="preserve">  应采用冗余覆盖设计，保证无线场强覆盖；当一套网络故障，应确保车地信息传输的连续性、可用性；</w:t>
      </w:r>
    </w:p>
    <w:p w14:paraId="677AF99C">
      <w:pPr>
        <w:widowControl/>
        <w:kinsoku w:val="0"/>
        <w:autoSpaceDE w:val="0"/>
        <w:autoSpaceDN w:val="0"/>
        <w:adjustRightInd w:val="0"/>
        <w:snapToGrid w:val="0"/>
        <w:ind w:right="74" w:firstLine="422" w:firstLineChars="200"/>
        <w:textAlignment w:val="baseline"/>
        <w:rPr>
          <w:bCs/>
          <w:snapToGrid w:val="0"/>
          <w:kern w:val="0"/>
          <w:szCs w:val="21"/>
        </w:rPr>
      </w:pPr>
      <w:r>
        <w:rPr>
          <w:rFonts w:hint="eastAsia"/>
          <w:b/>
          <w:bCs/>
          <w:snapToGrid w:val="0"/>
          <w:kern w:val="0"/>
          <w:szCs w:val="21"/>
        </w:rPr>
        <w:t>4</w:t>
      </w:r>
      <w:r>
        <w:rPr>
          <w:rFonts w:hint="eastAsia"/>
          <w:bCs/>
          <w:snapToGrid w:val="0"/>
          <w:kern w:val="0"/>
          <w:szCs w:val="21"/>
        </w:rPr>
        <w:t xml:space="preserve">  宜采用专用频段组网，与其他系统、其他相邻运营线路所用无线通信统一规划无线频点，防止系统的相互影响。</w:t>
      </w:r>
    </w:p>
    <w:p w14:paraId="73C6D559">
      <w:pPr>
        <w:numPr>
          <w:ilvl w:val="2"/>
          <w:numId w:val="1"/>
        </w:numPr>
        <w:tabs>
          <w:tab w:val="left" w:pos="794"/>
          <w:tab w:val="left" w:pos="851"/>
        </w:tabs>
        <w:jc w:val="left"/>
        <w:outlineLvl w:val="2"/>
        <w:rPr>
          <w:bCs/>
          <w:snapToGrid w:val="0"/>
          <w:kern w:val="0"/>
          <w:szCs w:val="21"/>
        </w:rPr>
      </w:pPr>
      <w:r>
        <w:rPr>
          <w:rFonts w:hint="eastAsia"/>
          <w:bCs/>
        </w:rPr>
        <w:t>基于轨旁电缆环线方式的车地通信设备应符合下列规定：</w:t>
      </w:r>
    </w:p>
    <w:p w14:paraId="2DF3A4F4">
      <w:pPr>
        <w:ind w:firstLine="422" w:firstLineChars="200"/>
      </w:pPr>
      <w:r>
        <w:rPr>
          <w:rFonts w:hint="eastAsia"/>
          <w:b/>
        </w:rPr>
        <w:t>1</w:t>
      </w:r>
      <w:r>
        <w:rPr>
          <w:rFonts w:hint="eastAsia"/>
        </w:rPr>
        <w:t xml:space="preserve">  安装方式宜不影响工务维护，不应影响乘客的安全疏散；</w:t>
      </w:r>
    </w:p>
    <w:p w14:paraId="770BF496">
      <w:pPr>
        <w:ind w:firstLine="422" w:firstLineChars="200"/>
      </w:pPr>
      <w:r>
        <w:rPr>
          <w:rFonts w:hint="eastAsia"/>
          <w:b/>
        </w:rPr>
        <w:t xml:space="preserve">2 </w:t>
      </w:r>
      <w:r>
        <w:rPr>
          <w:rFonts w:hint="eastAsia"/>
        </w:rPr>
        <w:t xml:space="preserve"> 应能实现电缆环线完整性检测和断线报警功能，并能提供相关的安全防护措施。</w:t>
      </w:r>
    </w:p>
    <w:p w14:paraId="20B3176E">
      <w:pPr>
        <w:numPr>
          <w:ilvl w:val="2"/>
          <w:numId w:val="1"/>
        </w:numPr>
        <w:tabs>
          <w:tab w:val="left" w:pos="794"/>
          <w:tab w:val="left" w:pos="851"/>
        </w:tabs>
        <w:jc w:val="left"/>
        <w:outlineLvl w:val="2"/>
        <w:rPr>
          <w:bCs/>
          <w:snapToGrid w:val="0"/>
          <w:kern w:val="0"/>
          <w:szCs w:val="21"/>
        </w:rPr>
      </w:pPr>
      <w:r>
        <w:rPr>
          <w:rFonts w:hint="eastAsia"/>
          <w:bCs/>
        </w:rPr>
        <w:t>基于</w:t>
      </w:r>
      <w:r>
        <w:rPr>
          <w:rFonts w:hint="eastAsia"/>
          <w:bCs/>
          <w:snapToGrid w:val="0"/>
        </w:rPr>
        <w:t>轨道电路</w:t>
      </w:r>
      <w:r>
        <w:rPr>
          <w:rFonts w:hint="eastAsia"/>
          <w:bCs/>
        </w:rPr>
        <w:t>的车地通信设备应符合下列规定：</w:t>
      </w:r>
    </w:p>
    <w:p w14:paraId="11969109">
      <w:pPr>
        <w:ind w:firstLine="422" w:firstLineChars="200"/>
      </w:pPr>
      <w:r>
        <w:rPr>
          <w:rFonts w:hint="eastAsia"/>
          <w:b/>
        </w:rPr>
        <w:t>1</w:t>
      </w:r>
      <w:r>
        <w:rPr>
          <w:rFonts w:hint="eastAsia"/>
        </w:rPr>
        <w:t xml:space="preserve">  地面设备宜采用报文式无绝缘轨道电路；</w:t>
      </w:r>
    </w:p>
    <w:p w14:paraId="5846B0FA">
      <w:pPr>
        <w:ind w:firstLine="422" w:firstLineChars="200"/>
      </w:pPr>
      <w:r>
        <w:rPr>
          <w:rFonts w:hint="eastAsia"/>
          <w:b/>
        </w:rPr>
        <w:t xml:space="preserve">2 </w:t>
      </w:r>
      <w:r>
        <w:rPr>
          <w:rFonts w:hint="eastAsia"/>
        </w:rPr>
        <w:t xml:space="preserve"> 区间轨道电路应为双轨条回流方式，道岔区段、车辆基地轨道电路可采用单轨条回流方式；</w:t>
      </w:r>
    </w:p>
    <w:p w14:paraId="2B005531">
      <w:pPr>
        <w:ind w:firstLine="422" w:firstLineChars="200"/>
      </w:pPr>
      <w:r>
        <w:rPr>
          <w:rFonts w:hint="eastAsia"/>
          <w:b/>
        </w:rPr>
        <w:t>3</w:t>
      </w:r>
      <w:r>
        <w:rPr>
          <w:rFonts w:hint="eastAsia"/>
        </w:rPr>
        <w:t xml:space="preserve">  相邻轨道电路应采取干扰防护措施；</w:t>
      </w:r>
    </w:p>
    <w:p w14:paraId="46D101A2">
      <w:pPr>
        <w:ind w:firstLine="422" w:firstLineChars="200"/>
      </w:pPr>
      <w:r>
        <w:rPr>
          <w:rFonts w:hint="eastAsia"/>
          <w:b/>
        </w:rPr>
        <w:t>4</w:t>
      </w:r>
      <w:r>
        <w:rPr>
          <w:rFonts w:hint="eastAsia"/>
        </w:rPr>
        <w:t xml:space="preserve">  轨道电路的参数可采用下列数据：</w:t>
      </w:r>
    </w:p>
    <w:p w14:paraId="5B386C9B">
      <w:pPr>
        <w:ind w:firstLine="420" w:firstLineChars="200"/>
      </w:pPr>
      <w:r>
        <w:rPr>
          <w:rFonts w:hint="eastAsia"/>
        </w:rPr>
        <w:t xml:space="preserve">1） 无砟道床电阻可采用2Ω· km；有砟道床电阻可采用1Ω·km； </w:t>
      </w:r>
    </w:p>
    <w:p w14:paraId="1EAB5E76">
      <w:pPr>
        <w:ind w:firstLine="420" w:firstLineChars="200"/>
      </w:pPr>
      <w:r>
        <w:rPr>
          <w:rFonts w:hint="eastAsia"/>
        </w:rPr>
        <w:t>2） 分路电阻可采用 0.15Ω。</w:t>
      </w:r>
    </w:p>
    <w:p w14:paraId="2F539AC7">
      <w:pPr>
        <w:ind w:firstLine="422" w:firstLineChars="200"/>
      </w:pPr>
      <w:r>
        <w:rPr>
          <w:rFonts w:hint="eastAsia"/>
          <w:b/>
        </w:rPr>
        <w:t xml:space="preserve">5 </w:t>
      </w:r>
      <w:r>
        <w:rPr>
          <w:rFonts w:hint="eastAsia"/>
        </w:rPr>
        <w:t xml:space="preserve"> 当轨道电路利用兼作牵引回流的走行轨时，装设的牵引均流线和回流线、站台屏蔽门的等电位连接线等不应影响轨道电路的正常工作。</w:t>
      </w:r>
    </w:p>
    <w:p w14:paraId="356589D4">
      <w:pPr>
        <w:numPr>
          <w:ilvl w:val="2"/>
          <w:numId w:val="1"/>
        </w:numPr>
        <w:tabs>
          <w:tab w:val="left" w:pos="851"/>
        </w:tabs>
        <w:jc w:val="left"/>
        <w:outlineLvl w:val="2"/>
        <w:rPr>
          <w:bCs/>
        </w:rPr>
      </w:pPr>
      <w:r>
        <w:rPr>
          <w:rFonts w:hint="eastAsia"/>
          <w:bCs/>
          <w:snapToGrid w:val="0"/>
        </w:rPr>
        <w:t>数据通信</w:t>
      </w:r>
      <w:r>
        <w:rPr>
          <w:rFonts w:hint="eastAsia"/>
          <w:bCs/>
        </w:rPr>
        <w:t>子系统应具备安全防护策略，满足多种方式和层次的访问控制安全机制、《信息安全技术网络安全等级保护基本要求》GB/T22239中网络安全等级保护的要求，并应符合下列规定：</w:t>
      </w:r>
    </w:p>
    <w:p w14:paraId="13655313">
      <w:pPr>
        <w:ind w:firstLine="422" w:firstLineChars="200"/>
      </w:pPr>
      <w:r>
        <w:rPr>
          <w:rFonts w:hint="eastAsia"/>
          <w:b/>
        </w:rPr>
        <w:t>1</w:t>
      </w:r>
      <w:r>
        <w:rPr>
          <w:rFonts w:hint="eastAsia"/>
        </w:rPr>
        <w:t xml:space="preserve">  信号系统网络安全等级保护采取的安全设置和部署的安全产品，不应影响信号系统自身的可靠性和安全性；</w:t>
      </w:r>
    </w:p>
    <w:p w14:paraId="3130B733">
      <w:pPr>
        <w:ind w:firstLine="422" w:firstLineChars="200"/>
      </w:pPr>
      <w:r>
        <w:rPr>
          <w:rFonts w:hint="eastAsia"/>
          <w:b/>
        </w:rPr>
        <w:t>2</w:t>
      </w:r>
      <w:r>
        <w:rPr>
          <w:rFonts w:hint="eastAsia"/>
        </w:rPr>
        <w:t xml:space="preserve">  网络安全等级保护设计不应改变信号系统架构，不应影响信号系统数据传输实时性、丢包率；</w:t>
      </w:r>
    </w:p>
    <w:p w14:paraId="34F0FB51">
      <w:pPr>
        <w:ind w:firstLine="422" w:firstLineChars="200"/>
      </w:pPr>
      <w:r>
        <w:rPr>
          <w:rFonts w:hint="eastAsia"/>
          <w:b/>
        </w:rPr>
        <w:t>3</w:t>
      </w:r>
      <w:r>
        <w:rPr>
          <w:rFonts w:hint="eastAsia"/>
        </w:rPr>
        <w:t xml:space="preserve">  应具备信号系统边界的隔离防护功能，宜具备安全审计、身份鉴别、漏洞扫描、主机防护、防范非法入侵、网络加密认证与识别功能。</w:t>
      </w:r>
    </w:p>
    <w:p w14:paraId="1BE61976">
      <w:pPr>
        <w:numPr>
          <w:ilvl w:val="2"/>
          <w:numId w:val="1"/>
        </w:numPr>
        <w:tabs>
          <w:tab w:val="left" w:pos="851"/>
        </w:tabs>
        <w:jc w:val="left"/>
        <w:outlineLvl w:val="2"/>
        <w:rPr>
          <w:bCs/>
        </w:rPr>
      </w:pPr>
      <w:r>
        <w:rPr>
          <w:rFonts w:hint="eastAsia"/>
          <w:bCs/>
        </w:rPr>
        <w:t>具有灵活编组功能的线路，DCS系统应支持联挂列车各列车单元车载设备与轨旁ATP/ATO及ATS建立通信，车载设备提供列车位置及状态信息，并接收轨旁ATP/ATO及ATS的相关指令。</w:t>
      </w:r>
    </w:p>
    <w:p w14:paraId="656B7ED5">
      <w:pPr>
        <w:numPr>
          <w:ilvl w:val="1"/>
          <w:numId w:val="1"/>
        </w:numPr>
        <w:snapToGrid w:val="0"/>
        <w:spacing w:before="156" w:after="156" w:line="240" w:lineRule="auto"/>
        <w:jc w:val="center"/>
        <w:outlineLvl w:val="1"/>
        <w:rPr>
          <w:rFonts w:eastAsia="黑体"/>
          <w:bCs/>
          <w:szCs w:val="28"/>
        </w:rPr>
      </w:pPr>
      <w:bookmarkStart w:id="1385" w:name="_Toc183882527"/>
      <w:bookmarkStart w:id="1386" w:name="_Toc183888217"/>
      <w:bookmarkStart w:id="1387" w:name="_Toc183882165"/>
      <w:bookmarkStart w:id="1388" w:name="_Toc183790604"/>
      <w:bookmarkStart w:id="1389" w:name="_Toc183765174"/>
      <w:bookmarkStart w:id="1390" w:name="_Toc183888579"/>
      <w:r>
        <w:rPr>
          <w:rFonts w:eastAsia="黑体"/>
          <w:bCs/>
          <w:szCs w:val="28"/>
        </w:rPr>
        <w:t>维</w:t>
      </w:r>
      <w:r>
        <w:rPr>
          <w:rFonts w:hint="eastAsia" w:eastAsia="黑体"/>
          <w:bCs/>
          <w:szCs w:val="28"/>
        </w:rPr>
        <w:t>护</w:t>
      </w:r>
      <w:r>
        <w:rPr>
          <w:rFonts w:eastAsia="黑体"/>
          <w:bCs/>
          <w:szCs w:val="28"/>
        </w:rPr>
        <w:t>监测子系统</w:t>
      </w:r>
      <w:bookmarkEnd w:id="1385"/>
      <w:bookmarkEnd w:id="1386"/>
      <w:bookmarkEnd w:id="1387"/>
      <w:bookmarkEnd w:id="1388"/>
      <w:bookmarkEnd w:id="1389"/>
      <w:bookmarkEnd w:id="1390"/>
    </w:p>
    <w:p w14:paraId="67EDAFB5">
      <w:pPr>
        <w:numPr>
          <w:ilvl w:val="2"/>
          <w:numId w:val="1"/>
        </w:numPr>
        <w:tabs>
          <w:tab w:val="left" w:pos="709"/>
          <w:tab w:val="left" w:pos="794"/>
        </w:tabs>
        <w:jc w:val="left"/>
        <w:outlineLvl w:val="2"/>
        <w:rPr>
          <w:bCs/>
        </w:rPr>
      </w:pPr>
      <w:r>
        <w:rPr>
          <w:bCs/>
        </w:rPr>
        <w:t>信号系统应设置维护监测子系统，维护监测子系统的构成符合下列规定：</w:t>
      </w:r>
    </w:p>
    <w:p w14:paraId="247A9609">
      <w:pPr>
        <w:ind w:firstLine="422" w:firstLineChars="200"/>
      </w:pPr>
      <w:r>
        <w:rPr>
          <w:b/>
        </w:rPr>
        <w:t xml:space="preserve">1 </w:t>
      </w:r>
      <w:r>
        <w:rPr>
          <w:rFonts w:hint="eastAsia"/>
        </w:rPr>
        <w:t xml:space="preserve"> </w:t>
      </w:r>
      <w:r>
        <w:t>维护监测子系统</w:t>
      </w:r>
      <w:r>
        <w:rPr>
          <w:rFonts w:hint="eastAsia"/>
        </w:rPr>
        <w:t>按地域划分为</w:t>
      </w:r>
      <w:r>
        <w:t>维修中心、</w:t>
      </w:r>
      <w:r>
        <w:rPr>
          <w:rFonts w:hint="eastAsia"/>
        </w:rPr>
        <w:t>控制中心、车站及段/场维护监测设备；</w:t>
      </w:r>
    </w:p>
    <w:p w14:paraId="0DDAA499">
      <w:pPr>
        <w:ind w:firstLine="422" w:firstLineChars="200"/>
      </w:pPr>
      <w:r>
        <w:rPr>
          <w:rFonts w:hint="eastAsia"/>
          <w:b/>
        </w:rPr>
        <w:t xml:space="preserve">2 </w:t>
      </w:r>
      <w:r>
        <w:rPr>
          <w:rFonts w:hint="eastAsia"/>
        </w:rPr>
        <w:t xml:space="preserve"> 维修中心设备应包括：维修中心服务器、维护工作站和网络设备；</w:t>
      </w:r>
    </w:p>
    <w:p w14:paraId="17E94672">
      <w:pPr>
        <w:ind w:firstLine="422" w:firstLineChars="200"/>
      </w:pPr>
      <w:r>
        <w:rPr>
          <w:rFonts w:hint="eastAsia"/>
          <w:b/>
        </w:rPr>
        <w:t>3</w:t>
      </w:r>
      <w:r>
        <w:rPr>
          <w:rFonts w:hint="eastAsia"/>
        </w:rPr>
        <w:t xml:space="preserve">  控制中心维护监测设备应包括：维护工作站和网络设备；</w:t>
      </w:r>
    </w:p>
    <w:p w14:paraId="6B40341D">
      <w:pPr>
        <w:ind w:firstLine="422" w:firstLineChars="200"/>
      </w:pPr>
      <w:r>
        <w:rPr>
          <w:rFonts w:hint="eastAsia"/>
          <w:b/>
        </w:rPr>
        <w:t>4</w:t>
      </w:r>
      <w:r>
        <w:rPr>
          <w:rFonts w:hint="eastAsia"/>
        </w:rPr>
        <w:t xml:space="preserve">  车站及段/场维护监测设备应包括：信号集中监测设备、道岔缺口设备、维护工作站和网络设备；段/场维护设备还应包括日检设备或具备日检功能的设备</w:t>
      </w:r>
      <w:r>
        <w:t>；</w:t>
      </w:r>
    </w:p>
    <w:p w14:paraId="191C3F4A">
      <w:pPr>
        <w:ind w:firstLine="422" w:firstLineChars="200"/>
      </w:pPr>
      <w:r>
        <w:rPr>
          <w:rFonts w:hint="eastAsia"/>
          <w:b/>
        </w:rPr>
        <w:t>5</w:t>
      </w:r>
      <w:r>
        <w:t xml:space="preserve"> </w:t>
      </w:r>
      <w:r>
        <w:rPr>
          <w:rFonts w:hint="eastAsia"/>
        </w:rPr>
        <w:t xml:space="preserve"> </w:t>
      </w:r>
      <w:r>
        <w:t>维修中心服务器</w:t>
      </w:r>
      <w:r>
        <w:rPr>
          <w:rFonts w:hint="eastAsia"/>
        </w:rPr>
        <w:t>应</w:t>
      </w:r>
      <w:r>
        <w:t>冗余配置，可部署在云平台上；</w:t>
      </w:r>
    </w:p>
    <w:p w14:paraId="6BB4AC02">
      <w:pPr>
        <w:ind w:firstLine="422" w:firstLineChars="200"/>
      </w:pPr>
      <w:r>
        <w:rPr>
          <w:rFonts w:hint="eastAsia"/>
          <w:b/>
        </w:rPr>
        <w:t>6</w:t>
      </w:r>
      <w:r>
        <w:rPr>
          <w:b/>
        </w:rPr>
        <w:t xml:space="preserve"> </w:t>
      </w:r>
      <w:r>
        <w:rPr>
          <w:rFonts w:hint="eastAsia"/>
        </w:rPr>
        <w:t xml:space="preserve"> </w:t>
      </w:r>
      <w:r>
        <w:t>信号系统各子系统的维护工作站宜合设</w:t>
      </w:r>
      <w:r>
        <w:rPr>
          <w:rFonts w:hint="eastAsia"/>
        </w:rPr>
        <w:t>，应在项目部、正线维护部、车辆基地维护部、车载维护部、维修中心及控制中心网管室设置信号系统的维护工作站</w:t>
      </w:r>
      <w:r>
        <w:t>；</w:t>
      </w:r>
    </w:p>
    <w:p w14:paraId="0D37B66D">
      <w:pPr>
        <w:ind w:firstLine="422" w:firstLineChars="200"/>
      </w:pPr>
      <w:r>
        <w:rPr>
          <w:rFonts w:hint="eastAsia"/>
          <w:b/>
        </w:rPr>
        <w:t>7</w:t>
      </w:r>
      <w:r>
        <w:t xml:space="preserve">  </w:t>
      </w:r>
      <w:r>
        <w:rPr>
          <w:rFonts w:hint="eastAsia"/>
        </w:rPr>
        <w:t>应结合维修管理体制进行维修机构的设置，并配备专用维修工器具、测试工具及仪器仪表。</w:t>
      </w:r>
    </w:p>
    <w:p w14:paraId="2D5E2414">
      <w:pPr>
        <w:numPr>
          <w:ilvl w:val="2"/>
          <w:numId w:val="1"/>
        </w:numPr>
        <w:tabs>
          <w:tab w:val="left" w:pos="709"/>
          <w:tab w:val="left" w:pos="794"/>
        </w:tabs>
        <w:jc w:val="left"/>
        <w:outlineLvl w:val="2"/>
        <w:rPr>
          <w:bCs/>
        </w:rPr>
      </w:pPr>
      <w:r>
        <w:rPr>
          <w:rFonts w:hint="eastAsia"/>
          <w:bCs/>
        </w:rPr>
        <w:t>维护监测子系统在线采集信息时不应影响被监测信号设备的正常工作。</w:t>
      </w:r>
    </w:p>
    <w:p w14:paraId="0F9ADAC0">
      <w:pPr>
        <w:numPr>
          <w:ilvl w:val="2"/>
          <w:numId w:val="1"/>
        </w:numPr>
        <w:tabs>
          <w:tab w:val="left" w:pos="709"/>
          <w:tab w:val="left" w:pos="794"/>
        </w:tabs>
        <w:jc w:val="left"/>
        <w:outlineLvl w:val="2"/>
        <w:rPr>
          <w:bCs/>
        </w:rPr>
      </w:pPr>
      <w:r>
        <w:rPr>
          <w:bCs/>
        </w:rPr>
        <w:t>维护监测子系统应具有下列功能：</w:t>
      </w:r>
    </w:p>
    <w:p w14:paraId="42C6B62A">
      <w:pPr>
        <w:ind w:firstLine="422" w:firstLineChars="200"/>
      </w:pPr>
      <w:r>
        <w:rPr>
          <w:rFonts w:hint="eastAsia"/>
          <w:b/>
        </w:rPr>
        <w:t>1</w:t>
      </w:r>
      <w:r>
        <w:rPr>
          <w:rFonts w:hint="eastAsia"/>
        </w:rPr>
        <w:t xml:space="preserve">  能实时对ATS子系统、ATP子系统、联锁子系统、数据通信子系统、计轴、电源等关键设备及其板卡状态、信号基础设备状态、对信号系统与站台屏蔽门接口的开关量、模拟量信息进行本地和远程采集，具备对所采集的数据进行存储、分析、预警、报警、自诊断和回放的功能，并实现故障信息分类分级报警和中心级集中监测告警功能；</w:t>
      </w:r>
    </w:p>
    <w:p w14:paraId="5C474EDC">
      <w:pPr>
        <w:ind w:firstLine="422" w:firstLineChars="200"/>
      </w:pPr>
      <w:r>
        <w:rPr>
          <w:rFonts w:hint="eastAsia"/>
          <w:b/>
        </w:rPr>
        <w:t>2</w:t>
      </w:r>
      <w:r>
        <w:rPr>
          <w:rFonts w:hint="eastAsia"/>
        </w:rPr>
        <w:t xml:space="preserve">  全自动运行线路，若采用信号系统与间隙探测系统直接接口方式，还应能对信号系统与间隙探测系统接口的开关量、模拟量信息进行监测；</w:t>
      </w:r>
    </w:p>
    <w:p w14:paraId="36A93373">
      <w:pPr>
        <w:ind w:firstLine="422" w:firstLineChars="200"/>
      </w:pPr>
      <w:r>
        <w:rPr>
          <w:rFonts w:hint="eastAsia"/>
          <w:b/>
        </w:rPr>
        <w:t>3</w:t>
      </w:r>
      <w:r>
        <w:rPr>
          <w:rFonts w:hint="eastAsia"/>
        </w:rPr>
        <w:t xml:space="preserve">  具备监测服务器类设备、ATS工作站的中央处理器（CPU）使用率、内存、硬盘使用率等运行状态的监测功能；</w:t>
      </w:r>
    </w:p>
    <w:p w14:paraId="1427A157">
      <w:pPr>
        <w:ind w:firstLine="422" w:firstLineChars="200"/>
      </w:pPr>
      <w:r>
        <w:rPr>
          <w:rFonts w:hint="eastAsia"/>
          <w:b/>
        </w:rPr>
        <w:t xml:space="preserve">4 </w:t>
      </w:r>
      <w:r>
        <w:rPr>
          <w:rFonts w:hint="eastAsia"/>
        </w:rPr>
        <w:t xml:space="preserve"> 具备查询ATP、ATO、ATS、CI、DCS 等子系统软件版本号（含数据版本号）的功能；</w:t>
      </w:r>
    </w:p>
    <w:p w14:paraId="4F6542EC">
      <w:pPr>
        <w:ind w:firstLine="422" w:firstLineChars="200"/>
      </w:pPr>
      <w:r>
        <w:rPr>
          <w:rFonts w:hint="eastAsia"/>
          <w:b/>
        </w:rPr>
        <w:t>5</w:t>
      </w:r>
      <w:r>
        <w:t xml:space="preserve">  </w:t>
      </w:r>
      <w:r>
        <w:rPr>
          <w:rFonts w:hint="eastAsia"/>
        </w:rPr>
        <w:t>应支持与其他系统接口，实现监测对象的基础信息、运行状态、故障报警等主要信息、关键设备运行状态等的数据共享。</w:t>
      </w:r>
      <w:r>
        <w:t xml:space="preserve"> </w:t>
      </w:r>
    </w:p>
    <w:p w14:paraId="7AC53A09">
      <w:pPr>
        <w:numPr>
          <w:ilvl w:val="2"/>
          <w:numId w:val="1"/>
        </w:numPr>
        <w:tabs>
          <w:tab w:val="left" w:pos="709"/>
          <w:tab w:val="left" w:pos="794"/>
        </w:tabs>
        <w:jc w:val="left"/>
        <w:outlineLvl w:val="2"/>
        <w:rPr>
          <w:bCs/>
        </w:rPr>
      </w:pPr>
      <w:r>
        <w:rPr>
          <w:bCs/>
        </w:rPr>
        <w:t>维护监测子系统对信号基础设备</w:t>
      </w:r>
      <w:r>
        <w:rPr>
          <w:rFonts w:hint="eastAsia"/>
          <w:bCs/>
        </w:rPr>
        <w:t>的</w:t>
      </w:r>
      <w:r>
        <w:rPr>
          <w:bCs/>
        </w:rPr>
        <w:t>状态监测应符合下列规定：</w:t>
      </w:r>
    </w:p>
    <w:p w14:paraId="7B507775">
      <w:pPr>
        <w:ind w:firstLine="422" w:firstLineChars="200"/>
      </w:pPr>
      <w:r>
        <w:rPr>
          <w:rFonts w:hint="eastAsia"/>
          <w:b/>
        </w:rPr>
        <w:t xml:space="preserve">1 </w:t>
      </w:r>
      <w:r>
        <w:rPr>
          <w:rFonts w:hint="eastAsia"/>
        </w:rPr>
        <w:t xml:space="preserve"> 实现信号机灯丝断丝报警、点灯回路电流等监测；</w:t>
      </w:r>
    </w:p>
    <w:p w14:paraId="5903BE03">
      <w:pPr>
        <w:ind w:firstLine="422" w:firstLineChars="200"/>
      </w:pPr>
      <w:r>
        <w:rPr>
          <w:rFonts w:hint="eastAsia"/>
          <w:b/>
        </w:rPr>
        <w:t>2</w:t>
      </w:r>
      <w:r>
        <w:rPr>
          <w:rFonts w:hint="eastAsia"/>
        </w:rPr>
        <w:t xml:space="preserve">  实现每台转辙机动作电流、转辙机功率、动作次数、动作时间、转换方向、道岔缺口等监测，并实现道岔控制电路时序、解锁/转换/锁闭过程受阻、表示电压超限/波动等监测；</w:t>
      </w:r>
    </w:p>
    <w:p w14:paraId="7F9D5253">
      <w:pPr>
        <w:ind w:firstLine="422" w:firstLineChars="200"/>
      </w:pPr>
      <w:r>
        <w:rPr>
          <w:rFonts w:hint="eastAsia"/>
          <w:b/>
        </w:rPr>
        <w:t>3</w:t>
      </w:r>
      <w:r>
        <w:rPr>
          <w:rFonts w:hint="eastAsia"/>
        </w:rPr>
        <w:t xml:space="preserve">  实现轨道电路状态监测；</w:t>
      </w:r>
    </w:p>
    <w:p w14:paraId="516C472B">
      <w:pPr>
        <w:ind w:firstLine="422" w:firstLineChars="200"/>
      </w:pPr>
      <w:r>
        <w:rPr>
          <w:rFonts w:hint="eastAsia"/>
          <w:b/>
        </w:rPr>
        <w:t>4</w:t>
      </w:r>
      <w:r>
        <w:rPr>
          <w:rFonts w:hint="eastAsia"/>
        </w:rPr>
        <w:t xml:space="preserve">  实现计轴状态监测；</w:t>
      </w:r>
    </w:p>
    <w:p w14:paraId="41F310C4">
      <w:pPr>
        <w:ind w:firstLine="422" w:firstLineChars="200"/>
      </w:pPr>
      <w:r>
        <w:rPr>
          <w:rFonts w:hint="eastAsia"/>
          <w:b/>
        </w:rPr>
        <w:t xml:space="preserve">5 </w:t>
      </w:r>
      <w:r>
        <w:rPr>
          <w:rFonts w:hint="eastAsia"/>
        </w:rPr>
        <w:t xml:space="preserve"> 实现关键继电器状态监测；</w:t>
      </w:r>
    </w:p>
    <w:p w14:paraId="24D7085F">
      <w:pPr>
        <w:ind w:firstLine="422" w:firstLineChars="200"/>
      </w:pPr>
      <w:r>
        <w:rPr>
          <w:rFonts w:hint="eastAsia"/>
          <w:b/>
        </w:rPr>
        <w:t>6</w:t>
      </w:r>
      <w:r>
        <w:rPr>
          <w:rFonts w:hint="eastAsia"/>
        </w:rPr>
        <w:t xml:space="preserve">  实现电缆绝缘状态监测；</w:t>
      </w:r>
    </w:p>
    <w:p w14:paraId="6868DDD4">
      <w:pPr>
        <w:ind w:firstLine="422" w:firstLineChars="200"/>
      </w:pPr>
      <w:r>
        <w:rPr>
          <w:rFonts w:hint="eastAsia"/>
          <w:b/>
        </w:rPr>
        <w:t>7</w:t>
      </w:r>
      <w:r>
        <w:rPr>
          <w:rFonts w:hint="eastAsia"/>
        </w:rPr>
        <w:t xml:space="preserve">  实现电源漏泄电流监测；</w:t>
      </w:r>
    </w:p>
    <w:p w14:paraId="1A130C7F">
      <w:pPr>
        <w:ind w:firstLine="422" w:firstLineChars="200"/>
      </w:pPr>
      <w:r>
        <w:rPr>
          <w:rFonts w:hint="eastAsia"/>
          <w:b/>
        </w:rPr>
        <w:t>8</w:t>
      </w:r>
      <w:r>
        <w:rPr>
          <w:rFonts w:hint="eastAsia"/>
        </w:rPr>
        <w:t xml:space="preserve">  实现电源屏输入、输出电压、电流的监测、外电输入切换状态监测。信号系统电源未纳入UPS电源整合的线路还应实现蓄电池投入状态、不间断电源（UPS）旁路、UPS输出状态、稳压器输出状态和外电网综合质量监测。</w:t>
      </w:r>
    </w:p>
    <w:p w14:paraId="67D32EFD">
      <w:pPr>
        <w:numPr>
          <w:ilvl w:val="2"/>
          <w:numId w:val="1"/>
        </w:numPr>
        <w:tabs>
          <w:tab w:val="left" w:pos="709"/>
          <w:tab w:val="left" w:pos="794"/>
        </w:tabs>
        <w:jc w:val="left"/>
        <w:outlineLvl w:val="2"/>
        <w:rPr>
          <w:b/>
          <w:bCs/>
        </w:rPr>
      </w:pPr>
      <w:r>
        <w:rPr>
          <w:rFonts w:hint="eastAsia"/>
          <w:bCs/>
        </w:rPr>
        <w:t>信号系统的智能化运维宜具备下列功能：</w:t>
      </w:r>
    </w:p>
    <w:p w14:paraId="2BBE8B5C">
      <w:pPr>
        <w:ind w:firstLine="422" w:firstLineChars="200"/>
      </w:pPr>
      <w:r>
        <w:rPr>
          <w:rFonts w:hint="eastAsia"/>
          <w:b/>
        </w:rPr>
        <w:t>1</w:t>
      </w:r>
      <w:r>
        <w:rPr>
          <w:rFonts w:hint="eastAsia"/>
        </w:rPr>
        <w:t xml:space="preserve">  在满足网络安全前提下，将设备报警信息、故障诊断结果、处置建议等信息推送到移动终端，实现移动监视；</w:t>
      </w:r>
    </w:p>
    <w:p w14:paraId="47F50E08">
      <w:pPr>
        <w:ind w:firstLine="422" w:firstLineChars="200"/>
      </w:pPr>
      <w:r>
        <w:rPr>
          <w:rFonts w:hint="eastAsia"/>
          <w:b/>
        </w:rPr>
        <w:t>2</w:t>
      </w:r>
      <w:r>
        <w:rPr>
          <w:rFonts w:hint="eastAsia"/>
        </w:rPr>
        <w:t xml:space="preserve">  综合设备运行状态、动作次数、使用寿命、温湿度、振动等关键信息，自动分析各子系统的健康状况，宜具备设备健康状态趋势诊断及维护引导功能；</w:t>
      </w:r>
    </w:p>
    <w:p w14:paraId="1F2818EF">
      <w:pPr>
        <w:ind w:firstLine="422" w:firstLineChars="200"/>
      </w:pPr>
      <w:r>
        <w:rPr>
          <w:rFonts w:hint="eastAsia"/>
          <w:b/>
        </w:rPr>
        <w:t xml:space="preserve">3 </w:t>
      </w:r>
      <w:r>
        <w:rPr>
          <w:rFonts w:hint="eastAsia"/>
        </w:rPr>
        <w:t xml:space="preserve"> 自动监视设备运行状态并生成分析报告，宜联动触发维修工单，工单内容至少包含报警内容、报警原因、处置建议；</w:t>
      </w:r>
    </w:p>
    <w:p w14:paraId="60513C00">
      <w:pPr>
        <w:ind w:firstLine="422" w:firstLineChars="200"/>
      </w:pPr>
      <w:r>
        <w:rPr>
          <w:rFonts w:hint="eastAsia"/>
          <w:b/>
        </w:rPr>
        <w:t xml:space="preserve">4 </w:t>
      </w:r>
      <w:r>
        <w:rPr>
          <w:rFonts w:hint="eastAsia"/>
        </w:rPr>
        <w:t xml:space="preserve"> 多维度查询设备名称、硬件识别号、安装位置、软件版本号（含数据版本号）等履历信息；</w:t>
      </w:r>
    </w:p>
    <w:p w14:paraId="2777A82A">
      <w:pPr>
        <w:ind w:firstLine="422" w:firstLineChars="200"/>
      </w:pPr>
      <w:r>
        <w:rPr>
          <w:rFonts w:hint="eastAsia"/>
          <w:b/>
        </w:rPr>
        <w:t xml:space="preserve">5 </w:t>
      </w:r>
      <w:r>
        <w:rPr>
          <w:rFonts w:hint="eastAsia"/>
        </w:rPr>
        <w:t xml:space="preserve"> 宜具备信号设备故障影响分析，主要包括分析对象、故障现象、故障定位、故障影响范围、影响行车程度和故障处置建议。</w:t>
      </w:r>
    </w:p>
    <w:p w14:paraId="347B16C5">
      <w:pPr>
        <w:numPr>
          <w:ilvl w:val="1"/>
          <w:numId w:val="1"/>
        </w:numPr>
        <w:snapToGrid w:val="0"/>
        <w:spacing w:before="156" w:after="156" w:line="240" w:lineRule="auto"/>
        <w:jc w:val="center"/>
        <w:outlineLvl w:val="1"/>
        <w:rPr>
          <w:rFonts w:eastAsia="黑体"/>
          <w:bCs/>
          <w:szCs w:val="28"/>
        </w:rPr>
      </w:pPr>
      <w:bookmarkStart w:id="1391" w:name="_Toc183765175"/>
      <w:bookmarkStart w:id="1392" w:name="_Toc183882528"/>
      <w:bookmarkStart w:id="1393" w:name="_Toc183882166"/>
      <w:bookmarkStart w:id="1394" w:name="_Toc181796446"/>
      <w:bookmarkStart w:id="1395" w:name="_Toc183790605"/>
      <w:bookmarkStart w:id="1396" w:name="_Toc183888218"/>
      <w:bookmarkStart w:id="1397" w:name="_Toc183888580"/>
      <w:r>
        <w:rPr>
          <w:rFonts w:hint="eastAsia" w:eastAsia="黑体"/>
          <w:bCs/>
          <w:szCs w:val="28"/>
        </w:rPr>
        <w:t>车辆基地信号系统</w:t>
      </w:r>
      <w:bookmarkEnd w:id="1391"/>
      <w:bookmarkEnd w:id="1392"/>
      <w:bookmarkEnd w:id="1393"/>
      <w:bookmarkEnd w:id="1394"/>
      <w:bookmarkEnd w:id="1395"/>
      <w:bookmarkEnd w:id="1396"/>
      <w:bookmarkEnd w:id="1397"/>
    </w:p>
    <w:p w14:paraId="7125504A">
      <w:pPr>
        <w:numPr>
          <w:ilvl w:val="2"/>
          <w:numId w:val="1"/>
        </w:numPr>
        <w:tabs>
          <w:tab w:val="left" w:pos="709"/>
          <w:tab w:val="left" w:pos="794"/>
        </w:tabs>
        <w:jc w:val="left"/>
        <w:outlineLvl w:val="2"/>
        <w:rPr>
          <w:snapToGrid w:val="0"/>
          <w:spacing w:val="5"/>
          <w:kern w:val="0"/>
          <w:szCs w:val="21"/>
        </w:rPr>
      </w:pPr>
      <w:r>
        <w:rPr>
          <w:rFonts w:hint="eastAsia"/>
        </w:rPr>
        <w:t>车辆基地信号系统应包括车辆段和停车场的信号系统，应配置车辆段和停车场</w:t>
      </w:r>
      <w:r>
        <w:t>ATS</w:t>
      </w:r>
      <w:r>
        <w:rPr>
          <w:rFonts w:hint="eastAsia"/>
        </w:rPr>
        <w:t>设备、计算机联锁设备、维护监测设备、试车线信号设备、培训设备、日常维修和检测设备等。具备ATP防护的自动化车辆基地还应配置车辆段和停车场ATP设备、ATO设备。</w:t>
      </w:r>
    </w:p>
    <w:p w14:paraId="3F862716">
      <w:pPr>
        <w:numPr>
          <w:ilvl w:val="2"/>
          <w:numId w:val="1"/>
        </w:numPr>
        <w:tabs>
          <w:tab w:val="left" w:pos="709"/>
          <w:tab w:val="left" w:pos="794"/>
        </w:tabs>
        <w:jc w:val="left"/>
        <w:outlineLvl w:val="2"/>
      </w:pPr>
      <w:r>
        <w:rPr>
          <w:rFonts w:hint="eastAsia"/>
        </w:rPr>
        <w:t>车辆基地信号系统应满足下列要求：</w:t>
      </w:r>
    </w:p>
    <w:p w14:paraId="189648BE">
      <w:pPr>
        <w:ind w:firstLine="422" w:firstLineChars="200"/>
      </w:pPr>
      <w:r>
        <w:rPr>
          <w:rFonts w:hint="eastAsia"/>
          <w:b/>
        </w:rPr>
        <w:t xml:space="preserve">1  </w:t>
      </w:r>
      <w:r>
        <w:rPr>
          <w:rFonts w:hint="eastAsia"/>
        </w:rPr>
        <w:t xml:space="preserve">根据车辆段/停车场的规模和作业特点，可部分或全部纳入ATC控制范围；车辆段宜不全部纳入ATS监控。其各种信号机的设置，应根据运营要求和控制方式等确定； </w:t>
      </w:r>
    </w:p>
    <w:p w14:paraId="58715B04">
      <w:pPr>
        <w:ind w:firstLine="422" w:firstLineChars="200"/>
      </w:pPr>
      <w:r>
        <w:rPr>
          <w:rFonts w:hint="eastAsia"/>
          <w:b/>
        </w:rPr>
        <w:t xml:space="preserve">2 </w:t>
      </w:r>
      <w:r>
        <w:rPr>
          <w:rFonts w:hint="eastAsia"/>
        </w:rPr>
        <w:t xml:space="preserve"> 列车出库投入正线运营前应完成信号系统自检；</w:t>
      </w:r>
    </w:p>
    <w:p w14:paraId="0FBD98EC">
      <w:pPr>
        <w:ind w:firstLine="422" w:firstLineChars="200"/>
      </w:pPr>
      <w:r>
        <w:rPr>
          <w:rFonts w:hint="eastAsia"/>
          <w:b/>
        </w:rPr>
        <w:t xml:space="preserve">3 </w:t>
      </w:r>
      <w:r>
        <w:rPr>
          <w:rFonts w:hint="eastAsia"/>
        </w:rPr>
        <w:t xml:space="preserve"> 车辆基地应设置进段/场信号机、调车信号机。具备ATP防护的自动化车辆基地停车列检库前应设置出库信号机，并根据需要在车辆基地咽喉区设置进、出库信号机。各种信号机常态点亮，并以显示禁止信号为定位；</w:t>
      </w:r>
    </w:p>
    <w:p w14:paraId="77A061DC">
      <w:pPr>
        <w:ind w:firstLine="422" w:firstLineChars="200"/>
      </w:pPr>
      <w:r>
        <w:rPr>
          <w:rFonts w:hint="eastAsia"/>
          <w:b/>
        </w:rPr>
        <w:t xml:space="preserve">4 </w:t>
      </w:r>
      <w:r>
        <w:rPr>
          <w:rFonts w:hint="eastAsia"/>
        </w:rPr>
        <w:t xml:space="preserve"> 进段/场信号机应具备引导功能；根据运营要求，进库信号机可具备引导功能；</w:t>
      </w:r>
    </w:p>
    <w:p w14:paraId="5ED723BD">
      <w:pPr>
        <w:ind w:firstLine="422" w:firstLineChars="200"/>
      </w:pPr>
      <w:r>
        <w:rPr>
          <w:rFonts w:hint="eastAsia"/>
          <w:b/>
        </w:rPr>
        <w:t xml:space="preserve">5 </w:t>
      </w:r>
      <w:r>
        <w:rPr>
          <w:rFonts w:hint="eastAsia"/>
        </w:rPr>
        <w:t xml:space="preserve"> 进段/场信号机宜由车辆段/停车场控制，出段/场信号机宜由车站、控制中心监控。</w:t>
      </w:r>
    </w:p>
    <w:p w14:paraId="7E82FC5F">
      <w:pPr>
        <w:numPr>
          <w:ilvl w:val="2"/>
          <w:numId w:val="1"/>
        </w:numPr>
        <w:tabs>
          <w:tab w:val="left" w:pos="709"/>
          <w:tab w:val="left" w:pos="794"/>
        </w:tabs>
        <w:jc w:val="left"/>
        <w:outlineLvl w:val="2"/>
      </w:pPr>
      <w:r>
        <w:rPr>
          <w:rFonts w:hint="eastAsia"/>
        </w:rPr>
        <w:t>进段</w:t>
      </w:r>
      <w:r>
        <w:t>/</w:t>
      </w:r>
      <w:r>
        <w:rPr>
          <w:rFonts w:hint="eastAsia"/>
        </w:rPr>
        <w:t>场信号机</w:t>
      </w:r>
      <w:r>
        <w:rPr>
          <w:rFonts w:hint="eastAsia"/>
          <w:bCs/>
          <w:snapToGrid w:val="0"/>
        </w:rPr>
        <w:t>应</w:t>
      </w:r>
      <w:r>
        <w:rPr>
          <w:rFonts w:hint="eastAsia"/>
        </w:rPr>
        <w:t>采用高柱黄、绿、红三灯位信号机构，红灯为定位。其显示及</w:t>
      </w:r>
      <w:r>
        <w:rPr>
          <w:bCs/>
          <w:snapToGrid w:val="0"/>
          <w:spacing w:val="3"/>
        </w:rPr>
        <w:t>含义</w:t>
      </w:r>
      <w:r>
        <w:rPr>
          <w:rFonts w:hint="eastAsia"/>
        </w:rPr>
        <w:t>如下：</w:t>
      </w:r>
    </w:p>
    <w:p w14:paraId="0218CC3D">
      <w:pPr>
        <w:ind w:firstLine="422" w:firstLineChars="200"/>
      </w:pPr>
      <w:r>
        <w:rPr>
          <w:rFonts w:hint="eastAsia"/>
          <w:b/>
        </w:rPr>
        <w:t>1</w:t>
      </w:r>
      <w:r>
        <w:rPr>
          <w:rFonts w:hint="eastAsia"/>
        </w:rPr>
        <w:t xml:space="preserve">  绿色灯光——表示进段/场的列车进路开通，准许列车按规定的速度越过该信号机进段/场；</w:t>
      </w:r>
    </w:p>
    <w:p w14:paraId="0C60003A">
      <w:pPr>
        <w:ind w:firstLine="422" w:firstLineChars="200"/>
      </w:pPr>
      <w:r>
        <w:rPr>
          <w:rFonts w:hint="eastAsia"/>
          <w:b/>
        </w:rPr>
        <w:t>2</w:t>
      </w:r>
      <w:r>
        <w:rPr>
          <w:rFonts w:hint="eastAsia"/>
        </w:rPr>
        <w:t xml:space="preserve">  黄色灯光——表示进段/场的列车进路开通，进路内有道岔锁闭在反位，准许列车按规定的速度越过该信号机进段/场；</w:t>
      </w:r>
    </w:p>
    <w:p w14:paraId="59F57029">
      <w:pPr>
        <w:ind w:firstLine="422" w:firstLineChars="200"/>
      </w:pPr>
      <w:r>
        <w:rPr>
          <w:rFonts w:hint="eastAsia"/>
          <w:b/>
        </w:rPr>
        <w:t xml:space="preserve">3 </w:t>
      </w:r>
      <w:r>
        <w:rPr>
          <w:rFonts w:hint="eastAsia"/>
        </w:rPr>
        <w:t xml:space="preserve"> 红色灯光——不准列车越过该架信号机；</w:t>
      </w:r>
    </w:p>
    <w:p w14:paraId="37DCC37B">
      <w:pPr>
        <w:ind w:firstLine="422" w:firstLineChars="200"/>
      </w:pPr>
      <w:r>
        <w:rPr>
          <w:rFonts w:hint="eastAsia"/>
          <w:b/>
        </w:rPr>
        <w:t>4</w:t>
      </w:r>
      <w:r>
        <w:rPr>
          <w:rFonts w:hint="eastAsia"/>
        </w:rPr>
        <w:t xml:space="preserve">  红色灯光+黄色灯光——表明开放引导信号，准许列车以不大于规定的速度（如25km/h）越过该架信号机并随时准备停车。</w:t>
      </w:r>
    </w:p>
    <w:p w14:paraId="2B441423">
      <w:pPr>
        <w:numPr>
          <w:ilvl w:val="2"/>
          <w:numId w:val="1"/>
        </w:numPr>
        <w:tabs>
          <w:tab w:val="left" w:pos="709"/>
          <w:tab w:val="left" w:pos="794"/>
        </w:tabs>
        <w:jc w:val="left"/>
        <w:outlineLvl w:val="2"/>
      </w:pPr>
      <w:r>
        <w:rPr>
          <w:rFonts w:hint="eastAsia"/>
        </w:rPr>
        <w:t>列车兼调车出库信号机应采用矮型黄、白、红三显示信号机，红灯为定位。其显示及</w:t>
      </w:r>
      <w:r>
        <w:rPr>
          <w:bCs/>
          <w:snapToGrid w:val="0"/>
          <w:spacing w:val="3"/>
        </w:rPr>
        <w:t>含义</w:t>
      </w:r>
      <w:r>
        <w:rPr>
          <w:rFonts w:hint="eastAsia"/>
        </w:rPr>
        <w:t>如下：</w:t>
      </w:r>
    </w:p>
    <w:p w14:paraId="6DC53D02">
      <w:pPr>
        <w:ind w:firstLine="422" w:firstLineChars="200"/>
      </w:pPr>
      <w:r>
        <w:rPr>
          <w:rFonts w:hint="eastAsia"/>
          <w:b/>
        </w:rPr>
        <w:t>1</w:t>
      </w:r>
      <w:r>
        <w:rPr>
          <w:rFonts w:hint="eastAsia"/>
        </w:rPr>
        <w:t xml:space="preserve">  黄色灯光——表明出库列车进路开通，准许按规定的速度越过该架信号机进行列车出库作业；</w:t>
      </w:r>
    </w:p>
    <w:p w14:paraId="42C25BB4">
      <w:pPr>
        <w:ind w:firstLine="422" w:firstLineChars="200"/>
      </w:pPr>
      <w:r>
        <w:rPr>
          <w:rFonts w:hint="eastAsia"/>
          <w:b/>
        </w:rPr>
        <w:t xml:space="preserve">2 </w:t>
      </w:r>
      <w:r>
        <w:rPr>
          <w:rFonts w:hint="eastAsia"/>
        </w:rPr>
        <w:t xml:space="preserve"> 白色灯光——表明调车进路开通，准许按规定的速度越过该架信号机进行调车作业；</w:t>
      </w:r>
    </w:p>
    <w:p w14:paraId="3544EA79">
      <w:pPr>
        <w:ind w:firstLine="422" w:firstLineChars="200"/>
      </w:pPr>
      <w:r>
        <w:rPr>
          <w:rFonts w:hint="eastAsia"/>
          <w:b/>
        </w:rPr>
        <w:t>3</w:t>
      </w:r>
      <w:r>
        <w:rPr>
          <w:rFonts w:hint="eastAsia"/>
        </w:rPr>
        <w:t xml:space="preserve">  红色灯光——不准列车越过该架信号机。</w:t>
      </w:r>
    </w:p>
    <w:p w14:paraId="2FE3F4E2">
      <w:pPr>
        <w:numPr>
          <w:ilvl w:val="2"/>
          <w:numId w:val="1"/>
        </w:numPr>
        <w:tabs>
          <w:tab w:val="left" w:pos="709"/>
          <w:tab w:val="left" w:pos="794"/>
        </w:tabs>
        <w:jc w:val="left"/>
        <w:outlineLvl w:val="2"/>
      </w:pPr>
      <w:r>
        <w:rPr>
          <w:rFonts w:hint="eastAsia"/>
        </w:rPr>
        <w:t>列车兼调车进库信号机</w:t>
      </w:r>
      <w:r>
        <w:rPr>
          <w:rFonts w:hint="eastAsia"/>
          <w:bCs/>
          <w:snapToGrid w:val="0"/>
        </w:rPr>
        <w:t>应</w:t>
      </w:r>
      <w:r>
        <w:rPr>
          <w:rFonts w:hint="eastAsia"/>
        </w:rPr>
        <w:t>采用矮型黄、白、红三显示信号机构，红灯为定位。其显示及</w:t>
      </w:r>
      <w:r>
        <w:rPr>
          <w:bCs/>
          <w:snapToGrid w:val="0"/>
          <w:spacing w:val="3"/>
        </w:rPr>
        <w:t>含义</w:t>
      </w:r>
      <w:r>
        <w:rPr>
          <w:rFonts w:hint="eastAsia"/>
        </w:rPr>
        <w:t>如下：</w:t>
      </w:r>
    </w:p>
    <w:p w14:paraId="57363C2B">
      <w:pPr>
        <w:ind w:firstLine="422" w:firstLineChars="200"/>
      </w:pPr>
      <w:r>
        <w:rPr>
          <w:rFonts w:hint="eastAsia"/>
          <w:b/>
        </w:rPr>
        <w:t>1</w:t>
      </w:r>
      <w:r>
        <w:rPr>
          <w:rFonts w:hint="eastAsia"/>
        </w:rPr>
        <w:t xml:space="preserve">  黄色灯光——表示列车进路开通，准许按规定的速度越过该信号机进行列车作业；</w:t>
      </w:r>
    </w:p>
    <w:p w14:paraId="56AF350E">
      <w:pPr>
        <w:ind w:firstLine="422" w:firstLineChars="200"/>
      </w:pPr>
      <w:r>
        <w:rPr>
          <w:rFonts w:hint="eastAsia"/>
          <w:b/>
        </w:rPr>
        <w:t>2</w:t>
      </w:r>
      <w:r>
        <w:rPr>
          <w:rFonts w:hint="eastAsia"/>
        </w:rPr>
        <w:t xml:space="preserve">  白色灯光——表示调车进路开通，准许按规定的速度越过该信号机进行调车作业；</w:t>
      </w:r>
    </w:p>
    <w:p w14:paraId="1A934875">
      <w:pPr>
        <w:ind w:firstLine="422" w:firstLineChars="200"/>
      </w:pPr>
      <w:r>
        <w:rPr>
          <w:rFonts w:hint="eastAsia"/>
          <w:b/>
        </w:rPr>
        <w:t>3</w:t>
      </w:r>
      <w:r>
        <w:rPr>
          <w:rFonts w:hint="eastAsia"/>
        </w:rPr>
        <w:t xml:space="preserve">  红色灯光——不准列车越过该信号机；</w:t>
      </w:r>
    </w:p>
    <w:p w14:paraId="1F4F7956">
      <w:pPr>
        <w:ind w:firstLine="422" w:firstLineChars="200"/>
      </w:pPr>
      <w:r>
        <w:rPr>
          <w:rFonts w:hint="eastAsia"/>
          <w:b/>
        </w:rPr>
        <w:t xml:space="preserve">4 </w:t>
      </w:r>
      <w:r>
        <w:rPr>
          <w:rFonts w:hint="eastAsia"/>
        </w:rPr>
        <w:t xml:space="preserve"> 红色灯光+黄色灯光——表示开放引导信号，准许列车以不大于规定的速度（如25km/h）越过该信号机并随时准备停车。</w:t>
      </w:r>
    </w:p>
    <w:p w14:paraId="46EEA0FF">
      <w:pPr>
        <w:numPr>
          <w:ilvl w:val="2"/>
          <w:numId w:val="1"/>
        </w:numPr>
        <w:tabs>
          <w:tab w:val="left" w:pos="709"/>
          <w:tab w:val="left" w:pos="794"/>
        </w:tabs>
        <w:jc w:val="left"/>
        <w:outlineLvl w:val="2"/>
      </w:pPr>
      <w:r>
        <w:rPr>
          <w:rFonts w:hint="eastAsia"/>
        </w:rPr>
        <w:t>调车信号机宜采用矮型蓝、白两灯位信号机构，蓝灯为定位。也可采用矮型红、白两灯位信号机构，红灯为定位。其显示及</w:t>
      </w:r>
      <w:r>
        <w:rPr>
          <w:bCs/>
          <w:snapToGrid w:val="0"/>
          <w:spacing w:val="3"/>
        </w:rPr>
        <w:t>含义</w:t>
      </w:r>
      <w:r>
        <w:rPr>
          <w:rFonts w:hint="eastAsia"/>
        </w:rPr>
        <w:t>如下：</w:t>
      </w:r>
    </w:p>
    <w:p w14:paraId="4BA33EC9">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1</w:t>
      </w:r>
      <w:r>
        <w:rPr>
          <w:snapToGrid w:val="0"/>
          <w:kern w:val="0"/>
          <w:szCs w:val="21"/>
        </w:rPr>
        <w:t xml:space="preserve">  白色灯光</w:t>
      </w:r>
      <w:r>
        <w:rPr>
          <w:lang w:bidi="ar"/>
        </w:rPr>
        <w:t>——</w:t>
      </w:r>
      <w:r>
        <w:rPr>
          <w:snapToGrid w:val="0"/>
          <w:kern w:val="0"/>
          <w:szCs w:val="21"/>
        </w:rPr>
        <w:t>准许按规定的速度越过该信号机进行调车作业；</w:t>
      </w:r>
    </w:p>
    <w:p w14:paraId="50AC914A">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2</w:t>
      </w:r>
      <w:r>
        <w:rPr>
          <w:snapToGrid w:val="0"/>
          <w:kern w:val="0"/>
          <w:szCs w:val="21"/>
        </w:rPr>
        <w:t xml:space="preserve">  红色灯光</w:t>
      </w:r>
      <w:r>
        <w:rPr>
          <w:lang w:bidi="ar"/>
        </w:rPr>
        <w:t>——</w:t>
      </w:r>
      <w:r>
        <w:rPr>
          <w:snapToGrid w:val="0"/>
          <w:kern w:val="0"/>
          <w:szCs w:val="21"/>
        </w:rPr>
        <w:t>不准列车越过该信号机；</w:t>
      </w:r>
    </w:p>
    <w:p w14:paraId="074EAFC9">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3</w:t>
      </w:r>
      <w:r>
        <w:rPr>
          <w:snapToGrid w:val="0"/>
          <w:kern w:val="0"/>
          <w:szCs w:val="21"/>
        </w:rPr>
        <w:t xml:space="preserve">  蓝色灯光</w:t>
      </w:r>
      <w:r>
        <w:rPr>
          <w:lang w:bidi="ar"/>
        </w:rPr>
        <w:t>——</w:t>
      </w:r>
      <w:r>
        <w:rPr>
          <w:snapToGrid w:val="0"/>
          <w:kern w:val="0"/>
          <w:szCs w:val="21"/>
        </w:rPr>
        <w:t>不准列车越过该信号机进行调车作业。</w:t>
      </w:r>
    </w:p>
    <w:p w14:paraId="70BA54B5">
      <w:pPr>
        <w:numPr>
          <w:ilvl w:val="2"/>
          <w:numId w:val="1"/>
        </w:numPr>
        <w:tabs>
          <w:tab w:val="left" w:pos="709"/>
          <w:tab w:val="left" w:pos="794"/>
        </w:tabs>
        <w:jc w:val="left"/>
        <w:outlineLvl w:val="2"/>
      </w:pPr>
      <w:r>
        <w:rPr>
          <w:rFonts w:hint="eastAsia"/>
        </w:rPr>
        <w:t>具备ATP防护的自动化车辆基地信号系统除应满足18.8.1～18.8.6的要求外，还应符合下列要求：</w:t>
      </w:r>
    </w:p>
    <w:p w14:paraId="3750A7C7">
      <w:pPr>
        <w:ind w:firstLine="422" w:firstLineChars="200"/>
      </w:pPr>
      <w:r>
        <w:rPr>
          <w:rFonts w:hint="eastAsia"/>
          <w:b/>
        </w:rPr>
        <w:t>1</w:t>
      </w:r>
      <w:r>
        <w:rPr>
          <w:rFonts w:hint="eastAsia"/>
        </w:rPr>
        <w:t xml:space="preserve">  根据车辆段/停车场的规模和作业特点，车辆段内应分为自动化区域和非自动化区域，停车场可全部纳入自动化区域，自动化区域与非自动化区域之间应设置驾驶模式转换区；</w:t>
      </w:r>
    </w:p>
    <w:p w14:paraId="2C41593B">
      <w:pPr>
        <w:ind w:firstLine="422" w:firstLineChars="200"/>
      </w:pPr>
      <w:r>
        <w:rPr>
          <w:rFonts w:hint="eastAsia"/>
          <w:b/>
        </w:rPr>
        <w:t>3</w:t>
      </w:r>
      <w:r>
        <w:rPr>
          <w:rFonts w:hint="eastAsia"/>
        </w:rPr>
        <w:t xml:space="preserve">  车辆基地内的自动化区域应至少包括正线与车辆基地之间的转换轨至停车列检库、停车列检库与牵出线之间的范围；</w:t>
      </w:r>
    </w:p>
    <w:p w14:paraId="62090167">
      <w:pPr>
        <w:ind w:firstLine="422" w:firstLineChars="200"/>
      </w:pPr>
      <w:r>
        <w:rPr>
          <w:rFonts w:hint="eastAsia"/>
          <w:b/>
        </w:rPr>
        <w:t>3</w:t>
      </w:r>
      <w:r>
        <w:rPr>
          <w:rFonts w:hint="eastAsia"/>
        </w:rPr>
        <w:t xml:space="preserve">  在自动化区域内应具备ATP功能，宜具备ATO功能。</w:t>
      </w:r>
    </w:p>
    <w:p w14:paraId="0E87A583">
      <w:pPr>
        <w:numPr>
          <w:ilvl w:val="2"/>
          <w:numId w:val="1"/>
        </w:numPr>
        <w:tabs>
          <w:tab w:val="left" w:pos="709"/>
          <w:tab w:val="left" w:pos="794"/>
        </w:tabs>
        <w:jc w:val="left"/>
        <w:outlineLvl w:val="2"/>
      </w:pPr>
      <w:r>
        <w:rPr>
          <w:rFonts w:hint="eastAsia"/>
        </w:rPr>
        <w:t>全自动车辆基地信号系统除应满足18.8.7的要求外，还应满足下列要求：</w:t>
      </w:r>
    </w:p>
    <w:p w14:paraId="04E544F2">
      <w:pPr>
        <w:ind w:firstLine="422" w:firstLineChars="200"/>
      </w:pPr>
      <w:r>
        <w:rPr>
          <w:rFonts w:hint="eastAsia"/>
          <w:b/>
        </w:rPr>
        <w:t xml:space="preserve">1 </w:t>
      </w:r>
      <w:r>
        <w:rPr>
          <w:rFonts w:hint="eastAsia"/>
        </w:rPr>
        <w:t xml:space="preserve"> 应在自动化区域内实现列车出入车辆基地的全自动运行功能；</w:t>
      </w:r>
    </w:p>
    <w:p w14:paraId="6A92ADC9">
      <w:pPr>
        <w:ind w:firstLine="422" w:firstLineChars="200"/>
      </w:pPr>
      <w:r>
        <w:rPr>
          <w:rFonts w:hint="eastAsia"/>
          <w:b/>
        </w:rPr>
        <w:t>2</w:t>
      </w:r>
      <w:r>
        <w:rPr>
          <w:rFonts w:hint="eastAsia"/>
        </w:rPr>
        <w:t xml:space="preserve">  正线与车辆基地之间的转换轨至洗车库线、洗车库线至停车列检库之间的范围应纳入自动化区域；</w:t>
      </w:r>
    </w:p>
    <w:p w14:paraId="1821E8DD">
      <w:pPr>
        <w:ind w:firstLine="422" w:firstLineChars="200"/>
      </w:pPr>
      <w:r>
        <w:rPr>
          <w:rFonts w:hint="eastAsia"/>
          <w:b/>
        </w:rPr>
        <w:t>3</w:t>
      </w:r>
      <w:r>
        <w:rPr>
          <w:rFonts w:hint="eastAsia"/>
        </w:rPr>
        <w:t xml:space="preserve">  自动化区域内应按防护区域分别设置人员防护开关，对进入自动化区域的作业人员进行防护；洗车库线和车辆基地咽喉区应分别设置为单独人员防护区域，停车列检库内宜结合车辆基地工艺专业的防护分区划分设置库内人员防护区域；</w:t>
      </w:r>
    </w:p>
    <w:p w14:paraId="67EF2EE3">
      <w:pPr>
        <w:ind w:firstLine="422" w:firstLineChars="200"/>
      </w:pPr>
      <w:r>
        <w:rPr>
          <w:rFonts w:hint="eastAsia"/>
          <w:b/>
        </w:rPr>
        <w:t>4</w:t>
      </w:r>
      <w:r>
        <w:rPr>
          <w:rFonts w:hint="eastAsia"/>
        </w:rPr>
        <w:t xml:space="preserve">  在进出洗车库前设置出库/入库信号机，采用矮型黄、白、红三显示信号机构，红灯为定位；</w:t>
      </w:r>
    </w:p>
    <w:p w14:paraId="5DE6BB0A">
      <w:pPr>
        <w:ind w:firstLine="422" w:firstLineChars="200"/>
        <w:rPr>
          <w:snapToGrid w:val="0"/>
          <w:kern w:val="0"/>
          <w:szCs w:val="21"/>
        </w:rPr>
      </w:pPr>
      <w:r>
        <w:rPr>
          <w:rFonts w:hint="eastAsia"/>
          <w:b/>
        </w:rPr>
        <w:t xml:space="preserve">5 </w:t>
      </w:r>
      <w:r>
        <w:rPr>
          <w:rFonts w:hint="eastAsia"/>
        </w:rPr>
        <w:t xml:space="preserve"> 车辆基地内的自动作业宜包括唤醒、出库、自动化区域内全自动运行、自动转线、回库、洗车、清扫、休眠等。</w:t>
      </w:r>
    </w:p>
    <w:p w14:paraId="77A26325">
      <w:pPr>
        <w:numPr>
          <w:ilvl w:val="2"/>
          <w:numId w:val="1"/>
        </w:numPr>
        <w:tabs>
          <w:tab w:val="left" w:pos="709"/>
          <w:tab w:val="left" w:pos="794"/>
        </w:tabs>
        <w:jc w:val="left"/>
        <w:outlineLvl w:val="2"/>
      </w:pPr>
      <w:r>
        <w:rPr>
          <w:rFonts w:hint="eastAsia"/>
        </w:rPr>
        <w:t>试车线信号系统应符合下列要求：</w:t>
      </w:r>
    </w:p>
    <w:p w14:paraId="2BC26D97">
      <w:pPr>
        <w:ind w:firstLine="422" w:firstLineChars="200"/>
      </w:pPr>
      <w:r>
        <w:rPr>
          <w:rFonts w:hint="eastAsia"/>
          <w:b/>
        </w:rPr>
        <w:t xml:space="preserve">1 </w:t>
      </w:r>
      <w:r>
        <w:rPr>
          <w:rFonts w:hint="eastAsia"/>
        </w:rPr>
        <w:t xml:space="preserve"> 试车作业前和试车作业结束后，试车线操作员与车辆基地值班员进行试车线控制权的交接。车辆基地与试车线的接口设计应保证试车作业与车辆基地作业互不影响；</w:t>
      </w:r>
    </w:p>
    <w:p w14:paraId="5CF30A1A">
      <w:pPr>
        <w:ind w:firstLine="422" w:firstLineChars="200"/>
      </w:pPr>
      <w:r>
        <w:rPr>
          <w:rFonts w:hint="eastAsia"/>
          <w:b/>
        </w:rPr>
        <w:t>2</w:t>
      </w:r>
      <w:r>
        <w:rPr>
          <w:rFonts w:hint="eastAsia"/>
        </w:rPr>
        <w:t xml:space="preserve">  试车线信号地面设备的配置和轨旁布置应满足信号系统车载设备功能的动态测试和双向试车需要；</w:t>
      </w:r>
    </w:p>
    <w:p w14:paraId="72D775E3">
      <w:pPr>
        <w:ind w:firstLine="422" w:firstLineChars="200"/>
        <w:rPr>
          <w:snapToGrid w:val="0"/>
          <w:kern w:val="0"/>
          <w:szCs w:val="21"/>
        </w:rPr>
      </w:pPr>
      <w:r>
        <w:rPr>
          <w:rFonts w:hint="eastAsia"/>
          <w:b/>
        </w:rPr>
        <w:t>3</w:t>
      </w:r>
      <w:r>
        <w:rPr>
          <w:rFonts w:hint="eastAsia"/>
        </w:rPr>
        <w:t xml:space="preserve">  试车线配置的车地无线通信设备不应干扰正线、车辆基地内列车的正常运行。</w:t>
      </w:r>
    </w:p>
    <w:p w14:paraId="4ED27BA0">
      <w:pPr>
        <w:numPr>
          <w:ilvl w:val="2"/>
          <w:numId w:val="1"/>
        </w:numPr>
        <w:tabs>
          <w:tab w:val="left" w:pos="794"/>
          <w:tab w:val="left" w:pos="993"/>
        </w:tabs>
        <w:jc w:val="left"/>
        <w:outlineLvl w:val="2"/>
      </w:pPr>
      <w:r>
        <w:rPr>
          <w:rFonts w:hint="eastAsia"/>
        </w:rPr>
        <w:t>培训设备应应满足下列</w:t>
      </w:r>
      <w:r>
        <w:rPr>
          <w:rFonts w:hint="eastAsia"/>
          <w:bCs/>
          <w:snapToGrid w:val="0"/>
        </w:rPr>
        <w:t>要求</w:t>
      </w:r>
      <w:r>
        <w:rPr>
          <w:rFonts w:hint="eastAsia"/>
        </w:rPr>
        <w:t>:</w:t>
      </w:r>
    </w:p>
    <w:p w14:paraId="7BDD9432">
      <w:pPr>
        <w:widowControl/>
        <w:kinsoku w:val="0"/>
        <w:autoSpaceDE w:val="0"/>
        <w:autoSpaceDN w:val="0"/>
        <w:adjustRightInd w:val="0"/>
        <w:snapToGrid w:val="0"/>
        <w:ind w:firstLine="422" w:firstLineChars="200"/>
        <w:textAlignment w:val="baseline"/>
      </w:pPr>
      <w:r>
        <w:rPr>
          <w:rFonts w:hint="eastAsia"/>
          <w:b/>
        </w:rPr>
        <w:t>1</w:t>
      </w:r>
      <w:r>
        <w:rPr>
          <w:rFonts w:hint="eastAsia"/>
        </w:rPr>
        <w:t xml:space="preserve">  培训设备应包括模拟仿真设备和实物培训设备，用于调度员培训的培训设备应设置在控制中心；</w:t>
      </w:r>
    </w:p>
    <w:p w14:paraId="7E8B31A7">
      <w:pPr>
        <w:widowControl/>
        <w:kinsoku w:val="0"/>
        <w:autoSpaceDE w:val="0"/>
        <w:autoSpaceDN w:val="0"/>
        <w:adjustRightInd w:val="0"/>
        <w:snapToGrid w:val="0"/>
        <w:ind w:firstLine="422" w:firstLineChars="200"/>
        <w:textAlignment w:val="baseline"/>
      </w:pPr>
      <w:r>
        <w:rPr>
          <w:rFonts w:hint="eastAsia"/>
          <w:b/>
        </w:rPr>
        <w:t>2</w:t>
      </w:r>
      <w:r>
        <w:rPr>
          <w:rFonts w:hint="eastAsia"/>
        </w:rPr>
        <w:t xml:space="preserve">  培训设备应能提供一定的运行环境模拟、故障设定及仿真功能；</w:t>
      </w:r>
    </w:p>
    <w:p w14:paraId="3CFCDEA9">
      <w:pPr>
        <w:widowControl/>
        <w:kinsoku w:val="0"/>
        <w:autoSpaceDE w:val="0"/>
        <w:autoSpaceDN w:val="0"/>
        <w:adjustRightInd w:val="0"/>
        <w:snapToGrid w:val="0"/>
        <w:ind w:firstLine="422" w:firstLineChars="200"/>
        <w:textAlignment w:val="baseline"/>
      </w:pPr>
      <w:r>
        <w:rPr>
          <w:rFonts w:hint="eastAsia"/>
          <w:b/>
        </w:rPr>
        <w:t>3</w:t>
      </w:r>
      <w:r>
        <w:rPr>
          <w:rFonts w:hint="eastAsia"/>
        </w:rPr>
        <w:t xml:space="preserve">  配置的车地无线通信设备不应干扰或影响运营设备的运行；</w:t>
      </w:r>
    </w:p>
    <w:p w14:paraId="4BF6D123">
      <w:pPr>
        <w:widowControl/>
        <w:kinsoku w:val="0"/>
        <w:autoSpaceDE w:val="0"/>
        <w:autoSpaceDN w:val="0"/>
        <w:adjustRightInd w:val="0"/>
        <w:snapToGrid w:val="0"/>
        <w:ind w:firstLine="422" w:firstLineChars="200"/>
        <w:textAlignment w:val="baseline"/>
      </w:pPr>
      <w:r>
        <w:rPr>
          <w:rFonts w:hint="eastAsia"/>
          <w:b/>
        </w:rPr>
        <w:t>4</w:t>
      </w:r>
      <w:r>
        <w:rPr>
          <w:rFonts w:hint="eastAsia"/>
        </w:rPr>
        <w:t xml:space="preserve">  用于实物培训的主要设备应与实际运用的信号设备一致，培训中心配置的软、硬件种类和型号应涵盖正线和车辆基地应用的所有信号系统软、硬件，并应实现联动控制，宜设置信号机、转辙机、计轴等实物培训设备；</w:t>
      </w:r>
    </w:p>
    <w:p w14:paraId="56C1FA17">
      <w:pPr>
        <w:widowControl/>
        <w:kinsoku w:val="0"/>
        <w:autoSpaceDE w:val="0"/>
        <w:autoSpaceDN w:val="0"/>
        <w:adjustRightInd w:val="0"/>
        <w:snapToGrid w:val="0"/>
        <w:ind w:firstLine="422" w:firstLineChars="200"/>
        <w:textAlignment w:val="baseline"/>
        <w:rPr>
          <w:snapToGrid w:val="0"/>
          <w:spacing w:val="4"/>
          <w:kern w:val="0"/>
          <w:szCs w:val="21"/>
        </w:rPr>
      </w:pPr>
      <w:r>
        <w:rPr>
          <w:rFonts w:hint="eastAsia"/>
          <w:b/>
        </w:rPr>
        <w:t>5</w:t>
      </w:r>
      <w:r>
        <w:rPr>
          <w:rFonts w:hint="eastAsia"/>
        </w:rPr>
        <w:t xml:space="preserve">  培训设备的配置应满足线网范围内资源共享的要求，宜结合线网内信号系统制式、型号等因素统一规划、集中设置。</w:t>
      </w:r>
    </w:p>
    <w:p w14:paraId="6AA41E0B">
      <w:pPr>
        <w:numPr>
          <w:ilvl w:val="1"/>
          <w:numId w:val="1"/>
        </w:numPr>
        <w:snapToGrid w:val="0"/>
        <w:spacing w:before="156" w:after="156" w:line="240" w:lineRule="auto"/>
        <w:jc w:val="center"/>
        <w:outlineLvl w:val="1"/>
        <w:rPr>
          <w:rFonts w:eastAsia="黑体"/>
          <w:bCs/>
          <w:szCs w:val="28"/>
        </w:rPr>
      </w:pPr>
      <w:bookmarkStart w:id="1398" w:name="_Toc183882529"/>
      <w:bookmarkStart w:id="1399" w:name="_Toc183790606"/>
      <w:bookmarkStart w:id="1400" w:name="_Toc183888219"/>
      <w:bookmarkStart w:id="1401" w:name="_Toc183882167"/>
      <w:bookmarkStart w:id="1402" w:name="_Toc183765176"/>
      <w:bookmarkStart w:id="1403" w:name="_Toc183888581"/>
      <w:r>
        <w:rPr>
          <w:rFonts w:eastAsia="黑体"/>
          <w:bCs/>
          <w:szCs w:val="28"/>
        </w:rPr>
        <w:t>其他</w:t>
      </w:r>
      <w:bookmarkEnd w:id="1398"/>
      <w:bookmarkEnd w:id="1399"/>
      <w:bookmarkEnd w:id="1400"/>
      <w:bookmarkEnd w:id="1401"/>
      <w:bookmarkEnd w:id="1402"/>
      <w:bookmarkEnd w:id="1403"/>
    </w:p>
    <w:p w14:paraId="35217618">
      <w:pPr>
        <w:numPr>
          <w:ilvl w:val="2"/>
          <w:numId w:val="1"/>
        </w:numPr>
        <w:tabs>
          <w:tab w:val="left" w:pos="709"/>
          <w:tab w:val="left" w:pos="851"/>
        </w:tabs>
        <w:jc w:val="left"/>
        <w:outlineLvl w:val="2"/>
      </w:pPr>
      <w:r>
        <w:rPr>
          <w:rFonts w:hint="eastAsia"/>
        </w:rPr>
        <w:t>正线和车辆基地道岔宜采用交流转辙机。采用三相交流电动转辙机的工程应设置断相保护和相序检测装置。</w:t>
      </w:r>
    </w:p>
    <w:p w14:paraId="5FBC5859">
      <w:pPr>
        <w:numPr>
          <w:ilvl w:val="2"/>
          <w:numId w:val="1"/>
        </w:numPr>
        <w:tabs>
          <w:tab w:val="left" w:pos="709"/>
          <w:tab w:val="left" w:pos="851"/>
        </w:tabs>
        <w:jc w:val="left"/>
        <w:outlineLvl w:val="2"/>
      </w:pPr>
      <w:r>
        <w:rPr>
          <w:rFonts w:hint="eastAsia"/>
        </w:rPr>
        <w:t>信号系统供电、电源应符合下列要求：</w:t>
      </w:r>
    </w:p>
    <w:p w14:paraId="5796422C">
      <w:pPr>
        <w:widowControl/>
        <w:kinsoku w:val="0"/>
        <w:autoSpaceDE w:val="0"/>
        <w:autoSpaceDN w:val="0"/>
        <w:adjustRightInd w:val="0"/>
        <w:snapToGrid w:val="0"/>
        <w:ind w:firstLine="422" w:firstLineChars="200"/>
        <w:textAlignment w:val="baseline"/>
      </w:pPr>
      <w:r>
        <w:rPr>
          <w:rFonts w:hint="eastAsia"/>
          <w:b/>
        </w:rPr>
        <w:t>1</w:t>
      </w:r>
      <w:r>
        <w:rPr>
          <w:rFonts w:hint="eastAsia"/>
        </w:rPr>
        <w:t xml:space="preserve">  信号设备应为一级负荷供电，引接双电源双回路的交流电源至信号电源屏，当使用中的一路出现故障时，应能自动切换至另一路；</w:t>
      </w:r>
    </w:p>
    <w:p w14:paraId="3A7564C8">
      <w:pPr>
        <w:widowControl/>
        <w:kinsoku w:val="0"/>
        <w:autoSpaceDE w:val="0"/>
        <w:autoSpaceDN w:val="0"/>
        <w:adjustRightInd w:val="0"/>
        <w:snapToGrid w:val="0"/>
        <w:ind w:firstLine="422" w:firstLineChars="200"/>
        <w:textAlignment w:val="baseline"/>
      </w:pPr>
      <w:r>
        <w:rPr>
          <w:rFonts w:hint="eastAsia"/>
          <w:b/>
        </w:rPr>
        <w:t>2</w:t>
      </w:r>
      <w:r>
        <w:rPr>
          <w:rFonts w:hint="eastAsia"/>
        </w:rPr>
        <w:t xml:space="preserve">  车载设备由车辆专业提供直流电源或经变流设备供电，并应设过压和过流保护；</w:t>
      </w:r>
    </w:p>
    <w:p w14:paraId="44A81B7B">
      <w:pPr>
        <w:widowControl/>
        <w:kinsoku w:val="0"/>
        <w:autoSpaceDE w:val="0"/>
        <w:autoSpaceDN w:val="0"/>
        <w:adjustRightInd w:val="0"/>
        <w:snapToGrid w:val="0"/>
        <w:ind w:firstLine="422" w:firstLineChars="200"/>
        <w:textAlignment w:val="baseline"/>
      </w:pPr>
      <w:r>
        <w:rPr>
          <w:rFonts w:hint="eastAsia"/>
          <w:b/>
        </w:rPr>
        <w:t xml:space="preserve">3 </w:t>
      </w:r>
      <w:r>
        <w:rPr>
          <w:rFonts w:hint="eastAsia"/>
        </w:rPr>
        <w:t xml:space="preserve"> 信号设备可由专用电源屏供电，并应配置不间断电源设备和免维护蓄电池设备。当信号系统电源未纳入UPS电源整合范围时，信号电源屏应具备两路外电源自动转换、人工转换功能，转换时不应影响信号系统设备正常工作；</w:t>
      </w:r>
    </w:p>
    <w:p w14:paraId="00331AD3">
      <w:pPr>
        <w:widowControl/>
        <w:kinsoku w:val="0"/>
        <w:autoSpaceDE w:val="0"/>
        <w:autoSpaceDN w:val="0"/>
        <w:adjustRightInd w:val="0"/>
        <w:snapToGrid w:val="0"/>
        <w:ind w:firstLine="422" w:firstLineChars="200"/>
        <w:textAlignment w:val="baseline"/>
      </w:pPr>
      <w:r>
        <w:rPr>
          <w:rFonts w:hint="eastAsia"/>
          <w:b/>
        </w:rPr>
        <w:t xml:space="preserve">4 </w:t>
      </w:r>
      <w:r>
        <w:rPr>
          <w:rFonts w:hint="eastAsia"/>
        </w:rPr>
        <w:t xml:space="preserve"> 控制中心、车站及轨旁、车辆基地信号设备包括电动转辙机和信号机等室外设备在内的不间断电源供电时间应不小于30min；区间内无维护人员值守处所的不间断电源供电时间宜不小于2h；</w:t>
      </w:r>
    </w:p>
    <w:p w14:paraId="4398BBA9">
      <w:pPr>
        <w:widowControl/>
        <w:kinsoku w:val="0"/>
        <w:autoSpaceDE w:val="0"/>
        <w:autoSpaceDN w:val="0"/>
        <w:adjustRightInd w:val="0"/>
        <w:snapToGrid w:val="0"/>
        <w:ind w:firstLine="422" w:firstLineChars="200"/>
        <w:textAlignment w:val="baseline"/>
      </w:pPr>
      <w:r>
        <w:rPr>
          <w:rFonts w:hint="eastAsia"/>
          <w:b/>
        </w:rPr>
        <w:t xml:space="preserve">5 </w:t>
      </w:r>
      <w:r>
        <w:rPr>
          <w:rFonts w:hint="eastAsia"/>
        </w:rPr>
        <w:t xml:space="preserve"> 控制中心、正线集中站、车辆段/停车场、维修中心信号电源设备应采用双UPS、双母线设计；控制中心电源系统电源应纳入UPS电源整合范围，其他地点信号系统电源可纳入UPS电源整合范围；</w:t>
      </w:r>
    </w:p>
    <w:p w14:paraId="55642646">
      <w:pPr>
        <w:widowControl/>
        <w:kinsoku w:val="0"/>
        <w:autoSpaceDE w:val="0"/>
        <w:autoSpaceDN w:val="0"/>
        <w:adjustRightInd w:val="0"/>
        <w:snapToGrid w:val="0"/>
        <w:ind w:firstLine="422" w:firstLineChars="200"/>
        <w:textAlignment w:val="baseline"/>
      </w:pPr>
      <w:r>
        <w:rPr>
          <w:rFonts w:hint="eastAsia"/>
          <w:b/>
        </w:rPr>
        <w:t xml:space="preserve">6 </w:t>
      </w:r>
      <w:r>
        <w:rPr>
          <w:rFonts w:hint="eastAsia"/>
        </w:rPr>
        <w:t xml:space="preserve"> 电源容量除应满足最大负荷要求外，应留有备用容量，备用容量不宜小于30%；</w:t>
      </w:r>
    </w:p>
    <w:p w14:paraId="7E1D3886">
      <w:pPr>
        <w:ind w:firstLine="422" w:firstLineChars="200"/>
      </w:pPr>
      <w:r>
        <w:rPr>
          <w:rFonts w:hint="eastAsia"/>
          <w:b/>
        </w:rPr>
        <w:t>7</w:t>
      </w:r>
      <w:r>
        <w:rPr>
          <w:rFonts w:hint="eastAsia"/>
        </w:rPr>
        <w:t xml:space="preserve">  ATP车站和车辆基地设备、ATS服务器、ATS车站分机、CI设备、骨干网交换机、计轴等室内设备应采用两路独立的电源供电；</w:t>
      </w:r>
    </w:p>
    <w:p w14:paraId="420E5880">
      <w:pPr>
        <w:ind w:firstLine="422" w:firstLineChars="200"/>
      </w:pPr>
      <w:r>
        <w:rPr>
          <w:rFonts w:hint="eastAsia"/>
          <w:b/>
        </w:rPr>
        <w:t xml:space="preserve">8 </w:t>
      </w:r>
      <w:r>
        <w:rPr>
          <w:rFonts w:hint="eastAsia"/>
        </w:rPr>
        <w:t xml:space="preserve"> 信号设备专用交、直流电源应对地绝缘；</w:t>
      </w:r>
    </w:p>
    <w:p w14:paraId="3B660F07">
      <w:pPr>
        <w:ind w:firstLine="422" w:firstLineChars="200"/>
      </w:pPr>
      <w:r>
        <w:rPr>
          <w:rFonts w:hint="eastAsia"/>
          <w:b/>
        </w:rPr>
        <w:t>9</w:t>
      </w:r>
      <w:r>
        <w:rPr>
          <w:rFonts w:hint="eastAsia"/>
        </w:rPr>
        <w:t xml:space="preserve">  输出至室外的设备供电回路应采用隔离供电方式；</w:t>
      </w:r>
    </w:p>
    <w:p w14:paraId="555B41EE">
      <w:pPr>
        <w:ind w:firstLine="422" w:firstLineChars="200"/>
        <w:rPr>
          <w:snapToGrid w:val="0"/>
          <w:spacing w:val="4"/>
          <w:kern w:val="0"/>
          <w:szCs w:val="21"/>
        </w:rPr>
      </w:pPr>
      <w:r>
        <w:rPr>
          <w:rFonts w:hint="eastAsia"/>
          <w:b/>
        </w:rPr>
        <w:t xml:space="preserve">10 </w:t>
      </w:r>
      <w:r>
        <w:rPr>
          <w:rFonts w:hint="eastAsia"/>
        </w:rPr>
        <w:t xml:space="preserve"> 电源屏应具有远程实时在线监测功能，宜纳入维护监测子系统。</w:t>
      </w:r>
    </w:p>
    <w:p w14:paraId="28FD1EC1">
      <w:pPr>
        <w:numPr>
          <w:ilvl w:val="2"/>
          <w:numId w:val="1"/>
        </w:numPr>
        <w:tabs>
          <w:tab w:val="left" w:pos="709"/>
          <w:tab w:val="left" w:pos="851"/>
        </w:tabs>
        <w:jc w:val="left"/>
        <w:outlineLvl w:val="2"/>
      </w:pPr>
      <w:r>
        <w:rPr>
          <w:rFonts w:hint="eastAsia"/>
        </w:rPr>
        <w:t>道岔采用双机或多机牵引时，维护工作站或信号集中监测上的道岔表示状态应按单台转辙机进行独立表示。</w:t>
      </w:r>
    </w:p>
    <w:p w14:paraId="11919D0B">
      <w:pPr>
        <w:numPr>
          <w:ilvl w:val="2"/>
          <w:numId w:val="1"/>
        </w:numPr>
        <w:tabs>
          <w:tab w:val="left" w:pos="709"/>
          <w:tab w:val="left" w:pos="851"/>
        </w:tabs>
        <w:jc w:val="left"/>
        <w:outlineLvl w:val="2"/>
      </w:pPr>
      <w:r>
        <w:rPr>
          <w:rFonts w:hint="eastAsia"/>
        </w:rPr>
        <w:t>信号系统与站台屏蔽门接口应满足下列要求：</w:t>
      </w:r>
    </w:p>
    <w:p w14:paraId="1A427B0D">
      <w:pPr>
        <w:ind w:firstLine="422" w:firstLineChars="200"/>
      </w:pPr>
      <w:r>
        <w:rPr>
          <w:rFonts w:hint="eastAsia"/>
          <w:b/>
        </w:rPr>
        <w:t>1</w:t>
      </w:r>
      <w:r>
        <w:rPr>
          <w:rFonts w:hint="eastAsia"/>
        </w:rPr>
        <w:t xml:space="preserve">  与站台屏蔽门的接口方式宜采用硬线连接方式，并应包含开门命令、关门命令、门关且锁闭信息、互锁解除信息；与站台屏蔽门接口采用网络接口方式时，应采用安全协议；</w:t>
      </w:r>
    </w:p>
    <w:p w14:paraId="03776337">
      <w:pPr>
        <w:ind w:firstLine="422" w:firstLineChars="200"/>
      </w:pPr>
      <w:r>
        <w:rPr>
          <w:rFonts w:hint="eastAsia"/>
          <w:b/>
        </w:rPr>
        <w:t>2</w:t>
      </w:r>
      <w:r>
        <w:rPr>
          <w:rFonts w:hint="eastAsia"/>
        </w:rPr>
        <w:t xml:space="preserve">  对于固定不同编组工程，与站台屏蔽门的接口信息还应包含固定不同编组的开门命令；对于在站台有自动解编作业需求的机械编组工程，与站台屏蔽门的接口信息还应包含解编后前车、后车各自独立的关门命令、门关且锁闭信息、互锁解除信息；</w:t>
      </w:r>
    </w:p>
    <w:p w14:paraId="1625DF05">
      <w:pPr>
        <w:ind w:firstLine="422" w:firstLineChars="200"/>
      </w:pPr>
      <w:r>
        <w:rPr>
          <w:rFonts w:hint="eastAsia"/>
          <w:b/>
        </w:rPr>
        <w:t>3</w:t>
      </w:r>
      <w:r>
        <w:rPr>
          <w:rFonts w:hint="eastAsia"/>
        </w:rPr>
        <w:t xml:space="preserve">  站台屏蔽门向信号系统提供的信息应采用保持信号，信号系统向站台屏蔽门提供的信息宜采用脉冲信号；</w:t>
      </w:r>
    </w:p>
    <w:p w14:paraId="45E97279">
      <w:pPr>
        <w:ind w:firstLine="422" w:firstLineChars="200"/>
      </w:pPr>
      <w:r>
        <w:rPr>
          <w:rFonts w:hint="eastAsia"/>
          <w:b/>
        </w:rPr>
        <w:t>4</w:t>
      </w:r>
      <w:r>
        <w:rPr>
          <w:rFonts w:hint="eastAsia"/>
        </w:rPr>
        <w:t xml:space="preserve">  在CBTC模式下，联锁系统未收到站台屏蔽门发出的门关且锁闭或互锁解除信息，联锁系统应将该状态信息实时发送至ATP/ATO设备，并由信号车载设备完成列车的控制；在降级模式下，联锁系统未收到站台屏蔽门的门关且锁闭信息或互锁解除信息，离该站台最近的前一架顺向信号机不应开放；</w:t>
      </w:r>
    </w:p>
    <w:p w14:paraId="27D95384">
      <w:pPr>
        <w:ind w:firstLine="422" w:firstLineChars="200"/>
      </w:pPr>
      <w:r>
        <w:rPr>
          <w:rFonts w:hint="eastAsia"/>
          <w:b/>
        </w:rPr>
        <w:t>5</w:t>
      </w:r>
      <w:r>
        <w:rPr>
          <w:rFonts w:hint="eastAsia"/>
        </w:rPr>
        <w:t xml:space="preserve">  出站信号机的信号开放应检查本站站台屏蔽门处于门关且锁闭状态；</w:t>
      </w:r>
    </w:p>
    <w:p w14:paraId="5765B456">
      <w:pPr>
        <w:ind w:firstLine="422" w:firstLineChars="200"/>
      </w:pPr>
      <w:r>
        <w:rPr>
          <w:rFonts w:hint="eastAsia"/>
          <w:b/>
        </w:rPr>
        <w:t xml:space="preserve">6 </w:t>
      </w:r>
      <w:r>
        <w:rPr>
          <w:rFonts w:hint="eastAsia"/>
        </w:rPr>
        <w:t xml:space="preserve"> 引导信号不检查站台屏蔽门状态；</w:t>
      </w:r>
    </w:p>
    <w:p w14:paraId="73C428B9">
      <w:pPr>
        <w:ind w:firstLine="422" w:firstLineChars="200"/>
      </w:pPr>
      <w:r>
        <w:rPr>
          <w:rFonts w:hint="eastAsia"/>
          <w:b/>
        </w:rPr>
        <w:t>7</w:t>
      </w:r>
      <w:r>
        <w:rPr>
          <w:rFonts w:hint="eastAsia"/>
        </w:rPr>
        <w:t xml:space="preserve">  列车站前折返作业，列车以ATO自动驾驶或ATP防护下的人工驾驶模式进站时，列车停稳后自动或手动开启车门和站台屏蔽门，并由司机在列车上触发站前折返按钮，进行司机室换端操作，换端操作过程中车门和站台屏蔽门应保持开启状态。</w:t>
      </w:r>
    </w:p>
    <w:p w14:paraId="475B271C">
      <w:pPr>
        <w:ind w:firstLine="422" w:firstLineChars="200"/>
      </w:pPr>
      <w:r>
        <w:rPr>
          <w:rFonts w:hint="eastAsia"/>
          <w:b/>
        </w:rPr>
        <w:t>8</w:t>
      </w:r>
      <w:r>
        <w:rPr>
          <w:rFonts w:hint="eastAsia"/>
        </w:rPr>
        <w:t xml:space="preserve">  全自动运行线路中，信号系统与站台屏蔽门系统应具备通过网络接口实现对位隔离的功能。</w:t>
      </w:r>
    </w:p>
    <w:p w14:paraId="0EF83837">
      <w:pPr>
        <w:numPr>
          <w:ilvl w:val="2"/>
          <w:numId w:val="1"/>
        </w:numPr>
        <w:tabs>
          <w:tab w:val="left" w:pos="709"/>
          <w:tab w:val="left" w:pos="794"/>
        </w:tabs>
        <w:jc w:val="left"/>
        <w:outlineLvl w:val="2"/>
      </w:pPr>
      <w:r>
        <w:rPr>
          <w:rFonts w:hint="eastAsia"/>
        </w:rPr>
        <w:t>当全自动运行系统工程采用信号系统与间隙探测系统直接接口方式时，信号系统与间隙探测系统接口应满足下列要求：</w:t>
      </w:r>
    </w:p>
    <w:p w14:paraId="63913DB1">
      <w:pPr>
        <w:ind w:firstLine="422" w:firstLineChars="200"/>
      </w:pPr>
      <w:r>
        <w:rPr>
          <w:rFonts w:hint="eastAsia"/>
          <w:b/>
        </w:rPr>
        <w:t>1</w:t>
      </w:r>
      <w:r>
        <w:rPr>
          <w:rFonts w:hint="eastAsia"/>
        </w:rPr>
        <w:t xml:space="preserve">  与间隙探测系统的接口方式宜采用硬线连接方式，并应包含启动探测命令、停止探测命令、障碍物状态信息、间隙探测旁路状态信息；</w:t>
      </w:r>
    </w:p>
    <w:p w14:paraId="55F8937B">
      <w:pPr>
        <w:ind w:firstLine="422" w:firstLineChars="200"/>
      </w:pPr>
      <w:r>
        <w:rPr>
          <w:rFonts w:hint="eastAsia"/>
          <w:b/>
        </w:rPr>
        <w:t>2</w:t>
      </w:r>
      <w:r>
        <w:rPr>
          <w:rFonts w:hint="eastAsia"/>
        </w:rPr>
        <w:t xml:space="preserve">  对于在站台有自动解编作业需求的工程，与间隙探测系统的接口信息还应包含解编后前车、后车各自独立的启动探测命令、停止探测命令、障碍物状态信息、间隙探测旁路状态信息；</w:t>
      </w:r>
    </w:p>
    <w:p w14:paraId="3C3EA9E7">
      <w:pPr>
        <w:ind w:firstLine="422" w:firstLineChars="200"/>
      </w:pPr>
      <w:r>
        <w:rPr>
          <w:rFonts w:hint="eastAsia"/>
          <w:b/>
        </w:rPr>
        <w:t xml:space="preserve">3 </w:t>
      </w:r>
      <w:r>
        <w:rPr>
          <w:rFonts w:hint="eastAsia"/>
        </w:rPr>
        <w:t xml:space="preserve"> 间隙探测系统向信号系统提供的信息应采用保持信号，信号系统向间隙探测系统提供的信息宜采用脉冲信号；</w:t>
      </w:r>
    </w:p>
    <w:p w14:paraId="4B08E30D">
      <w:pPr>
        <w:ind w:firstLine="422" w:firstLineChars="200"/>
      </w:pPr>
      <w:r>
        <w:rPr>
          <w:rFonts w:hint="eastAsia"/>
          <w:b/>
        </w:rPr>
        <w:t>4</w:t>
      </w:r>
      <w:r>
        <w:rPr>
          <w:rFonts w:hint="eastAsia"/>
        </w:rPr>
        <w:t xml:space="preserve">  在CBTC模式下，车载ATP/ATO系统未收到间隙探测系统发出的无障碍物状态信息不允许发车。</w:t>
      </w:r>
    </w:p>
    <w:p w14:paraId="2EFB4549">
      <w:pPr>
        <w:numPr>
          <w:ilvl w:val="2"/>
          <w:numId w:val="1"/>
        </w:numPr>
        <w:tabs>
          <w:tab w:val="left" w:pos="709"/>
          <w:tab w:val="left" w:pos="794"/>
        </w:tabs>
        <w:jc w:val="left"/>
        <w:outlineLvl w:val="2"/>
      </w:pPr>
      <w:r>
        <w:rPr>
          <w:rFonts w:hint="eastAsia"/>
        </w:rPr>
        <w:t>全自动运行系统工程中，信号系统与车辆基地自动车库门之间的接口应满足下列要求：</w:t>
      </w:r>
    </w:p>
    <w:p w14:paraId="789DDA02">
      <w:pPr>
        <w:ind w:firstLine="422" w:firstLineChars="200"/>
      </w:pPr>
      <w:r>
        <w:rPr>
          <w:rFonts w:hint="eastAsia"/>
          <w:b/>
        </w:rPr>
        <w:t xml:space="preserve">1 </w:t>
      </w:r>
      <w:r>
        <w:rPr>
          <w:rFonts w:hint="eastAsia"/>
        </w:rPr>
        <w:t xml:space="preserve"> 与自动车库门的接口方式应采用硬线连接方式，并应包含开门命令、关门命令、车库门打开到位且锁闭状态、车库门故障状态、车库门旁路状态、车库门模式、车库门关闭且锁紧状态；</w:t>
      </w:r>
    </w:p>
    <w:p w14:paraId="5AC16C6C">
      <w:pPr>
        <w:ind w:firstLine="422" w:firstLineChars="200"/>
      </w:pPr>
      <w:r>
        <w:rPr>
          <w:rFonts w:hint="eastAsia"/>
          <w:b/>
        </w:rPr>
        <w:t>2</w:t>
      </w:r>
      <w:r>
        <w:rPr>
          <w:rFonts w:hint="eastAsia"/>
        </w:rPr>
        <w:t xml:space="preserve">  自动车库门系统向信号系统提供的状态信息应采用保持信号，信号系统向自动车库门系统提供的命令信息宜采用脉冲信号；</w:t>
      </w:r>
    </w:p>
    <w:p w14:paraId="49694213">
      <w:pPr>
        <w:ind w:firstLine="422" w:firstLineChars="200"/>
      </w:pPr>
      <w:r>
        <w:rPr>
          <w:rFonts w:hint="eastAsia"/>
          <w:b/>
        </w:rPr>
        <w:t xml:space="preserve">3 </w:t>
      </w:r>
      <w:r>
        <w:rPr>
          <w:rFonts w:hint="eastAsia"/>
        </w:rPr>
        <w:t xml:space="preserve"> 当联锁收到的车库门状态不满足车库门打开到位且锁闭状态或旁路状态时，联锁不允许开放进出库进路的始端信号机。</w:t>
      </w:r>
    </w:p>
    <w:p w14:paraId="6618C0BF">
      <w:pPr>
        <w:numPr>
          <w:ilvl w:val="2"/>
          <w:numId w:val="1"/>
        </w:numPr>
        <w:tabs>
          <w:tab w:val="left" w:pos="709"/>
          <w:tab w:val="left" w:pos="794"/>
        </w:tabs>
        <w:jc w:val="left"/>
        <w:outlineLvl w:val="2"/>
      </w:pPr>
      <w:r>
        <w:rPr>
          <w:rFonts w:hint="eastAsia"/>
        </w:rPr>
        <w:t>全自动运行系统工程中，信号系统与自动洗车机之间的接口应满足下列要求：</w:t>
      </w:r>
    </w:p>
    <w:p w14:paraId="5EA7442A">
      <w:pPr>
        <w:ind w:firstLine="422" w:firstLineChars="200"/>
      </w:pPr>
      <w:r>
        <w:rPr>
          <w:rFonts w:hint="eastAsia"/>
          <w:b/>
        </w:rPr>
        <w:t xml:space="preserve">1 </w:t>
      </w:r>
      <w:r>
        <w:rPr>
          <w:rFonts w:hint="eastAsia"/>
        </w:rPr>
        <w:t xml:space="preserve"> 与自动洗车机的接口方式应采用硬线连接方式，信号系统向自动洗车机发送的信息应包含洗车请求命令、头端停稳状态、尾端停稳状态、通过请求命令；自动洗车机向信号系统发送的信息应包括洗车机就绪状态、洗车允许命令、头端移动允许命令、尾端移动允许命令、洗车机急停/故障状态、通过允许指令；</w:t>
      </w:r>
    </w:p>
    <w:p w14:paraId="51EEE4DC">
      <w:pPr>
        <w:ind w:firstLine="422" w:firstLineChars="200"/>
      </w:pPr>
      <w:r>
        <w:rPr>
          <w:rFonts w:hint="eastAsia"/>
          <w:b/>
        </w:rPr>
        <w:t xml:space="preserve">2 </w:t>
      </w:r>
      <w:r>
        <w:rPr>
          <w:rFonts w:hint="eastAsia"/>
        </w:rPr>
        <w:t xml:space="preserve"> 对于有联挂列车洗车需求的机械编组工程，信号系统向自动洗车机发送的信息还应包含联挂端停稳状态；自动洗车机向信号系统发送的信息还应包括联挂端移动允许命令；</w:t>
      </w:r>
    </w:p>
    <w:p w14:paraId="54CEB173">
      <w:pPr>
        <w:ind w:firstLine="422" w:firstLineChars="200"/>
      </w:pPr>
      <w:r>
        <w:rPr>
          <w:rFonts w:hint="eastAsia"/>
          <w:b/>
        </w:rPr>
        <w:t xml:space="preserve">3  </w:t>
      </w:r>
      <w:r>
        <w:rPr>
          <w:rFonts w:hint="eastAsia"/>
        </w:rPr>
        <w:t>信号系统向自动洗车机发送的洗车请求命令、自动洗车机向信号系统提供的洗车允许命令信息应采用保持信号，两个系统之间互相发送的信息宜采用脉冲信号。</w:t>
      </w:r>
    </w:p>
    <w:p w14:paraId="187A6757">
      <w:pPr>
        <w:numPr>
          <w:ilvl w:val="2"/>
          <w:numId w:val="1"/>
        </w:numPr>
        <w:tabs>
          <w:tab w:val="left" w:pos="709"/>
          <w:tab w:val="left" w:pos="794"/>
        </w:tabs>
        <w:jc w:val="left"/>
        <w:outlineLvl w:val="2"/>
      </w:pPr>
      <w:r>
        <w:rPr>
          <w:rFonts w:hint="eastAsia"/>
        </w:rPr>
        <w:t>信号</w:t>
      </w:r>
      <w:r>
        <w:rPr>
          <w:snapToGrid w:val="0"/>
        </w:rPr>
        <w:t>系统电线路应满足下列要求：</w:t>
      </w:r>
    </w:p>
    <w:p w14:paraId="2ADB30ED">
      <w:pPr>
        <w:ind w:firstLine="422" w:firstLineChars="200"/>
        <w:rPr>
          <w:snapToGrid w:val="0"/>
          <w:spacing w:val="4"/>
          <w:kern w:val="0"/>
          <w:szCs w:val="21"/>
        </w:rPr>
      </w:pPr>
      <w:r>
        <w:rPr>
          <w:rFonts w:hint="eastAsia"/>
          <w:b/>
          <w:bCs/>
        </w:rPr>
        <w:t>1</w:t>
      </w:r>
      <w:r>
        <w:rPr>
          <w:rFonts w:hint="eastAsia"/>
        </w:rPr>
        <w:t xml:space="preserve">  地下区段及室内缆线应采用低烟、无卤、阻燃、防腐蚀综合护套电缆；地面及高架区段可采用低烟、低卤、阻燃、抗老化综合护套电缆；室外电缆阻燃等级宜为A级，地下车站及区间电缆燃烧性能应为B1级；交流电力牵引区段，室外电缆应采用铠装铝护套电缆。</w:t>
      </w:r>
    </w:p>
    <w:p w14:paraId="35F0B00B">
      <w:pPr>
        <w:ind w:firstLine="422" w:firstLineChars="200"/>
      </w:pPr>
      <w:r>
        <w:rPr>
          <w:rStyle w:val="176"/>
          <w:rFonts w:hint="eastAsia"/>
          <w:b/>
        </w:rPr>
        <w:t>2</w:t>
      </w:r>
      <w:r>
        <w:rPr>
          <w:rFonts w:hint="eastAsia"/>
        </w:rPr>
        <w:t xml:space="preserve">  缆线敷设应采用下列方式：</w:t>
      </w:r>
    </w:p>
    <w:p w14:paraId="6D9E5575">
      <w:pPr>
        <w:widowControl/>
        <w:kinsoku w:val="0"/>
        <w:autoSpaceDE w:val="0"/>
        <w:autoSpaceDN w:val="0"/>
        <w:adjustRightInd w:val="0"/>
        <w:snapToGrid w:val="0"/>
        <w:ind w:firstLine="420" w:firstLineChars="200"/>
        <w:textAlignment w:val="baseline"/>
      </w:pPr>
      <w:r>
        <w:rPr>
          <w:rFonts w:hint="eastAsia"/>
        </w:rPr>
        <w:t>1）地面电缆应采用直埋、电缆槽或管道方式；</w:t>
      </w:r>
    </w:p>
    <w:p w14:paraId="6E4163EF">
      <w:pPr>
        <w:widowControl/>
        <w:kinsoku w:val="0"/>
        <w:autoSpaceDE w:val="0"/>
        <w:autoSpaceDN w:val="0"/>
        <w:adjustRightInd w:val="0"/>
        <w:snapToGrid w:val="0"/>
        <w:ind w:firstLine="420" w:firstLineChars="200"/>
        <w:textAlignment w:val="baseline"/>
      </w:pPr>
      <w:r>
        <w:rPr>
          <w:rFonts w:hint="eastAsia"/>
        </w:rPr>
        <w:t>2）区间隧道内电缆宜采用明敷方式，车站宜用隐蔽方式敷设；</w:t>
      </w:r>
    </w:p>
    <w:p w14:paraId="5DA3C088">
      <w:pPr>
        <w:widowControl/>
        <w:kinsoku w:val="0"/>
        <w:autoSpaceDE w:val="0"/>
        <w:autoSpaceDN w:val="0"/>
        <w:adjustRightInd w:val="0"/>
        <w:snapToGrid w:val="0"/>
        <w:ind w:firstLine="420" w:firstLineChars="200"/>
        <w:textAlignment w:val="baseline"/>
      </w:pPr>
      <w:r>
        <w:rPr>
          <w:rFonts w:hint="eastAsia"/>
        </w:rPr>
        <w:t>3）高架线路的电缆宜采用隐蔽方式敷设；</w:t>
      </w:r>
    </w:p>
    <w:p w14:paraId="6E1E1338">
      <w:pPr>
        <w:widowControl/>
        <w:kinsoku w:val="0"/>
        <w:autoSpaceDE w:val="0"/>
        <w:autoSpaceDN w:val="0"/>
        <w:adjustRightInd w:val="0"/>
        <w:snapToGrid w:val="0"/>
        <w:ind w:firstLine="420" w:firstLineChars="200"/>
        <w:textAlignment w:val="baseline"/>
      </w:pPr>
      <w:r>
        <w:rPr>
          <w:rFonts w:hint="eastAsia"/>
        </w:rPr>
        <w:t>4）区间隧道内电缆横向过轨宜采用预埋管方式敷设；</w:t>
      </w:r>
    </w:p>
    <w:p w14:paraId="12D4482D">
      <w:pPr>
        <w:widowControl/>
        <w:kinsoku w:val="0"/>
        <w:autoSpaceDE w:val="0"/>
        <w:autoSpaceDN w:val="0"/>
        <w:adjustRightInd w:val="0"/>
        <w:snapToGrid w:val="0"/>
        <w:ind w:firstLine="420" w:firstLineChars="200"/>
        <w:textAlignment w:val="baseline"/>
      </w:pPr>
      <w:r>
        <w:rPr>
          <w:rFonts w:hint="eastAsia"/>
        </w:rPr>
        <w:t>5）地面或高架地段电缆横向过轨可采用预埋管方式敷设；</w:t>
      </w:r>
    </w:p>
    <w:p w14:paraId="74E1B17F">
      <w:pPr>
        <w:widowControl/>
        <w:kinsoku w:val="0"/>
        <w:autoSpaceDE w:val="0"/>
        <w:autoSpaceDN w:val="0"/>
        <w:adjustRightInd w:val="0"/>
        <w:snapToGrid w:val="0"/>
        <w:ind w:firstLine="420" w:firstLineChars="200"/>
        <w:textAlignment w:val="baseline"/>
      </w:pPr>
      <w:r>
        <w:rPr>
          <w:rFonts w:hint="eastAsia"/>
        </w:rPr>
        <w:t>6）电缆接续宜采用免维护接续方式；</w:t>
      </w:r>
    </w:p>
    <w:p w14:paraId="11635C76">
      <w:pPr>
        <w:widowControl/>
        <w:kinsoku w:val="0"/>
        <w:autoSpaceDE w:val="0"/>
        <w:autoSpaceDN w:val="0"/>
        <w:adjustRightInd w:val="0"/>
        <w:snapToGrid w:val="0"/>
        <w:ind w:firstLine="420" w:firstLineChars="200"/>
        <w:textAlignment w:val="baseline"/>
        <w:rPr>
          <w:snapToGrid w:val="0"/>
          <w:spacing w:val="4"/>
          <w:kern w:val="0"/>
          <w:szCs w:val="21"/>
        </w:rPr>
      </w:pPr>
      <w:r>
        <w:rPr>
          <w:rFonts w:hint="eastAsia"/>
        </w:rPr>
        <w:t>7）信号电线路应与电力线路分开敷设。交叉敷设或敷设间距不满足要求时，信号系统的电线路应采取防电磁干扰的防护措施。</w:t>
      </w:r>
    </w:p>
    <w:p w14:paraId="2BDED025">
      <w:pPr>
        <w:ind w:firstLine="422" w:firstLineChars="200"/>
      </w:pPr>
      <w:r>
        <w:rPr>
          <w:rStyle w:val="176"/>
          <w:b/>
        </w:rPr>
        <w:t>3</w:t>
      </w:r>
      <w:r>
        <w:t xml:space="preserve">  信号电线路应与电力线路分开敷设。交叉敷设时信号系统的电线路应采取防护措施，敷设间距应符合本规范第1</w:t>
      </w:r>
      <w:r>
        <w:rPr>
          <w:rFonts w:hint="eastAsia"/>
        </w:rPr>
        <w:t>7</w:t>
      </w:r>
      <w:r>
        <w:t>.2.</w:t>
      </w:r>
      <w:r>
        <w:rPr>
          <w:rFonts w:hint="eastAsia"/>
        </w:rPr>
        <w:t>2.</w:t>
      </w:r>
      <w:r>
        <w:t>14条的规定；</w:t>
      </w:r>
    </w:p>
    <w:p w14:paraId="1DE3D48A">
      <w:pPr>
        <w:ind w:firstLine="422" w:firstLineChars="200"/>
      </w:pPr>
      <w:r>
        <w:rPr>
          <w:rStyle w:val="176"/>
          <w:rFonts w:hint="eastAsia"/>
          <w:b/>
        </w:rPr>
        <w:t>4</w:t>
      </w:r>
      <w:r>
        <w:rPr>
          <w:rFonts w:hint="eastAsia"/>
        </w:rPr>
        <w:t xml:space="preserve"> 电缆芯线或芯对应有备用量。电缆备用应符合下列规定：</w:t>
      </w:r>
    </w:p>
    <w:p w14:paraId="485D7558">
      <w:pPr>
        <w:widowControl/>
        <w:kinsoku w:val="0"/>
        <w:autoSpaceDE w:val="0"/>
        <w:autoSpaceDN w:val="0"/>
        <w:adjustRightInd w:val="0"/>
        <w:snapToGrid w:val="0"/>
        <w:ind w:firstLine="420" w:firstLineChars="200"/>
        <w:textAlignment w:val="baseline"/>
      </w:pPr>
      <w:r>
        <w:rPr>
          <w:rFonts w:hint="eastAsia"/>
        </w:rPr>
        <w:t>1）  普通信号电缆和用于非音频信号设备的综合扭绞信号电缆的芯线备用量应符合表18.9.7-1规定：</w:t>
      </w:r>
    </w:p>
    <w:p w14:paraId="446B882F">
      <w:pPr>
        <w:adjustRightInd w:val="0"/>
        <w:snapToGrid w:val="0"/>
        <w:ind w:firstLine="400"/>
        <w:jc w:val="center"/>
        <w:rPr>
          <w:rFonts w:eastAsia="黑体" w:cs="黑体"/>
          <w:sz w:val="18"/>
          <w:szCs w:val="18"/>
        </w:rPr>
      </w:pPr>
      <w:r>
        <w:rPr>
          <w:rFonts w:eastAsia="黑体" w:cs="黑体"/>
          <w:sz w:val="18"/>
          <w:szCs w:val="18"/>
        </w:rPr>
        <w:t>表18.</w:t>
      </w:r>
      <w:r>
        <w:rPr>
          <w:rFonts w:hint="eastAsia" w:eastAsia="黑体" w:cs="黑体"/>
          <w:sz w:val="18"/>
          <w:szCs w:val="18"/>
        </w:rPr>
        <w:t>9</w:t>
      </w:r>
      <w:r>
        <w:rPr>
          <w:rFonts w:eastAsia="黑体" w:cs="黑体"/>
          <w:sz w:val="18"/>
          <w:szCs w:val="18"/>
        </w:rPr>
        <w:t>.</w:t>
      </w:r>
      <w:r>
        <w:rPr>
          <w:rFonts w:hint="eastAsia" w:eastAsia="黑体" w:cs="黑体"/>
          <w:sz w:val="18"/>
          <w:szCs w:val="18"/>
        </w:rPr>
        <w:t>7-1 普通信号电缆和用于非音频信号设备的综合扭绞信号电缆的芯线备用量</w:t>
      </w:r>
    </w:p>
    <w:tbl>
      <w:tblPr>
        <w:tblStyle w:val="88"/>
        <w:tblW w:w="3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1394"/>
      </w:tblGrid>
      <w:tr w14:paraId="59E6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Align w:val="center"/>
          </w:tcPr>
          <w:p w14:paraId="6C545D65">
            <w:pPr>
              <w:autoSpaceDE w:val="0"/>
              <w:autoSpaceDN w:val="0"/>
              <w:spacing w:line="240" w:lineRule="auto"/>
              <w:jc w:val="center"/>
              <w:rPr>
                <w:kern w:val="0"/>
                <w:sz w:val="15"/>
                <w:szCs w:val="15"/>
              </w:rPr>
            </w:pPr>
            <w:r>
              <w:rPr>
                <w:kern w:val="0"/>
                <w:sz w:val="15"/>
                <w:szCs w:val="15"/>
              </w:rPr>
              <w:t>芯    数</w:t>
            </w:r>
          </w:p>
        </w:tc>
        <w:tc>
          <w:tcPr>
            <w:tcW w:w="1394" w:type="dxa"/>
            <w:vAlign w:val="center"/>
          </w:tcPr>
          <w:p w14:paraId="7B8FE23A">
            <w:pPr>
              <w:autoSpaceDE w:val="0"/>
              <w:autoSpaceDN w:val="0"/>
              <w:spacing w:line="240" w:lineRule="auto"/>
              <w:jc w:val="center"/>
              <w:rPr>
                <w:kern w:val="0"/>
                <w:sz w:val="15"/>
                <w:szCs w:val="15"/>
              </w:rPr>
            </w:pPr>
            <w:r>
              <w:rPr>
                <w:kern w:val="0"/>
                <w:sz w:val="15"/>
                <w:szCs w:val="15"/>
              </w:rPr>
              <w:t>最少备用芯线</w:t>
            </w:r>
          </w:p>
        </w:tc>
      </w:tr>
      <w:tr w14:paraId="6DAF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Align w:val="center"/>
          </w:tcPr>
          <w:p w14:paraId="02623899">
            <w:pPr>
              <w:autoSpaceDE w:val="0"/>
              <w:autoSpaceDN w:val="0"/>
              <w:spacing w:line="240" w:lineRule="auto"/>
              <w:jc w:val="center"/>
              <w:rPr>
                <w:kern w:val="0"/>
                <w:sz w:val="15"/>
                <w:szCs w:val="15"/>
              </w:rPr>
            </w:pPr>
            <w:r>
              <w:rPr>
                <w:kern w:val="0"/>
                <w:sz w:val="15"/>
                <w:szCs w:val="15"/>
              </w:rPr>
              <w:t>9芯以下</w:t>
            </w:r>
          </w:p>
        </w:tc>
        <w:tc>
          <w:tcPr>
            <w:tcW w:w="1394" w:type="dxa"/>
            <w:vAlign w:val="center"/>
          </w:tcPr>
          <w:p w14:paraId="0D220892">
            <w:pPr>
              <w:autoSpaceDE w:val="0"/>
              <w:autoSpaceDN w:val="0"/>
              <w:spacing w:line="240" w:lineRule="auto"/>
              <w:jc w:val="center"/>
              <w:rPr>
                <w:kern w:val="0"/>
                <w:sz w:val="15"/>
                <w:szCs w:val="15"/>
              </w:rPr>
            </w:pPr>
            <w:r>
              <w:rPr>
                <w:kern w:val="0"/>
                <w:sz w:val="15"/>
                <w:szCs w:val="15"/>
              </w:rPr>
              <w:t>1芯</w:t>
            </w:r>
          </w:p>
        </w:tc>
      </w:tr>
      <w:tr w14:paraId="225D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Align w:val="center"/>
          </w:tcPr>
          <w:p w14:paraId="0281E304">
            <w:pPr>
              <w:autoSpaceDE w:val="0"/>
              <w:autoSpaceDN w:val="0"/>
              <w:spacing w:line="240" w:lineRule="auto"/>
              <w:jc w:val="center"/>
              <w:rPr>
                <w:kern w:val="0"/>
                <w:sz w:val="15"/>
                <w:szCs w:val="15"/>
              </w:rPr>
            </w:pPr>
            <w:r>
              <w:rPr>
                <w:kern w:val="0"/>
                <w:sz w:val="15"/>
                <w:szCs w:val="15"/>
              </w:rPr>
              <w:t>12芯～21芯</w:t>
            </w:r>
          </w:p>
        </w:tc>
        <w:tc>
          <w:tcPr>
            <w:tcW w:w="1394" w:type="dxa"/>
            <w:vAlign w:val="center"/>
          </w:tcPr>
          <w:p w14:paraId="4BEEC73A">
            <w:pPr>
              <w:autoSpaceDE w:val="0"/>
              <w:autoSpaceDN w:val="0"/>
              <w:spacing w:line="240" w:lineRule="auto"/>
              <w:jc w:val="center"/>
              <w:rPr>
                <w:kern w:val="0"/>
                <w:sz w:val="15"/>
                <w:szCs w:val="15"/>
              </w:rPr>
            </w:pPr>
            <w:r>
              <w:rPr>
                <w:kern w:val="0"/>
                <w:sz w:val="15"/>
                <w:szCs w:val="15"/>
              </w:rPr>
              <w:t>2芯</w:t>
            </w:r>
          </w:p>
        </w:tc>
      </w:tr>
      <w:tr w14:paraId="55ED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Align w:val="center"/>
          </w:tcPr>
          <w:p w14:paraId="039F62F0">
            <w:pPr>
              <w:autoSpaceDE w:val="0"/>
              <w:autoSpaceDN w:val="0"/>
              <w:spacing w:line="240" w:lineRule="auto"/>
              <w:jc w:val="center"/>
              <w:rPr>
                <w:kern w:val="0"/>
                <w:sz w:val="15"/>
                <w:szCs w:val="15"/>
              </w:rPr>
            </w:pPr>
            <w:r>
              <w:rPr>
                <w:kern w:val="0"/>
                <w:sz w:val="15"/>
                <w:szCs w:val="15"/>
              </w:rPr>
              <w:t>24芯～30芯</w:t>
            </w:r>
          </w:p>
        </w:tc>
        <w:tc>
          <w:tcPr>
            <w:tcW w:w="1394" w:type="dxa"/>
            <w:vAlign w:val="center"/>
          </w:tcPr>
          <w:p w14:paraId="14A34078">
            <w:pPr>
              <w:autoSpaceDE w:val="0"/>
              <w:autoSpaceDN w:val="0"/>
              <w:spacing w:line="240" w:lineRule="auto"/>
              <w:jc w:val="center"/>
              <w:rPr>
                <w:kern w:val="0"/>
                <w:sz w:val="15"/>
                <w:szCs w:val="15"/>
              </w:rPr>
            </w:pPr>
            <w:r>
              <w:rPr>
                <w:kern w:val="0"/>
                <w:sz w:val="15"/>
                <w:szCs w:val="15"/>
              </w:rPr>
              <w:t>3芯</w:t>
            </w:r>
          </w:p>
        </w:tc>
      </w:tr>
      <w:tr w14:paraId="1150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Align w:val="center"/>
          </w:tcPr>
          <w:p w14:paraId="0125CE7A">
            <w:pPr>
              <w:autoSpaceDE w:val="0"/>
              <w:autoSpaceDN w:val="0"/>
              <w:spacing w:line="240" w:lineRule="auto"/>
              <w:jc w:val="center"/>
              <w:rPr>
                <w:kern w:val="0"/>
                <w:sz w:val="15"/>
                <w:szCs w:val="15"/>
              </w:rPr>
            </w:pPr>
            <w:r>
              <w:rPr>
                <w:kern w:val="0"/>
                <w:sz w:val="15"/>
                <w:szCs w:val="15"/>
              </w:rPr>
              <w:t>33芯～48芯</w:t>
            </w:r>
          </w:p>
        </w:tc>
        <w:tc>
          <w:tcPr>
            <w:tcW w:w="1394" w:type="dxa"/>
            <w:vAlign w:val="center"/>
          </w:tcPr>
          <w:p w14:paraId="226ED791">
            <w:pPr>
              <w:autoSpaceDE w:val="0"/>
              <w:autoSpaceDN w:val="0"/>
              <w:spacing w:line="240" w:lineRule="auto"/>
              <w:jc w:val="center"/>
              <w:rPr>
                <w:kern w:val="0"/>
                <w:sz w:val="15"/>
                <w:szCs w:val="15"/>
              </w:rPr>
            </w:pPr>
            <w:r>
              <w:rPr>
                <w:kern w:val="0"/>
                <w:sz w:val="15"/>
                <w:szCs w:val="15"/>
              </w:rPr>
              <w:t>4芯</w:t>
            </w:r>
          </w:p>
        </w:tc>
      </w:tr>
      <w:tr w14:paraId="304F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Align w:val="center"/>
          </w:tcPr>
          <w:p w14:paraId="5E1CC720">
            <w:pPr>
              <w:autoSpaceDE w:val="0"/>
              <w:autoSpaceDN w:val="0"/>
              <w:spacing w:line="240" w:lineRule="auto"/>
              <w:jc w:val="center"/>
              <w:rPr>
                <w:kern w:val="0"/>
                <w:sz w:val="15"/>
                <w:szCs w:val="15"/>
              </w:rPr>
            </w:pPr>
            <w:r>
              <w:rPr>
                <w:kern w:val="0"/>
                <w:sz w:val="15"/>
                <w:szCs w:val="15"/>
              </w:rPr>
              <w:t>52芯～61芯</w:t>
            </w:r>
          </w:p>
        </w:tc>
        <w:tc>
          <w:tcPr>
            <w:tcW w:w="1394" w:type="dxa"/>
            <w:vAlign w:val="center"/>
          </w:tcPr>
          <w:p w14:paraId="11101059">
            <w:pPr>
              <w:autoSpaceDE w:val="0"/>
              <w:autoSpaceDN w:val="0"/>
              <w:spacing w:line="240" w:lineRule="auto"/>
              <w:jc w:val="center"/>
              <w:rPr>
                <w:kern w:val="0"/>
                <w:sz w:val="15"/>
                <w:szCs w:val="15"/>
              </w:rPr>
            </w:pPr>
            <w:r>
              <w:rPr>
                <w:kern w:val="0"/>
                <w:sz w:val="15"/>
                <w:szCs w:val="15"/>
              </w:rPr>
              <w:t>5芯</w:t>
            </w:r>
          </w:p>
        </w:tc>
      </w:tr>
    </w:tbl>
    <w:p w14:paraId="05B3A5B9">
      <w:pPr>
        <w:widowControl/>
        <w:kinsoku w:val="0"/>
        <w:autoSpaceDE w:val="0"/>
        <w:autoSpaceDN w:val="0"/>
        <w:adjustRightInd w:val="0"/>
        <w:snapToGrid w:val="0"/>
        <w:ind w:firstLine="420" w:firstLineChars="200"/>
        <w:textAlignment w:val="baseline"/>
      </w:pPr>
      <w:r>
        <w:rPr>
          <w:rFonts w:hint="eastAsia"/>
        </w:rPr>
        <w:t>2）  用于音频信号设备的综合扭绞信号电缆的芯线备用量应符合表18.9.7-2规定：</w:t>
      </w:r>
    </w:p>
    <w:p w14:paraId="57E96925">
      <w:pPr>
        <w:adjustRightInd w:val="0"/>
        <w:snapToGrid w:val="0"/>
        <w:ind w:left="420"/>
        <w:jc w:val="center"/>
        <w:rPr>
          <w:rFonts w:eastAsia="黑体"/>
          <w:sz w:val="18"/>
          <w:szCs w:val="18"/>
        </w:rPr>
      </w:pPr>
      <w:r>
        <w:rPr>
          <w:rFonts w:hint="eastAsia" w:eastAsia="黑体"/>
          <w:sz w:val="18"/>
          <w:szCs w:val="18"/>
        </w:rPr>
        <w:t>表18.9.7-2用于音频信号设备的综合扭绞信号电缆的芯线备用量</w:t>
      </w:r>
    </w:p>
    <w:tbl>
      <w:tblPr>
        <w:tblStyle w:val="88"/>
        <w:tblW w:w="3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1394"/>
      </w:tblGrid>
      <w:tr w14:paraId="42C5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Align w:val="center"/>
          </w:tcPr>
          <w:p w14:paraId="3073A076">
            <w:pPr>
              <w:autoSpaceDE w:val="0"/>
              <w:autoSpaceDN w:val="0"/>
              <w:spacing w:line="240" w:lineRule="auto"/>
              <w:jc w:val="center"/>
              <w:rPr>
                <w:kern w:val="0"/>
                <w:sz w:val="15"/>
                <w:szCs w:val="15"/>
              </w:rPr>
            </w:pPr>
            <w:r>
              <w:rPr>
                <w:kern w:val="0"/>
                <w:sz w:val="15"/>
                <w:szCs w:val="15"/>
              </w:rPr>
              <w:t>芯    数</w:t>
            </w:r>
          </w:p>
        </w:tc>
        <w:tc>
          <w:tcPr>
            <w:tcW w:w="1394" w:type="dxa"/>
            <w:vAlign w:val="center"/>
          </w:tcPr>
          <w:p w14:paraId="5EDF978C">
            <w:pPr>
              <w:autoSpaceDE w:val="0"/>
              <w:autoSpaceDN w:val="0"/>
              <w:spacing w:line="240" w:lineRule="auto"/>
              <w:jc w:val="center"/>
              <w:rPr>
                <w:kern w:val="0"/>
                <w:sz w:val="15"/>
                <w:szCs w:val="15"/>
              </w:rPr>
            </w:pPr>
            <w:r>
              <w:rPr>
                <w:kern w:val="0"/>
                <w:sz w:val="15"/>
                <w:szCs w:val="15"/>
              </w:rPr>
              <w:t>最少备用芯线</w:t>
            </w:r>
          </w:p>
        </w:tc>
      </w:tr>
      <w:tr w14:paraId="0D0D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Align w:val="center"/>
          </w:tcPr>
          <w:p w14:paraId="360BEB07">
            <w:pPr>
              <w:autoSpaceDE w:val="0"/>
              <w:autoSpaceDN w:val="0"/>
              <w:spacing w:line="240" w:lineRule="auto"/>
              <w:jc w:val="center"/>
              <w:rPr>
                <w:kern w:val="0"/>
                <w:sz w:val="15"/>
                <w:szCs w:val="15"/>
              </w:rPr>
            </w:pPr>
            <w:r>
              <w:rPr>
                <w:kern w:val="0"/>
                <w:sz w:val="15"/>
                <w:szCs w:val="15"/>
              </w:rPr>
              <w:t>4芯～16芯</w:t>
            </w:r>
          </w:p>
        </w:tc>
        <w:tc>
          <w:tcPr>
            <w:tcW w:w="1394" w:type="dxa"/>
            <w:vAlign w:val="center"/>
          </w:tcPr>
          <w:p w14:paraId="024430B5">
            <w:pPr>
              <w:autoSpaceDE w:val="0"/>
              <w:autoSpaceDN w:val="0"/>
              <w:spacing w:line="240" w:lineRule="auto"/>
              <w:jc w:val="center"/>
              <w:rPr>
                <w:kern w:val="0"/>
                <w:sz w:val="15"/>
                <w:szCs w:val="15"/>
              </w:rPr>
            </w:pPr>
            <w:r>
              <w:rPr>
                <w:kern w:val="0"/>
                <w:sz w:val="15"/>
                <w:szCs w:val="15"/>
              </w:rPr>
              <w:t>1对</w:t>
            </w:r>
          </w:p>
        </w:tc>
      </w:tr>
      <w:tr w14:paraId="5D45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Align w:val="center"/>
          </w:tcPr>
          <w:p w14:paraId="4EDC36FF">
            <w:pPr>
              <w:autoSpaceDE w:val="0"/>
              <w:autoSpaceDN w:val="0"/>
              <w:spacing w:line="240" w:lineRule="auto"/>
              <w:jc w:val="center"/>
              <w:rPr>
                <w:kern w:val="0"/>
                <w:sz w:val="15"/>
                <w:szCs w:val="15"/>
              </w:rPr>
            </w:pPr>
            <w:r>
              <w:rPr>
                <w:kern w:val="0"/>
                <w:sz w:val="15"/>
                <w:szCs w:val="15"/>
              </w:rPr>
              <w:t>19芯～44芯</w:t>
            </w:r>
          </w:p>
        </w:tc>
        <w:tc>
          <w:tcPr>
            <w:tcW w:w="1394" w:type="dxa"/>
            <w:vAlign w:val="center"/>
          </w:tcPr>
          <w:p w14:paraId="7136C58B">
            <w:pPr>
              <w:autoSpaceDE w:val="0"/>
              <w:autoSpaceDN w:val="0"/>
              <w:spacing w:line="240" w:lineRule="auto"/>
              <w:jc w:val="center"/>
              <w:rPr>
                <w:kern w:val="0"/>
                <w:sz w:val="15"/>
                <w:szCs w:val="15"/>
              </w:rPr>
            </w:pPr>
            <w:r>
              <w:rPr>
                <w:kern w:val="0"/>
                <w:sz w:val="15"/>
                <w:szCs w:val="15"/>
              </w:rPr>
              <w:t>2对</w:t>
            </w:r>
          </w:p>
        </w:tc>
      </w:tr>
      <w:tr w14:paraId="0E6B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Align w:val="center"/>
          </w:tcPr>
          <w:p w14:paraId="468721F3">
            <w:pPr>
              <w:autoSpaceDE w:val="0"/>
              <w:autoSpaceDN w:val="0"/>
              <w:spacing w:line="240" w:lineRule="auto"/>
              <w:jc w:val="center"/>
              <w:rPr>
                <w:kern w:val="0"/>
                <w:sz w:val="15"/>
                <w:szCs w:val="15"/>
              </w:rPr>
            </w:pPr>
            <w:r>
              <w:rPr>
                <w:kern w:val="0"/>
                <w:sz w:val="15"/>
                <w:szCs w:val="15"/>
              </w:rPr>
              <w:t>48芯～56芯</w:t>
            </w:r>
          </w:p>
        </w:tc>
        <w:tc>
          <w:tcPr>
            <w:tcW w:w="1394" w:type="dxa"/>
            <w:vAlign w:val="center"/>
          </w:tcPr>
          <w:p w14:paraId="492E4071">
            <w:pPr>
              <w:autoSpaceDE w:val="0"/>
              <w:autoSpaceDN w:val="0"/>
              <w:spacing w:line="240" w:lineRule="auto"/>
              <w:jc w:val="center"/>
              <w:rPr>
                <w:kern w:val="0"/>
                <w:sz w:val="15"/>
                <w:szCs w:val="15"/>
              </w:rPr>
            </w:pPr>
            <w:r>
              <w:rPr>
                <w:kern w:val="0"/>
                <w:sz w:val="15"/>
                <w:szCs w:val="15"/>
              </w:rPr>
              <w:t>3对</w:t>
            </w:r>
          </w:p>
        </w:tc>
      </w:tr>
      <w:tr w14:paraId="4262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Align w:val="center"/>
          </w:tcPr>
          <w:p w14:paraId="3C211A6A">
            <w:pPr>
              <w:autoSpaceDE w:val="0"/>
              <w:autoSpaceDN w:val="0"/>
              <w:spacing w:line="240" w:lineRule="auto"/>
              <w:jc w:val="center"/>
              <w:rPr>
                <w:kern w:val="0"/>
                <w:sz w:val="15"/>
                <w:szCs w:val="15"/>
              </w:rPr>
            </w:pPr>
            <w:r>
              <w:rPr>
                <w:kern w:val="0"/>
                <w:sz w:val="15"/>
                <w:szCs w:val="15"/>
              </w:rPr>
              <w:t>61芯</w:t>
            </w:r>
          </w:p>
        </w:tc>
        <w:tc>
          <w:tcPr>
            <w:tcW w:w="1394" w:type="dxa"/>
            <w:vAlign w:val="center"/>
          </w:tcPr>
          <w:p w14:paraId="5CFF1F5C">
            <w:pPr>
              <w:autoSpaceDE w:val="0"/>
              <w:autoSpaceDN w:val="0"/>
              <w:spacing w:line="240" w:lineRule="auto"/>
              <w:jc w:val="center"/>
              <w:rPr>
                <w:kern w:val="0"/>
                <w:sz w:val="15"/>
                <w:szCs w:val="15"/>
              </w:rPr>
            </w:pPr>
            <w:r>
              <w:rPr>
                <w:kern w:val="0"/>
                <w:sz w:val="15"/>
                <w:szCs w:val="15"/>
              </w:rPr>
              <w:t>3对+2芯</w:t>
            </w:r>
          </w:p>
        </w:tc>
      </w:tr>
    </w:tbl>
    <w:p w14:paraId="69CBEB9E">
      <w:pPr>
        <w:widowControl/>
        <w:kinsoku w:val="0"/>
        <w:autoSpaceDE w:val="0"/>
        <w:autoSpaceDN w:val="0"/>
        <w:adjustRightInd w:val="0"/>
        <w:snapToGrid w:val="0"/>
        <w:ind w:firstLine="420" w:firstLineChars="200"/>
        <w:textAlignment w:val="baseline"/>
      </w:pPr>
      <w:r>
        <w:rPr>
          <w:rFonts w:hint="eastAsia"/>
        </w:rPr>
        <w:t>3）电缆中的音频芯线应备用成对芯线，宜备用星绞组/对绞组线对；</w:t>
      </w:r>
    </w:p>
    <w:p w14:paraId="4F1B02C9">
      <w:pPr>
        <w:widowControl/>
        <w:kinsoku w:val="0"/>
        <w:autoSpaceDE w:val="0"/>
        <w:autoSpaceDN w:val="0"/>
        <w:adjustRightInd w:val="0"/>
        <w:snapToGrid w:val="0"/>
        <w:ind w:firstLine="420" w:firstLineChars="200"/>
        <w:textAlignment w:val="baseline"/>
      </w:pPr>
      <w:r>
        <w:rPr>
          <w:rFonts w:hint="eastAsia"/>
        </w:rPr>
        <w:t>4）当电缆芯线被完全使用时，应根据电缆使用数量和特点备用整根同类型电缆。</w:t>
      </w:r>
    </w:p>
    <w:p w14:paraId="5A46B28F">
      <w:pPr>
        <w:widowControl/>
        <w:kinsoku w:val="0"/>
        <w:autoSpaceDE w:val="0"/>
        <w:autoSpaceDN w:val="0"/>
        <w:adjustRightInd w:val="0"/>
        <w:snapToGrid w:val="0"/>
        <w:ind w:firstLine="422" w:firstLineChars="200"/>
        <w:textAlignment w:val="baseline"/>
      </w:pPr>
      <w:r>
        <w:rPr>
          <w:rFonts w:hint="eastAsia"/>
          <w:b/>
          <w:bCs/>
        </w:rPr>
        <w:t>5</w:t>
      </w:r>
      <w:r>
        <w:rPr>
          <w:rFonts w:hint="eastAsia"/>
        </w:rPr>
        <w:t xml:space="preserve">  电缆贯穿隔墙、楼板的孔洞处均应实施阻火封堵。</w:t>
      </w:r>
    </w:p>
    <w:p w14:paraId="653CF41C">
      <w:pPr>
        <w:widowControl/>
        <w:kinsoku w:val="0"/>
        <w:autoSpaceDE w:val="0"/>
        <w:autoSpaceDN w:val="0"/>
        <w:adjustRightInd w:val="0"/>
        <w:snapToGrid w:val="0"/>
        <w:ind w:firstLine="422" w:firstLineChars="200"/>
        <w:textAlignment w:val="baseline"/>
      </w:pPr>
      <w:r>
        <w:rPr>
          <w:rFonts w:hint="eastAsia"/>
          <w:b/>
          <w:bCs/>
        </w:rPr>
        <w:t xml:space="preserve">6  </w:t>
      </w:r>
      <w:r>
        <w:rPr>
          <w:rFonts w:hint="eastAsia"/>
        </w:rPr>
        <w:t>交流电力牵引区段，信号电缆同一芯线上任意两点间的感应纵电动势有效值应符合下列规定：</w:t>
      </w:r>
    </w:p>
    <w:p w14:paraId="6E6DC00B">
      <w:pPr>
        <w:widowControl/>
        <w:kinsoku w:val="0"/>
        <w:autoSpaceDE w:val="0"/>
        <w:autoSpaceDN w:val="0"/>
        <w:adjustRightInd w:val="0"/>
        <w:snapToGrid w:val="0"/>
        <w:ind w:firstLine="420" w:firstLineChars="200"/>
        <w:textAlignment w:val="baseline"/>
      </w:pPr>
      <w:r>
        <w:rPr>
          <w:rFonts w:hint="eastAsia"/>
        </w:rPr>
        <w:t>1） 接触网正常供电时，应大于60 V；</w:t>
      </w:r>
    </w:p>
    <w:p w14:paraId="036D5917">
      <w:pPr>
        <w:widowControl/>
        <w:kinsoku w:val="0"/>
        <w:autoSpaceDE w:val="0"/>
        <w:autoSpaceDN w:val="0"/>
        <w:adjustRightInd w:val="0"/>
        <w:snapToGrid w:val="0"/>
        <w:ind w:firstLine="420" w:firstLineChars="200"/>
        <w:textAlignment w:val="baseline"/>
        <w:rPr>
          <w:snapToGrid w:val="0"/>
          <w:spacing w:val="4"/>
          <w:kern w:val="0"/>
          <w:szCs w:val="21"/>
        </w:rPr>
      </w:pPr>
      <w:r>
        <w:rPr>
          <w:rFonts w:hint="eastAsia"/>
        </w:rPr>
        <w:t>2） 接触网故障状态时，应大于电缆直流耐压试验的60%或交流耐压试验的85%。</w:t>
      </w:r>
    </w:p>
    <w:p w14:paraId="14FF7AD6">
      <w:pPr>
        <w:numPr>
          <w:ilvl w:val="2"/>
          <w:numId w:val="1"/>
        </w:numPr>
        <w:tabs>
          <w:tab w:val="left" w:pos="709"/>
          <w:tab w:val="left" w:pos="794"/>
        </w:tabs>
        <w:jc w:val="left"/>
        <w:outlineLvl w:val="2"/>
        <w:rPr>
          <w:snapToGrid w:val="0"/>
        </w:rPr>
      </w:pPr>
      <w:r>
        <w:rPr>
          <w:snapToGrid w:val="0"/>
        </w:rPr>
        <w:t>信号系统设备用房应满足下列要求：</w:t>
      </w:r>
    </w:p>
    <w:p w14:paraId="28180F0D">
      <w:pPr>
        <w:widowControl/>
        <w:kinsoku w:val="0"/>
        <w:autoSpaceDE w:val="0"/>
        <w:autoSpaceDN w:val="0"/>
        <w:adjustRightInd w:val="0"/>
        <w:snapToGrid w:val="0"/>
        <w:ind w:firstLine="422" w:firstLineChars="200"/>
        <w:textAlignment w:val="baseline"/>
      </w:pPr>
      <w:r>
        <w:rPr>
          <w:rFonts w:hint="eastAsia"/>
          <w:b/>
        </w:rPr>
        <w:t>1</w:t>
      </w:r>
      <w:r>
        <w:rPr>
          <w:rFonts w:hint="eastAsia"/>
        </w:rPr>
        <w:t xml:space="preserve">  信号设备室面积应留有适当余量，以备设备增加、更新改造倒接；</w:t>
      </w:r>
    </w:p>
    <w:p w14:paraId="3E063F1D">
      <w:pPr>
        <w:widowControl/>
        <w:kinsoku w:val="0"/>
        <w:autoSpaceDE w:val="0"/>
        <w:autoSpaceDN w:val="0"/>
        <w:adjustRightInd w:val="0"/>
        <w:snapToGrid w:val="0"/>
        <w:ind w:firstLine="420" w:firstLineChars="200"/>
        <w:textAlignment w:val="baseline"/>
      </w:pPr>
      <w:r>
        <w:rPr>
          <w:rFonts w:hint="eastAsia"/>
        </w:rPr>
        <w:t>2  信号设备室应远离变电所、环控电控室、气瓶间、有水房间和有振动源的房间；</w:t>
      </w:r>
    </w:p>
    <w:p w14:paraId="10B009C3">
      <w:pPr>
        <w:widowControl/>
        <w:kinsoku w:val="0"/>
        <w:autoSpaceDE w:val="0"/>
        <w:autoSpaceDN w:val="0"/>
        <w:adjustRightInd w:val="0"/>
        <w:snapToGrid w:val="0"/>
        <w:ind w:firstLine="422" w:firstLineChars="200"/>
        <w:textAlignment w:val="baseline"/>
      </w:pPr>
      <w:r>
        <w:rPr>
          <w:rFonts w:hint="eastAsia"/>
          <w:b/>
        </w:rPr>
        <w:t>3</w:t>
      </w:r>
      <w:r>
        <w:rPr>
          <w:rFonts w:hint="eastAsia"/>
        </w:rPr>
        <w:t xml:space="preserve">  信号设备室（含电源间）环境应满足设备运用的要求，并应符合现行国家标准《数据中心设计规范》GB50174的规定；</w:t>
      </w:r>
    </w:p>
    <w:p w14:paraId="4C734998">
      <w:pPr>
        <w:ind w:firstLine="422" w:firstLineChars="200"/>
        <w:rPr>
          <w:rFonts w:ascii="宋体" w:hAnsi="宋体" w:cs="宋体"/>
          <w:kern w:val="0"/>
        </w:rPr>
      </w:pPr>
      <w:r>
        <w:rPr>
          <w:b/>
          <w:lang w:bidi="ar"/>
        </w:rPr>
        <w:t xml:space="preserve">4 </w:t>
      </w:r>
      <w:r>
        <w:rPr>
          <w:lang w:bidi="ar"/>
        </w:rPr>
        <w:t xml:space="preserve"> </w:t>
      </w:r>
      <w:r>
        <w:rPr>
          <w:rFonts w:hint="eastAsia" w:cs="宋体"/>
          <w:lang w:bidi="ar"/>
        </w:rPr>
        <w:t>信号设备室内布置间距，宜符合表18</w:t>
      </w:r>
      <w:r>
        <w:rPr>
          <w:lang w:bidi="ar"/>
        </w:rPr>
        <w:t>.9.</w:t>
      </w:r>
      <w:r>
        <w:rPr>
          <w:rFonts w:hint="eastAsia"/>
          <w:lang w:bidi="ar"/>
        </w:rPr>
        <w:t>9</w:t>
      </w:r>
      <w:r>
        <w:rPr>
          <w:rFonts w:hint="eastAsia" w:cs="宋体"/>
          <w:lang w:bidi="ar"/>
        </w:rPr>
        <w:t>的规定：</w:t>
      </w:r>
    </w:p>
    <w:p w14:paraId="7DDB1831">
      <w:pPr>
        <w:adjustRightInd w:val="0"/>
        <w:snapToGrid w:val="0"/>
        <w:ind w:firstLine="400"/>
        <w:jc w:val="center"/>
        <w:rPr>
          <w:rFonts w:eastAsia="黑体" w:cs="黑体"/>
          <w:sz w:val="18"/>
          <w:szCs w:val="18"/>
        </w:rPr>
      </w:pPr>
      <w:r>
        <w:rPr>
          <w:rFonts w:hint="eastAsia" w:eastAsia="黑体" w:cs="黑体"/>
          <w:sz w:val="18"/>
          <w:szCs w:val="18"/>
          <w:lang w:bidi="ar"/>
        </w:rPr>
        <w:t>表18</w:t>
      </w:r>
      <w:r>
        <w:rPr>
          <w:rFonts w:eastAsia="黑体"/>
          <w:sz w:val="18"/>
          <w:szCs w:val="18"/>
          <w:lang w:bidi="ar"/>
        </w:rPr>
        <w:t>.9.</w:t>
      </w:r>
      <w:r>
        <w:rPr>
          <w:rFonts w:hint="eastAsia" w:eastAsia="黑体"/>
          <w:sz w:val="18"/>
          <w:szCs w:val="18"/>
          <w:lang w:bidi="ar"/>
        </w:rPr>
        <w:t>9</w:t>
      </w:r>
      <w:r>
        <w:rPr>
          <w:rFonts w:eastAsia="黑体"/>
          <w:sz w:val="18"/>
          <w:szCs w:val="18"/>
          <w:lang w:bidi="ar"/>
        </w:rPr>
        <w:t xml:space="preserve">  </w:t>
      </w:r>
      <w:r>
        <w:rPr>
          <w:rFonts w:hint="eastAsia" w:eastAsia="黑体" w:cs="黑体"/>
          <w:sz w:val="18"/>
          <w:szCs w:val="18"/>
          <w:lang w:bidi="ar"/>
        </w:rPr>
        <w:t>信号设备室内布置距离（</w:t>
      </w:r>
      <w:r>
        <w:rPr>
          <w:rFonts w:eastAsia="黑体"/>
          <w:sz w:val="18"/>
          <w:szCs w:val="18"/>
          <w:lang w:bidi="ar"/>
        </w:rPr>
        <w:t>m</w:t>
      </w:r>
      <w:r>
        <w:rPr>
          <w:rFonts w:hint="eastAsia" w:eastAsia="黑体" w:cs="黑体"/>
          <w:sz w:val="18"/>
          <w:szCs w:val="18"/>
          <w:lang w:bidi="ar"/>
        </w:rPr>
        <w:t>）</w:t>
      </w:r>
    </w:p>
    <w:tbl>
      <w:tblPr>
        <w:tblStyle w:val="88"/>
        <w:tblW w:w="456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9"/>
        <w:gridCol w:w="1483"/>
        <w:gridCol w:w="1385"/>
      </w:tblGrid>
      <w:tr w14:paraId="61F93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8" w:hRule="atLeast"/>
          <w:jc w:val="center"/>
        </w:trPr>
        <w:tc>
          <w:tcPr>
            <w:tcW w:w="1699" w:type="dxa"/>
            <w:tcBorders>
              <w:top w:val="single" w:color="000000" w:sz="2" w:space="0"/>
              <w:left w:val="single" w:color="000000" w:sz="6" w:space="0"/>
              <w:bottom w:val="single" w:color="000000" w:sz="2" w:space="0"/>
              <w:right w:val="single" w:color="000000" w:sz="2" w:space="0"/>
            </w:tcBorders>
            <w:vAlign w:val="center"/>
          </w:tcPr>
          <w:p w14:paraId="593C170C">
            <w:pPr>
              <w:autoSpaceDE w:val="0"/>
              <w:autoSpaceDN w:val="0"/>
              <w:spacing w:line="240" w:lineRule="auto"/>
              <w:jc w:val="center"/>
              <w:rPr>
                <w:kern w:val="0"/>
                <w:sz w:val="15"/>
                <w:szCs w:val="15"/>
              </w:rPr>
            </w:pPr>
            <w:r>
              <w:rPr>
                <w:rFonts w:hint="eastAsia"/>
                <w:kern w:val="0"/>
                <w:sz w:val="15"/>
                <w:szCs w:val="15"/>
                <w:lang w:bidi="ar"/>
              </w:rPr>
              <w:t>名称</w:t>
            </w:r>
          </w:p>
        </w:tc>
        <w:tc>
          <w:tcPr>
            <w:tcW w:w="1483" w:type="dxa"/>
            <w:tcBorders>
              <w:top w:val="single" w:color="000000" w:sz="2" w:space="0"/>
              <w:left w:val="single" w:color="000000" w:sz="2" w:space="0"/>
              <w:bottom w:val="single" w:color="000000" w:sz="2" w:space="0"/>
              <w:right w:val="single" w:color="000000" w:sz="2" w:space="0"/>
            </w:tcBorders>
            <w:vAlign w:val="center"/>
          </w:tcPr>
          <w:p w14:paraId="714CFBF3">
            <w:pPr>
              <w:autoSpaceDE w:val="0"/>
              <w:autoSpaceDN w:val="0"/>
              <w:spacing w:line="240" w:lineRule="auto"/>
              <w:jc w:val="center"/>
              <w:rPr>
                <w:kern w:val="0"/>
                <w:sz w:val="15"/>
                <w:szCs w:val="15"/>
              </w:rPr>
            </w:pPr>
            <w:r>
              <w:rPr>
                <w:rFonts w:hint="eastAsia"/>
                <w:kern w:val="0"/>
                <w:sz w:val="15"/>
                <w:szCs w:val="15"/>
                <w:lang w:bidi="ar"/>
              </w:rPr>
              <w:t>设备间隔对象</w:t>
            </w:r>
          </w:p>
        </w:tc>
        <w:tc>
          <w:tcPr>
            <w:tcW w:w="1385" w:type="dxa"/>
            <w:tcBorders>
              <w:top w:val="single" w:color="000000" w:sz="2" w:space="0"/>
              <w:left w:val="single" w:color="000000" w:sz="2" w:space="0"/>
              <w:bottom w:val="single" w:color="000000" w:sz="2" w:space="0"/>
              <w:right w:val="single" w:color="000000" w:sz="6" w:space="0"/>
            </w:tcBorders>
            <w:vAlign w:val="center"/>
          </w:tcPr>
          <w:p w14:paraId="316A9C41">
            <w:pPr>
              <w:autoSpaceDE w:val="0"/>
              <w:autoSpaceDN w:val="0"/>
              <w:spacing w:line="240" w:lineRule="auto"/>
              <w:jc w:val="center"/>
              <w:rPr>
                <w:kern w:val="0"/>
                <w:sz w:val="15"/>
                <w:szCs w:val="15"/>
              </w:rPr>
            </w:pPr>
            <w:r>
              <w:rPr>
                <w:rFonts w:hint="eastAsia"/>
                <w:kern w:val="0"/>
                <w:sz w:val="15"/>
                <w:szCs w:val="15"/>
                <w:lang w:bidi="ar"/>
              </w:rPr>
              <w:t>净距离要求</w:t>
            </w:r>
          </w:p>
        </w:tc>
      </w:tr>
      <w:tr w14:paraId="69240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3" w:hRule="atLeast"/>
          <w:jc w:val="center"/>
        </w:trPr>
        <w:tc>
          <w:tcPr>
            <w:tcW w:w="1699" w:type="dxa"/>
            <w:tcBorders>
              <w:top w:val="single" w:color="000000" w:sz="2" w:space="0"/>
              <w:left w:val="single" w:color="000000" w:sz="6" w:space="0"/>
              <w:bottom w:val="single" w:color="000000" w:sz="2" w:space="0"/>
              <w:right w:val="single" w:color="000000" w:sz="2" w:space="0"/>
            </w:tcBorders>
            <w:vAlign w:val="center"/>
          </w:tcPr>
          <w:p w14:paraId="2FC92B67">
            <w:pPr>
              <w:autoSpaceDE w:val="0"/>
              <w:autoSpaceDN w:val="0"/>
              <w:spacing w:line="240" w:lineRule="auto"/>
              <w:jc w:val="center"/>
              <w:rPr>
                <w:kern w:val="0"/>
                <w:sz w:val="15"/>
                <w:szCs w:val="15"/>
              </w:rPr>
            </w:pPr>
            <w:r>
              <w:rPr>
                <w:rFonts w:hint="eastAsia"/>
                <w:kern w:val="0"/>
                <w:sz w:val="15"/>
                <w:szCs w:val="15"/>
                <w:lang w:bidi="ar"/>
              </w:rPr>
              <w:t>机柜间</w:t>
            </w:r>
          </w:p>
        </w:tc>
        <w:tc>
          <w:tcPr>
            <w:tcW w:w="1483" w:type="dxa"/>
            <w:tcBorders>
              <w:top w:val="single" w:color="000000" w:sz="2" w:space="0"/>
              <w:left w:val="single" w:color="000000" w:sz="2" w:space="0"/>
              <w:bottom w:val="single" w:color="000000" w:sz="2" w:space="0"/>
              <w:right w:val="single" w:color="000000" w:sz="2" w:space="0"/>
            </w:tcBorders>
            <w:vAlign w:val="center"/>
          </w:tcPr>
          <w:p w14:paraId="5392EA81">
            <w:pPr>
              <w:autoSpaceDE w:val="0"/>
              <w:autoSpaceDN w:val="0"/>
              <w:spacing w:line="240" w:lineRule="auto"/>
              <w:jc w:val="center"/>
              <w:rPr>
                <w:kern w:val="0"/>
                <w:sz w:val="15"/>
                <w:szCs w:val="15"/>
              </w:rPr>
            </w:pPr>
            <w:r>
              <w:rPr>
                <w:rFonts w:hint="eastAsia"/>
                <w:kern w:val="0"/>
                <w:sz w:val="15"/>
                <w:szCs w:val="15"/>
                <w:lang w:bidi="ar"/>
              </w:rPr>
              <w:t>走道</w:t>
            </w:r>
          </w:p>
        </w:tc>
        <w:tc>
          <w:tcPr>
            <w:tcW w:w="1385" w:type="dxa"/>
            <w:tcBorders>
              <w:top w:val="single" w:color="000000" w:sz="2" w:space="0"/>
              <w:left w:val="single" w:color="000000" w:sz="2" w:space="0"/>
              <w:bottom w:val="single" w:color="000000" w:sz="2" w:space="0"/>
              <w:right w:val="single" w:color="000000" w:sz="6" w:space="0"/>
            </w:tcBorders>
            <w:vAlign w:val="center"/>
          </w:tcPr>
          <w:p w14:paraId="463B39C5">
            <w:pPr>
              <w:autoSpaceDE w:val="0"/>
              <w:autoSpaceDN w:val="0"/>
              <w:spacing w:line="240" w:lineRule="auto"/>
              <w:jc w:val="center"/>
              <w:rPr>
                <w:kern w:val="0"/>
                <w:sz w:val="15"/>
                <w:szCs w:val="15"/>
              </w:rPr>
            </w:pPr>
            <w:r>
              <w:rPr>
                <w:kern w:val="0"/>
                <w:sz w:val="15"/>
                <w:szCs w:val="15"/>
                <w:lang w:bidi="ar"/>
              </w:rPr>
              <w:t>≥1.0</w:t>
            </w:r>
          </w:p>
        </w:tc>
      </w:tr>
      <w:tr w14:paraId="6099D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7" w:hRule="atLeast"/>
          <w:jc w:val="center"/>
        </w:trPr>
        <w:tc>
          <w:tcPr>
            <w:tcW w:w="1699" w:type="dxa"/>
            <w:vMerge w:val="restart"/>
            <w:tcBorders>
              <w:top w:val="single" w:color="000000" w:sz="2" w:space="0"/>
              <w:left w:val="single" w:color="000000" w:sz="6" w:space="0"/>
              <w:bottom w:val="single" w:color="000000" w:sz="2" w:space="0"/>
              <w:right w:val="single" w:color="000000" w:sz="2" w:space="0"/>
            </w:tcBorders>
            <w:vAlign w:val="center"/>
          </w:tcPr>
          <w:p w14:paraId="26D6BAF9">
            <w:pPr>
              <w:autoSpaceDE w:val="0"/>
              <w:autoSpaceDN w:val="0"/>
              <w:spacing w:line="240" w:lineRule="auto"/>
              <w:jc w:val="center"/>
              <w:rPr>
                <w:kern w:val="0"/>
                <w:sz w:val="15"/>
                <w:szCs w:val="15"/>
              </w:rPr>
            </w:pPr>
            <w:r>
              <w:rPr>
                <w:rFonts w:hint="eastAsia"/>
                <w:kern w:val="0"/>
                <w:sz w:val="15"/>
                <w:szCs w:val="15"/>
                <w:lang w:bidi="ar"/>
              </w:rPr>
              <w:t>控制台、机柜与墙</w:t>
            </w:r>
          </w:p>
        </w:tc>
        <w:tc>
          <w:tcPr>
            <w:tcW w:w="1483" w:type="dxa"/>
            <w:tcBorders>
              <w:top w:val="single" w:color="000000" w:sz="2" w:space="0"/>
              <w:left w:val="single" w:color="000000" w:sz="2" w:space="0"/>
              <w:bottom w:val="single" w:color="000000" w:sz="2" w:space="0"/>
              <w:right w:val="single" w:color="000000" w:sz="2" w:space="0"/>
            </w:tcBorders>
            <w:vAlign w:val="center"/>
          </w:tcPr>
          <w:p w14:paraId="16CFB7A7">
            <w:pPr>
              <w:autoSpaceDE w:val="0"/>
              <w:autoSpaceDN w:val="0"/>
              <w:spacing w:line="240" w:lineRule="auto"/>
              <w:jc w:val="center"/>
              <w:rPr>
                <w:kern w:val="0"/>
                <w:sz w:val="15"/>
                <w:szCs w:val="15"/>
              </w:rPr>
            </w:pPr>
            <w:r>
              <w:rPr>
                <w:rFonts w:hint="eastAsia"/>
                <w:kern w:val="0"/>
                <w:sz w:val="15"/>
                <w:szCs w:val="15"/>
                <w:lang w:bidi="ar"/>
              </w:rPr>
              <w:t>主走道</w:t>
            </w:r>
          </w:p>
        </w:tc>
        <w:tc>
          <w:tcPr>
            <w:tcW w:w="1385" w:type="dxa"/>
            <w:tcBorders>
              <w:top w:val="single" w:color="000000" w:sz="2" w:space="0"/>
              <w:left w:val="single" w:color="000000" w:sz="2" w:space="0"/>
              <w:bottom w:val="single" w:color="000000" w:sz="2" w:space="0"/>
              <w:right w:val="single" w:color="000000" w:sz="6" w:space="0"/>
            </w:tcBorders>
            <w:vAlign w:val="center"/>
          </w:tcPr>
          <w:p w14:paraId="39C5494D">
            <w:pPr>
              <w:autoSpaceDE w:val="0"/>
              <w:autoSpaceDN w:val="0"/>
              <w:spacing w:line="240" w:lineRule="auto"/>
              <w:jc w:val="center"/>
              <w:rPr>
                <w:kern w:val="0"/>
                <w:sz w:val="15"/>
                <w:szCs w:val="15"/>
              </w:rPr>
            </w:pPr>
            <w:r>
              <w:rPr>
                <w:kern w:val="0"/>
                <w:sz w:val="15"/>
                <w:szCs w:val="15"/>
                <w:lang w:bidi="ar"/>
              </w:rPr>
              <w:t>≥1.2</w:t>
            </w:r>
          </w:p>
        </w:tc>
      </w:tr>
      <w:tr w14:paraId="438FA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7" w:hRule="atLeast"/>
          <w:jc w:val="center"/>
        </w:trPr>
        <w:tc>
          <w:tcPr>
            <w:tcW w:w="1699" w:type="dxa"/>
            <w:vMerge w:val="continue"/>
            <w:tcBorders>
              <w:top w:val="single" w:color="000000" w:sz="2" w:space="0"/>
              <w:left w:val="single" w:color="000000" w:sz="6" w:space="0"/>
              <w:bottom w:val="single" w:color="000000" w:sz="2" w:space="0"/>
              <w:right w:val="single" w:color="000000" w:sz="2" w:space="0"/>
            </w:tcBorders>
            <w:vAlign w:val="center"/>
          </w:tcPr>
          <w:p w14:paraId="097FDC84">
            <w:pPr>
              <w:autoSpaceDE w:val="0"/>
              <w:autoSpaceDN w:val="0"/>
              <w:spacing w:line="240" w:lineRule="auto"/>
              <w:jc w:val="center"/>
              <w:rPr>
                <w:kern w:val="0"/>
                <w:sz w:val="20"/>
                <w:szCs w:val="15"/>
              </w:rPr>
            </w:pPr>
          </w:p>
        </w:tc>
        <w:tc>
          <w:tcPr>
            <w:tcW w:w="1483" w:type="dxa"/>
            <w:tcBorders>
              <w:top w:val="single" w:color="000000" w:sz="2" w:space="0"/>
              <w:left w:val="single" w:color="000000" w:sz="2" w:space="0"/>
              <w:bottom w:val="single" w:color="000000" w:sz="2" w:space="0"/>
              <w:right w:val="single" w:color="000000" w:sz="2" w:space="0"/>
            </w:tcBorders>
            <w:vAlign w:val="center"/>
          </w:tcPr>
          <w:p w14:paraId="093B73DF">
            <w:pPr>
              <w:autoSpaceDE w:val="0"/>
              <w:autoSpaceDN w:val="0"/>
              <w:spacing w:line="240" w:lineRule="auto"/>
              <w:jc w:val="center"/>
              <w:rPr>
                <w:kern w:val="0"/>
                <w:sz w:val="15"/>
                <w:szCs w:val="15"/>
              </w:rPr>
            </w:pPr>
            <w:r>
              <w:rPr>
                <w:rFonts w:hint="eastAsia"/>
                <w:kern w:val="0"/>
                <w:sz w:val="15"/>
                <w:szCs w:val="15"/>
                <w:lang w:bidi="ar"/>
              </w:rPr>
              <w:t>次走道</w:t>
            </w:r>
          </w:p>
        </w:tc>
        <w:tc>
          <w:tcPr>
            <w:tcW w:w="1385" w:type="dxa"/>
            <w:tcBorders>
              <w:top w:val="single" w:color="000000" w:sz="2" w:space="0"/>
              <w:left w:val="single" w:color="000000" w:sz="2" w:space="0"/>
              <w:bottom w:val="single" w:color="000000" w:sz="2" w:space="0"/>
              <w:right w:val="single" w:color="000000" w:sz="6" w:space="0"/>
            </w:tcBorders>
            <w:vAlign w:val="center"/>
          </w:tcPr>
          <w:p w14:paraId="48D8E32A">
            <w:pPr>
              <w:autoSpaceDE w:val="0"/>
              <w:autoSpaceDN w:val="0"/>
              <w:spacing w:line="240" w:lineRule="auto"/>
              <w:jc w:val="center"/>
              <w:rPr>
                <w:kern w:val="0"/>
                <w:sz w:val="15"/>
                <w:szCs w:val="15"/>
              </w:rPr>
            </w:pPr>
            <w:r>
              <w:rPr>
                <w:kern w:val="0"/>
                <w:sz w:val="15"/>
                <w:szCs w:val="15"/>
                <w:lang w:bidi="ar"/>
              </w:rPr>
              <w:t>≥1.0</w:t>
            </w:r>
          </w:p>
        </w:tc>
      </w:tr>
      <w:tr w14:paraId="0A46F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7" w:hRule="atLeast"/>
          <w:jc w:val="center"/>
        </w:trPr>
        <w:tc>
          <w:tcPr>
            <w:tcW w:w="1699" w:type="dxa"/>
            <w:vMerge w:val="continue"/>
            <w:tcBorders>
              <w:top w:val="single" w:color="000000" w:sz="2" w:space="0"/>
              <w:left w:val="single" w:color="000000" w:sz="6" w:space="0"/>
              <w:bottom w:val="single" w:color="000000" w:sz="2" w:space="0"/>
              <w:right w:val="single" w:color="000000" w:sz="2" w:space="0"/>
            </w:tcBorders>
            <w:vAlign w:val="center"/>
          </w:tcPr>
          <w:p w14:paraId="784A3268">
            <w:pPr>
              <w:autoSpaceDE w:val="0"/>
              <w:autoSpaceDN w:val="0"/>
              <w:spacing w:line="240" w:lineRule="auto"/>
              <w:jc w:val="center"/>
              <w:rPr>
                <w:kern w:val="0"/>
                <w:sz w:val="20"/>
                <w:szCs w:val="15"/>
              </w:rPr>
            </w:pPr>
          </w:p>
        </w:tc>
        <w:tc>
          <w:tcPr>
            <w:tcW w:w="1483" w:type="dxa"/>
            <w:tcBorders>
              <w:top w:val="single" w:color="000000" w:sz="2" w:space="0"/>
              <w:left w:val="single" w:color="000000" w:sz="2" w:space="0"/>
              <w:bottom w:val="single" w:color="000000" w:sz="2" w:space="0"/>
              <w:right w:val="single" w:color="000000" w:sz="2" w:space="0"/>
            </w:tcBorders>
            <w:vAlign w:val="center"/>
          </w:tcPr>
          <w:p w14:paraId="517CA8C1">
            <w:pPr>
              <w:autoSpaceDE w:val="0"/>
              <w:autoSpaceDN w:val="0"/>
              <w:spacing w:line="240" w:lineRule="auto"/>
              <w:jc w:val="center"/>
              <w:rPr>
                <w:kern w:val="0"/>
                <w:sz w:val="15"/>
                <w:szCs w:val="15"/>
              </w:rPr>
            </w:pPr>
            <w:r>
              <w:rPr>
                <w:rFonts w:hint="eastAsia"/>
                <w:kern w:val="0"/>
                <w:sz w:val="15"/>
                <w:szCs w:val="15"/>
                <w:lang w:bidi="ar"/>
              </w:rPr>
              <w:t>尽端架</w:t>
            </w:r>
          </w:p>
        </w:tc>
        <w:tc>
          <w:tcPr>
            <w:tcW w:w="1385" w:type="dxa"/>
            <w:tcBorders>
              <w:top w:val="single" w:color="000000" w:sz="2" w:space="0"/>
              <w:left w:val="single" w:color="000000" w:sz="2" w:space="0"/>
              <w:bottom w:val="single" w:color="000000" w:sz="2" w:space="0"/>
              <w:right w:val="single" w:color="000000" w:sz="6" w:space="0"/>
            </w:tcBorders>
            <w:vAlign w:val="center"/>
          </w:tcPr>
          <w:p w14:paraId="3662E063">
            <w:pPr>
              <w:autoSpaceDE w:val="0"/>
              <w:autoSpaceDN w:val="0"/>
              <w:spacing w:line="240" w:lineRule="auto"/>
              <w:jc w:val="center"/>
              <w:rPr>
                <w:kern w:val="0"/>
                <w:sz w:val="15"/>
                <w:szCs w:val="15"/>
              </w:rPr>
            </w:pPr>
            <w:r>
              <w:rPr>
                <w:kern w:val="0"/>
                <w:sz w:val="15"/>
                <w:szCs w:val="15"/>
                <w:lang w:bidi="ar"/>
              </w:rPr>
              <w:t>≥1.0</w:t>
            </w:r>
          </w:p>
        </w:tc>
      </w:tr>
      <w:tr w14:paraId="48301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jc w:val="center"/>
        </w:trPr>
        <w:tc>
          <w:tcPr>
            <w:tcW w:w="1699" w:type="dxa"/>
            <w:tcBorders>
              <w:top w:val="single" w:color="000000" w:sz="2" w:space="0"/>
              <w:left w:val="single" w:color="000000" w:sz="6" w:space="0"/>
              <w:bottom w:val="single" w:color="000000" w:sz="2" w:space="0"/>
              <w:right w:val="single" w:color="000000" w:sz="2" w:space="0"/>
            </w:tcBorders>
            <w:vAlign w:val="center"/>
          </w:tcPr>
          <w:p w14:paraId="602B268E">
            <w:pPr>
              <w:autoSpaceDE w:val="0"/>
              <w:autoSpaceDN w:val="0"/>
              <w:spacing w:line="240" w:lineRule="auto"/>
              <w:jc w:val="center"/>
              <w:rPr>
                <w:kern w:val="0"/>
                <w:sz w:val="15"/>
                <w:szCs w:val="15"/>
              </w:rPr>
            </w:pPr>
            <w:r>
              <w:rPr>
                <w:rFonts w:hint="eastAsia"/>
                <w:kern w:val="0"/>
                <w:sz w:val="15"/>
                <w:szCs w:val="15"/>
                <w:lang w:bidi="ar"/>
              </w:rPr>
              <w:t>电源屏与机柜</w:t>
            </w:r>
          </w:p>
        </w:tc>
        <w:tc>
          <w:tcPr>
            <w:tcW w:w="1483" w:type="dxa"/>
            <w:tcBorders>
              <w:top w:val="single" w:color="000000" w:sz="2" w:space="0"/>
              <w:left w:val="single" w:color="000000" w:sz="2" w:space="0"/>
              <w:bottom w:val="single" w:color="000000" w:sz="2" w:space="0"/>
              <w:right w:val="single" w:color="000000" w:sz="2" w:space="0"/>
            </w:tcBorders>
            <w:vAlign w:val="center"/>
          </w:tcPr>
          <w:p w14:paraId="7272F33E">
            <w:pPr>
              <w:autoSpaceDE w:val="0"/>
              <w:autoSpaceDN w:val="0"/>
              <w:spacing w:line="240" w:lineRule="auto"/>
              <w:jc w:val="center"/>
              <w:rPr>
                <w:kern w:val="0"/>
                <w:sz w:val="15"/>
                <w:szCs w:val="15"/>
              </w:rPr>
            </w:pPr>
            <w:r>
              <w:rPr>
                <w:rFonts w:hint="eastAsia"/>
                <w:kern w:val="0"/>
                <w:sz w:val="15"/>
                <w:szCs w:val="15"/>
                <w:lang w:bidi="ar"/>
              </w:rPr>
              <w:t>净距</w:t>
            </w:r>
          </w:p>
        </w:tc>
        <w:tc>
          <w:tcPr>
            <w:tcW w:w="1385" w:type="dxa"/>
            <w:tcBorders>
              <w:top w:val="single" w:color="000000" w:sz="2" w:space="0"/>
              <w:left w:val="single" w:color="000000" w:sz="2" w:space="0"/>
              <w:bottom w:val="single" w:color="000000" w:sz="2" w:space="0"/>
              <w:right w:val="single" w:color="000000" w:sz="6" w:space="0"/>
            </w:tcBorders>
            <w:vAlign w:val="center"/>
          </w:tcPr>
          <w:p w14:paraId="3EEA93AD">
            <w:pPr>
              <w:autoSpaceDE w:val="0"/>
              <w:autoSpaceDN w:val="0"/>
              <w:spacing w:line="240" w:lineRule="auto"/>
              <w:jc w:val="center"/>
              <w:rPr>
                <w:kern w:val="0"/>
                <w:sz w:val="15"/>
                <w:szCs w:val="15"/>
              </w:rPr>
            </w:pPr>
            <w:r>
              <w:rPr>
                <w:kern w:val="0"/>
                <w:sz w:val="15"/>
                <w:szCs w:val="15"/>
                <w:lang w:bidi="ar"/>
              </w:rPr>
              <w:t>≥1.5</w:t>
            </w:r>
          </w:p>
        </w:tc>
      </w:tr>
      <w:tr w14:paraId="06FBF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2" w:hRule="atLeast"/>
          <w:jc w:val="center"/>
        </w:trPr>
        <w:tc>
          <w:tcPr>
            <w:tcW w:w="1699" w:type="dxa"/>
            <w:tcBorders>
              <w:top w:val="single" w:color="000000" w:sz="2" w:space="0"/>
              <w:left w:val="single" w:color="000000" w:sz="6" w:space="0"/>
              <w:bottom w:val="single" w:color="000000" w:sz="2" w:space="0"/>
              <w:right w:val="single" w:color="000000" w:sz="2" w:space="0"/>
            </w:tcBorders>
            <w:vAlign w:val="center"/>
          </w:tcPr>
          <w:p w14:paraId="7886EAF0">
            <w:pPr>
              <w:autoSpaceDE w:val="0"/>
              <w:autoSpaceDN w:val="0"/>
              <w:spacing w:line="240" w:lineRule="auto"/>
              <w:jc w:val="center"/>
              <w:rPr>
                <w:kern w:val="0"/>
                <w:sz w:val="15"/>
                <w:szCs w:val="15"/>
              </w:rPr>
            </w:pPr>
            <w:r>
              <w:rPr>
                <w:rFonts w:hint="eastAsia"/>
                <w:kern w:val="0"/>
                <w:sz w:val="15"/>
                <w:szCs w:val="15"/>
                <w:lang w:bidi="ar"/>
              </w:rPr>
              <w:t>电源屏与墙</w:t>
            </w:r>
          </w:p>
        </w:tc>
        <w:tc>
          <w:tcPr>
            <w:tcW w:w="1483" w:type="dxa"/>
            <w:tcBorders>
              <w:top w:val="single" w:color="000000" w:sz="2" w:space="0"/>
              <w:left w:val="single" w:color="000000" w:sz="2" w:space="0"/>
              <w:bottom w:val="single" w:color="000000" w:sz="2" w:space="0"/>
              <w:right w:val="single" w:color="000000" w:sz="2" w:space="0"/>
            </w:tcBorders>
            <w:vAlign w:val="center"/>
          </w:tcPr>
          <w:p w14:paraId="6AEFF365">
            <w:pPr>
              <w:autoSpaceDE w:val="0"/>
              <w:autoSpaceDN w:val="0"/>
              <w:spacing w:line="240" w:lineRule="auto"/>
              <w:jc w:val="center"/>
              <w:rPr>
                <w:kern w:val="0"/>
                <w:sz w:val="15"/>
                <w:szCs w:val="15"/>
              </w:rPr>
            </w:pPr>
            <w:r>
              <w:rPr>
                <w:rFonts w:hint="eastAsia"/>
                <w:kern w:val="0"/>
                <w:sz w:val="15"/>
                <w:szCs w:val="15"/>
                <w:lang w:bidi="ar"/>
              </w:rPr>
              <w:t>净距</w:t>
            </w:r>
          </w:p>
        </w:tc>
        <w:tc>
          <w:tcPr>
            <w:tcW w:w="1385" w:type="dxa"/>
            <w:tcBorders>
              <w:top w:val="single" w:color="000000" w:sz="2" w:space="0"/>
              <w:left w:val="single" w:color="000000" w:sz="2" w:space="0"/>
              <w:bottom w:val="single" w:color="000000" w:sz="2" w:space="0"/>
              <w:right w:val="single" w:color="000000" w:sz="6" w:space="0"/>
            </w:tcBorders>
            <w:vAlign w:val="center"/>
          </w:tcPr>
          <w:p w14:paraId="12594D6D">
            <w:pPr>
              <w:autoSpaceDE w:val="0"/>
              <w:autoSpaceDN w:val="0"/>
              <w:spacing w:line="240" w:lineRule="auto"/>
              <w:jc w:val="center"/>
              <w:rPr>
                <w:kern w:val="0"/>
                <w:sz w:val="15"/>
                <w:szCs w:val="15"/>
              </w:rPr>
            </w:pPr>
            <w:r>
              <w:rPr>
                <w:kern w:val="0"/>
                <w:sz w:val="15"/>
                <w:szCs w:val="15"/>
                <w:lang w:bidi="ar"/>
              </w:rPr>
              <w:t>≥1.2</w:t>
            </w:r>
          </w:p>
        </w:tc>
      </w:tr>
    </w:tbl>
    <w:p w14:paraId="0B8F7419">
      <w:pPr>
        <w:widowControl/>
        <w:kinsoku w:val="0"/>
        <w:autoSpaceDE w:val="0"/>
        <w:autoSpaceDN w:val="0"/>
        <w:adjustRightInd w:val="0"/>
        <w:snapToGrid w:val="0"/>
        <w:spacing w:line="35" w:lineRule="exact"/>
        <w:textAlignment w:val="baseline"/>
        <w:rPr>
          <w:rFonts w:ascii="Arial" w:hAnsi="Arial" w:eastAsia="等线" w:cs="Arial"/>
          <w:snapToGrid w:val="0"/>
          <w:kern w:val="0"/>
          <w:szCs w:val="21"/>
        </w:rPr>
      </w:pPr>
    </w:p>
    <w:p w14:paraId="196591EA">
      <w:pPr>
        <w:numPr>
          <w:ilvl w:val="2"/>
          <w:numId w:val="1"/>
        </w:numPr>
        <w:tabs>
          <w:tab w:val="left" w:pos="794"/>
        </w:tabs>
        <w:jc w:val="left"/>
        <w:outlineLvl w:val="2"/>
      </w:pPr>
      <w:r>
        <w:rPr>
          <w:rFonts w:hint="eastAsia"/>
        </w:rPr>
        <w:t>信号设备的接地系统应符合下列要求：</w:t>
      </w:r>
    </w:p>
    <w:p w14:paraId="689B85A3">
      <w:pPr>
        <w:ind w:firstLine="422" w:firstLineChars="200"/>
      </w:pPr>
      <w:r>
        <w:rPr>
          <w:rFonts w:hint="eastAsia"/>
          <w:b/>
        </w:rPr>
        <w:t>1</w:t>
      </w:r>
      <w:r>
        <w:rPr>
          <w:rFonts w:hint="eastAsia"/>
        </w:rPr>
        <w:t xml:space="preserve">  信号设备室内应设综合接地箱，高架、地面车站及与隧道以外区间连接的车站信号设备室内宜设置独立的防雷综合接地箱；室内机柜的防雷地应单独引接至室内综合接地箱；</w:t>
      </w:r>
    </w:p>
    <w:p w14:paraId="3162B0EE">
      <w:pPr>
        <w:ind w:firstLine="422" w:firstLineChars="200"/>
      </w:pPr>
      <w:r>
        <w:rPr>
          <w:rFonts w:hint="eastAsia"/>
          <w:b/>
        </w:rPr>
        <w:t>2</w:t>
      </w:r>
      <w:r>
        <w:rPr>
          <w:rFonts w:hint="eastAsia"/>
        </w:rPr>
        <w:t xml:space="preserve">  当室内采用综合接地时，室内综合接地箱（含工作地、屏蔽地）应接入综合接地系统弱电接地母排，防雷接地箱应单独接入综合接地系统弱电接地母排，接地电阻不应大于1Ω；</w:t>
      </w:r>
    </w:p>
    <w:p w14:paraId="322A77D3">
      <w:pPr>
        <w:ind w:firstLine="422" w:firstLineChars="200"/>
      </w:pPr>
      <w:r>
        <w:rPr>
          <w:rFonts w:hint="eastAsia"/>
          <w:b/>
        </w:rPr>
        <w:t xml:space="preserve">3 </w:t>
      </w:r>
      <w:r>
        <w:rPr>
          <w:rFonts w:hint="eastAsia"/>
        </w:rPr>
        <w:t xml:space="preserve"> 出入信号设备室的电缆应采用屏蔽电缆，引入室内的室外电缆接地应采用电缆屏蔽层（含钢带铠装、铝护套）室内单端接地方式，接至信号设备室内的综合接地端子箱或室内分线柜内接地端子排，并在引入口设金属护套；</w:t>
      </w:r>
    </w:p>
    <w:p w14:paraId="22439991">
      <w:pPr>
        <w:ind w:firstLine="422" w:firstLineChars="200"/>
      </w:pPr>
      <w:r>
        <w:rPr>
          <w:rFonts w:hint="eastAsia"/>
          <w:b/>
        </w:rPr>
        <w:t>4</w:t>
      </w:r>
      <w:r>
        <w:rPr>
          <w:rFonts w:hint="eastAsia"/>
        </w:rPr>
        <w:t xml:space="preserve">  室内一排连续布置机柜采用星型接地方式分别接地时，应确保相邻机柜之间、机柜与底座之间、机柜与其下方金属线槽/其上方走线架之间应绝缘、无电气连接；</w:t>
      </w:r>
    </w:p>
    <w:p w14:paraId="16672732">
      <w:pPr>
        <w:ind w:firstLine="422" w:firstLineChars="200"/>
      </w:pPr>
      <w:r>
        <w:rPr>
          <w:rFonts w:hint="eastAsia"/>
          <w:b/>
        </w:rPr>
        <w:t>5</w:t>
      </w:r>
      <w:r>
        <w:rPr>
          <w:rFonts w:hint="eastAsia"/>
        </w:rPr>
        <w:t xml:space="preserve">  金属线槽、走线架布置均不应构成闭合回路，若成环布置时应加装绝缘进行隔断；</w:t>
      </w:r>
    </w:p>
    <w:p w14:paraId="0E5762A3">
      <w:pPr>
        <w:ind w:firstLine="422" w:firstLineChars="200"/>
      </w:pPr>
      <w:r>
        <w:rPr>
          <w:rFonts w:hint="eastAsia"/>
          <w:b/>
        </w:rPr>
        <w:t xml:space="preserve">6 </w:t>
      </w:r>
      <w:r>
        <w:rPr>
          <w:rFonts w:hint="eastAsia"/>
        </w:rPr>
        <w:t xml:space="preserve"> 室外设置综合接地系统时，信号室外设备、防雷器和未引入室内的</w:t>
      </w:r>
      <w:bookmarkStart w:id="1404" w:name="_Hlk183196795"/>
      <w:r>
        <w:rPr>
          <w:rFonts w:hint="eastAsia"/>
        </w:rPr>
        <w:t>分段电缆屏蔽层（含钢带铠装、铝护套）</w:t>
      </w:r>
      <w:bookmarkEnd w:id="1404"/>
      <w:r>
        <w:rPr>
          <w:rFonts w:hint="eastAsia"/>
        </w:rPr>
        <w:t>宜通过电缆与其连接进行接地，并保持距离最短；</w:t>
      </w:r>
    </w:p>
    <w:p w14:paraId="496FC6E7">
      <w:pPr>
        <w:ind w:firstLine="422" w:firstLineChars="200"/>
      </w:pPr>
      <w:r>
        <w:rPr>
          <w:rFonts w:hint="eastAsia"/>
          <w:b/>
        </w:rPr>
        <w:t>7</w:t>
      </w:r>
      <w:r>
        <w:rPr>
          <w:rFonts w:hint="eastAsia"/>
        </w:rPr>
        <w:t xml:space="preserve">  电力牵引区段，铝护套、钢带以及内屏蔽护套应分段单端接地，屏蔽层相互连接的电缆总长度不超过1000m，距接触网带电部分5m范围内的信号设备的金属结构件必须接地；</w:t>
      </w:r>
    </w:p>
    <w:p w14:paraId="602E74E4">
      <w:pPr>
        <w:ind w:firstLine="422" w:firstLineChars="200"/>
      </w:pPr>
      <w:r>
        <w:rPr>
          <w:rFonts w:hint="eastAsia"/>
          <w:b/>
        </w:rPr>
        <w:t>8</w:t>
      </w:r>
      <w:r>
        <w:rPr>
          <w:rFonts w:hint="eastAsia"/>
        </w:rPr>
        <w:t xml:space="preserve">  电力牵引区段，室外信号设备外缘距接触网带电部分的距离不得小于2m；</w:t>
      </w:r>
    </w:p>
    <w:p w14:paraId="71473B06">
      <w:pPr>
        <w:ind w:firstLine="422" w:firstLineChars="200"/>
      </w:pPr>
      <w:r>
        <w:rPr>
          <w:rFonts w:hint="eastAsia"/>
          <w:b/>
        </w:rPr>
        <w:t xml:space="preserve">9 </w:t>
      </w:r>
      <w:r>
        <w:rPr>
          <w:rFonts w:hint="eastAsia"/>
        </w:rPr>
        <w:t xml:space="preserve"> 车辆基地或正线区间若未设综合接地系统或局部未设时，信号设备可分散接地；分散接地电阻值应小于4Ω；</w:t>
      </w:r>
    </w:p>
    <w:p w14:paraId="54B03A1B">
      <w:pPr>
        <w:ind w:firstLine="422" w:firstLineChars="200"/>
      </w:pPr>
      <w:r>
        <w:rPr>
          <w:rFonts w:hint="eastAsia"/>
          <w:b/>
        </w:rPr>
        <w:t xml:space="preserve">10  </w:t>
      </w:r>
      <w:r>
        <w:rPr>
          <w:rFonts w:hint="eastAsia"/>
        </w:rPr>
        <w:t>除转辙机外的室外信号设备金属箱、盒壳体应接地；</w:t>
      </w:r>
    </w:p>
    <w:p w14:paraId="07B2116D">
      <w:pPr>
        <w:ind w:firstLine="422" w:firstLineChars="200"/>
        <w:rPr>
          <w:szCs w:val="21"/>
        </w:rPr>
      </w:pPr>
      <w:r>
        <w:rPr>
          <w:rFonts w:hint="eastAsia"/>
          <w:b/>
        </w:rPr>
        <w:t>11</w:t>
      </w:r>
      <w:r>
        <w:rPr>
          <w:rFonts w:hint="eastAsia"/>
        </w:rPr>
        <w:t xml:space="preserve">  车载信号设备的地线应经车辆接地装置接地。</w:t>
      </w:r>
    </w:p>
    <w:p w14:paraId="5553407D">
      <w:pPr>
        <w:numPr>
          <w:ilvl w:val="2"/>
          <w:numId w:val="1"/>
        </w:numPr>
        <w:tabs>
          <w:tab w:val="left" w:pos="794"/>
        </w:tabs>
        <w:jc w:val="left"/>
        <w:outlineLvl w:val="2"/>
      </w:pPr>
      <w:r>
        <w:rPr>
          <w:rFonts w:hint="eastAsia"/>
        </w:rPr>
        <w:t>信号设备防雷装置应满足下列要求：</w:t>
      </w:r>
    </w:p>
    <w:p w14:paraId="75DDD698">
      <w:pPr>
        <w:ind w:firstLine="486" w:firstLineChars="200"/>
      </w:pPr>
      <w:r>
        <w:rPr>
          <w:rFonts w:hint="eastAsia"/>
          <w:b/>
          <w:bCs/>
          <w:snapToGrid w:val="0"/>
          <w:spacing w:val="16"/>
          <w:kern w:val="0"/>
          <w:szCs w:val="21"/>
        </w:rPr>
        <w:t>1</w:t>
      </w:r>
      <w:r>
        <w:rPr>
          <w:rFonts w:hint="eastAsia"/>
        </w:rPr>
        <w:t xml:space="preserve">  高架线和地面线的室外信号设备及与高架线和地面线的室外信号设备连接的室内信号设备应具有雷电防护措施；</w:t>
      </w:r>
    </w:p>
    <w:p w14:paraId="5A7E8798">
      <w:pPr>
        <w:ind w:firstLine="486" w:firstLineChars="200"/>
      </w:pPr>
      <w:r>
        <w:rPr>
          <w:rFonts w:hint="eastAsia"/>
          <w:b/>
          <w:bCs/>
          <w:snapToGrid w:val="0"/>
          <w:spacing w:val="16"/>
          <w:kern w:val="0"/>
          <w:szCs w:val="21"/>
        </w:rPr>
        <w:t>2</w:t>
      </w:r>
      <w:r>
        <w:rPr>
          <w:rFonts w:hint="eastAsia"/>
        </w:rPr>
        <w:t xml:space="preserve">  当信号设备室电力线引入处未提供雷电防护时，信号设备室应单独设置电源防雷箱；</w:t>
      </w:r>
    </w:p>
    <w:p w14:paraId="4324AE28">
      <w:pPr>
        <w:ind w:firstLine="486" w:firstLineChars="200"/>
        <w:rPr>
          <w:snapToGrid w:val="0"/>
          <w:kern w:val="0"/>
          <w:szCs w:val="21"/>
        </w:rPr>
      </w:pPr>
      <w:r>
        <w:rPr>
          <w:rFonts w:hint="eastAsia"/>
          <w:b/>
          <w:bCs/>
          <w:snapToGrid w:val="0"/>
          <w:spacing w:val="16"/>
          <w:kern w:val="0"/>
          <w:szCs w:val="21"/>
        </w:rPr>
        <w:t>3</w:t>
      </w:r>
      <w:r>
        <w:rPr>
          <w:snapToGrid w:val="0"/>
          <w:spacing w:val="10"/>
          <w:kern w:val="0"/>
          <w:szCs w:val="21"/>
        </w:rPr>
        <w:t xml:space="preserve">  </w:t>
      </w:r>
      <w:r>
        <w:rPr>
          <w:snapToGrid w:val="0"/>
          <w:spacing w:val="5"/>
          <w:kern w:val="0"/>
          <w:szCs w:val="21"/>
        </w:rPr>
        <w:t>防雷元器件的选择应将雷电感应过电压抑制在被防护设备的冲击耐压水平之下；</w:t>
      </w:r>
    </w:p>
    <w:p w14:paraId="713A097F">
      <w:pPr>
        <w:ind w:firstLine="486" w:firstLineChars="200"/>
        <w:rPr>
          <w:snapToGrid w:val="0"/>
          <w:kern w:val="0"/>
          <w:szCs w:val="21"/>
        </w:rPr>
      </w:pPr>
      <w:r>
        <w:rPr>
          <w:rFonts w:hint="eastAsia"/>
          <w:b/>
          <w:bCs/>
          <w:snapToGrid w:val="0"/>
          <w:spacing w:val="16"/>
          <w:kern w:val="0"/>
          <w:szCs w:val="21"/>
        </w:rPr>
        <w:t>4</w:t>
      </w:r>
      <w:r>
        <w:rPr>
          <w:snapToGrid w:val="0"/>
          <w:spacing w:val="16"/>
          <w:kern w:val="0"/>
          <w:szCs w:val="21"/>
        </w:rPr>
        <w:t xml:space="preserve">  </w:t>
      </w:r>
      <w:r>
        <w:rPr>
          <w:snapToGrid w:val="0"/>
          <w:spacing w:val="8"/>
          <w:kern w:val="0"/>
          <w:szCs w:val="21"/>
        </w:rPr>
        <w:t>防雷元器件不应影响被防护设备的正常工作；防雷元器件</w:t>
      </w:r>
      <w:r>
        <w:rPr>
          <w:snapToGrid w:val="0"/>
          <w:spacing w:val="16"/>
          <w:kern w:val="0"/>
          <w:szCs w:val="21"/>
        </w:rPr>
        <w:t>应</w:t>
      </w:r>
      <w:r>
        <w:rPr>
          <w:snapToGrid w:val="0"/>
          <w:spacing w:val="8"/>
          <w:kern w:val="0"/>
          <w:szCs w:val="21"/>
        </w:rPr>
        <w:t>满足信号设备受雷电电磁脉冲干扰</w:t>
      </w:r>
      <w:r>
        <w:rPr>
          <w:snapToGrid w:val="0"/>
          <w:spacing w:val="1"/>
          <w:kern w:val="0"/>
          <w:szCs w:val="21"/>
        </w:rPr>
        <w:t>时</w:t>
      </w:r>
      <w:r>
        <w:rPr>
          <w:snapToGrid w:val="0"/>
          <w:kern w:val="0"/>
          <w:szCs w:val="21"/>
        </w:rPr>
        <w:t>不得导致危险状态；</w:t>
      </w:r>
    </w:p>
    <w:p w14:paraId="5A8B4C97">
      <w:pPr>
        <w:ind w:firstLine="486" w:firstLineChars="200"/>
        <w:rPr>
          <w:snapToGrid w:val="0"/>
          <w:kern w:val="0"/>
          <w:szCs w:val="21"/>
        </w:rPr>
      </w:pPr>
      <w:r>
        <w:rPr>
          <w:rFonts w:hint="eastAsia"/>
          <w:b/>
          <w:bCs/>
          <w:snapToGrid w:val="0"/>
          <w:spacing w:val="16"/>
          <w:kern w:val="0"/>
          <w:szCs w:val="21"/>
        </w:rPr>
        <w:t>5</w:t>
      </w:r>
      <w:r>
        <w:rPr>
          <w:snapToGrid w:val="0"/>
          <w:spacing w:val="16"/>
          <w:kern w:val="0"/>
          <w:szCs w:val="21"/>
        </w:rPr>
        <w:t xml:space="preserve">  </w:t>
      </w:r>
      <w:r>
        <w:rPr>
          <w:snapToGrid w:val="0"/>
          <w:spacing w:val="8"/>
          <w:kern w:val="0"/>
          <w:szCs w:val="21"/>
        </w:rPr>
        <w:t>防雷元器件与被防护设备之间的连接线应最短，防护电路的配线应与其他配线分开，其他设备</w:t>
      </w:r>
      <w:r>
        <w:rPr>
          <w:snapToGrid w:val="0"/>
          <w:spacing w:val="4"/>
          <w:kern w:val="0"/>
          <w:szCs w:val="21"/>
        </w:rPr>
        <w:t>不应借用</w:t>
      </w:r>
      <w:r>
        <w:rPr>
          <w:snapToGrid w:val="0"/>
          <w:spacing w:val="2"/>
          <w:kern w:val="0"/>
          <w:szCs w:val="21"/>
        </w:rPr>
        <w:t>防雷元器件的端子；</w:t>
      </w:r>
    </w:p>
    <w:p w14:paraId="2D0615A6">
      <w:pPr>
        <w:ind w:firstLine="486" w:firstLineChars="200"/>
        <w:rPr>
          <w:snapToGrid w:val="0"/>
          <w:spacing w:val="8"/>
          <w:kern w:val="0"/>
          <w:szCs w:val="21"/>
        </w:rPr>
      </w:pPr>
      <w:r>
        <w:rPr>
          <w:b/>
          <w:bCs/>
          <w:snapToGrid w:val="0"/>
          <w:spacing w:val="16"/>
          <w:kern w:val="0"/>
          <w:szCs w:val="21"/>
        </w:rPr>
        <w:t>6</w:t>
      </w:r>
      <w:r>
        <w:rPr>
          <w:snapToGrid w:val="0"/>
          <w:spacing w:val="8"/>
          <w:kern w:val="0"/>
          <w:szCs w:val="21"/>
        </w:rPr>
        <w:t xml:space="preserve">  防雷装置应集中设置，防雷器件的外壳必须采用阻燃材料。</w:t>
      </w:r>
    </w:p>
    <w:p w14:paraId="5D793E25">
      <w:pPr>
        <w:numPr>
          <w:ilvl w:val="2"/>
          <w:numId w:val="1"/>
        </w:numPr>
        <w:tabs>
          <w:tab w:val="left" w:pos="794"/>
        </w:tabs>
        <w:jc w:val="left"/>
        <w:outlineLvl w:val="2"/>
        <w:rPr>
          <w:bCs/>
        </w:rPr>
      </w:pPr>
      <w:r>
        <w:rPr>
          <w:rFonts w:hint="eastAsia"/>
        </w:rPr>
        <w:t>信号系统</w:t>
      </w:r>
      <w:r>
        <w:rPr>
          <w:rFonts w:hint="eastAsia"/>
          <w:bCs/>
        </w:rPr>
        <w:t>的防雷与接地应符合现行国家标准《建筑物电子信息系统防雷技术规范》GB50343有关规定。</w:t>
      </w:r>
    </w:p>
    <w:p w14:paraId="0F51FE2A">
      <w:pPr>
        <w:numPr>
          <w:ilvl w:val="2"/>
          <w:numId w:val="1"/>
        </w:numPr>
        <w:tabs>
          <w:tab w:val="left" w:pos="794"/>
        </w:tabs>
        <w:jc w:val="left"/>
        <w:outlineLvl w:val="2"/>
      </w:pPr>
      <w:r>
        <w:rPr>
          <w:rFonts w:hint="eastAsia"/>
        </w:rPr>
        <w:t>信号室外设备的安装应符合下列要求：</w:t>
      </w:r>
    </w:p>
    <w:p w14:paraId="57905A3D">
      <w:pPr>
        <w:ind w:firstLine="422" w:firstLineChars="200"/>
      </w:pPr>
      <w:r>
        <w:rPr>
          <w:rFonts w:hint="eastAsia"/>
          <w:b/>
        </w:rPr>
        <w:t xml:space="preserve">1 </w:t>
      </w:r>
      <w:r>
        <w:rPr>
          <w:rFonts w:hint="eastAsia"/>
        </w:rPr>
        <w:t xml:space="preserve"> 设置于碎石道床范围内的信号设备、箱盒基础应设硬化地面；</w:t>
      </w:r>
    </w:p>
    <w:p w14:paraId="57E2ACDA">
      <w:pPr>
        <w:ind w:firstLine="422" w:firstLineChars="200"/>
      </w:pPr>
      <w:r>
        <w:rPr>
          <w:rFonts w:hint="eastAsia"/>
          <w:b/>
        </w:rPr>
        <w:t>2</w:t>
      </w:r>
      <w:r>
        <w:rPr>
          <w:rFonts w:hint="eastAsia"/>
        </w:rPr>
        <w:t xml:space="preserve">  轨旁信号设备的安装设计应与声屏障、供电、轨道、疏散平台、区间人防、给排水等专业配合；</w:t>
      </w:r>
    </w:p>
    <w:p w14:paraId="2E0E071B">
      <w:pPr>
        <w:ind w:firstLine="422" w:firstLineChars="200"/>
      </w:pPr>
      <w:r>
        <w:rPr>
          <w:rFonts w:hint="eastAsia"/>
          <w:b/>
        </w:rPr>
        <w:t xml:space="preserve">3 </w:t>
      </w:r>
      <w:r>
        <w:rPr>
          <w:rFonts w:hint="eastAsia"/>
        </w:rPr>
        <w:t xml:space="preserve"> 信号机设置位置宜避开弯道、大坡道。当信号显示距离不满足时，除以固定闭塞制式为主系统的正线线路外，其他制式线路不应设置复示信号机，可设置信号机接近预告牌；</w:t>
      </w:r>
    </w:p>
    <w:p w14:paraId="6B335D77">
      <w:pPr>
        <w:ind w:firstLine="422" w:firstLineChars="200"/>
      </w:pPr>
      <w:r>
        <w:rPr>
          <w:rFonts w:hint="eastAsia"/>
          <w:b/>
        </w:rPr>
        <w:t xml:space="preserve">4 </w:t>
      </w:r>
      <w:r>
        <w:rPr>
          <w:rFonts w:hint="eastAsia"/>
        </w:rPr>
        <w:t xml:space="preserve"> 正线出站信号机的设置位置应与人防专业配合，避免人防门/隔断门/防淹门遮挡信号显示；</w:t>
      </w:r>
    </w:p>
    <w:p w14:paraId="2C958316">
      <w:pPr>
        <w:ind w:firstLine="422" w:firstLineChars="200"/>
      </w:pPr>
      <w:r>
        <w:rPr>
          <w:rFonts w:hint="eastAsia"/>
          <w:b/>
        </w:rPr>
        <w:t xml:space="preserve">5 </w:t>
      </w:r>
      <w:r>
        <w:rPr>
          <w:rFonts w:hint="eastAsia"/>
        </w:rPr>
        <w:t xml:space="preserve"> 侧式站台的出站信号机宜设置在正常运行方向的左侧；</w:t>
      </w:r>
    </w:p>
    <w:p w14:paraId="7ED2A959">
      <w:pPr>
        <w:ind w:firstLine="422" w:firstLineChars="200"/>
      </w:pPr>
      <w:r>
        <w:rPr>
          <w:rFonts w:hint="eastAsia"/>
          <w:b/>
        </w:rPr>
        <w:t>6</w:t>
      </w:r>
      <w:r>
        <w:rPr>
          <w:rFonts w:hint="eastAsia"/>
        </w:rPr>
        <w:t xml:space="preserve">  设置在正常运行方向左侧的反向信号机宜安装在正常运行方向右侧；</w:t>
      </w:r>
    </w:p>
    <w:p w14:paraId="72B7AAAC">
      <w:pPr>
        <w:ind w:firstLine="422" w:firstLineChars="200"/>
      </w:pPr>
      <w:r>
        <w:rPr>
          <w:rFonts w:hint="eastAsia"/>
          <w:b/>
        </w:rPr>
        <w:t xml:space="preserve">7 </w:t>
      </w:r>
      <w:r>
        <w:rPr>
          <w:rFonts w:hint="eastAsia"/>
        </w:rPr>
        <w:t xml:space="preserve"> 遇条件限制信号机设于其他位置时，需经建设、运营主管部门批准；</w:t>
      </w:r>
    </w:p>
    <w:p w14:paraId="0B1B85B1">
      <w:pPr>
        <w:ind w:firstLine="422" w:firstLineChars="200"/>
        <w:rPr>
          <w:snapToGrid w:val="0"/>
          <w:spacing w:val="2"/>
          <w:kern w:val="0"/>
          <w:szCs w:val="21"/>
        </w:rPr>
      </w:pPr>
      <w:r>
        <w:rPr>
          <w:rFonts w:hint="eastAsia"/>
          <w:b/>
        </w:rPr>
        <w:t xml:space="preserve">8 </w:t>
      </w:r>
      <w:r>
        <w:rPr>
          <w:rFonts w:hint="eastAsia"/>
        </w:rPr>
        <w:t xml:space="preserve"> 转辙机与接触轨的安全距离应大于1.2m。</w:t>
      </w:r>
    </w:p>
    <w:p w14:paraId="39E49EDC">
      <w:pPr>
        <w:numPr>
          <w:ilvl w:val="2"/>
          <w:numId w:val="1"/>
        </w:numPr>
        <w:tabs>
          <w:tab w:val="left" w:pos="709"/>
          <w:tab w:val="left" w:pos="794"/>
        </w:tabs>
        <w:jc w:val="left"/>
        <w:outlineLvl w:val="2"/>
      </w:pPr>
      <w:r>
        <w:rPr>
          <w:rFonts w:hint="eastAsia"/>
        </w:rPr>
        <w:t>信号关键设备防水、防尘防护等级应满足下列要求：</w:t>
      </w:r>
    </w:p>
    <w:p w14:paraId="12AF234F">
      <w:pPr>
        <w:widowControl/>
        <w:kinsoku w:val="0"/>
        <w:autoSpaceDE w:val="0"/>
        <w:autoSpaceDN w:val="0"/>
        <w:adjustRightInd w:val="0"/>
        <w:snapToGrid w:val="0"/>
        <w:spacing w:line="360" w:lineRule="auto"/>
        <w:ind w:firstLine="422" w:firstLineChars="200"/>
        <w:textAlignment w:val="baseline"/>
      </w:pPr>
      <w:r>
        <w:rPr>
          <w:rFonts w:hint="eastAsia"/>
          <w:b/>
        </w:rPr>
        <w:t xml:space="preserve">1 </w:t>
      </w:r>
      <w:r>
        <w:rPr>
          <w:rFonts w:hint="eastAsia"/>
        </w:rPr>
        <w:t xml:space="preserve"> 车载各种天线应能防水、防尘并满足《外壳防护等级（IP代码）》GB/T 4208外壳防护等级IP66级的规定；</w:t>
      </w:r>
    </w:p>
    <w:p w14:paraId="63EA48D1">
      <w:pPr>
        <w:widowControl/>
        <w:kinsoku w:val="0"/>
        <w:autoSpaceDE w:val="0"/>
        <w:autoSpaceDN w:val="0"/>
        <w:adjustRightInd w:val="0"/>
        <w:snapToGrid w:val="0"/>
        <w:spacing w:line="360" w:lineRule="auto"/>
        <w:ind w:firstLine="422" w:firstLineChars="200"/>
        <w:textAlignment w:val="baseline"/>
      </w:pPr>
      <w:r>
        <w:rPr>
          <w:rFonts w:hint="eastAsia"/>
          <w:b/>
        </w:rPr>
        <w:t xml:space="preserve">2 </w:t>
      </w:r>
      <w:r>
        <w:rPr>
          <w:rFonts w:hint="eastAsia"/>
        </w:rPr>
        <w:t xml:space="preserve"> 测速电机应能防水、防尘并满足《外壳防护等级（IP代码）》GB/T 4208外壳防护等级IP67级的规定；</w:t>
      </w:r>
    </w:p>
    <w:p w14:paraId="2DF85FD4">
      <w:pPr>
        <w:widowControl/>
        <w:kinsoku w:val="0"/>
        <w:autoSpaceDE w:val="0"/>
        <w:autoSpaceDN w:val="0"/>
        <w:adjustRightInd w:val="0"/>
        <w:snapToGrid w:val="0"/>
        <w:spacing w:line="360" w:lineRule="auto"/>
        <w:ind w:firstLine="422" w:firstLineChars="200"/>
        <w:textAlignment w:val="baseline"/>
      </w:pPr>
      <w:r>
        <w:rPr>
          <w:rFonts w:hint="eastAsia"/>
          <w:b/>
        </w:rPr>
        <w:t xml:space="preserve">3 </w:t>
      </w:r>
      <w:r>
        <w:rPr>
          <w:rFonts w:hint="eastAsia"/>
        </w:rPr>
        <w:t xml:space="preserve"> 计轴磁头及地面应答器应能防水、防尘并满足《外壳防护等级（IP代码）》GB/T 4208外壳防护等级IP67级的规定；</w:t>
      </w:r>
    </w:p>
    <w:p w14:paraId="2C81230E">
      <w:pPr>
        <w:widowControl/>
        <w:kinsoku w:val="0"/>
        <w:autoSpaceDE w:val="0"/>
        <w:autoSpaceDN w:val="0"/>
        <w:adjustRightInd w:val="0"/>
        <w:snapToGrid w:val="0"/>
        <w:spacing w:line="360" w:lineRule="auto"/>
        <w:ind w:firstLine="422" w:firstLineChars="200"/>
        <w:textAlignment w:val="baseline"/>
      </w:pPr>
      <w:r>
        <w:rPr>
          <w:rFonts w:hint="eastAsia"/>
          <w:b/>
        </w:rPr>
        <w:t>4</w:t>
      </w:r>
      <w:r>
        <w:rPr>
          <w:rFonts w:hint="eastAsia"/>
        </w:rPr>
        <w:t xml:space="preserve">  车载人机界面屏幕前面板应能防水、防尘并满足《外壳防护等级（IP代码）》GB/T 4208外壳防护等级IP65级的规定；</w:t>
      </w:r>
    </w:p>
    <w:p w14:paraId="712A9E29">
      <w:pPr>
        <w:widowControl/>
        <w:kinsoku w:val="0"/>
        <w:autoSpaceDE w:val="0"/>
        <w:autoSpaceDN w:val="0"/>
        <w:adjustRightInd w:val="0"/>
        <w:snapToGrid w:val="0"/>
        <w:spacing w:line="360" w:lineRule="auto"/>
        <w:ind w:firstLine="420" w:firstLineChars="200"/>
        <w:textAlignment w:val="baseline"/>
      </w:pPr>
      <w:r>
        <w:rPr>
          <w:rFonts w:hint="eastAsia"/>
        </w:rPr>
        <w:t>5  轨旁AP应能防水、防尘并满足《外壳防护等级（IP代码）》GB/T 4208外壳防护等级IP65级的规定；</w:t>
      </w:r>
    </w:p>
    <w:p w14:paraId="0B026F14">
      <w:pPr>
        <w:widowControl/>
        <w:kinsoku w:val="0"/>
        <w:autoSpaceDE w:val="0"/>
        <w:autoSpaceDN w:val="0"/>
        <w:adjustRightInd w:val="0"/>
        <w:snapToGrid w:val="0"/>
        <w:spacing w:line="360" w:lineRule="auto"/>
        <w:ind w:firstLine="422" w:firstLineChars="200"/>
        <w:textAlignment w:val="baseline"/>
      </w:pPr>
      <w:r>
        <w:rPr>
          <w:rFonts w:hint="eastAsia"/>
          <w:b/>
        </w:rPr>
        <w:t xml:space="preserve">6 </w:t>
      </w:r>
      <w:r>
        <w:rPr>
          <w:rFonts w:hint="eastAsia"/>
        </w:rPr>
        <w:t xml:space="preserve"> 转辙机应能防水、防尘并满足《外壳防护等级（IP代码）》GB/T 4208外壳防护等级IP54级的规定，采用无维护密封型转辙机时其防水、防尘等级应不低于IP66级；</w:t>
      </w:r>
    </w:p>
    <w:p w14:paraId="776C0032">
      <w:pPr>
        <w:widowControl/>
        <w:kinsoku w:val="0"/>
        <w:autoSpaceDE w:val="0"/>
        <w:autoSpaceDN w:val="0"/>
        <w:adjustRightInd w:val="0"/>
        <w:snapToGrid w:val="0"/>
        <w:spacing w:line="360" w:lineRule="auto"/>
        <w:ind w:firstLine="422" w:firstLineChars="200"/>
        <w:textAlignment w:val="baseline"/>
      </w:pPr>
      <w:r>
        <w:rPr>
          <w:rFonts w:hint="eastAsia"/>
          <w:b/>
        </w:rPr>
        <w:t xml:space="preserve">7 </w:t>
      </w:r>
      <w:r>
        <w:rPr>
          <w:rFonts w:hint="eastAsia"/>
        </w:rPr>
        <w:t xml:space="preserve"> 信号机机构应能防水、防尘并满足《外壳防护等级（IP代码）》GB/T 4208外壳防护等级IP53级的规定；</w:t>
      </w:r>
    </w:p>
    <w:p w14:paraId="05506545">
      <w:pPr>
        <w:widowControl/>
        <w:kinsoku w:val="0"/>
        <w:autoSpaceDE w:val="0"/>
        <w:autoSpaceDN w:val="0"/>
        <w:adjustRightInd w:val="0"/>
        <w:snapToGrid w:val="0"/>
        <w:spacing w:line="360" w:lineRule="auto"/>
        <w:ind w:firstLine="422" w:firstLineChars="200"/>
        <w:textAlignment w:val="baseline"/>
        <w:rPr>
          <w:snapToGrid w:val="0"/>
          <w:spacing w:val="2"/>
          <w:kern w:val="0"/>
          <w:szCs w:val="21"/>
        </w:rPr>
      </w:pPr>
      <w:r>
        <w:rPr>
          <w:rFonts w:hint="eastAsia"/>
          <w:b/>
        </w:rPr>
        <w:t xml:space="preserve">8 </w:t>
      </w:r>
      <w:r>
        <w:rPr>
          <w:rFonts w:hint="eastAsia"/>
        </w:rPr>
        <w:t xml:space="preserve"> 箱、盒应能防水、防尘并满足《外壳防护等级（IP代码）》GB/T 4208外壳防护等级IP54级的规定。</w:t>
      </w:r>
    </w:p>
    <w:p w14:paraId="7849B924">
      <w:pPr>
        <w:numPr>
          <w:ilvl w:val="2"/>
          <w:numId w:val="1"/>
        </w:numPr>
        <w:tabs>
          <w:tab w:val="left" w:pos="794"/>
        </w:tabs>
        <w:jc w:val="left"/>
        <w:outlineLvl w:val="2"/>
      </w:pPr>
      <w:r>
        <w:rPr>
          <w:rFonts w:hint="eastAsia"/>
        </w:rPr>
        <w:t>信号系统的</w:t>
      </w:r>
      <w:r>
        <w:rPr>
          <w:bCs/>
          <w:snapToGrid w:val="0"/>
        </w:rPr>
        <w:t>可靠性、可用性、可维护性和安全性</w:t>
      </w:r>
      <w:r>
        <w:rPr>
          <w:rFonts w:hint="eastAsia"/>
          <w:bCs/>
          <w:snapToGrid w:val="0"/>
        </w:rPr>
        <w:t>（</w:t>
      </w:r>
      <w:r>
        <w:rPr>
          <w:rFonts w:hint="eastAsia"/>
        </w:rPr>
        <w:t>RAMS</w:t>
      </w:r>
      <w:r>
        <w:rPr>
          <w:rFonts w:hint="eastAsia"/>
          <w:bCs/>
          <w:snapToGrid w:val="0"/>
        </w:rPr>
        <w:t>）</w:t>
      </w:r>
      <w:r>
        <w:rPr>
          <w:rFonts w:hint="eastAsia"/>
        </w:rPr>
        <w:t>应符合下列要求：</w:t>
      </w:r>
    </w:p>
    <w:p w14:paraId="3F50994F">
      <w:pPr>
        <w:ind w:firstLine="422" w:firstLineChars="200"/>
      </w:pPr>
      <w:r>
        <w:rPr>
          <w:rFonts w:hint="eastAsia"/>
          <w:b/>
        </w:rPr>
        <w:t xml:space="preserve">1 </w:t>
      </w:r>
      <w:r>
        <w:rPr>
          <w:rFonts w:hint="eastAsia"/>
        </w:rPr>
        <w:t xml:space="preserve"> 信号系统的可用性、可维护性、安全性应符合现行国家标准《城市轨道交通信号系统通用技术条件》GB/T12758的有关规定。</w:t>
      </w:r>
    </w:p>
    <w:p w14:paraId="12162FAA">
      <w:pPr>
        <w:ind w:firstLine="422" w:firstLineChars="200"/>
      </w:pPr>
      <w:r>
        <w:rPr>
          <w:rFonts w:hint="eastAsia"/>
          <w:b/>
        </w:rPr>
        <w:t>2</w:t>
      </w:r>
      <w:r>
        <w:rPr>
          <w:rFonts w:hint="eastAsia"/>
        </w:rPr>
        <w:t xml:space="preserve">  非全自动运行工程中信号系统的可靠性应符合下列要求：</w:t>
      </w:r>
    </w:p>
    <w:p w14:paraId="782F3691">
      <w:pPr>
        <w:ind w:firstLine="420" w:firstLineChars="200"/>
      </w:pPr>
      <w:r>
        <w:rPr>
          <w:rFonts w:hint="eastAsia"/>
        </w:rPr>
        <w:t>1)  ATS设备的平均无故障时间：MTBF≥3.5×10</w:t>
      </w:r>
      <w:r>
        <w:rPr>
          <w:rFonts w:hint="eastAsia"/>
          <w:vertAlign w:val="superscript"/>
        </w:rPr>
        <w:t>3</w:t>
      </w:r>
      <w:r>
        <w:rPr>
          <w:rFonts w:hint="eastAsia"/>
        </w:rPr>
        <w:t>h；</w:t>
      </w:r>
    </w:p>
    <w:p w14:paraId="464D4027">
      <w:pPr>
        <w:ind w:firstLine="420" w:firstLineChars="200"/>
      </w:pPr>
      <w:r>
        <w:rPr>
          <w:rFonts w:hint="eastAsia"/>
        </w:rPr>
        <w:t>2)  计算机外围设备的平均无故障时间：MTBF≥5×10</w:t>
      </w:r>
      <w:r>
        <w:rPr>
          <w:rFonts w:hint="eastAsia"/>
          <w:vertAlign w:val="superscript"/>
        </w:rPr>
        <w:t>4</w:t>
      </w:r>
      <w:r>
        <w:rPr>
          <w:rFonts w:hint="eastAsia"/>
        </w:rPr>
        <w:t>h；</w:t>
      </w:r>
    </w:p>
    <w:p w14:paraId="1CA2EC2A">
      <w:pPr>
        <w:ind w:firstLine="420" w:firstLineChars="200"/>
      </w:pPr>
      <w:r>
        <w:rPr>
          <w:rFonts w:hint="eastAsia"/>
        </w:rPr>
        <w:t>3)  电源设备的平均无故障时间：MTBF≥10</w:t>
      </w:r>
      <w:r>
        <w:rPr>
          <w:rFonts w:hint="eastAsia"/>
          <w:vertAlign w:val="superscript"/>
        </w:rPr>
        <w:t>5</w:t>
      </w:r>
      <w:r>
        <w:rPr>
          <w:rFonts w:hint="eastAsia"/>
        </w:rPr>
        <w:t>h；</w:t>
      </w:r>
    </w:p>
    <w:p w14:paraId="314AD27D">
      <w:pPr>
        <w:ind w:firstLine="420" w:firstLineChars="200"/>
      </w:pPr>
      <w:r>
        <w:rPr>
          <w:rFonts w:hint="eastAsia"/>
        </w:rPr>
        <w:t>4)  ATP/ATO地面设备的平均无故障时间：MTBF≥10</w:t>
      </w:r>
      <w:r>
        <w:rPr>
          <w:rFonts w:hint="eastAsia"/>
          <w:vertAlign w:val="superscript"/>
        </w:rPr>
        <w:t>5</w:t>
      </w:r>
      <w:r>
        <w:rPr>
          <w:rFonts w:hint="eastAsia"/>
        </w:rPr>
        <w:t>h；</w:t>
      </w:r>
    </w:p>
    <w:p w14:paraId="1E79C6FA">
      <w:pPr>
        <w:ind w:firstLine="420" w:firstLineChars="200"/>
      </w:pPr>
      <w:r>
        <w:rPr>
          <w:rFonts w:hint="eastAsia"/>
        </w:rPr>
        <w:t>5)  ATP/ATO车载设备的平均无故障时间：MTBF≥1.5×10</w:t>
      </w:r>
      <w:r>
        <w:rPr>
          <w:rFonts w:hint="eastAsia"/>
          <w:vertAlign w:val="superscript"/>
        </w:rPr>
        <w:t>5</w:t>
      </w:r>
      <w:r>
        <w:rPr>
          <w:rFonts w:hint="eastAsia"/>
        </w:rPr>
        <w:t>h；</w:t>
      </w:r>
    </w:p>
    <w:p w14:paraId="40D315D3">
      <w:pPr>
        <w:ind w:firstLine="420" w:firstLineChars="200"/>
      </w:pPr>
      <w:r>
        <w:rPr>
          <w:rFonts w:hint="eastAsia"/>
        </w:rPr>
        <w:t>6)  联锁设备的平均无故障时间：MTBF≥10</w:t>
      </w:r>
      <w:r>
        <w:rPr>
          <w:rFonts w:hint="eastAsia"/>
          <w:vertAlign w:val="superscript"/>
        </w:rPr>
        <w:t>5</w:t>
      </w:r>
      <w:r>
        <w:rPr>
          <w:rFonts w:hint="eastAsia"/>
        </w:rPr>
        <w:t>h；</w:t>
      </w:r>
    </w:p>
    <w:p w14:paraId="7CF9118C">
      <w:pPr>
        <w:ind w:firstLine="420" w:firstLineChars="200"/>
      </w:pPr>
      <w:r>
        <w:rPr>
          <w:rFonts w:hint="eastAsia"/>
        </w:rPr>
        <w:t>7)  数据通信系统设备的平均无故障时间：MTBF＞2×10</w:t>
      </w:r>
      <w:r>
        <w:rPr>
          <w:rFonts w:hint="eastAsia"/>
          <w:vertAlign w:val="superscript"/>
        </w:rPr>
        <w:t>4</w:t>
      </w:r>
      <w:r>
        <w:rPr>
          <w:rFonts w:hint="eastAsia"/>
        </w:rPr>
        <w:t>h。</w:t>
      </w:r>
    </w:p>
    <w:p w14:paraId="7A231627">
      <w:pPr>
        <w:ind w:firstLine="422" w:firstLineChars="200"/>
      </w:pPr>
      <w:r>
        <w:rPr>
          <w:rFonts w:hint="eastAsia"/>
          <w:b/>
        </w:rPr>
        <w:t xml:space="preserve">3 </w:t>
      </w:r>
      <w:r>
        <w:rPr>
          <w:rFonts w:hint="eastAsia"/>
        </w:rPr>
        <w:t xml:space="preserve"> 全自动运行工程中信号系统的可靠性应符合下列要求：</w:t>
      </w:r>
    </w:p>
    <w:p w14:paraId="2F15BE65">
      <w:pPr>
        <w:ind w:firstLine="420" w:firstLineChars="200"/>
      </w:pPr>
      <w:r>
        <w:rPr>
          <w:rFonts w:hint="eastAsia"/>
        </w:rPr>
        <w:t>1)  ATS设备的平均无故障时间：MTBF≥2.5×10</w:t>
      </w:r>
      <w:r>
        <w:rPr>
          <w:rFonts w:hint="eastAsia"/>
          <w:vertAlign w:val="superscript"/>
        </w:rPr>
        <w:t>4</w:t>
      </w:r>
      <w:r>
        <w:rPr>
          <w:rFonts w:hint="eastAsia"/>
        </w:rPr>
        <w:t>h；</w:t>
      </w:r>
    </w:p>
    <w:p w14:paraId="7035F5A4">
      <w:pPr>
        <w:ind w:firstLine="420" w:firstLineChars="200"/>
      </w:pPr>
      <w:r>
        <w:rPr>
          <w:rFonts w:hint="eastAsia"/>
        </w:rPr>
        <w:t>2)  ATP/ATO地面设备的平均无故障时间：MTBF≥2.5×10</w:t>
      </w:r>
      <w:r>
        <w:rPr>
          <w:rFonts w:hint="eastAsia"/>
          <w:vertAlign w:val="superscript"/>
        </w:rPr>
        <w:t>5</w:t>
      </w:r>
      <w:r>
        <w:rPr>
          <w:rFonts w:hint="eastAsia"/>
        </w:rPr>
        <w:t>h；</w:t>
      </w:r>
    </w:p>
    <w:p w14:paraId="611D8352">
      <w:pPr>
        <w:ind w:firstLine="420" w:firstLineChars="200"/>
      </w:pPr>
      <w:r>
        <w:rPr>
          <w:rFonts w:hint="eastAsia"/>
        </w:rPr>
        <w:t>3)  ATP/ATO车载设备的平均无故障时间：MTBF≥1.5×10</w:t>
      </w:r>
      <w:r>
        <w:rPr>
          <w:rFonts w:hint="eastAsia"/>
          <w:vertAlign w:val="superscript"/>
        </w:rPr>
        <w:t>5</w:t>
      </w:r>
      <w:r>
        <w:rPr>
          <w:rFonts w:hint="eastAsia"/>
        </w:rPr>
        <w:t>h；</w:t>
      </w:r>
    </w:p>
    <w:p w14:paraId="4443CC9C">
      <w:pPr>
        <w:ind w:firstLine="420" w:firstLineChars="200"/>
      </w:pPr>
      <w:r>
        <w:rPr>
          <w:rFonts w:hint="eastAsia"/>
        </w:rPr>
        <w:t>4)  联锁设备的平均无故障时间：MTBF≥1.5×10</w:t>
      </w:r>
      <w:r>
        <w:rPr>
          <w:rFonts w:hint="eastAsia"/>
          <w:vertAlign w:val="superscript"/>
        </w:rPr>
        <w:t>5</w:t>
      </w:r>
      <w:r>
        <w:rPr>
          <w:rFonts w:hint="eastAsia"/>
        </w:rPr>
        <w:t>h；</w:t>
      </w:r>
    </w:p>
    <w:p w14:paraId="780D651E">
      <w:pPr>
        <w:ind w:firstLine="420" w:firstLineChars="200"/>
      </w:pPr>
      <w:r>
        <w:rPr>
          <w:rFonts w:hint="eastAsia"/>
        </w:rPr>
        <w:t>5)  车地无线通信系统的平均无故障时间：MTBF≥8×10</w:t>
      </w:r>
      <w:r>
        <w:rPr>
          <w:rFonts w:hint="eastAsia"/>
          <w:vertAlign w:val="superscript"/>
        </w:rPr>
        <w:t>4</w:t>
      </w:r>
      <w:r>
        <w:rPr>
          <w:rFonts w:hint="eastAsia"/>
        </w:rPr>
        <w:t>h。</w:t>
      </w:r>
    </w:p>
    <w:p w14:paraId="34ED380B">
      <w:pPr>
        <w:numPr>
          <w:ilvl w:val="2"/>
          <w:numId w:val="1"/>
        </w:numPr>
        <w:tabs>
          <w:tab w:val="left" w:pos="794"/>
        </w:tabs>
        <w:jc w:val="left"/>
        <w:outlineLvl w:val="2"/>
        <w:rPr>
          <w:bCs/>
        </w:rPr>
      </w:pPr>
      <w:r>
        <w:rPr>
          <w:rFonts w:hint="eastAsia"/>
        </w:rPr>
        <w:t>信号系统</w:t>
      </w:r>
      <w:r>
        <w:rPr>
          <w:rFonts w:hint="eastAsia"/>
          <w:bCs/>
        </w:rPr>
        <w:t>的系统性能及能力、电磁兼容性与防护应符合现行国家标准《城市轨道交通信号系统通用技术条件》GB/T12758的有关规定。在采用交流牵引供电制式的线路上，信号系统应满足在25kV牵引供电制式下可靠工作的要求。</w:t>
      </w:r>
    </w:p>
    <w:p w14:paraId="0B8BD97D">
      <w:pPr>
        <w:numPr>
          <w:ilvl w:val="2"/>
          <w:numId w:val="1"/>
        </w:numPr>
        <w:tabs>
          <w:tab w:val="left" w:pos="794"/>
        </w:tabs>
        <w:jc w:val="left"/>
        <w:outlineLvl w:val="2"/>
      </w:pPr>
      <w:r>
        <w:t>道岔失去表示</w:t>
      </w:r>
      <w:r>
        <w:rPr>
          <w:snapToGrid w:val="0"/>
        </w:rPr>
        <w:t>并产生挤岔报警的时间宜为15s，但不应小于13s。</w:t>
      </w:r>
    </w:p>
    <w:p w14:paraId="0F233B92">
      <w:pPr>
        <w:pStyle w:val="3"/>
      </w:pPr>
      <w:r>
        <w:br w:type="page"/>
      </w:r>
      <w:bookmarkEnd w:id="940"/>
      <w:bookmarkEnd w:id="941"/>
      <w:bookmarkEnd w:id="942"/>
      <w:bookmarkEnd w:id="943"/>
      <w:bookmarkEnd w:id="944"/>
      <w:bookmarkEnd w:id="945"/>
      <w:bookmarkStart w:id="1405" w:name="_Toc183882530"/>
      <w:bookmarkStart w:id="1406" w:name="_Toc183765177"/>
      <w:bookmarkStart w:id="1407" w:name="_Toc183699877"/>
      <w:bookmarkStart w:id="1408" w:name="_Toc183683573"/>
      <w:bookmarkStart w:id="1409" w:name="_Toc183735421"/>
      <w:bookmarkStart w:id="1410" w:name="_Toc183882168"/>
      <w:bookmarkStart w:id="1411" w:name="_Toc183790607"/>
      <w:bookmarkStart w:id="1412" w:name="_Toc183888220"/>
      <w:bookmarkStart w:id="1413" w:name="_Toc183888582"/>
      <w:bookmarkStart w:id="1414" w:name="_Toc168059500"/>
      <w:bookmarkStart w:id="1415" w:name="_Toc168061308"/>
      <w:bookmarkStart w:id="1416" w:name="_Toc168061755"/>
      <w:r>
        <w:t>车站运营设备</w:t>
      </w:r>
      <w:bookmarkEnd w:id="1405"/>
      <w:bookmarkEnd w:id="1406"/>
      <w:bookmarkEnd w:id="1407"/>
      <w:bookmarkEnd w:id="1408"/>
      <w:bookmarkEnd w:id="1409"/>
      <w:bookmarkEnd w:id="1410"/>
      <w:bookmarkEnd w:id="1411"/>
      <w:bookmarkEnd w:id="1412"/>
      <w:bookmarkEnd w:id="1413"/>
    </w:p>
    <w:p w14:paraId="55B11B7E">
      <w:pPr>
        <w:numPr>
          <w:ilvl w:val="1"/>
          <w:numId w:val="1"/>
        </w:numPr>
        <w:snapToGrid w:val="0"/>
        <w:spacing w:before="156" w:after="156" w:line="240" w:lineRule="auto"/>
        <w:jc w:val="center"/>
        <w:outlineLvl w:val="1"/>
        <w:rPr>
          <w:rFonts w:eastAsia="黑体"/>
          <w:bCs/>
          <w:szCs w:val="28"/>
        </w:rPr>
      </w:pPr>
      <w:bookmarkStart w:id="1417" w:name="_Toc183790608"/>
      <w:bookmarkStart w:id="1418" w:name="_Toc183765178"/>
      <w:bookmarkStart w:id="1419" w:name="_Toc183888221"/>
      <w:bookmarkStart w:id="1420" w:name="_Toc183882531"/>
      <w:bookmarkStart w:id="1421" w:name="_Toc183683574"/>
      <w:bookmarkStart w:id="1422" w:name="_Toc183882169"/>
      <w:bookmarkStart w:id="1423" w:name="_Toc183888583"/>
      <w:r>
        <w:rPr>
          <w:rFonts w:hint="eastAsia" w:eastAsia="黑体"/>
          <w:bCs/>
          <w:szCs w:val="28"/>
        </w:rPr>
        <w:t>站台屏蔽门</w:t>
      </w:r>
      <w:bookmarkEnd w:id="1417"/>
      <w:bookmarkEnd w:id="1418"/>
      <w:bookmarkEnd w:id="1419"/>
      <w:bookmarkEnd w:id="1420"/>
      <w:bookmarkEnd w:id="1421"/>
      <w:bookmarkEnd w:id="1422"/>
      <w:bookmarkEnd w:id="1423"/>
    </w:p>
    <w:p w14:paraId="0678873F">
      <w:pPr>
        <w:jc w:val="center"/>
        <w:rPr>
          <w:b/>
        </w:rPr>
      </w:pPr>
      <w:r>
        <w:rPr>
          <w:b/>
        </w:rPr>
        <w:t>Ⅰ</w:t>
      </w:r>
      <w:r>
        <w:rPr>
          <w:rFonts w:hint="eastAsia"/>
          <w:b/>
        </w:rPr>
        <w:t xml:space="preserve">  </w:t>
      </w:r>
      <w:r>
        <w:rPr>
          <w:b/>
        </w:rPr>
        <w:t>一般规定</w:t>
      </w:r>
    </w:p>
    <w:p w14:paraId="58E92087">
      <w:pPr>
        <w:numPr>
          <w:ilvl w:val="2"/>
          <w:numId w:val="1"/>
        </w:numPr>
        <w:tabs>
          <w:tab w:val="left" w:pos="709"/>
          <w:tab w:val="left" w:pos="794"/>
        </w:tabs>
        <w:jc w:val="left"/>
        <w:outlineLvl w:val="2"/>
        <w:rPr>
          <w:bCs/>
        </w:rPr>
      </w:pPr>
      <w:r>
        <w:rPr>
          <w:rFonts w:hint="eastAsia"/>
          <w:bCs/>
        </w:rPr>
        <w:t>轨道交通线路应设置站台屏蔽门。</w:t>
      </w:r>
    </w:p>
    <w:p w14:paraId="0291AE11">
      <w:pPr>
        <w:numPr>
          <w:ilvl w:val="2"/>
          <w:numId w:val="1"/>
        </w:numPr>
        <w:tabs>
          <w:tab w:val="left" w:pos="709"/>
          <w:tab w:val="left" w:pos="794"/>
        </w:tabs>
        <w:jc w:val="left"/>
        <w:outlineLvl w:val="2"/>
        <w:rPr>
          <w:szCs w:val="18"/>
        </w:rPr>
      </w:pPr>
      <w:r>
        <w:rPr>
          <w:rFonts w:hint="eastAsia"/>
          <w:szCs w:val="18"/>
        </w:rPr>
        <w:t>站台屏蔽门的类型应根据气候条件、车站建筑形式、通风空调系统制式和服务水平等因素确定；地下车站宜采用全高封闭型站台屏蔽门，地上车站宜采用半高站台屏蔽门。</w:t>
      </w:r>
    </w:p>
    <w:p w14:paraId="29CF7F8B">
      <w:pPr>
        <w:numPr>
          <w:ilvl w:val="2"/>
          <w:numId w:val="1"/>
        </w:numPr>
        <w:tabs>
          <w:tab w:val="left" w:pos="709"/>
          <w:tab w:val="left" w:pos="794"/>
        </w:tabs>
        <w:jc w:val="left"/>
        <w:outlineLvl w:val="2"/>
        <w:rPr>
          <w:bCs/>
        </w:rPr>
      </w:pPr>
      <w:r>
        <w:rPr>
          <w:rFonts w:hint="eastAsia"/>
          <w:bCs/>
        </w:rPr>
        <w:t>当一条线路的地下或地上车站数量少于2座时，全线站台屏蔽门的选型宜保持一致。</w:t>
      </w:r>
    </w:p>
    <w:p w14:paraId="185CC846">
      <w:pPr>
        <w:pStyle w:val="5"/>
        <w:rPr>
          <w:szCs w:val="18"/>
        </w:rPr>
      </w:pPr>
      <w:r>
        <w:rPr>
          <w:rFonts w:hint="eastAsia"/>
        </w:rPr>
        <w:t>站台屏蔽门的工作环境应满足车站站台及轨行区的温度、湿度要求。</w:t>
      </w:r>
    </w:p>
    <w:p w14:paraId="3A7BE891">
      <w:pPr>
        <w:numPr>
          <w:ilvl w:val="2"/>
          <w:numId w:val="1"/>
        </w:numPr>
        <w:tabs>
          <w:tab w:val="left" w:pos="709"/>
          <w:tab w:val="left" w:pos="794"/>
        </w:tabs>
        <w:jc w:val="left"/>
        <w:outlineLvl w:val="2"/>
        <w:rPr>
          <w:szCs w:val="18"/>
        </w:rPr>
      </w:pPr>
      <w:r>
        <w:rPr>
          <w:rFonts w:hint="eastAsia"/>
          <w:szCs w:val="18"/>
        </w:rPr>
        <w:t>站台屏蔽门的总体布置及控制模式应满足列车运营模式的要求，保证正常运营时乘客能方便地上下车，故障或灾害时乘客能安全地疏散到站台。</w:t>
      </w:r>
    </w:p>
    <w:p w14:paraId="3E95D2ED">
      <w:pPr>
        <w:numPr>
          <w:ilvl w:val="2"/>
          <w:numId w:val="1"/>
        </w:numPr>
        <w:tabs>
          <w:tab w:val="left" w:pos="709"/>
          <w:tab w:val="left" w:pos="794"/>
        </w:tabs>
        <w:jc w:val="left"/>
        <w:outlineLvl w:val="2"/>
        <w:rPr>
          <w:bCs/>
        </w:rPr>
      </w:pPr>
      <w:r>
        <w:rPr>
          <w:rFonts w:hint="eastAsia"/>
          <w:bCs/>
        </w:rPr>
        <w:t>站台屏蔽门的安装位置应满足在设计荷载作用下符合本标准</w:t>
      </w:r>
      <w:r>
        <w:rPr>
          <w:bCs/>
        </w:rPr>
        <w:t>第</w:t>
      </w:r>
      <w:r>
        <w:rPr>
          <w:rFonts w:hint="eastAsia"/>
          <w:bCs/>
        </w:rPr>
        <w:t>6</w:t>
      </w:r>
      <w:r>
        <w:rPr>
          <w:bCs/>
        </w:rPr>
        <w:t>.3.</w:t>
      </w:r>
      <w:r>
        <w:rPr>
          <w:rFonts w:hint="eastAsia"/>
          <w:bCs/>
        </w:rPr>
        <w:t>8</w:t>
      </w:r>
      <w:r>
        <w:rPr>
          <w:bCs/>
        </w:rPr>
        <w:t>条的</w:t>
      </w:r>
      <w:r>
        <w:rPr>
          <w:rFonts w:hint="eastAsia"/>
          <w:bCs/>
        </w:rPr>
        <w:t>规定，与列车之间的间隙必要时应采取安全防护措施。</w:t>
      </w:r>
    </w:p>
    <w:p w14:paraId="14C9962E">
      <w:pPr>
        <w:numPr>
          <w:ilvl w:val="2"/>
          <w:numId w:val="1"/>
        </w:numPr>
        <w:tabs>
          <w:tab w:val="left" w:pos="709"/>
          <w:tab w:val="left" w:pos="794"/>
        </w:tabs>
        <w:jc w:val="left"/>
        <w:outlineLvl w:val="2"/>
        <w:rPr>
          <w:szCs w:val="18"/>
        </w:rPr>
      </w:pPr>
      <w:r>
        <w:rPr>
          <w:rFonts w:hint="eastAsia"/>
          <w:bCs/>
        </w:rPr>
        <w:t>站台屏蔽门应设置必要的安全装置，其锁紧和解锁装置应具备对障碍物的探测功能。</w:t>
      </w:r>
    </w:p>
    <w:p w14:paraId="14933283">
      <w:pPr>
        <w:numPr>
          <w:ilvl w:val="2"/>
          <w:numId w:val="1"/>
        </w:numPr>
        <w:tabs>
          <w:tab w:val="left" w:pos="709"/>
          <w:tab w:val="left" w:pos="794"/>
        </w:tabs>
        <w:jc w:val="left"/>
        <w:outlineLvl w:val="2"/>
        <w:rPr>
          <w:bCs/>
        </w:rPr>
      </w:pPr>
      <w:r>
        <w:rPr>
          <w:rFonts w:hint="eastAsia"/>
          <w:bCs/>
        </w:rPr>
        <w:t>站台屏蔽门应设置必要的安全装置，其锁紧和解锁装置应具备对障碍物的探测功能。</w:t>
      </w:r>
    </w:p>
    <w:p w14:paraId="6E059039">
      <w:pPr>
        <w:numPr>
          <w:ilvl w:val="2"/>
          <w:numId w:val="1"/>
        </w:numPr>
        <w:tabs>
          <w:tab w:val="left" w:pos="709"/>
          <w:tab w:val="left" w:pos="794"/>
        </w:tabs>
        <w:jc w:val="left"/>
        <w:outlineLvl w:val="2"/>
        <w:rPr>
          <w:bCs/>
        </w:rPr>
      </w:pPr>
      <w:r>
        <w:rPr>
          <w:rFonts w:hint="eastAsia"/>
          <w:bCs/>
        </w:rPr>
        <w:t>站台屏蔽门的控制应具有系统级、站台级和手动操作三级控制方式，手动操作优先权最高，系统级最低。</w:t>
      </w:r>
    </w:p>
    <w:p w14:paraId="667AC33B">
      <w:pPr>
        <w:numPr>
          <w:ilvl w:val="2"/>
          <w:numId w:val="1"/>
        </w:numPr>
        <w:tabs>
          <w:tab w:val="left" w:pos="794"/>
          <w:tab w:val="left" w:pos="851"/>
        </w:tabs>
        <w:jc w:val="left"/>
        <w:outlineLvl w:val="2"/>
        <w:rPr>
          <w:bCs/>
        </w:rPr>
      </w:pPr>
      <w:r>
        <w:rPr>
          <w:rFonts w:hint="eastAsia"/>
          <w:bCs/>
        </w:rPr>
        <w:t>单个站台屏蔽门的故障不应引发整侧站台屏蔽门的故障。正常运营条件下，站台屏蔽门任何故障都不应造成滑动门的自动开启。</w:t>
      </w:r>
    </w:p>
    <w:p w14:paraId="0EA09743">
      <w:pPr>
        <w:numPr>
          <w:ilvl w:val="2"/>
          <w:numId w:val="1"/>
        </w:numPr>
        <w:tabs>
          <w:tab w:val="left" w:pos="794"/>
          <w:tab w:val="left" w:pos="851"/>
        </w:tabs>
        <w:jc w:val="left"/>
        <w:outlineLvl w:val="2"/>
        <w:rPr>
          <w:bCs/>
        </w:rPr>
      </w:pPr>
      <w:r>
        <w:rPr>
          <w:rFonts w:hint="eastAsia"/>
          <w:szCs w:val="18"/>
        </w:rPr>
        <w:t>站</w:t>
      </w:r>
      <w:r>
        <w:rPr>
          <w:rFonts w:hint="eastAsia"/>
          <w:bCs/>
        </w:rPr>
        <w:t>台屏蔽门</w:t>
      </w:r>
      <w:r>
        <w:rPr>
          <w:bCs/>
        </w:rPr>
        <w:t>电气控制设备的防护等级应与车站环境条件相适应</w:t>
      </w:r>
      <w:r>
        <w:rPr>
          <w:rFonts w:hint="eastAsia"/>
          <w:bCs/>
        </w:rPr>
        <w:t>，</w:t>
      </w:r>
      <w:r>
        <w:rPr>
          <w:bCs/>
        </w:rPr>
        <w:t>地上车站不宜小于IP54。</w:t>
      </w:r>
    </w:p>
    <w:p w14:paraId="41D79D3D">
      <w:pPr>
        <w:numPr>
          <w:ilvl w:val="2"/>
          <w:numId w:val="1"/>
        </w:numPr>
        <w:tabs>
          <w:tab w:val="left" w:pos="794"/>
          <w:tab w:val="left" w:pos="851"/>
        </w:tabs>
        <w:jc w:val="left"/>
        <w:outlineLvl w:val="2"/>
        <w:rPr>
          <w:bCs/>
        </w:rPr>
      </w:pPr>
      <w:r>
        <w:rPr>
          <w:rFonts w:hint="eastAsia"/>
          <w:bCs/>
        </w:rPr>
        <w:t>站台屏蔽门的重要状态信息和故障信息应能在车站综合控制室和控制中心进行显示和报警。</w:t>
      </w:r>
    </w:p>
    <w:p w14:paraId="07B7F3F9">
      <w:pPr>
        <w:numPr>
          <w:ilvl w:val="2"/>
          <w:numId w:val="1"/>
        </w:numPr>
        <w:tabs>
          <w:tab w:val="left" w:pos="794"/>
          <w:tab w:val="left" w:pos="851"/>
        </w:tabs>
        <w:jc w:val="left"/>
        <w:outlineLvl w:val="2"/>
        <w:rPr>
          <w:bCs/>
        </w:rPr>
      </w:pPr>
      <w:r>
        <w:rPr>
          <w:rFonts w:hint="eastAsia"/>
          <w:bCs/>
        </w:rPr>
        <w:t>站台屏蔽门的设计应遵循安全性、可靠性、可维护性、可扩展性的原则。</w:t>
      </w:r>
    </w:p>
    <w:p w14:paraId="37173D85">
      <w:pPr>
        <w:numPr>
          <w:ilvl w:val="2"/>
          <w:numId w:val="1"/>
        </w:numPr>
        <w:tabs>
          <w:tab w:val="left" w:pos="794"/>
          <w:tab w:val="left" w:pos="851"/>
        </w:tabs>
        <w:jc w:val="left"/>
        <w:outlineLvl w:val="2"/>
        <w:rPr>
          <w:bCs/>
        </w:rPr>
      </w:pPr>
      <w:r>
        <w:rPr>
          <w:bCs/>
        </w:rPr>
        <w:t>火灾时</w:t>
      </w:r>
      <w:r>
        <w:rPr>
          <w:rFonts w:hint="eastAsia"/>
          <w:bCs/>
        </w:rPr>
        <w:t>站台屏蔽门</w:t>
      </w:r>
      <w:r>
        <w:rPr>
          <w:bCs/>
        </w:rPr>
        <w:t>不</w:t>
      </w:r>
      <w:r>
        <w:rPr>
          <w:rFonts w:hint="eastAsia"/>
          <w:bCs/>
        </w:rPr>
        <w:t>应</w:t>
      </w:r>
      <w:r>
        <w:rPr>
          <w:bCs/>
        </w:rPr>
        <w:t>作为防火分隔设施</w:t>
      </w:r>
      <w:r>
        <w:rPr>
          <w:rFonts w:hint="eastAsia"/>
          <w:bCs/>
        </w:rPr>
        <w:t>，</w:t>
      </w:r>
      <w:r>
        <w:rPr>
          <w:bCs/>
        </w:rPr>
        <w:t>其绝缘、密封材料和电线</w:t>
      </w:r>
      <w:r>
        <w:rPr>
          <w:rFonts w:hint="eastAsia"/>
          <w:bCs/>
        </w:rPr>
        <w:t>、</w:t>
      </w:r>
      <w:r>
        <w:rPr>
          <w:bCs/>
        </w:rPr>
        <w:t>电缆等应采用低烟、无卤、阻燃的材料</w:t>
      </w:r>
      <w:r>
        <w:rPr>
          <w:rFonts w:hint="eastAsia"/>
          <w:bCs/>
        </w:rPr>
        <w:t>，电线、电缆的燃烧性能不应低于B1级。</w:t>
      </w:r>
    </w:p>
    <w:p w14:paraId="119FFBA6">
      <w:pPr>
        <w:numPr>
          <w:ilvl w:val="2"/>
          <w:numId w:val="1"/>
        </w:numPr>
        <w:tabs>
          <w:tab w:val="left" w:pos="794"/>
          <w:tab w:val="left" w:pos="851"/>
        </w:tabs>
        <w:jc w:val="left"/>
        <w:outlineLvl w:val="2"/>
        <w:rPr>
          <w:bCs/>
        </w:rPr>
      </w:pPr>
      <w:r>
        <w:rPr>
          <w:rFonts w:hint="eastAsia"/>
          <w:bCs/>
        </w:rPr>
        <w:t>站台屏蔽门的主要装置应便于在站台侧进行维护、维修。</w:t>
      </w:r>
    </w:p>
    <w:p w14:paraId="4185CB19">
      <w:pPr>
        <w:numPr>
          <w:ilvl w:val="2"/>
          <w:numId w:val="1"/>
        </w:numPr>
        <w:tabs>
          <w:tab w:val="left" w:pos="794"/>
          <w:tab w:val="left" w:pos="851"/>
        </w:tabs>
        <w:jc w:val="left"/>
        <w:outlineLvl w:val="2"/>
        <w:rPr>
          <w:bCs/>
        </w:rPr>
      </w:pPr>
      <w:r>
        <w:rPr>
          <w:rFonts w:hint="eastAsia"/>
          <w:bCs/>
        </w:rPr>
        <w:t>站台屏蔽门应满足电磁兼容性要求。</w:t>
      </w:r>
    </w:p>
    <w:p w14:paraId="44CD55F9">
      <w:pPr>
        <w:numPr>
          <w:ilvl w:val="2"/>
          <w:numId w:val="1"/>
        </w:numPr>
        <w:tabs>
          <w:tab w:val="left" w:pos="794"/>
          <w:tab w:val="left" w:pos="851"/>
        </w:tabs>
        <w:jc w:val="left"/>
        <w:outlineLvl w:val="2"/>
        <w:rPr>
          <w:bCs/>
        </w:rPr>
      </w:pPr>
      <w:r>
        <w:rPr>
          <w:rFonts w:hint="eastAsia"/>
          <w:bCs/>
        </w:rPr>
        <w:t>站台屏蔽门应接收时钟信号，实现时钟同步。</w:t>
      </w:r>
    </w:p>
    <w:p w14:paraId="14680DC6">
      <w:pPr>
        <w:numPr>
          <w:ilvl w:val="2"/>
          <w:numId w:val="1"/>
        </w:numPr>
        <w:tabs>
          <w:tab w:val="left" w:pos="794"/>
          <w:tab w:val="left" w:pos="851"/>
        </w:tabs>
        <w:jc w:val="left"/>
        <w:outlineLvl w:val="2"/>
        <w:rPr>
          <w:bCs/>
        </w:rPr>
      </w:pPr>
      <w:r>
        <w:rPr>
          <w:rFonts w:hint="eastAsia"/>
          <w:bCs/>
        </w:rPr>
        <w:t>全自动运行线路的站台屏蔽门应具备滑动门与列车车门故障时的对位隔离功能。</w:t>
      </w:r>
    </w:p>
    <w:p w14:paraId="76E51003">
      <w:pPr>
        <w:numPr>
          <w:ilvl w:val="2"/>
          <w:numId w:val="1"/>
        </w:numPr>
        <w:tabs>
          <w:tab w:val="left" w:pos="794"/>
          <w:tab w:val="left" w:pos="851"/>
        </w:tabs>
        <w:jc w:val="left"/>
        <w:outlineLvl w:val="2"/>
        <w:rPr>
          <w:bCs/>
        </w:rPr>
      </w:pPr>
      <w:r>
        <w:rPr>
          <w:rFonts w:hint="eastAsia"/>
          <w:bCs/>
        </w:rPr>
        <w:t>站台屏蔽门与列车之间宜设置间隙探测装置，并宜直接接入信号系统。</w:t>
      </w:r>
    </w:p>
    <w:p w14:paraId="4CA42DF0">
      <w:pPr>
        <w:jc w:val="center"/>
        <w:rPr>
          <w:b/>
        </w:rPr>
      </w:pPr>
      <w:r>
        <w:rPr>
          <w:b/>
        </w:rPr>
        <w:t>Ⅱ</w:t>
      </w:r>
      <w:r>
        <w:rPr>
          <w:rFonts w:hint="eastAsia"/>
          <w:b/>
        </w:rPr>
        <w:t xml:space="preserve">  </w:t>
      </w:r>
      <w:r>
        <w:rPr>
          <w:b/>
        </w:rPr>
        <w:t>主要技术参数</w:t>
      </w:r>
    </w:p>
    <w:p w14:paraId="51832AED">
      <w:pPr>
        <w:numPr>
          <w:ilvl w:val="2"/>
          <w:numId w:val="1"/>
        </w:numPr>
        <w:tabs>
          <w:tab w:val="left" w:pos="794"/>
          <w:tab w:val="left" w:pos="851"/>
        </w:tabs>
        <w:jc w:val="left"/>
        <w:outlineLvl w:val="2"/>
        <w:rPr>
          <w:bCs/>
        </w:rPr>
      </w:pPr>
      <w:r>
        <w:rPr>
          <w:rFonts w:hint="eastAsia"/>
          <w:bCs/>
        </w:rPr>
        <w:t>滑动门开、关过程时间应与列车门的开关过程时间相匹配，且在一定范围内可调节，重复精度不应大于0.1s。</w:t>
      </w:r>
    </w:p>
    <w:p w14:paraId="30129EAA">
      <w:pPr>
        <w:numPr>
          <w:ilvl w:val="2"/>
          <w:numId w:val="1"/>
        </w:numPr>
        <w:tabs>
          <w:tab w:val="left" w:pos="794"/>
          <w:tab w:val="left" w:pos="851"/>
        </w:tabs>
        <w:jc w:val="left"/>
        <w:outlineLvl w:val="2"/>
        <w:rPr>
          <w:bCs/>
        </w:rPr>
      </w:pPr>
      <w:r>
        <w:rPr>
          <w:rFonts w:hint="eastAsia"/>
          <w:bCs/>
        </w:rPr>
        <w:t>运行强度应符合每天运行20h，每90s开/关1次，常年连续运行的条件。</w:t>
      </w:r>
    </w:p>
    <w:p w14:paraId="555DAE0F">
      <w:pPr>
        <w:numPr>
          <w:ilvl w:val="2"/>
          <w:numId w:val="1"/>
        </w:numPr>
        <w:tabs>
          <w:tab w:val="left" w:pos="794"/>
          <w:tab w:val="left" w:pos="851"/>
        </w:tabs>
        <w:jc w:val="left"/>
        <w:outlineLvl w:val="2"/>
        <w:rPr>
          <w:bCs/>
        </w:rPr>
      </w:pPr>
      <w:r>
        <w:rPr>
          <w:rFonts w:hint="eastAsia"/>
          <w:bCs/>
        </w:rPr>
        <w:t>站台屏蔽门门体结构在轨道交通环境的最不利载荷效应组合情况下，门体弹性变形后应满足限界要求，且结构不应出现永久变形。各种荷载的取值应符合下列规定：</w:t>
      </w:r>
    </w:p>
    <w:p w14:paraId="05EB482D">
      <w:pPr>
        <w:ind w:firstLine="422" w:firstLineChars="200"/>
      </w:pPr>
      <w:r>
        <w:rPr>
          <w:rStyle w:val="131"/>
          <w:rFonts w:hint="eastAsia"/>
          <w:b/>
        </w:rPr>
        <w:t>1</w:t>
      </w:r>
      <w:r>
        <w:rPr>
          <w:rStyle w:val="131"/>
          <w:rFonts w:hint="eastAsia"/>
        </w:rPr>
        <w:t xml:space="preserve"> </w:t>
      </w:r>
      <w:r>
        <w:rPr>
          <w:rFonts w:hint="eastAsia"/>
        </w:rPr>
        <w:t xml:space="preserve"> 站台屏蔽门站台设备自重应按实际重量取值；</w:t>
      </w:r>
    </w:p>
    <w:p w14:paraId="2E3C87D8">
      <w:pPr>
        <w:ind w:firstLine="422" w:firstLineChars="200"/>
      </w:pPr>
      <w:r>
        <w:rPr>
          <w:rFonts w:hint="eastAsia" w:cs="Arial"/>
          <w:b/>
        </w:rPr>
        <w:t xml:space="preserve">2 </w:t>
      </w:r>
      <w:r>
        <w:rPr>
          <w:rFonts w:hint="eastAsia"/>
        </w:rPr>
        <w:t xml:space="preserve"> 站台屏蔽门所承受的风压荷载应结合工程条件按设计载荷或风载荷标准值计算取值；</w:t>
      </w:r>
    </w:p>
    <w:p w14:paraId="6334245C">
      <w:pPr>
        <w:ind w:firstLine="422" w:firstLineChars="200"/>
      </w:pPr>
      <w:r>
        <w:rPr>
          <w:rFonts w:hint="eastAsia" w:cs="Arial"/>
          <w:b/>
        </w:rPr>
        <w:t>3</w:t>
      </w:r>
      <w:r>
        <w:rPr>
          <w:rFonts w:hint="eastAsia"/>
          <w:b/>
        </w:rPr>
        <w:t xml:space="preserve"> </w:t>
      </w:r>
      <w:r>
        <w:rPr>
          <w:rFonts w:hint="eastAsia"/>
        </w:rPr>
        <w:t xml:space="preserve"> 站台屏蔽门的人群挤压力应按在其1.1m高度处，垂直施加于门体结构1500N/m的挤压力取值；</w:t>
      </w:r>
    </w:p>
    <w:p w14:paraId="6263D4C8">
      <w:pPr>
        <w:ind w:firstLine="422" w:firstLineChars="200"/>
      </w:pPr>
      <w:r>
        <w:rPr>
          <w:rFonts w:hint="eastAsia" w:cs="Arial"/>
          <w:b/>
        </w:rPr>
        <w:t>4</w:t>
      </w:r>
      <w:r>
        <w:rPr>
          <w:rFonts w:hint="eastAsia"/>
        </w:rPr>
        <w:t xml:space="preserve">  站台屏蔽门的人群冲击力应按在其1.1m高度处，垂直施加1500N作用在100cm</w:t>
      </w:r>
      <w:r>
        <w:rPr>
          <w:rFonts w:hint="eastAsia"/>
          <w:vertAlign w:val="superscript"/>
        </w:rPr>
        <w:t>2</w:t>
      </w:r>
      <w:r>
        <w:rPr>
          <w:rFonts w:hint="eastAsia"/>
        </w:rPr>
        <w:t>上的冲击力取值；</w:t>
      </w:r>
    </w:p>
    <w:p w14:paraId="2AE6E40F">
      <w:pPr>
        <w:ind w:firstLine="422" w:firstLineChars="200"/>
      </w:pPr>
      <w:r>
        <w:rPr>
          <w:rFonts w:hint="eastAsia" w:cs="Arial"/>
          <w:b/>
        </w:rPr>
        <w:t>5</w:t>
      </w:r>
      <w:r>
        <w:rPr>
          <w:rFonts w:hint="eastAsia"/>
          <w:b/>
        </w:rPr>
        <w:t xml:space="preserve"> </w:t>
      </w:r>
      <w:r>
        <w:rPr>
          <w:rFonts w:hint="eastAsia"/>
        </w:rPr>
        <w:t xml:space="preserve"> 地震作用的烈度按8度取值。</w:t>
      </w:r>
    </w:p>
    <w:p w14:paraId="76C7E066">
      <w:pPr>
        <w:numPr>
          <w:ilvl w:val="2"/>
          <w:numId w:val="1"/>
        </w:numPr>
        <w:tabs>
          <w:tab w:val="left" w:pos="794"/>
          <w:tab w:val="left" w:pos="851"/>
        </w:tabs>
        <w:jc w:val="left"/>
        <w:outlineLvl w:val="2"/>
        <w:rPr>
          <w:bCs/>
        </w:rPr>
      </w:pPr>
      <w:r>
        <w:rPr>
          <w:rFonts w:hint="eastAsia"/>
          <w:bCs/>
        </w:rPr>
        <w:t>站台屏蔽门动力学参数应满足下列要求：</w:t>
      </w:r>
    </w:p>
    <w:p w14:paraId="6CF897CC">
      <w:pPr>
        <w:pStyle w:val="86"/>
        <w:ind w:firstLine="422"/>
        <w:rPr>
          <w:color w:val="auto"/>
        </w:rPr>
      </w:pPr>
      <w:r>
        <w:rPr>
          <w:rFonts w:hint="eastAsia"/>
          <w:b/>
          <w:color w:val="auto"/>
        </w:rPr>
        <w:t>1</w:t>
      </w:r>
      <w:r>
        <w:rPr>
          <w:rFonts w:hint="eastAsia"/>
          <w:color w:val="auto"/>
        </w:rPr>
        <w:t xml:space="preserve">  门体的加、减速度值应能达到1m/s</w:t>
      </w:r>
      <w:r>
        <w:rPr>
          <w:rFonts w:hint="eastAsia"/>
          <w:color w:val="auto"/>
          <w:vertAlign w:val="superscript"/>
        </w:rPr>
        <w:t>2</w:t>
      </w:r>
      <w:r>
        <w:rPr>
          <w:rFonts w:hint="eastAsia"/>
          <w:color w:val="auto"/>
        </w:rPr>
        <w:t>；</w:t>
      </w:r>
    </w:p>
    <w:p w14:paraId="17E458EF">
      <w:pPr>
        <w:pStyle w:val="86"/>
        <w:ind w:firstLine="422"/>
        <w:rPr>
          <w:color w:val="auto"/>
        </w:rPr>
      </w:pPr>
      <w:r>
        <w:rPr>
          <w:rFonts w:hint="eastAsia"/>
          <w:b/>
          <w:color w:val="auto"/>
        </w:rPr>
        <w:t>2</w:t>
      </w:r>
      <w:r>
        <w:rPr>
          <w:rFonts w:hint="eastAsia"/>
          <w:color w:val="auto"/>
        </w:rPr>
        <w:t xml:space="preserve">  阻止滑动门关闭的力不应大于150N（匀速运动区间）；</w:t>
      </w:r>
    </w:p>
    <w:p w14:paraId="2E348AFD">
      <w:pPr>
        <w:pStyle w:val="86"/>
        <w:ind w:firstLine="422"/>
        <w:rPr>
          <w:color w:val="auto"/>
        </w:rPr>
      </w:pPr>
      <w:r>
        <w:rPr>
          <w:rFonts w:hint="eastAsia"/>
          <w:b/>
          <w:color w:val="auto"/>
        </w:rPr>
        <w:t>3</w:t>
      </w:r>
      <w:r>
        <w:rPr>
          <w:rFonts w:hint="eastAsia"/>
          <w:color w:val="auto"/>
        </w:rPr>
        <w:t xml:space="preserve">  每扇滑动门的最大动能不应大于10J；</w:t>
      </w:r>
    </w:p>
    <w:p w14:paraId="30C4CE4C">
      <w:pPr>
        <w:pStyle w:val="86"/>
        <w:ind w:firstLine="422"/>
        <w:rPr>
          <w:color w:val="auto"/>
        </w:rPr>
      </w:pPr>
      <w:r>
        <w:rPr>
          <w:rFonts w:hint="eastAsia"/>
          <w:b/>
          <w:color w:val="auto"/>
        </w:rPr>
        <w:t>4</w:t>
      </w:r>
      <w:r>
        <w:rPr>
          <w:rFonts w:hint="eastAsia"/>
          <w:color w:val="auto"/>
        </w:rPr>
        <w:t xml:space="preserve">  每扇滑动门关门的最后100mm行程最大动能不应大于1J；</w:t>
      </w:r>
    </w:p>
    <w:p w14:paraId="092B10E8">
      <w:pPr>
        <w:pStyle w:val="86"/>
        <w:ind w:firstLine="422"/>
        <w:rPr>
          <w:color w:val="auto"/>
        </w:rPr>
      </w:pPr>
      <w:r>
        <w:rPr>
          <w:rFonts w:hint="eastAsia"/>
          <w:b/>
          <w:color w:val="auto"/>
        </w:rPr>
        <w:t>5</w:t>
      </w:r>
      <w:r>
        <w:rPr>
          <w:rFonts w:hint="eastAsia"/>
          <w:color w:val="auto"/>
        </w:rPr>
        <w:t xml:space="preserve">  手动开启单边滑动门的动作力不应大于133N。</w:t>
      </w:r>
    </w:p>
    <w:p w14:paraId="543438D8">
      <w:pPr>
        <w:numPr>
          <w:ilvl w:val="2"/>
          <w:numId w:val="1"/>
        </w:numPr>
        <w:tabs>
          <w:tab w:val="left" w:pos="794"/>
          <w:tab w:val="left" w:pos="851"/>
        </w:tabs>
        <w:jc w:val="left"/>
        <w:outlineLvl w:val="2"/>
        <w:rPr>
          <w:bCs/>
        </w:rPr>
      </w:pPr>
      <w:r>
        <w:rPr>
          <w:rFonts w:hint="eastAsia"/>
          <w:bCs/>
        </w:rPr>
        <w:t>滑动门、应急门、端门的手动解锁力不应大于67N。</w:t>
      </w:r>
    </w:p>
    <w:p w14:paraId="7275A8E2">
      <w:pPr>
        <w:numPr>
          <w:ilvl w:val="2"/>
          <w:numId w:val="1"/>
        </w:numPr>
        <w:tabs>
          <w:tab w:val="left" w:pos="794"/>
          <w:tab w:val="left" w:pos="851"/>
        </w:tabs>
        <w:jc w:val="left"/>
        <w:outlineLvl w:val="2"/>
        <w:rPr>
          <w:bCs/>
        </w:rPr>
      </w:pPr>
      <w:r>
        <w:rPr>
          <w:rFonts w:hint="eastAsia"/>
          <w:bCs/>
        </w:rPr>
        <w:t>中</w:t>
      </w:r>
      <w:r>
        <w:rPr>
          <w:rFonts w:hint="eastAsia"/>
          <w:szCs w:val="18"/>
        </w:rPr>
        <w:t>央控制盘接收到开关门命令至滑动门动作时间不应大于0.3s。</w:t>
      </w:r>
    </w:p>
    <w:p w14:paraId="26DCCDF4">
      <w:pPr>
        <w:numPr>
          <w:ilvl w:val="2"/>
          <w:numId w:val="1"/>
        </w:numPr>
        <w:tabs>
          <w:tab w:val="left" w:pos="794"/>
          <w:tab w:val="left" w:pos="851"/>
        </w:tabs>
        <w:jc w:val="left"/>
        <w:outlineLvl w:val="2"/>
        <w:rPr>
          <w:bCs/>
        </w:rPr>
      </w:pPr>
      <w:r>
        <w:rPr>
          <w:rFonts w:hint="eastAsia"/>
          <w:bCs/>
        </w:rPr>
        <w:t>站台屏蔽门的整体钢结构设计工作年限不应小于30年。</w:t>
      </w:r>
    </w:p>
    <w:p w14:paraId="7FD5DA2F">
      <w:pPr>
        <w:numPr>
          <w:ilvl w:val="2"/>
          <w:numId w:val="1"/>
        </w:numPr>
        <w:tabs>
          <w:tab w:val="left" w:pos="794"/>
          <w:tab w:val="left" w:pos="851"/>
        </w:tabs>
        <w:jc w:val="left"/>
        <w:outlineLvl w:val="2"/>
        <w:rPr>
          <w:bCs/>
        </w:rPr>
      </w:pPr>
      <w:r>
        <w:rPr>
          <w:rFonts w:hint="eastAsia"/>
          <w:bCs/>
        </w:rPr>
        <w:t>平均无故障运行周期不应小于60万个周期。</w:t>
      </w:r>
    </w:p>
    <w:p w14:paraId="4A204764">
      <w:pPr>
        <w:numPr>
          <w:ilvl w:val="2"/>
          <w:numId w:val="1"/>
        </w:numPr>
        <w:tabs>
          <w:tab w:val="left" w:pos="794"/>
          <w:tab w:val="left" w:pos="851"/>
        </w:tabs>
        <w:jc w:val="left"/>
        <w:outlineLvl w:val="2"/>
        <w:rPr>
          <w:bCs/>
        </w:rPr>
      </w:pPr>
      <w:r>
        <w:rPr>
          <w:rFonts w:hint="eastAsia"/>
          <w:bCs/>
        </w:rPr>
        <w:t>站台屏蔽门运行噪声峰值不应超过70dB（A）。</w:t>
      </w:r>
    </w:p>
    <w:p w14:paraId="535FAD28">
      <w:pPr>
        <w:numPr>
          <w:ilvl w:val="2"/>
          <w:numId w:val="1"/>
        </w:numPr>
        <w:tabs>
          <w:tab w:val="left" w:pos="794"/>
          <w:tab w:val="left" w:pos="851"/>
        </w:tabs>
        <w:jc w:val="left"/>
        <w:outlineLvl w:val="2"/>
        <w:rPr>
          <w:bCs/>
        </w:rPr>
      </w:pPr>
      <w:r>
        <w:rPr>
          <w:rFonts w:hint="eastAsia"/>
          <w:bCs/>
        </w:rPr>
        <w:t>在正常使用和维护保养条件下，重要零部件5年内应无须更换。</w:t>
      </w:r>
    </w:p>
    <w:p w14:paraId="1882AB9B">
      <w:pPr>
        <w:numPr>
          <w:ilvl w:val="2"/>
          <w:numId w:val="1"/>
        </w:numPr>
        <w:tabs>
          <w:tab w:val="left" w:pos="794"/>
          <w:tab w:val="left" w:pos="851"/>
        </w:tabs>
        <w:jc w:val="left"/>
        <w:outlineLvl w:val="2"/>
        <w:rPr>
          <w:bCs/>
        </w:rPr>
      </w:pPr>
      <w:bookmarkStart w:id="1424" w:name="OLE_LINK9"/>
      <w:r>
        <w:rPr>
          <w:rFonts w:hint="eastAsia"/>
          <w:bCs/>
        </w:rPr>
        <w:t>全自动运行线路的</w:t>
      </w:r>
      <w:bookmarkEnd w:id="1424"/>
      <w:r>
        <w:rPr>
          <w:rFonts w:hint="eastAsia"/>
          <w:bCs/>
        </w:rPr>
        <w:t>站台屏蔽门安全相关功能的完整性等级不应低于SIL2级要求。</w:t>
      </w:r>
    </w:p>
    <w:p w14:paraId="67FE0524">
      <w:pPr>
        <w:numPr>
          <w:ilvl w:val="2"/>
          <w:numId w:val="1"/>
        </w:numPr>
        <w:tabs>
          <w:tab w:val="left" w:pos="794"/>
          <w:tab w:val="left" w:pos="851"/>
        </w:tabs>
        <w:jc w:val="left"/>
        <w:outlineLvl w:val="2"/>
        <w:rPr>
          <w:bCs/>
        </w:rPr>
      </w:pPr>
      <w:r>
        <w:rPr>
          <w:rFonts w:hint="eastAsia"/>
          <w:bCs/>
        </w:rPr>
        <w:t>全自动运行线路的间隙探测系统安全相关功能的完整性等级不应低于SIL2级要求。</w:t>
      </w:r>
    </w:p>
    <w:p w14:paraId="171819E3">
      <w:pPr>
        <w:jc w:val="center"/>
        <w:rPr>
          <w:b/>
        </w:rPr>
      </w:pPr>
      <w:r>
        <w:rPr>
          <w:b/>
        </w:rPr>
        <w:t>Ⅲ</w:t>
      </w:r>
      <w:r>
        <w:rPr>
          <w:rFonts w:hint="eastAsia"/>
          <w:b/>
        </w:rPr>
        <w:t xml:space="preserve">  </w:t>
      </w:r>
      <w:r>
        <w:rPr>
          <w:b/>
        </w:rPr>
        <w:t>系统基本构成</w:t>
      </w:r>
    </w:p>
    <w:p w14:paraId="12A5CAD8">
      <w:pPr>
        <w:numPr>
          <w:ilvl w:val="2"/>
          <w:numId w:val="1"/>
        </w:numPr>
        <w:tabs>
          <w:tab w:val="left" w:pos="794"/>
          <w:tab w:val="left" w:pos="851"/>
        </w:tabs>
        <w:jc w:val="left"/>
        <w:outlineLvl w:val="2"/>
        <w:rPr>
          <w:bCs/>
        </w:rPr>
      </w:pPr>
      <w:r>
        <w:rPr>
          <w:rFonts w:hint="eastAsia"/>
          <w:bCs/>
        </w:rPr>
        <w:t>站台屏蔽门应由门体结构、门机、电源及控制四部分组成。</w:t>
      </w:r>
    </w:p>
    <w:p w14:paraId="7D638ED7">
      <w:pPr>
        <w:numPr>
          <w:ilvl w:val="2"/>
          <w:numId w:val="1"/>
        </w:numPr>
        <w:tabs>
          <w:tab w:val="left" w:pos="794"/>
          <w:tab w:val="left" w:pos="851"/>
        </w:tabs>
        <w:jc w:val="left"/>
        <w:outlineLvl w:val="2"/>
        <w:rPr>
          <w:bCs/>
        </w:rPr>
      </w:pPr>
      <w:r>
        <w:rPr>
          <w:rFonts w:hint="eastAsia"/>
          <w:bCs/>
        </w:rPr>
        <w:t>门体结构应符合下列规定：</w:t>
      </w:r>
    </w:p>
    <w:p w14:paraId="6F6BCE28">
      <w:pPr>
        <w:pStyle w:val="86"/>
        <w:ind w:firstLine="422"/>
        <w:rPr>
          <w:color w:val="auto"/>
        </w:rPr>
      </w:pPr>
      <w:r>
        <w:rPr>
          <w:rFonts w:hint="eastAsia"/>
          <w:b/>
          <w:color w:val="auto"/>
        </w:rPr>
        <w:t>1</w:t>
      </w:r>
      <w:r>
        <w:rPr>
          <w:rFonts w:hint="eastAsia"/>
          <w:color w:val="auto"/>
        </w:rPr>
        <w:t xml:space="preserve">  站台屏蔽门应至少包括固定门、滑动门、应急门，每侧站台两端结合车站建筑布局设置端门；全高站台屏蔽门含顶箱结构，半高站台屏蔽门含固定侧盒；</w:t>
      </w:r>
    </w:p>
    <w:p w14:paraId="15D0BEB5">
      <w:pPr>
        <w:pStyle w:val="86"/>
        <w:ind w:firstLine="422"/>
        <w:rPr>
          <w:color w:val="auto"/>
        </w:rPr>
      </w:pPr>
      <w:r>
        <w:rPr>
          <w:rFonts w:hint="eastAsia"/>
          <w:b/>
          <w:color w:val="auto"/>
        </w:rPr>
        <w:t xml:space="preserve">2 </w:t>
      </w:r>
      <w:r>
        <w:rPr>
          <w:rFonts w:hint="eastAsia"/>
          <w:color w:val="auto"/>
        </w:rPr>
        <w:t xml:space="preserve"> 滑动门的位置、数量应与列车客室门相对应；</w:t>
      </w:r>
    </w:p>
    <w:p w14:paraId="0430E812">
      <w:pPr>
        <w:pStyle w:val="86"/>
        <w:ind w:firstLine="422"/>
        <w:rPr>
          <w:color w:val="auto"/>
        </w:rPr>
      </w:pPr>
      <w:r>
        <w:rPr>
          <w:rFonts w:hint="eastAsia"/>
          <w:b/>
          <w:color w:val="auto"/>
        </w:rPr>
        <w:t xml:space="preserve">3 </w:t>
      </w:r>
      <w:r>
        <w:rPr>
          <w:rFonts w:hint="eastAsia"/>
          <w:color w:val="auto"/>
        </w:rPr>
        <w:t xml:space="preserve"> 在正常的列车停车精度范围内，站台屏蔽门在开、关门状态下不应影响列车司机出入；</w:t>
      </w:r>
    </w:p>
    <w:p w14:paraId="6343A47F">
      <w:pPr>
        <w:pStyle w:val="86"/>
        <w:ind w:firstLine="422"/>
        <w:rPr>
          <w:color w:val="auto"/>
        </w:rPr>
      </w:pPr>
      <w:r>
        <w:rPr>
          <w:rFonts w:hint="eastAsia"/>
          <w:b/>
          <w:color w:val="auto"/>
        </w:rPr>
        <w:t>4</w:t>
      </w:r>
      <w:r>
        <w:rPr>
          <w:rFonts w:hint="eastAsia"/>
          <w:color w:val="auto"/>
        </w:rPr>
        <w:t xml:space="preserve">  在站台屏蔽门范围内的适当位置应设置应急门。每侧站台应急门的数量不应少于远期列车编组车辆数的二分之一，宜与远期列车编组车辆数一致；</w:t>
      </w:r>
    </w:p>
    <w:p w14:paraId="350A918D">
      <w:pPr>
        <w:pStyle w:val="86"/>
        <w:ind w:firstLine="422"/>
        <w:rPr>
          <w:color w:val="auto"/>
        </w:rPr>
      </w:pPr>
      <w:r>
        <w:rPr>
          <w:rFonts w:hint="eastAsia"/>
          <w:b/>
          <w:color w:val="auto"/>
        </w:rPr>
        <w:t>5</w:t>
      </w:r>
      <w:r>
        <w:rPr>
          <w:rFonts w:hint="eastAsia"/>
          <w:color w:val="auto"/>
        </w:rPr>
        <w:t xml:space="preserve">  滑动门的净开度不应小于车辆客室门的净开度，标准滑动门的净开度应为车辆客室门净开度加两倍列车停车精度的绝对值；首末滑动门的净开度的取值应满足打开后不影响列车司机上下车；</w:t>
      </w:r>
    </w:p>
    <w:p w14:paraId="717E99E6">
      <w:pPr>
        <w:pStyle w:val="86"/>
        <w:ind w:firstLine="422"/>
        <w:rPr>
          <w:color w:val="auto"/>
        </w:rPr>
      </w:pPr>
      <w:r>
        <w:rPr>
          <w:rFonts w:hint="eastAsia"/>
          <w:b/>
          <w:color w:val="auto"/>
        </w:rPr>
        <w:t xml:space="preserve">6 </w:t>
      </w:r>
      <w:r>
        <w:rPr>
          <w:rFonts w:hint="eastAsia"/>
          <w:color w:val="auto"/>
        </w:rPr>
        <w:t xml:space="preserve"> 端门的最小净开度不宜小于1200mm；</w:t>
      </w:r>
    </w:p>
    <w:p w14:paraId="20E2F7EE">
      <w:pPr>
        <w:pStyle w:val="86"/>
        <w:ind w:firstLine="422"/>
        <w:rPr>
          <w:color w:val="auto"/>
        </w:rPr>
      </w:pPr>
      <w:r>
        <w:rPr>
          <w:rFonts w:hint="eastAsia"/>
          <w:b/>
          <w:color w:val="auto"/>
        </w:rPr>
        <w:t>7</w:t>
      </w:r>
      <w:r>
        <w:rPr>
          <w:rFonts w:hint="eastAsia"/>
          <w:color w:val="auto"/>
        </w:rPr>
        <w:t xml:space="preserve">  单扇应急门的最小净开度不宜小于1100mm；全高站台屏蔽门的应急门宜采用双扇对开方式；</w:t>
      </w:r>
    </w:p>
    <w:p w14:paraId="3E4E242D">
      <w:pPr>
        <w:pStyle w:val="86"/>
        <w:ind w:firstLine="422"/>
        <w:rPr>
          <w:color w:val="auto"/>
        </w:rPr>
      </w:pPr>
      <w:r>
        <w:rPr>
          <w:rFonts w:hint="eastAsia"/>
          <w:b/>
          <w:color w:val="auto"/>
        </w:rPr>
        <w:t>8</w:t>
      </w:r>
      <w:r>
        <w:rPr>
          <w:rFonts w:hint="eastAsia"/>
          <w:color w:val="auto"/>
        </w:rPr>
        <w:t xml:space="preserve">  全高站台屏蔽门滑动门、应急门、端门的开门净高度不应小于2000mm；半高站台屏蔽门滑动门、应急门、端门的门体总高度不应小于1400mm；</w:t>
      </w:r>
    </w:p>
    <w:p w14:paraId="56CEAD76">
      <w:pPr>
        <w:pStyle w:val="86"/>
        <w:ind w:firstLine="422"/>
        <w:rPr>
          <w:color w:val="auto"/>
        </w:rPr>
      </w:pPr>
      <w:r>
        <w:rPr>
          <w:rFonts w:hint="eastAsia"/>
          <w:b/>
          <w:color w:val="auto"/>
        </w:rPr>
        <w:t xml:space="preserve">9 </w:t>
      </w:r>
      <w:r>
        <w:rPr>
          <w:rFonts w:hint="eastAsia"/>
          <w:color w:val="auto"/>
        </w:rPr>
        <w:t xml:space="preserve"> 应急门、端门应向站台侧旋转90°平开，打开过程应顺畅，不应受地面及其他障碍物（含盲道）的影响；</w:t>
      </w:r>
    </w:p>
    <w:p w14:paraId="51E15CE9">
      <w:pPr>
        <w:pStyle w:val="86"/>
        <w:ind w:firstLine="422"/>
        <w:rPr>
          <w:color w:val="auto"/>
        </w:rPr>
      </w:pPr>
      <w:r>
        <w:rPr>
          <w:rFonts w:hint="eastAsia"/>
          <w:b/>
          <w:color w:val="auto"/>
        </w:rPr>
        <w:t xml:space="preserve">10 </w:t>
      </w:r>
      <w:r>
        <w:rPr>
          <w:rFonts w:hint="eastAsia"/>
          <w:color w:val="auto"/>
        </w:rPr>
        <w:t xml:space="preserve"> 全高站台屏蔽门的门体高度不应小于2500mm，半高站台屏蔽门的门体高度不宜小于1500mm；</w:t>
      </w:r>
    </w:p>
    <w:p w14:paraId="4DB636B4">
      <w:pPr>
        <w:pStyle w:val="86"/>
        <w:ind w:firstLine="422"/>
        <w:rPr>
          <w:color w:val="auto"/>
        </w:rPr>
      </w:pPr>
      <w:r>
        <w:rPr>
          <w:rFonts w:hint="eastAsia"/>
          <w:b/>
          <w:color w:val="auto"/>
        </w:rPr>
        <w:t>11</w:t>
      </w:r>
      <w:r>
        <w:rPr>
          <w:rFonts w:hint="eastAsia"/>
          <w:color w:val="auto"/>
        </w:rPr>
        <w:t xml:space="preserve">  滑动门、应急门、端门应能可靠锁闭，在站台侧应能用专用钥匙开启，在轨道侧应能手动开启；</w:t>
      </w:r>
    </w:p>
    <w:p w14:paraId="625D6BFC">
      <w:pPr>
        <w:pStyle w:val="86"/>
        <w:ind w:firstLine="422"/>
        <w:rPr>
          <w:color w:val="auto"/>
        </w:rPr>
      </w:pPr>
      <w:r>
        <w:rPr>
          <w:rFonts w:hint="eastAsia"/>
          <w:b/>
          <w:color w:val="auto"/>
        </w:rPr>
        <w:t>12</w:t>
      </w:r>
      <w:r>
        <w:rPr>
          <w:rFonts w:hint="eastAsia"/>
          <w:color w:val="auto"/>
        </w:rPr>
        <w:t xml:space="preserve">  站台屏蔽门的门体外观和颜色应与车站建筑风格相适应；门体应由金属框架、玻璃等组成，框架外露面宜采用铝合金或不锈钢等金属材料制成；玻璃应选用通透性好的安全玻璃，并应符合现行国家标准《建筑用安全玻璃 第4部分：均质钢化玻璃》GB 15763.4的相关规定；</w:t>
      </w:r>
    </w:p>
    <w:p w14:paraId="35047F29">
      <w:pPr>
        <w:pStyle w:val="86"/>
        <w:ind w:firstLine="422"/>
        <w:rPr>
          <w:color w:val="auto"/>
        </w:rPr>
      </w:pPr>
      <w:r>
        <w:rPr>
          <w:rFonts w:hint="eastAsia"/>
          <w:b/>
          <w:color w:val="auto"/>
        </w:rPr>
        <w:t xml:space="preserve">13 </w:t>
      </w:r>
      <w:r>
        <w:rPr>
          <w:rFonts w:hint="eastAsia"/>
          <w:color w:val="auto"/>
        </w:rPr>
        <w:t xml:space="preserve"> 站台屏蔽门与车站结构的连接部分应具有三维调节功能，强度、刚度应满足设计要求。</w:t>
      </w:r>
    </w:p>
    <w:p w14:paraId="088F0EDB">
      <w:pPr>
        <w:numPr>
          <w:ilvl w:val="2"/>
          <w:numId w:val="1"/>
        </w:numPr>
        <w:tabs>
          <w:tab w:val="left" w:pos="794"/>
          <w:tab w:val="left" w:pos="851"/>
        </w:tabs>
        <w:jc w:val="left"/>
        <w:outlineLvl w:val="2"/>
        <w:rPr>
          <w:bCs/>
        </w:rPr>
      </w:pPr>
      <w:r>
        <w:rPr>
          <w:rFonts w:hint="eastAsia"/>
          <w:bCs/>
        </w:rPr>
        <w:t>门机应符合下列规定：</w:t>
      </w:r>
    </w:p>
    <w:p w14:paraId="73399B8E">
      <w:pPr>
        <w:pStyle w:val="86"/>
        <w:ind w:firstLine="422"/>
        <w:rPr>
          <w:color w:val="auto"/>
        </w:rPr>
      </w:pPr>
      <w:r>
        <w:rPr>
          <w:rFonts w:hint="eastAsia"/>
          <w:b/>
          <w:color w:val="auto"/>
        </w:rPr>
        <w:t>1</w:t>
      </w:r>
      <w:r>
        <w:rPr>
          <w:rFonts w:hint="eastAsia"/>
          <w:color w:val="auto"/>
        </w:rPr>
        <w:t xml:space="preserve">  驱动电机宜选用直流电机，其功率应保证最不利条件下站台屏蔽门可正常开关；</w:t>
      </w:r>
    </w:p>
    <w:p w14:paraId="0411990A">
      <w:pPr>
        <w:pStyle w:val="86"/>
        <w:ind w:firstLine="422"/>
        <w:rPr>
          <w:color w:val="auto"/>
        </w:rPr>
      </w:pPr>
      <w:r>
        <w:rPr>
          <w:rFonts w:hint="eastAsia"/>
          <w:b/>
          <w:color w:val="auto"/>
        </w:rPr>
        <w:t xml:space="preserve">2 </w:t>
      </w:r>
      <w:r>
        <w:rPr>
          <w:rFonts w:hint="eastAsia"/>
          <w:color w:val="auto"/>
        </w:rPr>
        <w:t xml:space="preserve"> 门机应采用门控器控制方式；</w:t>
      </w:r>
    </w:p>
    <w:p w14:paraId="3228D140">
      <w:pPr>
        <w:pStyle w:val="86"/>
        <w:ind w:firstLine="422"/>
        <w:rPr>
          <w:color w:val="auto"/>
        </w:rPr>
      </w:pPr>
      <w:r>
        <w:rPr>
          <w:rFonts w:hint="eastAsia"/>
          <w:b/>
          <w:color w:val="auto"/>
        </w:rPr>
        <w:t xml:space="preserve">3 </w:t>
      </w:r>
      <w:r>
        <w:rPr>
          <w:rFonts w:hint="eastAsia"/>
          <w:color w:val="auto"/>
        </w:rPr>
        <w:t xml:space="preserve"> 全高站台屏蔽门应采用一控一驱方式，半高站台屏蔽门宜采用一控两驱方式。</w:t>
      </w:r>
    </w:p>
    <w:p w14:paraId="62F05C10">
      <w:pPr>
        <w:numPr>
          <w:ilvl w:val="2"/>
          <w:numId w:val="1"/>
        </w:numPr>
        <w:tabs>
          <w:tab w:val="left" w:pos="794"/>
          <w:tab w:val="left" w:pos="851"/>
        </w:tabs>
        <w:jc w:val="left"/>
        <w:outlineLvl w:val="2"/>
        <w:rPr>
          <w:bCs/>
        </w:rPr>
      </w:pPr>
      <w:r>
        <w:rPr>
          <w:rFonts w:hint="eastAsia"/>
          <w:bCs/>
        </w:rPr>
        <w:t>运行与控制应符合下列规定：</w:t>
      </w:r>
    </w:p>
    <w:p w14:paraId="3A08CD85">
      <w:pPr>
        <w:pStyle w:val="86"/>
        <w:ind w:firstLine="422"/>
        <w:rPr>
          <w:color w:val="auto"/>
        </w:rPr>
      </w:pPr>
      <w:r>
        <w:rPr>
          <w:rFonts w:hint="eastAsia"/>
          <w:b/>
          <w:color w:val="auto"/>
        </w:rPr>
        <w:t>1</w:t>
      </w:r>
      <w:r>
        <w:rPr>
          <w:rFonts w:hint="eastAsia"/>
          <w:color w:val="auto"/>
        </w:rPr>
        <w:t xml:space="preserve">  站台屏蔽门控制系统宜由中央控制盘、就地控制盘、门控器、局域网和接口模块组成；</w:t>
      </w:r>
    </w:p>
    <w:p w14:paraId="7EC13CE2">
      <w:pPr>
        <w:pStyle w:val="86"/>
        <w:ind w:firstLine="422"/>
        <w:rPr>
          <w:color w:val="auto"/>
        </w:rPr>
      </w:pPr>
      <w:r>
        <w:rPr>
          <w:rFonts w:hint="eastAsia"/>
          <w:b/>
          <w:color w:val="auto"/>
        </w:rPr>
        <w:t xml:space="preserve">2 </w:t>
      </w:r>
      <w:r>
        <w:rPr>
          <w:rFonts w:hint="eastAsia"/>
          <w:color w:val="auto"/>
        </w:rPr>
        <w:t xml:space="preserve"> 站台屏蔽门的控制优先权从低到高，应分为下列三级，各级控制应相互独立，相互间没有影响：</w:t>
      </w:r>
    </w:p>
    <w:p w14:paraId="56499493">
      <w:pPr>
        <w:pStyle w:val="86"/>
        <w:ind w:firstLine="420"/>
        <w:rPr>
          <w:color w:val="auto"/>
        </w:rPr>
      </w:pPr>
      <w:r>
        <w:rPr>
          <w:rFonts w:hint="eastAsia"/>
          <w:color w:val="auto"/>
        </w:rPr>
        <w:t>1）  信号系统对站台屏蔽门进行开关控制；</w:t>
      </w:r>
    </w:p>
    <w:p w14:paraId="5FD5A996">
      <w:pPr>
        <w:pStyle w:val="86"/>
        <w:ind w:firstLine="420"/>
        <w:rPr>
          <w:color w:val="auto"/>
        </w:rPr>
      </w:pPr>
      <w:r>
        <w:rPr>
          <w:rFonts w:hint="eastAsia"/>
          <w:color w:val="auto"/>
        </w:rPr>
        <w:t>2）  就地控制盘对站台屏蔽门进行开关控制；</w:t>
      </w:r>
    </w:p>
    <w:p w14:paraId="22D7C5B2">
      <w:pPr>
        <w:pStyle w:val="86"/>
        <w:ind w:firstLine="420"/>
        <w:rPr>
          <w:color w:val="auto"/>
        </w:rPr>
      </w:pPr>
      <w:r>
        <w:rPr>
          <w:rFonts w:hint="eastAsia"/>
          <w:color w:val="auto"/>
        </w:rPr>
        <w:t>3）  通过综合后备盘对站台屏蔽门进行开门控制。</w:t>
      </w:r>
    </w:p>
    <w:p w14:paraId="4AC80E36">
      <w:pPr>
        <w:pStyle w:val="86"/>
        <w:ind w:firstLine="422"/>
        <w:rPr>
          <w:color w:val="auto"/>
        </w:rPr>
      </w:pPr>
      <w:r>
        <w:rPr>
          <w:rFonts w:hint="eastAsia"/>
          <w:b/>
          <w:color w:val="auto"/>
        </w:rPr>
        <w:t xml:space="preserve">3 </w:t>
      </w:r>
      <w:r>
        <w:rPr>
          <w:rFonts w:hint="eastAsia"/>
          <w:color w:val="auto"/>
        </w:rPr>
        <w:t xml:space="preserve"> 站台屏蔽门的控制及监视应分别设置，关键命令及响应应通过硬线传输；</w:t>
      </w:r>
    </w:p>
    <w:p w14:paraId="77D61192">
      <w:pPr>
        <w:pStyle w:val="86"/>
        <w:ind w:firstLine="422"/>
        <w:rPr>
          <w:color w:val="auto"/>
        </w:rPr>
      </w:pPr>
      <w:r>
        <w:rPr>
          <w:rFonts w:hint="eastAsia"/>
          <w:b/>
          <w:color w:val="auto"/>
        </w:rPr>
        <w:t xml:space="preserve">4 </w:t>
      </w:r>
      <w:r>
        <w:rPr>
          <w:rFonts w:hint="eastAsia"/>
          <w:color w:val="auto"/>
        </w:rPr>
        <w:t xml:space="preserve"> 站台屏蔽门监视系统应以车站为单位独立设置，并应采用开放的通信协议；</w:t>
      </w:r>
    </w:p>
    <w:p w14:paraId="6A6CF3B7">
      <w:pPr>
        <w:pStyle w:val="86"/>
        <w:ind w:firstLine="422"/>
        <w:rPr>
          <w:color w:val="auto"/>
        </w:rPr>
      </w:pPr>
      <w:r>
        <w:rPr>
          <w:rFonts w:hint="eastAsia"/>
          <w:b/>
          <w:color w:val="auto"/>
        </w:rPr>
        <w:t>5</w:t>
      </w:r>
      <w:r>
        <w:rPr>
          <w:rFonts w:hint="eastAsia"/>
          <w:color w:val="auto"/>
        </w:rPr>
        <w:t xml:space="preserve">  站台屏蔽门中央控制盘应能记录并存储运行状态及故障信息，且重要的状态及故障信息应上传至车站综合控制室和控制中心进行显示和报警；</w:t>
      </w:r>
    </w:p>
    <w:p w14:paraId="70CEA00D">
      <w:pPr>
        <w:pStyle w:val="86"/>
        <w:ind w:firstLine="422"/>
        <w:rPr>
          <w:color w:val="auto"/>
        </w:rPr>
      </w:pPr>
      <w:r>
        <w:rPr>
          <w:rFonts w:hint="eastAsia"/>
          <w:b/>
          <w:color w:val="auto"/>
        </w:rPr>
        <w:t>6</w:t>
      </w:r>
      <w:r>
        <w:rPr>
          <w:rFonts w:hint="eastAsia"/>
          <w:color w:val="auto"/>
        </w:rPr>
        <w:t xml:space="preserve">  站台屏蔽门应在车站控制室综合后备盘上设置紧急开门装置，并能显示站台屏蔽门的开、关门状态；</w:t>
      </w:r>
    </w:p>
    <w:p w14:paraId="41DEF421">
      <w:pPr>
        <w:pStyle w:val="86"/>
        <w:ind w:firstLine="422"/>
        <w:rPr>
          <w:color w:val="auto"/>
        </w:rPr>
      </w:pPr>
      <w:r>
        <w:rPr>
          <w:rFonts w:hint="eastAsia"/>
          <w:b/>
          <w:color w:val="auto"/>
        </w:rPr>
        <w:t xml:space="preserve">7 </w:t>
      </w:r>
      <w:r>
        <w:rPr>
          <w:rFonts w:hint="eastAsia"/>
          <w:color w:val="auto"/>
        </w:rPr>
        <w:t xml:space="preserve"> 站台屏蔽门与信号系统的开门、关门、关闭且锁紧及互锁解除的接口方式宜采用硬线连接方式，当采用网络连接方式时应采用安全协议；对位隔离的接口方式应采用网络连接方式；</w:t>
      </w:r>
    </w:p>
    <w:p w14:paraId="214874ED">
      <w:pPr>
        <w:tabs>
          <w:tab w:val="left" w:pos="709"/>
          <w:tab w:val="left" w:pos="794"/>
          <w:tab w:val="left" w:pos="851"/>
        </w:tabs>
        <w:ind w:firstLine="422" w:firstLineChars="200"/>
        <w:jc w:val="left"/>
      </w:pPr>
      <w:r>
        <w:rPr>
          <w:rFonts w:hint="eastAsia"/>
          <w:b/>
        </w:rPr>
        <w:t xml:space="preserve">9 </w:t>
      </w:r>
      <w:r>
        <w:rPr>
          <w:rFonts w:hint="eastAsia"/>
        </w:rPr>
        <w:t xml:space="preserve"> 间隙探测系统与信号系统的启动探测、停止探测及反馈障碍物、旁路的接口方式宜采用硬线连接方式；</w:t>
      </w:r>
    </w:p>
    <w:p w14:paraId="73BA60E4">
      <w:pPr>
        <w:tabs>
          <w:tab w:val="left" w:pos="709"/>
          <w:tab w:val="left" w:pos="794"/>
          <w:tab w:val="left" w:pos="851"/>
        </w:tabs>
        <w:ind w:firstLine="422" w:firstLineChars="200"/>
        <w:jc w:val="left"/>
      </w:pPr>
      <w:r>
        <w:rPr>
          <w:rFonts w:hint="eastAsia"/>
          <w:b/>
        </w:rPr>
        <w:t xml:space="preserve">10 </w:t>
      </w:r>
      <w:r>
        <w:rPr>
          <w:rFonts w:hint="eastAsia"/>
        </w:rPr>
        <w:t xml:space="preserve"> 站台屏蔽门与信号系统的接口应能实现对应</w:t>
      </w:r>
      <w:r>
        <w:t>不同</w:t>
      </w:r>
      <w:r>
        <w:rPr>
          <w:rFonts w:hint="eastAsia"/>
        </w:rPr>
        <w:t>编组列车分别控制的功能。当列车在站台有自动解编作业需求时，间隙探测系统与信号系统的接口宜能实现分区域分别控制的功能；</w:t>
      </w:r>
    </w:p>
    <w:p w14:paraId="5023FEE4">
      <w:pPr>
        <w:tabs>
          <w:tab w:val="left" w:pos="709"/>
          <w:tab w:val="left" w:pos="794"/>
          <w:tab w:val="left" w:pos="851"/>
        </w:tabs>
        <w:ind w:firstLine="422" w:firstLineChars="200"/>
        <w:jc w:val="left"/>
      </w:pPr>
      <w:r>
        <w:rPr>
          <w:rFonts w:hint="eastAsia"/>
          <w:b/>
        </w:rPr>
        <w:t xml:space="preserve">11  </w:t>
      </w:r>
      <w:r>
        <w:rPr>
          <w:rFonts w:hint="eastAsia"/>
        </w:rPr>
        <w:t>站台屏蔽门、间隙探测系统应具有对与信号系统的接口信息收发状态的监测和记录功能；</w:t>
      </w:r>
    </w:p>
    <w:p w14:paraId="0FF6589B">
      <w:pPr>
        <w:tabs>
          <w:tab w:val="left" w:pos="709"/>
          <w:tab w:val="left" w:pos="794"/>
          <w:tab w:val="left" w:pos="851"/>
        </w:tabs>
        <w:ind w:firstLine="422" w:firstLineChars="200"/>
        <w:jc w:val="left"/>
      </w:pPr>
      <w:r>
        <w:rPr>
          <w:rFonts w:hint="eastAsia"/>
          <w:b/>
        </w:rPr>
        <w:t xml:space="preserve">12 </w:t>
      </w:r>
      <w:r>
        <w:rPr>
          <w:rFonts w:hint="eastAsia"/>
        </w:rPr>
        <w:t xml:space="preserve"> 中央控制盘和接口模块宜布置在站台屏蔽门设备室；就地控制盘宜布置在每侧站台出站端，对于行车组织有双向运行需求的站台，应在站台两端均设置就地控制盘，对于全自动运行线路，宜在站台端部及中部均设置就地控制盘；</w:t>
      </w:r>
    </w:p>
    <w:p w14:paraId="78B1FBBC">
      <w:pPr>
        <w:tabs>
          <w:tab w:val="left" w:pos="709"/>
          <w:tab w:val="left" w:pos="794"/>
          <w:tab w:val="left" w:pos="851"/>
        </w:tabs>
        <w:ind w:firstLine="422" w:firstLineChars="200"/>
        <w:jc w:val="left"/>
      </w:pPr>
      <w:r>
        <w:rPr>
          <w:rFonts w:hint="eastAsia"/>
          <w:b/>
        </w:rPr>
        <w:t xml:space="preserve">13  </w:t>
      </w:r>
      <w:r>
        <w:rPr>
          <w:rFonts w:hint="eastAsia"/>
        </w:rPr>
        <w:t>每道滑动门应设置一套门控器，并在其附近设置就地控制盒，具备自动、隔离和手动开、手动关功能；全高站台屏蔽门就地控制盒宜位于滑动门门楣下方，半高站台屏蔽门就地控制盒宜位于固定侧盒内；</w:t>
      </w:r>
    </w:p>
    <w:p w14:paraId="5F135BCC">
      <w:pPr>
        <w:tabs>
          <w:tab w:val="left" w:pos="709"/>
          <w:tab w:val="left" w:pos="794"/>
          <w:tab w:val="left" w:pos="851"/>
        </w:tabs>
        <w:ind w:firstLine="422" w:firstLineChars="200"/>
        <w:jc w:val="left"/>
      </w:pPr>
      <w:r>
        <w:rPr>
          <w:rFonts w:hint="eastAsia"/>
          <w:b/>
        </w:rPr>
        <w:t xml:space="preserve">14  </w:t>
      </w:r>
      <w:r>
        <w:rPr>
          <w:rFonts w:hint="eastAsia"/>
        </w:rPr>
        <w:t>滑动门关门过程中应具有障碍物探测功能，能探测到厚度为5mm、最小宽度为40mm的硬质障碍物；</w:t>
      </w:r>
    </w:p>
    <w:p w14:paraId="04B58EBC">
      <w:pPr>
        <w:tabs>
          <w:tab w:val="left" w:pos="709"/>
          <w:tab w:val="left" w:pos="794"/>
          <w:tab w:val="left" w:pos="851"/>
        </w:tabs>
        <w:ind w:firstLine="422" w:firstLineChars="200"/>
        <w:jc w:val="left"/>
      </w:pPr>
      <w:r>
        <w:rPr>
          <w:rFonts w:hint="eastAsia"/>
          <w:b/>
        </w:rPr>
        <w:t xml:space="preserve">15 </w:t>
      </w:r>
      <w:r>
        <w:rPr>
          <w:rFonts w:hint="eastAsia"/>
        </w:rPr>
        <w:t xml:space="preserve"> 在中央控制盘和门控器上应能进行参数的下载及修改；</w:t>
      </w:r>
    </w:p>
    <w:p w14:paraId="44316BCF">
      <w:pPr>
        <w:pStyle w:val="86"/>
        <w:ind w:firstLine="422"/>
        <w:rPr>
          <w:color w:val="auto"/>
        </w:rPr>
      </w:pPr>
      <w:r>
        <w:rPr>
          <w:rFonts w:hint="eastAsia"/>
          <w:b/>
          <w:color w:val="auto"/>
        </w:rPr>
        <w:t xml:space="preserve">16 </w:t>
      </w:r>
      <w:r>
        <w:rPr>
          <w:rFonts w:hint="eastAsia"/>
          <w:color w:val="auto"/>
        </w:rPr>
        <w:t xml:space="preserve"> 应用软件应能够调整电机速度曲线、门体夹紧力阀值、重复开关门延迟时间和重复开关门次数等参数，并应具有故障自动诊断、自动报警的功能；</w:t>
      </w:r>
    </w:p>
    <w:p w14:paraId="3701AFCE">
      <w:pPr>
        <w:pStyle w:val="86"/>
        <w:ind w:firstLine="422"/>
        <w:rPr>
          <w:color w:val="auto"/>
        </w:rPr>
      </w:pPr>
      <w:r>
        <w:rPr>
          <w:rFonts w:hint="eastAsia"/>
          <w:b/>
          <w:color w:val="auto"/>
        </w:rPr>
        <w:t xml:space="preserve">17 </w:t>
      </w:r>
      <w:r>
        <w:rPr>
          <w:rFonts w:hint="eastAsia"/>
          <w:color w:val="auto"/>
        </w:rPr>
        <w:t xml:space="preserve"> 系统软件应具有友好直观的人机界面和报表形式，简明的操作指导信息及故障统计分析功能；</w:t>
      </w:r>
    </w:p>
    <w:p w14:paraId="56C22FE0">
      <w:pPr>
        <w:pStyle w:val="86"/>
        <w:ind w:firstLine="422"/>
        <w:rPr>
          <w:color w:val="auto"/>
        </w:rPr>
      </w:pPr>
      <w:r>
        <w:rPr>
          <w:rFonts w:hint="eastAsia"/>
          <w:b/>
          <w:color w:val="auto"/>
        </w:rPr>
        <w:t xml:space="preserve">18 </w:t>
      </w:r>
      <w:r>
        <w:rPr>
          <w:rFonts w:hint="eastAsia"/>
          <w:color w:val="auto"/>
        </w:rPr>
        <w:t xml:space="preserve"> 系统软件的数据响应时间不应超过300ms；</w:t>
      </w:r>
    </w:p>
    <w:p w14:paraId="72B38D7F">
      <w:pPr>
        <w:ind w:firstLine="422" w:firstLineChars="200"/>
      </w:pPr>
      <w:r>
        <w:rPr>
          <w:rStyle w:val="162"/>
          <w:rFonts w:hint="eastAsia"/>
          <w:b/>
          <w:color w:val="auto"/>
        </w:rPr>
        <w:t xml:space="preserve">19 </w:t>
      </w:r>
      <w:r>
        <w:rPr>
          <w:rStyle w:val="162"/>
          <w:rFonts w:hint="eastAsia"/>
          <w:color w:val="auto"/>
        </w:rPr>
        <w:t xml:space="preserve"> 系统软件接口协议应采用开放式国际标准协议</w:t>
      </w:r>
      <w:r>
        <w:rPr>
          <w:rFonts w:hint="eastAsia"/>
        </w:rPr>
        <w:t>。</w:t>
      </w:r>
    </w:p>
    <w:p w14:paraId="6D483B44">
      <w:pPr>
        <w:numPr>
          <w:ilvl w:val="2"/>
          <w:numId w:val="1"/>
        </w:numPr>
        <w:tabs>
          <w:tab w:val="left" w:pos="794"/>
          <w:tab w:val="left" w:pos="851"/>
        </w:tabs>
        <w:jc w:val="left"/>
        <w:outlineLvl w:val="2"/>
        <w:rPr>
          <w:bCs/>
        </w:rPr>
      </w:pPr>
      <w:r>
        <w:rPr>
          <w:rFonts w:hint="eastAsia"/>
          <w:bCs/>
        </w:rPr>
        <w:t>供电与接地应符合下列规定：</w:t>
      </w:r>
    </w:p>
    <w:p w14:paraId="0716A2E8">
      <w:pPr>
        <w:pStyle w:val="86"/>
        <w:ind w:firstLine="422"/>
        <w:rPr>
          <w:color w:val="auto"/>
        </w:rPr>
      </w:pPr>
      <w:r>
        <w:rPr>
          <w:rFonts w:hint="eastAsia"/>
          <w:b/>
          <w:color w:val="auto"/>
        </w:rPr>
        <w:t xml:space="preserve">1  </w:t>
      </w:r>
      <w:r>
        <w:rPr>
          <w:rFonts w:hint="eastAsia"/>
          <w:color w:val="auto"/>
        </w:rPr>
        <w:t>站台屏蔽门系统为一级负荷；驱动电源和控制电源供电回路宜相互独立；</w:t>
      </w:r>
    </w:p>
    <w:p w14:paraId="0A7453DC">
      <w:pPr>
        <w:pStyle w:val="86"/>
        <w:ind w:firstLine="422"/>
        <w:rPr>
          <w:color w:val="auto"/>
        </w:rPr>
      </w:pPr>
      <w:r>
        <w:rPr>
          <w:rFonts w:hint="eastAsia"/>
          <w:b/>
          <w:color w:val="auto"/>
        </w:rPr>
        <w:t xml:space="preserve">2  </w:t>
      </w:r>
      <w:r>
        <w:rPr>
          <w:rFonts w:hint="eastAsia"/>
          <w:color w:val="auto"/>
        </w:rPr>
        <w:t>驱动电源的后备电源容量应满足60min内全部滑动门至少完成开、关5次循环的供电需要，控制电源的后备电源容量应满足系统满负载持续工作60min的需要；</w:t>
      </w:r>
    </w:p>
    <w:p w14:paraId="2BC1CD87">
      <w:pPr>
        <w:pStyle w:val="86"/>
        <w:ind w:firstLine="420"/>
        <w:rPr>
          <w:color w:val="auto"/>
        </w:rPr>
      </w:pPr>
      <w:r>
        <w:rPr>
          <w:rFonts w:hint="eastAsia"/>
          <w:color w:val="auto"/>
        </w:rPr>
        <w:t>3  驱动电源、控制电源与外电源的隔离阻抗不应小于5MΩ；</w:t>
      </w:r>
    </w:p>
    <w:p w14:paraId="44F68D22">
      <w:pPr>
        <w:pStyle w:val="86"/>
        <w:ind w:firstLine="420"/>
        <w:rPr>
          <w:color w:val="auto"/>
        </w:rPr>
      </w:pPr>
      <w:r>
        <w:rPr>
          <w:rFonts w:hint="eastAsia"/>
          <w:color w:val="auto"/>
        </w:rPr>
        <w:t xml:space="preserve">4  </w:t>
      </w:r>
      <w:r>
        <w:rPr>
          <w:color w:val="auto"/>
        </w:rPr>
        <w:t>驱动电源模块</w:t>
      </w:r>
      <w:r>
        <w:rPr>
          <w:rFonts w:hint="eastAsia"/>
          <w:color w:val="auto"/>
        </w:rPr>
        <w:t>、</w:t>
      </w:r>
      <w:r>
        <w:rPr>
          <w:color w:val="auto"/>
        </w:rPr>
        <w:t>控制电源模块</w:t>
      </w:r>
      <w:r>
        <w:rPr>
          <w:rFonts w:hint="eastAsia"/>
          <w:color w:val="auto"/>
        </w:rPr>
        <w:t>应采</w:t>
      </w:r>
      <w:r>
        <w:rPr>
          <w:color w:val="auto"/>
        </w:rPr>
        <w:t>用冗余配置</w:t>
      </w:r>
      <w:r>
        <w:rPr>
          <w:rFonts w:hint="eastAsia"/>
          <w:color w:val="auto"/>
        </w:rPr>
        <w:t>；</w:t>
      </w:r>
    </w:p>
    <w:p w14:paraId="41912A11">
      <w:pPr>
        <w:pStyle w:val="86"/>
        <w:ind w:firstLine="420"/>
        <w:rPr>
          <w:color w:val="auto"/>
        </w:rPr>
      </w:pPr>
      <w:r>
        <w:rPr>
          <w:rFonts w:hint="eastAsia"/>
          <w:color w:val="auto"/>
        </w:rPr>
        <w:t>5  配电电缆、控制电缆的线槽、线缆应独立设置；</w:t>
      </w:r>
    </w:p>
    <w:p w14:paraId="7907AA69">
      <w:pPr>
        <w:pStyle w:val="86"/>
        <w:ind w:firstLine="420"/>
        <w:rPr>
          <w:color w:val="auto"/>
          <w:szCs w:val="18"/>
        </w:rPr>
      </w:pPr>
      <w:r>
        <w:rPr>
          <w:rFonts w:hint="eastAsia"/>
          <w:color w:val="auto"/>
        </w:rPr>
        <w:t>6  站台屏蔽门设备室的设备应采用综合接地，接地电阻不应大于1Ω；</w:t>
      </w:r>
    </w:p>
    <w:p w14:paraId="36216EFD">
      <w:pPr>
        <w:pStyle w:val="86"/>
        <w:ind w:firstLine="420"/>
        <w:rPr>
          <w:color w:val="auto"/>
        </w:rPr>
      </w:pPr>
      <w:r>
        <w:rPr>
          <w:rFonts w:hint="eastAsia"/>
          <w:color w:val="auto"/>
        </w:rPr>
        <w:t>7</w:t>
      </w:r>
      <w:r>
        <w:rPr>
          <w:color w:val="auto"/>
        </w:rPr>
        <w:t xml:space="preserve"> </w:t>
      </w:r>
      <w:r>
        <w:rPr>
          <w:rFonts w:hint="eastAsia"/>
          <w:color w:val="auto"/>
        </w:rPr>
        <w:t xml:space="preserve"> </w:t>
      </w:r>
      <w:r>
        <w:rPr>
          <w:color w:val="auto"/>
        </w:rPr>
        <w:t>每侧</w:t>
      </w:r>
      <w:r>
        <w:rPr>
          <w:rFonts w:hint="eastAsia"/>
          <w:color w:val="auto"/>
        </w:rPr>
        <w:t>站台屏蔽门</w:t>
      </w:r>
      <w:r>
        <w:rPr>
          <w:color w:val="auto"/>
        </w:rPr>
        <w:t>的金属构件应保持整体等电位，等电位电阻值不应大于0.4Ω</w:t>
      </w:r>
      <w:r>
        <w:rPr>
          <w:rFonts w:hint="eastAsia"/>
          <w:color w:val="auto"/>
        </w:rPr>
        <w:t>；</w:t>
      </w:r>
    </w:p>
    <w:p w14:paraId="3BABA8AB">
      <w:pPr>
        <w:pStyle w:val="86"/>
        <w:ind w:firstLine="420"/>
        <w:rPr>
          <w:color w:val="auto"/>
        </w:rPr>
      </w:pPr>
      <w:r>
        <w:rPr>
          <w:rFonts w:hint="eastAsia"/>
          <w:color w:val="auto"/>
        </w:rPr>
        <w:t>8</w:t>
      </w:r>
      <w:r>
        <w:rPr>
          <w:color w:val="auto"/>
        </w:rPr>
        <w:t xml:space="preserve">  </w:t>
      </w:r>
      <w:r>
        <w:rPr>
          <w:rFonts w:hint="eastAsia" w:ascii="宋体" w:hAnsi="宋体" w:cs="宋体"/>
          <w:color w:val="auto"/>
        </w:rPr>
        <w:t>采用钢轨回流的直流牵引供电系统的线路，</w:t>
      </w:r>
      <w:r>
        <w:rPr>
          <w:rFonts w:hint="eastAsia"/>
          <w:color w:val="auto"/>
        </w:rPr>
        <w:t>站台屏蔽门</w:t>
      </w:r>
      <w:r>
        <w:rPr>
          <w:color w:val="auto"/>
        </w:rPr>
        <w:t>与应符合下列规定</w:t>
      </w:r>
      <w:r>
        <w:rPr>
          <w:rFonts w:hint="eastAsia"/>
          <w:color w:val="auto"/>
        </w:rPr>
        <w:t>：</w:t>
      </w:r>
    </w:p>
    <w:p w14:paraId="437269E9">
      <w:pPr>
        <w:pStyle w:val="86"/>
        <w:ind w:firstLine="420"/>
        <w:rPr>
          <w:color w:val="auto"/>
        </w:rPr>
      </w:pPr>
      <w:r>
        <w:rPr>
          <w:color w:val="auto"/>
        </w:rPr>
        <w:t>1）</w:t>
      </w:r>
      <w:r>
        <w:rPr>
          <w:rFonts w:hint="eastAsia"/>
          <w:color w:val="auto"/>
        </w:rPr>
        <w:t>站台屏蔽门</w:t>
      </w:r>
      <w:r>
        <w:rPr>
          <w:color w:val="auto"/>
        </w:rPr>
        <w:t>应采取下列措施之一：</w:t>
      </w:r>
    </w:p>
    <w:p w14:paraId="1755D58E">
      <w:pPr>
        <w:pStyle w:val="86"/>
        <w:ind w:firstLine="420"/>
        <w:rPr>
          <w:color w:val="auto"/>
        </w:rPr>
      </w:pPr>
      <w:r>
        <w:rPr>
          <w:rFonts w:hint="eastAsia"/>
          <w:color w:val="auto"/>
        </w:rPr>
        <w:t>站台屏蔽门</w:t>
      </w:r>
      <w:r>
        <w:rPr>
          <w:color w:val="auto"/>
        </w:rPr>
        <w:t>金属构件应与车站结构绝缘，绝缘电阻值不应小于0.5MΩ</w:t>
      </w:r>
      <w:r>
        <w:rPr>
          <w:rFonts w:hint="eastAsia"/>
          <w:color w:val="auto"/>
        </w:rPr>
        <w:t>，站台屏蔽门应</w:t>
      </w:r>
      <w:r>
        <w:rPr>
          <w:color w:val="auto"/>
        </w:rPr>
        <w:t>与钢轨采用等电位连接</w:t>
      </w:r>
      <w:r>
        <w:rPr>
          <w:rFonts w:hint="eastAsia"/>
          <w:color w:val="auto"/>
        </w:rPr>
        <w:t>；</w:t>
      </w:r>
    </w:p>
    <w:p w14:paraId="52EE6E1E">
      <w:pPr>
        <w:pStyle w:val="86"/>
        <w:ind w:firstLine="420"/>
        <w:rPr>
          <w:color w:val="auto"/>
        </w:rPr>
      </w:pPr>
      <w:r>
        <w:rPr>
          <w:color w:val="auto"/>
        </w:rPr>
        <w:t>正常情况下人体可接触的</w:t>
      </w:r>
      <w:r>
        <w:rPr>
          <w:rFonts w:hint="eastAsia"/>
          <w:color w:val="auto"/>
        </w:rPr>
        <w:t>站台屏蔽门</w:t>
      </w:r>
      <w:r>
        <w:rPr>
          <w:color w:val="auto"/>
        </w:rPr>
        <w:t>金属构件表面应进行绝缘处理，</w:t>
      </w:r>
      <w:r>
        <w:rPr>
          <w:rFonts w:hint="eastAsia"/>
          <w:color w:val="auto"/>
        </w:rPr>
        <w:t>满足</w:t>
      </w:r>
      <w:r>
        <w:rPr>
          <w:color w:val="auto"/>
        </w:rPr>
        <w:t>经绝缘处理后的金属构件表面与车站结构的绝缘电阻值不应小于0.5MΩ</w:t>
      </w:r>
      <w:r>
        <w:rPr>
          <w:rFonts w:hint="eastAsia"/>
          <w:color w:val="auto"/>
        </w:rPr>
        <w:t>，站台屏蔽门</w:t>
      </w:r>
      <w:r>
        <w:rPr>
          <w:color w:val="auto"/>
        </w:rPr>
        <w:t>应</w:t>
      </w:r>
      <w:r>
        <w:rPr>
          <w:rFonts w:hint="eastAsia"/>
          <w:color w:val="auto"/>
        </w:rPr>
        <w:t>通过接地端子连接车站接地网</w:t>
      </w:r>
      <w:r>
        <w:rPr>
          <w:color w:val="auto"/>
        </w:rPr>
        <w:t>，接地电阻值不应大于1Ω</w:t>
      </w:r>
      <w:r>
        <w:rPr>
          <w:rFonts w:hint="eastAsia"/>
          <w:color w:val="auto"/>
        </w:rPr>
        <w:t>。</w:t>
      </w:r>
    </w:p>
    <w:p w14:paraId="20036452">
      <w:pPr>
        <w:pStyle w:val="86"/>
        <w:ind w:firstLine="420"/>
        <w:rPr>
          <w:color w:val="auto"/>
        </w:rPr>
      </w:pPr>
      <w:r>
        <w:rPr>
          <w:rFonts w:hint="eastAsia"/>
          <w:color w:val="auto"/>
        </w:rPr>
        <w:t>2</w:t>
      </w:r>
      <w:r>
        <w:rPr>
          <w:color w:val="auto"/>
        </w:rPr>
        <w:t>）在</w:t>
      </w:r>
      <w:r>
        <w:rPr>
          <w:rFonts w:hint="eastAsia"/>
          <w:color w:val="auto"/>
        </w:rPr>
        <w:t>站台屏蔽门</w:t>
      </w:r>
      <w:r>
        <w:rPr>
          <w:color w:val="auto"/>
        </w:rPr>
        <w:t>站台侧、端门内外侧的地面应设置宽度不小于1200mm的绝缘区域，与车站结构的绝缘值不应小于0.5MΩ。</w:t>
      </w:r>
    </w:p>
    <w:p w14:paraId="3D2C5516">
      <w:pPr>
        <w:pStyle w:val="86"/>
        <w:ind w:firstLine="420"/>
        <w:rPr>
          <w:color w:val="auto"/>
        </w:rPr>
      </w:pPr>
      <w:r>
        <w:rPr>
          <w:rFonts w:hint="eastAsia"/>
          <w:color w:val="auto"/>
        </w:rPr>
        <w:t>9</w:t>
      </w:r>
      <w:r>
        <w:rPr>
          <w:color w:val="auto"/>
        </w:rPr>
        <w:t xml:space="preserve"> </w:t>
      </w:r>
      <w:r>
        <w:rPr>
          <w:rFonts w:hint="eastAsia"/>
          <w:color w:val="auto"/>
        </w:rPr>
        <w:t xml:space="preserve"> 采用专用回流轨回流的直流牵引供电系统或交流牵引供电系统的线路</w:t>
      </w:r>
      <w:r>
        <w:rPr>
          <w:color w:val="auto"/>
        </w:rPr>
        <w:t>，</w:t>
      </w:r>
      <w:r>
        <w:rPr>
          <w:rFonts w:hint="eastAsia"/>
          <w:color w:val="auto"/>
        </w:rPr>
        <w:t>站台屏蔽门金属构件</w:t>
      </w:r>
      <w:r>
        <w:rPr>
          <w:color w:val="auto"/>
        </w:rPr>
        <w:t>应通过接地端子</w:t>
      </w:r>
      <w:r>
        <w:rPr>
          <w:rFonts w:hint="eastAsia"/>
          <w:color w:val="auto"/>
        </w:rPr>
        <w:t>连接车站接地网</w:t>
      </w:r>
      <w:r>
        <w:rPr>
          <w:color w:val="auto"/>
        </w:rPr>
        <w:t>，接地电阻值不应大于1Ω。</w:t>
      </w:r>
    </w:p>
    <w:p w14:paraId="68C908C7">
      <w:pPr>
        <w:pStyle w:val="86"/>
        <w:ind w:firstLine="420"/>
        <w:rPr>
          <w:color w:val="auto"/>
        </w:rPr>
      </w:pPr>
      <w:r>
        <w:rPr>
          <w:rFonts w:hint="eastAsia"/>
          <w:color w:val="auto"/>
        </w:rPr>
        <w:t>10  全高站台屏蔽门的门体上不应设置导向标识照明灯带。</w:t>
      </w:r>
    </w:p>
    <w:p w14:paraId="0362A7B1">
      <w:pPr>
        <w:numPr>
          <w:ilvl w:val="2"/>
          <w:numId w:val="1"/>
        </w:numPr>
        <w:tabs>
          <w:tab w:val="left" w:pos="794"/>
          <w:tab w:val="left" w:pos="851"/>
        </w:tabs>
        <w:jc w:val="left"/>
        <w:outlineLvl w:val="2"/>
        <w:rPr>
          <w:szCs w:val="18"/>
        </w:rPr>
      </w:pPr>
      <w:r>
        <w:rPr>
          <w:rFonts w:hint="eastAsia"/>
          <w:bCs/>
        </w:rPr>
        <w:t>设备布置</w:t>
      </w:r>
      <w:r>
        <w:rPr>
          <w:rFonts w:hint="eastAsia"/>
          <w:szCs w:val="18"/>
        </w:rPr>
        <w:t>应符合下列规定：</w:t>
      </w:r>
    </w:p>
    <w:p w14:paraId="7AC7EC44">
      <w:pPr>
        <w:pStyle w:val="86"/>
        <w:ind w:firstLine="420"/>
        <w:rPr>
          <w:color w:val="auto"/>
        </w:rPr>
      </w:pPr>
      <w:r>
        <w:rPr>
          <w:rFonts w:hint="eastAsia"/>
          <w:color w:val="auto"/>
        </w:rPr>
        <w:t>1  站台屏蔽门应布置在列车正常停车范围内，相对于车站有效站台中心线向站台两端对称纵向布置，以站台同坡度垂直于站台面平整安装。列车司机室侧门不宜包括在站台屏蔽门长度范围内；</w:t>
      </w:r>
    </w:p>
    <w:p w14:paraId="62BFEB08">
      <w:pPr>
        <w:pStyle w:val="86"/>
        <w:ind w:firstLine="420"/>
        <w:rPr>
          <w:color w:val="auto"/>
        </w:rPr>
      </w:pPr>
      <w:r>
        <w:rPr>
          <w:rFonts w:hint="eastAsia"/>
          <w:color w:val="auto"/>
        </w:rPr>
        <w:t>2  站台屏蔽门宜安装在直线站台上；当位于曲线站台时，门体结构应采取相应措施；</w:t>
      </w:r>
    </w:p>
    <w:p w14:paraId="77A87555">
      <w:pPr>
        <w:pStyle w:val="86"/>
        <w:ind w:firstLine="420"/>
        <w:rPr>
          <w:color w:val="auto"/>
        </w:rPr>
      </w:pPr>
      <w:r>
        <w:rPr>
          <w:rFonts w:hint="eastAsia"/>
          <w:color w:val="auto"/>
        </w:rPr>
        <w:t>3  安装站台屏蔽门的地面在站台全长上的平整度误差不宜大于10mm；</w:t>
      </w:r>
    </w:p>
    <w:p w14:paraId="14AA3F82">
      <w:pPr>
        <w:pStyle w:val="86"/>
        <w:ind w:firstLine="420"/>
        <w:rPr>
          <w:color w:val="auto"/>
        </w:rPr>
      </w:pPr>
      <w:r>
        <w:rPr>
          <w:rFonts w:hint="eastAsia"/>
          <w:color w:val="auto"/>
        </w:rPr>
        <w:t>4  在设置站台屏蔽门的站台范围内不宜设置土建结构变形缝。若必须设置，则变形缝的位置应配合站台屏蔽门的布置设置。同时站台屏蔽门在跨越变形缝处应采取相应措施；</w:t>
      </w:r>
    </w:p>
    <w:p w14:paraId="62531AFE">
      <w:pPr>
        <w:pStyle w:val="86"/>
        <w:ind w:firstLine="420"/>
        <w:rPr>
          <w:color w:val="auto"/>
        </w:rPr>
      </w:pPr>
      <w:r>
        <w:rPr>
          <w:rFonts w:hint="eastAsia"/>
          <w:color w:val="auto"/>
        </w:rPr>
        <w:t>5  站台屏蔽门的安装方式宜结合车站土建结构型式确定；</w:t>
      </w:r>
    </w:p>
    <w:p w14:paraId="293F6807">
      <w:pPr>
        <w:pStyle w:val="86"/>
        <w:ind w:firstLine="420"/>
        <w:rPr>
          <w:color w:val="auto"/>
        </w:rPr>
      </w:pPr>
      <w:r>
        <w:rPr>
          <w:rFonts w:hint="eastAsia"/>
          <w:color w:val="auto"/>
        </w:rPr>
        <w:t>6  站台屏蔽门设备室宜设置在站台层，靠近站台屏蔽门端部，并与信号设备室和车站综合控制室位于车站的同一端，有效使用面积不宜小于20m</w:t>
      </w:r>
      <w:r>
        <w:rPr>
          <w:rFonts w:hint="eastAsia"/>
          <w:color w:val="auto"/>
          <w:vertAlign w:val="superscript"/>
        </w:rPr>
        <w:t>2</w:t>
      </w:r>
      <w:r>
        <w:rPr>
          <w:rFonts w:hint="eastAsia"/>
          <w:color w:val="auto"/>
        </w:rPr>
        <w:t>。</w:t>
      </w:r>
    </w:p>
    <w:p w14:paraId="0086A1A6">
      <w:pPr>
        <w:numPr>
          <w:ilvl w:val="1"/>
          <w:numId w:val="1"/>
        </w:numPr>
        <w:snapToGrid w:val="0"/>
        <w:spacing w:before="156" w:after="156" w:line="240" w:lineRule="auto"/>
        <w:jc w:val="center"/>
        <w:outlineLvl w:val="1"/>
        <w:rPr>
          <w:rFonts w:eastAsia="黑体"/>
          <w:bCs/>
          <w:szCs w:val="28"/>
        </w:rPr>
      </w:pPr>
      <w:bookmarkStart w:id="1425" w:name="_Toc183888222"/>
      <w:bookmarkStart w:id="1426" w:name="_Toc183888584"/>
      <w:bookmarkStart w:id="1427" w:name="_Toc183882532"/>
      <w:bookmarkStart w:id="1428" w:name="_Toc183790609"/>
      <w:bookmarkStart w:id="1429" w:name="_Toc183683575"/>
      <w:bookmarkStart w:id="1430" w:name="_Toc14004"/>
      <w:bookmarkStart w:id="1431" w:name="_Toc183882170"/>
      <w:bookmarkStart w:id="1432" w:name="_Toc183765179"/>
      <w:r>
        <w:rPr>
          <w:rFonts w:hint="eastAsia" w:eastAsia="黑体"/>
          <w:bCs/>
          <w:szCs w:val="28"/>
        </w:rPr>
        <w:t>自动扶梯和自动人行道</w:t>
      </w:r>
      <w:bookmarkEnd w:id="1425"/>
      <w:bookmarkEnd w:id="1426"/>
      <w:bookmarkEnd w:id="1427"/>
      <w:bookmarkEnd w:id="1428"/>
      <w:bookmarkEnd w:id="1429"/>
      <w:bookmarkEnd w:id="1430"/>
      <w:bookmarkEnd w:id="1431"/>
      <w:bookmarkEnd w:id="1432"/>
    </w:p>
    <w:p w14:paraId="47F40D42">
      <w:pPr>
        <w:jc w:val="center"/>
        <w:rPr>
          <w:b/>
        </w:rPr>
      </w:pPr>
      <w:r>
        <w:rPr>
          <w:b/>
        </w:rPr>
        <w:t>Ⅰ</w:t>
      </w:r>
      <w:r>
        <w:rPr>
          <w:rFonts w:hint="eastAsia"/>
          <w:b/>
        </w:rPr>
        <w:t xml:space="preserve">  </w:t>
      </w:r>
      <w:r>
        <w:rPr>
          <w:b/>
        </w:rPr>
        <w:t>一般规定</w:t>
      </w:r>
    </w:p>
    <w:p w14:paraId="78AD8068">
      <w:pPr>
        <w:numPr>
          <w:ilvl w:val="2"/>
          <w:numId w:val="1"/>
        </w:numPr>
        <w:tabs>
          <w:tab w:val="left" w:pos="794"/>
          <w:tab w:val="left" w:pos="851"/>
        </w:tabs>
        <w:jc w:val="left"/>
        <w:outlineLvl w:val="2"/>
        <w:rPr>
          <w:bCs/>
        </w:rPr>
      </w:pPr>
      <w:r>
        <w:rPr>
          <w:rFonts w:hint="eastAsia"/>
          <w:szCs w:val="18"/>
        </w:rPr>
        <w:t>自动</w:t>
      </w:r>
      <w:r>
        <w:rPr>
          <w:rFonts w:hint="eastAsia"/>
          <w:bCs/>
        </w:rPr>
        <w:t>扶梯和自动人行道应采用公共交通重载型。</w:t>
      </w:r>
    </w:p>
    <w:p w14:paraId="3323FC82">
      <w:pPr>
        <w:numPr>
          <w:ilvl w:val="2"/>
          <w:numId w:val="1"/>
        </w:numPr>
        <w:tabs>
          <w:tab w:val="left" w:pos="794"/>
          <w:tab w:val="left" w:pos="851"/>
        </w:tabs>
        <w:jc w:val="left"/>
        <w:outlineLvl w:val="2"/>
        <w:rPr>
          <w:bCs/>
        </w:rPr>
      </w:pPr>
      <w:r>
        <w:rPr>
          <w:rFonts w:hint="eastAsia"/>
          <w:bCs/>
        </w:rPr>
        <w:t>自动扶梯和自动人行道应具备变频调速的节能措施，当变频器故障后，自动扶梯和自动人行道应能在工频下正常运行。</w:t>
      </w:r>
    </w:p>
    <w:p w14:paraId="069AE245">
      <w:pPr>
        <w:numPr>
          <w:ilvl w:val="2"/>
          <w:numId w:val="1"/>
        </w:numPr>
        <w:tabs>
          <w:tab w:val="left" w:pos="794"/>
          <w:tab w:val="left" w:pos="851"/>
        </w:tabs>
        <w:jc w:val="left"/>
        <w:outlineLvl w:val="2"/>
        <w:rPr>
          <w:bCs/>
        </w:rPr>
      </w:pPr>
      <w:r>
        <w:rPr>
          <w:bCs/>
        </w:rPr>
        <w:t>自动扶梯</w:t>
      </w:r>
      <w:r>
        <w:rPr>
          <w:rFonts w:hint="eastAsia"/>
          <w:bCs/>
        </w:rPr>
        <w:t>和自动人行道的上、下楼层板和梯级或踏板</w:t>
      </w:r>
      <w:r>
        <w:rPr>
          <w:bCs/>
        </w:rPr>
        <w:t>应采取防滑措施</w:t>
      </w:r>
      <w:r>
        <w:rPr>
          <w:rFonts w:hint="eastAsia"/>
          <w:bCs/>
        </w:rPr>
        <w:t>。室外自动扶梯和自动人行道应选用室外型产品，并配有加热装置和油水分离装置。</w:t>
      </w:r>
    </w:p>
    <w:p w14:paraId="7EE718C6">
      <w:pPr>
        <w:numPr>
          <w:ilvl w:val="2"/>
          <w:numId w:val="1"/>
        </w:numPr>
        <w:tabs>
          <w:tab w:val="left" w:pos="794"/>
          <w:tab w:val="left" w:pos="851"/>
        </w:tabs>
        <w:jc w:val="left"/>
        <w:outlineLvl w:val="2"/>
        <w:rPr>
          <w:bCs/>
        </w:rPr>
      </w:pPr>
      <w:r>
        <w:rPr>
          <w:rFonts w:hint="eastAsia"/>
          <w:bCs/>
        </w:rPr>
        <w:t>自动扶梯和自动人行道应采用就地控制方式，并接受环境与设备监控系统的远程监视。</w:t>
      </w:r>
    </w:p>
    <w:p w14:paraId="02AE6E7A">
      <w:pPr>
        <w:numPr>
          <w:ilvl w:val="2"/>
          <w:numId w:val="1"/>
        </w:numPr>
        <w:tabs>
          <w:tab w:val="left" w:pos="794"/>
          <w:tab w:val="left" w:pos="851"/>
        </w:tabs>
        <w:jc w:val="left"/>
        <w:outlineLvl w:val="2"/>
        <w:rPr>
          <w:bCs/>
        </w:rPr>
      </w:pPr>
      <w:r>
        <w:rPr>
          <w:rFonts w:hint="eastAsia"/>
          <w:bCs/>
        </w:rPr>
        <w:t>自动扶梯和自动人行道应接受车站视频监视系统的视频监视。</w:t>
      </w:r>
    </w:p>
    <w:p w14:paraId="78D0EC40">
      <w:pPr>
        <w:numPr>
          <w:ilvl w:val="2"/>
          <w:numId w:val="1"/>
        </w:numPr>
        <w:tabs>
          <w:tab w:val="left" w:pos="794"/>
          <w:tab w:val="left" w:pos="851"/>
        </w:tabs>
        <w:jc w:val="left"/>
        <w:outlineLvl w:val="2"/>
      </w:pPr>
      <w:r>
        <w:rPr>
          <w:rFonts w:hint="eastAsia"/>
          <w:bCs/>
        </w:rPr>
        <w:t>除另有规定外，自动扶梯和自动人行道应符合现行北京市地方标准《重</w:t>
      </w:r>
      <w:r>
        <w:rPr>
          <w:rFonts w:hint="eastAsia" w:ascii="Arial" w:hAnsi="Arial" w:cs="Arial"/>
          <w:spacing w:val="2"/>
          <w:szCs w:val="21"/>
        </w:rPr>
        <w:t>型自动扶梯和重型自动人行道技术要求</w:t>
      </w:r>
      <w:r>
        <w:rPr>
          <w:rFonts w:hint="eastAsia"/>
          <w:szCs w:val="18"/>
        </w:rPr>
        <w:t>》DB11/T 705及其他相关标准中的有关规定。</w:t>
      </w:r>
    </w:p>
    <w:p w14:paraId="02043A5C">
      <w:pPr>
        <w:jc w:val="center"/>
        <w:rPr>
          <w:b/>
        </w:rPr>
      </w:pPr>
      <w:r>
        <w:rPr>
          <w:b/>
        </w:rPr>
        <w:t>Ⅱ</w:t>
      </w:r>
      <w:r>
        <w:rPr>
          <w:rFonts w:hint="eastAsia"/>
          <w:b/>
        </w:rPr>
        <w:t xml:space="preserve">  </w:t>
      </w:r>
      <w:r>
        <w:rPr>
          <w:b/>
        </w:rPr>
        <w:t>主要技术参数</w:t>
      </w:r>
    </w:p>
    <w:p w14:paraId="773F7D36">
      <w:pPr>
        <w:numPr>
          <w:ilvl w:val="2"/>
          <w:numId w:val="1"/>
        </w:numPr>
        <w:tabs>
          <w:tab w:val="left" w:pos="794"/>
          <w:tab w:val="left" w:pos="851"/>
        </w:tabs>
        <w:jc w:val="left"/>
        <w:outlineLvl w:val="2"/>
        <w:rPr>
          <w:szCs w:val="18"/>
        </w:rPr>
      </w:pPr>
      <w:r>
        <w:rPr>
          <w:rFonts w:hint="eastAsia"/>
          <w:bCs/>
        </w:rPr>
        <w:t>自动扶梯</w:t>
      </w:r>
      <w:r>
        <w:rPr>
          <w:rFonts w:hint="eastAsia"/>
          <w:szCs w:val="18"/>
        </w:rPr>
        <w:t>和自动人行道应能每天运行不小于20h，每周7天连续运行，且在任何3h间隔内，其荷载达到100%制动载荷的持续时间不少于1h，其余时间内的制动载荷不应低于60%。</w:t>
      </w:r>
    </w:p>
    <w:p w14:paraId="59B37DC0">
      <w:pPr>
        <w:numPr>
          <w:ilvl w:val="2"/>
          <w:numId w:val="1"/>
        </w:numPr>
        <w:tabs>
          <w:tab w:val="left" w:pos="794"/>
          <w:tab w:val="left" w:pos="851"/>
        </w:tabs>
        <w:jc w:val="left"/>
        <w:outlineLvl w:val="2"/>
        <w:rPr>
          <w:bCs/>
        </w:rPr>
      </w:pPr>
      <w:r>
        <w:t>自动</w:t>
      </w:r>
      <w:r>
        <w:rPr>
          <w:bCs/>
        </w:rPr>
        <w:t>扶梯和自动人行道的名义</w:t>
      </w:r>
      <w:r>
        <w:rPr>
          <w:rFonts w:hint="eastAsia"/>
          <w:bCs/>
        </w:rPr>
        <w:t>速度宜采用0.65m/s，</w:t>
      </w:r>
      <w:r>
        <w:rPr>
          <w:bCs/>
        </w:rPr>
        <w:t>在建筑疏散能力满足要求的前提下运行速度</w:t>
      </w:r>
      <w:r>
        <w:rPr>
          <w:rFonts w:hint="eastAsia"/>
          <w:bCs/>
        </w:rPr>
        <w:t>宜采用0.65m/s、0.5m/s两档可调。</w:t>
      </w:r>
    </w:p>
    <w:p w14:paraId="55EC0657">
      <w:pPr>
        <w:numPr>
          <w:ilvl w:val="2"/>
          <w:numId w:val="1"/>
        </w:numPr>
        <w:tabs>
          <w:tab w:val="left" w:pos="794"/>
          <w:tab w:val="left" w:pos="851"/>
        </w:tabs>
        <w:jc w:val="left"/>
        <w:outlineLvl w:val="2"/>
        <w:rPr>
          <w:bCs/>
        </w:rPr>
      </w:pPr>
      <w:r>
        <w:rPr>
          <w:rFonts w:hint="eastAsia"/>
          <w:bCs/>
        </w:rPr>
        <w:t>自动扶梯和自动人行道的节能运行速度不应大于名义速度的20%。</w:t>
      </w:r>
    </w:p>
    <w:p w14:paraId="5ABC1E68">
      <w:pPr>
        <w:numPr>
          <w:ilvl w:val="2"/>
          <w:numId w:val="1"/>
        </w:numPr>
        <w:tabs>
          <w:tab w:val="left" w:pos="794"/>
          <w:tab w:val="left" w:pos="851"/>
        </w:tabs>
        <w:jc w:val="left"/>
        <w:outlineLvl w:val="2"/>
        <w:rPr>
          <w:bCs/>
        </w:rPr>
      </w:pPr>
      <w:r>
        <w:rPr>
          <w:rFonts w:hint="eastAsia"/>
          <w:bCs/>
        </w:rPr>
        <w:t>自动扶梯的倾斜角度不应大于30°，自动人行道的倾斜角度不宜大于6°。</w:t>
      </w:r>
    </w:p>
    <w:p w14:paraId="7DE75DB6">
      <w:pPr>
        <w:numPr>
          <w:ilvl w:val="2"/>
          <w:numId w:val="1"/>
        </w:numPr>
        <w:tabs>
          <w:tab w:val="left" w:pos="851"/>
        </w:tabs>
        <w:jc w:val="left"/>
        <w:outlineLvl w:val="2"/>
      </w:pPr>
      <w:r>
        <w:rPr>
          <w:rFonts w:hint="eastAsia"/>
          <w:bCs/>
        </w:rPr>
        <w:t>自动扶梯的梯级名义宽度不宜小于</w:t>
      </w:r>
      <w:r>
        <w:rPr>
          <w:bCs/>
        </w:rPr>
        <w:t>1m</w:t>
      </w:r>
      <w:r>
        <w:rPr>
          <w:rFonts w:hint="eastAsia"/>
          <w:bCs/>
        </w:rPr>
        <w:t>，自动人行道的踏板名义宽度不应小</w:t>
      </w:r>
      <w:r>
        <w:rPr>
          <w:rFonts w:hint="eastAsia"/>
          <w:lang w:bidi="ar"/>
        </w:rPr>
        <w:t>于</w:t>
      </w:r>
      <w:r>
        <w:rPr>
          <w:lang w:bidi="ar"/>
        </w:rPr>
        <w:t>1m</w:t>
      </w:r>
      <w:r>
        <w:rPr>
          <w:rFonts w:hint="eastAsia"/>
          <w:lang w:bidi="ar"/>
        </w:rPr>
        <w:t>。</w:t>
      </w:r>
    </w:p>
    <w:p w14:paraId="3002F878">
      <w:pPr>
        <w:numPr>
          <w:ilvl w:val="2"/>
          <w:numId w:val="1"/>
        </w:numPr>
        <w:tabs>
          <w:tab w:val="left" w:pos="851"/>
        </w:tabs>
        <w:jc w:val="left"/>
        <w:outlineLvl w:val="2"/>
        <w:rPr>
          <w:bCs/>
        </w:rPr>
      </w:pPr>
      <w:r>
        <w:rPr>
          <w:rFonts w:hint="eastAsia"/>
          <w:bCs/>
        </w:rPr>
        <w:t>自动扶梯的水平梯级数量应根据名义速度确定。名义速度为0.5m/s时，上、下水平梯级数不应少于三块。名义速度为0.65m/s时，上、下水平梯级数不应少于四块。</w:t>
      </w:r>
    </w:p>
    <w:p w14:paraId="7D02D60D">
      <w:pPr>
        <w:numPr>
          <w:ilvl w:val="2"/>
          <w:numId w:val="1"/>
        </w:numPr>
        <w:tabs>
          <w:tab w:val="left" w:pos="851"/>
        </w:tabs>
        <w:jc w:val="left"/>
        <w:outlineLvl w:val="2"/>
        <w:rPr>
          <w:bCs/>
        </w:rPr>
      </w:pPr>
      <w:r>
        <w:rPr>
          <w:rFonts w:hint="eastAsia"/>
          <w:bCs/>
        </w:rPr>
        <w:t>自动扶梯的弯曲导轨曲率半径应符合表19.2.11的规定。</w:t>
      </w:r>
    </w:p>
    <w:p w14:paraId="70DAB558">
      <w:pPr>
        <w:pStyle w:val="198"/>
      </w:pPr>
      <w:r>
        <w:t>表1</w:t>
      </w:r>
      <w:r>
        <w:rPr>
          <w:rFonts w:hint="eastAsia"/>
        </w:rPr>
        <w:t>9</w:t>
      </w:r>
      <w:r>
        <w:t>.2.11</w:t>
      </w:r>
      <w:r>
        <w:rPr>
          <w:rFonts w:hint="eastAsia"/>
        </w:rPr>
        <w:t xml:space="preserve">  </w:t>
      </w:r>
      <w:r>
        <w:t>自动扶梯弯曲导轨曲率半径表</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14"/>
        <w:gridCol w:w="2110"/>
        <w:gridCol w:w="2116"/>
      </w:tblGrid>
      <w:tr w14:paraId="081EC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6" w:hRule="atLeast"/>
        </w:trPr>
        <w:tc>
          <w:tcPr>
            <w:tcW w:w="2114" w:type="dxa"/>
            <w:tcBorders>
              <w:left w:val="single" w:color="000000" w:sz="6" w:space="0"/>
            </w:tcBorders>
            <w:vAlign w:val="center"/>
          </w:tcPr>
          <w:p w14:paraId="116BDE4B">
            <w:pPr>
              <w:autoSpaceDE w:val="0"/>
              <w:autoSpaceDN w:val="0"/>
              <w:spacing w:line="240" w:lineRule="auto"/>
              <w:jc w:val="center"/>
              <w:rPr>
                <w:kern w:val="0"/>
                <w:sz w:val="15"/>
                <w:szCs w:val="15"/>
              </w:rPr>
            </w:pPr>
            <w:r>
              <w:rPr>
                <w:kern w:val="0"/>
                <w:sz w:val="15"/>
                <w:szCs w:val="15"/>
              </w:rPr>
              <w:t>提升高度(H)</w:t>
            </w:r>
          </w:p>
        </w:tc>
        <w:tc>
          <w:tcPr>
            <w:tcW w:w="2110" w:type="dxa"/>
            <w:vAlign w:val="center"/>
          </w:tcPr>
          <w:p w14:paraId="723B9752">
            <w:pPr>
              <w:autoSpaceDE w:val="0"/>
              <w:autoSpaceDN w:val="0"/>
              <w:spacing w:line="240" w:lineRule="auto"/>
              <w:jc w:val="center"/>
              <w:rPr>
                <w:kern w:val="0"/>
                <w:sz w:val="15"/>
                <w:szCs w:val="15"/>
              </w:rPr>
            </w:pPr>
            <w:r>
              <w:rPr>
                <w:kern w:val="0"/>
                <w:sz w:val="15"/>
                <w:szCs w:val="15"/>
              </w:rPr>
              <w:t>上导轨转弯半径</w:t>
            </w:r>
          </w:p>
        </w:tc>
        <w:tc>
          <w:tcPr>
            <w:tcW w:w="2116" w:type="dxa"/>
            <w:tcBorders>
              <w:right w:val="single" w:color="000000" w:sz="6" w:space="0"/>
            </w:tcBorders>
            <w:vAlign w:val="center"/>
          </w:tcPr>
          <w:p w14:paraId="732907D7">
            <w:pPr>
              <w:autoSpaceDE w:val="0"/>
              <w:autoSpaceDN w:val="0"/>
              <w:spacing w:line="240" w:lineRule="auto"/>
              <w:jc w:val="center"/>
              <w:rPr>
                <w:kern w:val="0"/>
                <w:sz w:val="15"/>
                <w:szCs w:val="15"/>
              </w:rPr>
            </w:pPr>
            <w:r>
              <w:rPr>
                <w:kern w:val="0"/>
                <w:sz w:val="15"/>
                <w:szCs w:val="15"/>
              </w:rPr>
              <w:t>下导轨转弯半径</w:t>
            </w:r>
          </w:p>
        </w:tc>
      </w:tr>
      <w:tr w14:paraId="616C1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3" w:hRule="atLeast"/>
        </w:trPr>
        <w:tc>
          <w:tcPr>
            <w:tcW w:w="2114" w:type="dxa"/>
            <w:tcBorders>
              <w:left w:val="single" w:color="000000" w:sz="6" w:space="0"/>
            </w:tcBorders>
            <w:vAlign w:val="center"/>
          </w:tcPr>
          <w:p w14:paraId="1FFAF6A7">
            <w:pPr>
              <w:autoSpaceDE w:val="0"/>
              <w:autoSpaceDN w:val="0"/>
              <w:spacing w:line="240" w:lineRule="auto"/>
              <w:jc w:val="center"/>
              <w:rPr>
                <w:kern w:val="0"/>
                <w:sz w:val="15"/>
                <w:szCs w:val="15"/>
              </w:rPr>
            </w:pPr>
            <w:r>
              <w:rPr>
                <w:kern w:val="0"/>
                <w:sz w:val="15"/>
                <w:szCs w:val="15"/>
              </w:rPr>
              <w:t>H</w:t>
            </w:r>
            <w:r>
              <w:rPr>
                <w:rFonts w:hint="eastAsia"/>
                <w:kern w:val="0"/>
                <w:sz w:val="15"/>
                <w:szCs w:val="15"/>
              </w:rPr>
              <w:t>＜</w:t>
            </w:r>
            <w:r>
              <w:rPr>
                <w:kern w:val="0"/>
                <w:sz w:val="15"/>
                <w:szCs w:val="15"/>
              </w:rPr>
              <w:t>10m</w:t>
            </w:r>
          </w:p>
        </w:tc>
        <w:tc>
          <w:tcPr>
            <w:tcW w:w="2110" w:type="dxa"/>
            <w:vAlign w:val="center"/>
          </w:tcPr>
          <w:p w14:paraId="79D53955">
            <w:pPr>
              <w:autoSpaceDE w:val="0"/>
              <w:autoSpaceDN w:val="0"/>
              <w:spacing w:line="240" w:lineRule="auto"/>
              <w:jc w:val="center"/>
              <w:rPr>
                <w:kern w:val="0"/>
                <w:sz w:val="15"/>
                <w:szCs w:val="15"/>
              </w:rPr>
            </w:pPr>
            <w:r>
              <w:rPr>
                <w:kern w:val="0"/>
                <w:sz w:val="15"/>
                <w:szCs w:val="15"/>
              </w:rPr>
              <w:t>≥2600mm</w:t>
            </w:r>
          </w:p>
        </w:tc>
        <w:tc>
          <w:tcPr>
            <w:tcW w:w="2116" w:type="dxa"/>
            <w:tcBorders>
              <w:right w:val="single" w:color="000000" w:sz="6" w:space="0"/>
            </w:tcBorders>
            <w:vAlign w:val="center"/>
          </w:tcPr>
          <w:p w14:paraId="04057BD3">
            <w:pPr>
              <w:autoSpaceDE w:val="0"/>
              <w:autoSpaceDN w:val="0"/>
              <w:spacing w:line="240" w:lineRule="auto"/>
              <w:jc w:val="center"/>
              <w:rPr>
                <w:kern w:val="0"/>
                <w:sz w:val="15"/>
                <w:szCs w:val="15"/>
              </w:rPr>
            </w:pPr>
            <w:r>
              <w:rPr>
                <w:kern w:val="0"/>
                <w:sz w:val="15"/>
                <w:szCs w:val="15"/>
              </w:rPr>
              <w:t>≥2000mm</w:t>
            </w:r>
          </w:p>
        </w:tc>
      </w:tr>
      <w:tr w14:paraId="4002C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1" w:hRule="atLeast"/>
        </w:trPr>
        <w:tc>
          <w:tcPr>
            <w:tcW w:w="2114" w:type="dxa"/>
            <w:tcBorders>
              <w:left w:val="single" w:color="000000" w:sz="6" w:space="0"/>
            </w:tcBorders>
            <w:vAlign w:val="center"/>
          </w:tcPr>
          <w:p w14:paraId="09C44606">
            <w:pPr>
              <w:autoSpaceDE w:val="0"/>
              <w:autoSpaceDN w:val="0"/>
              <w:spacing w:line="240" w:lineRule="auto"/>
              <w:jc w:val="center"/>
              <w:rPr>
                <w:kern w:val="0"/>
                <w:sz w:val="15"/>
                <w:szCs w:val="15"/>
              </w:rPr>
            </w:pPr>
            <w:r>
              <w:rPr>
                <w:kern w:val="0"/>
                <w:sz w:val="15"/>
                <w:szCs w:val="15"/>
              </w:rPr>
              <w:t>H</w:t>
            </w:r>
            <w:r>
              <w:rPr>
                <w:rFonts w:hint="eastAsia"/>
                <w:kern w:val="0"/>
                <w:sz w:val="15"/>
                <w:szCs w:val="15"/>
              </w:rPr>
              <w:t>≥</w:t>
            </w:r>
            <w:r>
              <w:rPr>
                <w:kern w:val="0"/>
                <w:sz w:val="15"/>
                <w:szCs w:val="15"/>
              </w:rPr>
              <w:t>10m</w:t>
            </w:r>
          </w:p>
        </w:tc>
        <w:tc>
          <w:tcPr>
            <w:tcW w:w="2110" w:type="dxa"/>
            <w:vAlign w:val="center"/>
          </w:tcPr>
          <w:p w14:paraId="49BF0243">
            <w:pPr>
              <w:autoSpaceDE w:val="0"/>
              <w:autoSpaceDN w:val="0"/>
              <w:spacing w:line="240" w:lineRule="auto"/>
              <w:jc w:val="center"/>
              <w:rPr>
                <w:kern w:val="0"/>
                <w:sz w:val="15"/>
                <w:szCs w:val="15"/>
              </w:rPr>
            </w:pPr>
            <w:r>
              <w:rPr>
                <w:kern w:val="0"/>
                <w:sz w:val="15"/>
                <w:szCs w:val="15"/>
              </w:rPr>
              <w:t>≥3600mm</w:t>
            </w:r>
          </w:p>
        </w:tc>
        <w:tc>
          <w:tcPr>
            <w:tcW w:w="2116" w:type="dxa"/>
            <w:tcBorders>
              <w:right w:val="single" w:color="000000" w:sz="6" w:space="0"/>
            </w:tcBorders>
            <w:vAlign w:val="center"/>
          </w:tcPr>
          <w:p w14:paraId="3FC69304">
            <w:pPr>
              <w:autoSpaceDE w:val="0"/>
              <w:autoSpaceDN w:val="0"/>
              <w:spacing w:line="240" w:lineRule="auto"/>
              <w:jc w:val="center"/>
              <w:rPr>
                <w:kern w:val="0"/>
                <w:sz w:val="15"/>
                <w:szCs w:val="15"/>
              </w:rPr>
            </w:pPr>
            <w:r>
              <w:rPr>
                <w:kern w:val="0"/>
                <w:sz w:val="15"/>
                <w:szCs w:val="15"/>
              </w:rPr>
              <w:t>≥2000mm</w:t>
            </w:r>
          </w:p>
        </w:tc>
      </w:tr>
    </w:tbl>
    <w:p w14:paraId="46E51348">
      <w:pPr>
        <w:jc w:val="center"/>
        <w:rPr>
          <w:b/>
        </w:rPr>
      </w:pPr>
      <w:r>
        <w:rPr>
          <w:b/>
        </w:rPr>
        <w:t>Ⅲ</w:t>
      </w:r>
      <w:r>
        <w:rPr>
          <w:rFonts w:hint="eastAsia"/>
          <w:b/>
        </w:rPr>
        <w:t xml:space="preserve">  </w:t>
      </w:r>
      <w:r>
        <w:rPr>
          <w:b/>
        </w:rPr>
        <w:t>主要部件要求</w:t>
      </w:r>
    </w:p>
    <w:p w14:paraId="5D219449">
      <w:pPr>
        <w:numPr>
          <w:ilvl w:val="2"/>
          <w:numId w:val="1"/>
        </w:numPr>
        <w:tabs>
          <w:tab w:val="left" w:pos="851"/>
        </w:tabs>
        <w:jc w:val="left"/>
        <w:outlineLvl w:val="2"/>
        <w:rPr>
          <w:bCs/>
        </w:rPr>
      </w:pPr>
      <w:r>
        <w:rPr>
          <w:rFonts w:hint="eastAsia"/>
          <w:bCs/>
        </w:rPr>
        <w:t>驱动主机应符合下列规定：</w:t>
      </w:r>
    </w:p>
    <w:p w14:paraId="6C429A45">
      <w:pPr>
        <w:pStyle w:val="86"/>
        <w:ind w:firstLine="422"/>
        <w:rPr>
          <w:color w:val="auto"/>
        </w:rPr>
      </w:pPr>
      <w:r>
        <w:rPr>
          <w:rFonts w:hint="eastAsia"/>
          <w:b/>
          <w:color w:val="auto"/>
        </w:rPr>
        <w:t>1</w:t>
      </w:r>
      <w:r>
        <w:rPr>
          <w:rFonts w:hint="eastAsia"/>
          <w:color w:val="auto"/>
        </w:rPr>
        <w:t xml:space="preserve">  驱动主机应包括电动机、减速机、工作制动器、联轴器等，安装在桁架上端部；</w:t>
      </w:r>
    </w:p>
    <w:p w14:paraId="52253C88">
      <w:pPr>
        <w:pStyle w:val="86"/>
        <w:ind w:firstLine="422"/>
        <w:rPr>
          <w:color w:val="auto"/>
        </w:rPr>
      </w:pPr>
      <w:r>
        <w:rPr>
          <w:rFonts w:hint="eastAsia"/>
          <w:b/>
          <w:color w:val="auto"/>
        </w:rPr>
        <w:t>2</w:t>
      </w:r>
      <w:r>
        <w:rPr>
          <w:rFonts w:hint="eastAsia"/>
          <w:color w:val="auto"/>
        </w:rPr>
        <w:t xml:space="preserve">  电动机应自带风扇冷却，能在55℃的环境下连续工作；</w:t>
      </w:r>
    </w:p>
    <w:p w14:paraId="799003CC">
      <w:pPr>
        <w:pStyle w:val="86"/>
        <w:ind w:firstLine="422"/>
        <w:rPr>
          <w:color w:val="auto"/>
        </w:rPr>
      </w:pPr>
      <w:r>
        <w:rPr>
          <w:rFonts w:hint="eastAsia"/>
          <w:b/>
          <w:color w:val="auto"/>
        </w:rPr>
        <w:t>3</w:t>
      </w:r>
      <w:r>
        <w:rPr>
          <w:rFonts w:hint="eastAsia"/>
          <w:color w:val="auto"/>
        </w:rPr>
        <w:t xml:space="preserve">  减速机宜采用斜齿轮传动；</w:t>
      </w:r>
    </w:p>
    <w:p w14:paraId="24EE9382">
      <w:pPr>
        <w:pStyle w:val="86"/>
        <w:ind w:firstLine="422"/>
        <w:rPr>
          <w:color w:val="auto"/>
        </w:rPr>
      </w:pPr>
      <w:r>
        <w:rPr>
          <w:rFonts w:hint="eastAsia"/>
          <w:b/>
          <w:color w:val="auto"/>
        </w:rPr>
        <w:t xml:space="preserve">4 </w:t>
      </w:r>
      <w:r>
        <w:rPr>
          <w:rFonts w:hint="eastAsia"/>
          <w:color w:val="auto"/>
        </w:rPr>
        <w:t xml:space="preserve"> 工作制动器应符合现行国家标准《自动扶梯和自动人行道的制造与安装安全规范》GB 16899的有关规定。</w:t>
      </w:r>
    </w:p>
    <w:p w14:paraId="6F9DB95E">
      <w:pPr>
        <w:numPr>
          <w:ilvl w:val="2"/>
          <w:numId w:val="1"/>
        </w:numPr>
        <w:tabs>
          <w:tab w:val="left" w:pos="851"/>
        </w:tabs>
        <w:jc w:val="left"/>
        <w:outlineLvl w:val="2"/>
        <w:rPr>
          <w:bCs/>
        </w:rPr>
      </w:pPr>
      <w:r>
        <w:rPr>
          <w:rFonts w:hint="eastAsia"/>
          <w:bCs/>
        </w:rPr>
        <w:t>驱动主机与主驱动轴之间应采用链条传动，链条至少为双排，安全系数应≥8。</w:t>
      </w:r>
    </w:p>
    <w:p w14:paraId="10DD2E82">
      <w:pPr>
        <w:numPr>
          <w:ilvl w:val="2"/>
          <w:numId w:val="1"/>
        </w:numPr>
        <w:tabs>
          <w:tab w:val="left" w:pos="851"/>
        </w:tabs>
        <w:jc w:val="left"/>
        <w:outlineLvl w:val="2"/>
        <w:rPr>
          <w:bCs/>
        </w:rPr>
      </w:pPr>
      <w:r>
        <w:rPr>
          <w:rFonts w:hint="eastAsia"/>
          <w:bCs/>
        </w:rPr>
        <w:t>梯级链滚轮应采用外置方式。</w:t>
      </w:r>
    </w:p>
    <w:p w14:paraId="104DDF50">
      <w:pPr>
        <w:numPr>
          <w:ilvl w:val="2"/>
          <w:numId w:val="1"/>
        </w:numPr>
        <w:tabs>
          <w:tab w:val="left" w:pos="851"/>
        </w:tabs>
        <w:jc w:val="left"/>
        <w:outlineLvl w:val="2"/>
        <w:rPr>
          <w:bCs/>
        </w:rPr>
      </w:pPr>
      <w:r>
        <w:rPr>
          <w:rFonts w:hint="eastAsia"/>
          <w:bCs/>
        </w:rPr>
        <w:t>附加制动器除符合现行国标标准《自动扶梯和自动人行道的制造与安装安全规范》GB 16899所规定的两种动作条件外，还应满足在安全回路断开、急停按钮动作、钥匙开关停梯后延时动作的要求。</w:t>
      </w:r>
    </w:p>
    <w:p w14:paraId="167CA860">
      <w:pPr>
        <w:numPr>
          <w:ilvl w:val="2"/>
          <w:numId w:val="1"/>
        </w:numPr>
        <w:tabs>
          <w:tab w:val="left" w:pos="851"/>
        </w:tabs>
        <w:jc w:val="left"/>
        <w:outlineLvl w:val="2"/>
        <w:rPr>
          <w:bCs/>
        </w:rPr>
      </w:pPr>
      <w:r>
        <w:rPr>
          <w:rFonts w:hint="eastAsia"/>
          <w:bCs/>
        </w:rPr>
        <w:t>主驱动轴的轴承宜采用免维护轴承或配备方便的加油系统。</w:t>
      </w:r>
    </w:p>
    <w:p w14:paraId="47543A13">
      <w:pPr>
        <w:numPr>
          <w:ilvl w:val="2"/>
          <w:numId w:val="1"/>
        </w:numPr>
        <w:tabs>
          <w:tab w:val="left" w:pos="851"/>
        </w:tabs>
        <w:jc w:val="left"/>
        <w:outlineLvl w:val="2"/>
        <w:rPr>
          <w:bCs/>
        </w:rPr>
      </w:pPr>
      <w:r>
        <w:rPr>
          <w:rFonts w:hint="eastAsia"/>
          <w:bCs/>
        </w:rPr>
        <w:t>自动扶梯的扶手带驱动应采用上端部驱动方式，并配置V型扶手带。</w:t>
      </w:r>
    </w:p>
    <w:p w14:paraId="0544C485">
      <w:pPr>
        <w:numPr>
          <w:ilvl w:val="2"/>
          <w:numId w:val="1"/>
        </w:numPr>
        <w:tabs>
          <w:tab w:val="left" w:pos="851"/>
        </w:tabs>
        <w:jc w:val="left"/>
        <w:outlineLvl w:val="2"/>
        <w:rPr>
          <w:bCs/>
        </w:rPr>
      </w:pPr>
      <w:r>
        <w:rPr>
          <w:rFonts w:hint="eastAsia"/>
          <w:bCs/>
        </w:rPr>
        <w:t>桁架应符合现行国家标准《自动扶梯和自动人行道的制造与安装安全规范》GB 16899的有关规定，其实测的最大挠度不应超过支承水平距离的1/1500。</w:t>
      </w:r>
    </w:p>
    <w:p w14:paraId="3A33DF15">
      <w:pPr>
        <w:numPr>
          <w:ilvl w:val="2"/>
          <w:numId w:val="1"/>
        </w:numPr>
        <w:tabs>
          <w:tab w:val="left" w:pos="851"/>
        </w:tabs>
        <w:jc w:val="left"/>
        <w:outlineLvl w:val="2"/>
        <w:rPr>
          <w:bCs/>
        </w:rPr>
      </w:pPr>
      <w:r>
        <w:rPr>
          <w:rFonts w:hint="eastAsia"/>
          <w:bCs/>
        </w:rPr>
        <w:t>出入口自动扶梯上、下楼层板应设防盗报警开关，当盖板被打开时，自动扶梯应停止运行并报警。</w:t>
      </w:r>
    </w:p>
    <w:p w14:paraId="73020E61">
      <w:pPr>
        <w:numPr>
          <w:ilvl w:val="2"/>
          <w:numId w:val="1"/>
        </w:numPr>
        <w:tabs>
          <w:tab w:val="left" w:pos="851"/>
        </w:tabs>
        <w:jc w:val="left"/>
        <w:outlineLvl w:val="2"/>
        <w:rPr>
          <w:bCs/>
        </w:rPr>
      </w:pPr>
      <w:r>
        <w:rPr>
          <w:rFonts w:hint="eastAsia"/>
          <w:bCs/>
        </w:rPr>
        <w:t>自动扶梯和自动人行道的传输设备应采用阻燃材料，电线、电缆及柔性套管应采用低烟、无卤、阻燃型，电线、电缆的燃烧性能不应低于B</w:t>
      </w:r>
      <w:r>
        <w:rPr>
          <w:rFonts w:hint="eastAsia"/>
          <w:bCs/>
          <w:vertAlign w:val="subscript"/>
        </w:rPr>
        <w:t>1</w:t>
      </w:r>
      <w:r>
        <w:rPr>
          <w:rFonts w:hint="eastAsia"/>
          <w:bCs/>
        </w:rPr>
        <w:t>级。</w:t>
      </w:r>
    </w:p>
    <w:p w14:paraId="30EE92B4">
      <w:pPr>
        <w:jc w:val="center"/>
        <w:rPr>
          <w:b/>
        </w:rPr>
      </w:pPr>
      <w:r>
        <w:rPr>
          <w:b/>
        </w:rPr>
        <w:t>Ⅳ</w:t>
      </w:r>
      <w:r>
        <w:rPr>
          <w:rFonts w:hint="eastAsia"/>
          <w:b/>
        </w:rPr>
        <w:t xml:space="preserve">  </w:t>
      </w:r>
      <w:r>
        <w:rPr>
          <w:b/>
        </w:rPr>
        <w:t>其他要求</w:t>
      </w:r>
    </w:p>
    <w:p w14:paraId="4B7ED9C8">
      <w:pPr>
        <w:numPr>
          <w:ilvl w:val="2"/>
          <w:numId w:val="1"/>
        </w:numPr>
        <w:tabs>
          <w:tab w:val="left" w:pos="851"/>
        </w:tabs>
        <w:jc w:val="left"/>
        <w:outlineLvl w:val="2"/>
        <w:rPr>
          <w:bCs/>
        </w:rPr>
      </w:pPr>
      <w:r>
        <w:rPr>
          <w:rFonts w:hint="eastAsia"/>
          <w:szCs w:val="18"/>
        </w:rPr>
        <w:t>自动扶</w:t>
      </w:r>
      <w:r>
        <w:rPr>
          <w:rFonts w:hint="eastAsia"/>
          <w:bCs/>
        </w:rPr>
        <w:t>梯和自动人行道机坑内应设置排水措施，无渗水和积水。</w:t>
      </w:r>
    </w:p>
    <w:p w14:paraId="5C75B80E">
      <w:pPr>
        <w:numPr>
          <w:ilvl w:val="2"/>
          <w:numId w:val="1"/>
        </w:numPr>
        <w:tabs>
          <w:tab w:val="left" w:pos="851"/>
        </w:tabs>
        <w:jc w:val="left"/>
        <w:outlineLvl w:val="2"/>
        <w:rPr>
          <w:bCs/>
        </w:rPr>
      </w:pPr>
      <w:r>
        <w:rPr>
          <w:rFonts w:hint="eastAsia"/>
          <w:bCs/>
        </w:rPr>
        <w:t>用于安全疏散的自动扶梯的电源应采用一级负荷，其余自动扶梯的电源可采用二级负荷。</w:t>
      </w:r>
    </w:p>
    <w:p w14:paraId="2B22C83B">
      <w:pPr>
        <w:numPr>
          <w:ilvl w:val="2"/>
          <w:numId w:val="1"/>
        </w:numPr>
        <w:tabs>
          <w:tab w:val="left" w:pos="851"/>
        </w:tabs>
        <w:jc w:val="left"/>
        <w:outlineLvl w:val="2"/>
        <w:rPr>
          <w:szCs w:val="18"/>
        </w:rPr>
      </w:pPr>
      <w:r>
        <w:rPr>
          <w:rFonts w:hint="eastAsia"/>
          <w:bCs/>
        </w:rPr>
        <w:t>在无中间出口通道内连续设置的自动扶梯或自动人行道应符合以下要求</w:t>
      </w:r>
      <w:r>
        <w:rPr>
          <w:rFonts w:hint="eastAsia"/>
          <w:szCs w:val="18"/>
        </w:rPr>
        <w:t>：</w:t>
      </w:r>
    </w:p>
    <w:p w14:paraId="70683C6C">
      <w:pPr>
        <w:pStyle w:val="86"/>
        <w:ind w:firstLine="422"/>
        <w:rPr>
          <w:color w:val="auto"/>
        </w:rPr>
      </w:pPr>
      <w:r>
        <w:rPr>
          <w:rFonts w:hint="eastAsia"/>
          <w:b/>
          <w:color w:val="auto"/>
        </w:rPr>
        <w:t xml:space="preserve">1 </w:t>
      </w:r>
      <w:r>
        <w:rPr>
          <w:rFonts w:hint="eastAsia"/>
          <w:color w:val="auto"/>
        </w:rPr>
        <w:t xml:space="preserve"> 具有相同的输送能力并且同方向运行；</w:t>
      </w:r>
    </w:p>
    <w:p w14:paraId="69E2F5E4">
      <w:pPr>
        <w:pStyle w:val="86"/>
        <w:ind w:firstLine="422"/>
        <w:rPr>
          <w:color w:val="auto"/>
        </w:rPr>
      </w:pPr>
      <w:r>
        <w:rPr>
          <w:rFonts w:hint="eastAsia"/>
          <w:b/>
          <w:color w:val="auto"/>
        </w:rPr>
        <w:t xml:space="preserve">2 </w:t>
      </w:r>
      <w:r>
        <w:rPr>
          <w:rFonts w:hint="eastAsia"/>
          <w:color w:val="auto"/>
        </w:rPr>
        <w:t xml:space="preserve"> 在梯级或踏板到达梳齿与踏面相交线之前2m～3m处应设有附加紧急停止开关；</w:t>
      </w:r>
    </w:p>
    <w:p w14:paraId="43001301">
      <w:pPr>
        <w:pStyle w:val="86"/>
        <w:ind w:firstLine="422"/>
        <w:rPr>
          <w:color w:val="auto"/>
        </w:rPr>
      </w:pPr>
      <w:r>
        <w:rPr>
          <w:rFonts w:hint="eastAsia"/>
          <w:b/>
          <w:color w:val="auto"/>
        </w:rPr>
        <w:t>3</w:t>
      </w:r>
      <w:r>
        <w:rPr>
          <w:rFonts w:hint="eastAsia"/>
          <w:color w:val="auto"/>
        </w:rPr>
        <w:t xml:space="preserve">  当其中一台自动扶梯或自动人行道停止运行时，其他同向运行的自动扶梯或自动人行道应停止运行。</w:t>
      </w:r>
    </w:p>
    <w:p w14:paraId="74E5EBC5">
      <w:pPr>
        <w:numPr>
          <w:ilvl w:val="2"/>
          <w:numId w:val="1"/>
        </w:numPr>
        <w:tabs>
          <w:tab w:val="left" w:pos="851"/>
        </w:tabs>
        <w:jc w:val="left"/>
        <w:outlineLvl w:val="2"/>
        <w:rPr>
          <w:bCs/>
        </w:rPr>
      </w:pPr>
      <w:r>
        <w:rPr>
          <w:rFonts w:hint="eastAsia"/>
          <w:bCs/>
          <w:szCs w:val="18"/>
        </w:rPr>
        <w:t>自动扶</w:t>
      </w:r>
      <w:r>
        <w:rPr>
          <w:rFonts w:hint="eastAsia"/>
          <w:bCs/>
        </w:rPr>
        <w:t>梯和自动人行道与环境与设备监控系统的接口宜采用硬线连接方式。</w:t>
      </w:r>
    </w:p>
    <w:p w14:paraId="3392DFAD">
      <w:pPr>
        <w:numPr>
          <w:ilvl w:val="2"/>
          <w:numId w:val="1"/>
        </w:numPr>
        <w:tabs>
          <w:tab w:val="left" w:pos="851"/>
        </w:tabs>
        <w:jc w:val="left"/>
        <w:outlineLvl w:val="2"/>
        <w:rPr>
          <w:bCs/>
        </w:rPr>
      </w:pPr>
      <w:r>
        <w:rPr>
          <w:rFonts w:hint="eastAsia"/>
          <w:bCs/>
        </w:rPr>
        <w:t>车站应设置自动扶梯、电梯维修工区用房。设置标准宜按每4站～6站设一处，每处建筑面积不宜少于40m</w:t>
      </w:r>
      <w:r>
        <w:rPr>
          <w:rFonts w:hint="eastAsia"/>
          <w:bCs/>
          <w:vertAlign w:val="superscript"/>
        </w:rPr>
        <w:t>2</w:t>
      </w:r>
      <w:r>
        <w:rPr>
          <w:rFonts w:hint="eastAsia"/>
          <w:bCs/>
        </w:rPr>
        <w:t>。</w:t>
      </w:r>
    </w:p>
    <w:p w14:paraId="249BB41C">
      <w:pPr>
        <w:numPr>
          <w:ilvl w:val="1"/>
          <w:numId w:val="1"/>
        </w:numPr>
        <w:snapToGrid w:val="0"/>
        <w:spacing w:before="156" w:after="156" w:line="240" w:lineRule="auto"/>
        <w:jc w:val="center"/>
        <w:outlineLvl w:val="1"/>
        <w:rPr>
          <w:rFonts w:eastAsia="黑体"/>
          <w:bCs/>
          <w:szCs w:val="28"/>
        </w:rPr>
      </w:pPr>
      <w:bookmarkStart w:id="1433" w:name="_Toc183882171"/>
      <w:bookmarkStart w:id="1434" w:name="_Toc16734"/>
      <w:bookmarkStart w:id="1435" w:name="_Toc183683576"/>
      <w:bookmarkStart w:id="1436" w:name="_Toc183765180"/>
      <w:bookmarkStart w:id="1437" w:name="_Toc183790610"/>
      <w:bookmarkStart w:id="1438" w:name="_Toc183888585"/>
      <w:bookmarkStart w:id="1439" w:name="_Toc183888223"/>
      <w:bookmarkStart w:id="1440" w:name="_Toc183882533"/>
      <w:r>
        <w:rPr>
          <w:rFonts w:hint="eastAsia" w:eastAsia="黑体"/>
          <w:bCs/>
          <w:szCs w:val="28"/>
        </w:rPr>
        <w:t>电梯</w:t>
      </w:r>
      <w:bookmarkEnd w:id="1433"/>
      <w:bookmarkEnd w:id="1434"/>
      <w:bookmarkEnd w:id="1435"/>
      <w:bookmarkEnd w:id="1436"/>
      <w:bookmarkEnd w:id="1437"/>
      <w:bookmarkEnd w:id="1438"/>
      <w:bookmarkEnd w:id="1439"/>
      <w:bookmarkEnd w:id="1440"/>
    </w:p>
    <w:p w14:paraId="04595BDC">
      <w:pPr>
        <w:jc w:val="center"/>
        <w:rPr>
          <w:b/>
        </w:rPr>
      </w:pPr>
      <w:r>
        <w:rPr>
          <w:b/>
        </w:rPr>
        <w:t>Ⅰ</w:t>
      </w:r>
      <w:r>
        <w:rPr>
          <w:rFonts w:hint="eastAsia"/>
          <w:b/>
        </w:rPr>
        <w:t xml:space="preserve">  </w:t>
      </w:r>
      <w:r>
        <w:rPr>
          <w:b/>
        </w:rPr>
        <w:t>一般规定</w:t>
      </w:r>
    </w:p>
    <w:p w14:paraId="7325B78C">
      <w:pPr>
        <w:numPr>
          <w:ilvl w:val="2"/>
          <w:numId w:val="1"/>
        </w:numPr>
        <w:tabs>
          <w:tab w:val="left" w:pos="851"/>
        </w:tabs>
        <w:jc w:val="left"/>
        <w:outlineLvl w:val="2"/>
        <w:rPr>
          <w:bCs/>
        </w:rPr>
      </w:pPr>
      <w:r>
        <w:rPr>
          <w:rFonts w:hint="eastAsia"/>
          <w:szCs w:val="18"/>
        </w:rPr>
        <w:t>车站电梯</w:t>
      </w:r>
      <w:r>
        <w:rPr>
          <w:rFonts w:hint="eastAsia"/>
          <w:bCs/>
        </w:rPr>
        <w:t>应采用无机房电梯，车辆基地、控制中心的电梯宜采用有机房电梯。</w:t>
      </w:r>
    </w:p>
    <w:p w14:paraId="08FF71A5">
      <w:pPr>
        <w:numPr>
          <w:ilvl w:val="2"/>
          <w:numId w:val="1"/>
        </w:numPr>
        <w:tabs>
          <w:tab w:val="left" w:pos="851"/>
        </w:tabs>
        <w:jc w:val="left"/>
        <w:outlineLvl w:val="2"/>
        <w:rPr>
          <w:bCs/>
        </w:rPr>
      </w:pPr>
      <w:r>
        <w:rPr>
          <w:rFonts w:hint="eastAsia"/>
          <w:bCs/>
        </w:rPr>
        <w:t>电梯应采用就地控制方式，应接受环境与设备监控系统的远程监视和车站视频监视系统的视频监视；火灾时，电梯应接受火灾自动报警系统的紧急指令联动控制。</w:t>
      </w:r>
    </w:p>
    <w:p w14:paraId="4AB77D1D">
      <w:pPr>
        <w:numPr>
          <w:ilvl w:val="2"/>
          <w:numId w:val="1"/>
        </w:numPr>
        <w:tabs>
          <w:tab w:val="left" w:pos="851"/>
        </w:tabs>
        <w:jc w:val="left"/>
        <w:outlineLvl w:val="2"/>
        <w:rPr>
          <w:bCs/>
        </w:rPr>
      </w:pPr>
      <w:r>
        <w:rPr>
          <w:rFonts w:hint="eastAsia"/>
          <w:bCs/>
        </w:rPr>
        <w:t>电梯应能实现车站控制室或车辆基地、控制中心消防值班室等与电梯轿箱内、轿箱顶、控制柜或机房、井道底坑之间的五方对讲功能。</w:t>
      </w:r>
    </w:p>
    <w:p w14:paraId="7C47A7E2">
      <w:pPr>
        <w:numPr>
          <w:ilvl w:val="2"/>
          <w:numId w:val="1"/>
        </w:numPr>
        <w:tabs>
          <w:tab w:val="left" w:pos="851"/>
        </w:tabs>
        <w:jc w:val="left"/>
        <w:outlineLvl w:val="2"/>
        <w:rPr>
          <w:bCs/>
        </w:rPr>
      </w:pPr>
      <w:r>
        <w:rPr>
          <w:rFonts w:hint="eastAsia"/>
          <w:bCs/>
        </w:rPr>
        <w:t>电梯轿厢内应设置视频监视装置，接入车站视频监视系统。</w:t>
      </w:r>
    </w:p>
    <w:p w14:paraId="64008DF3">
      <w:pPr>
        <w:numPr>
          <w:ilvl w:val="2"/>
          <w:numId w:val="1"/>
        </w:numPr>
        <w:tabs>
          <w:tab w:val="left" w:pos="851"/>
        </w:tabs>
        <w:jc w:val="left"/>
        <w:outlineLvl w:val="2"/>
        <w:rPr>
          <w:bCs/>
        </w:rPr>
      </w:pPr>
      <w:r>
        <w:rPr>
          <w:rFonts w:hint="eastAsia"/>
          <w:bCs/>
        </w:rPr>
        <w:t>无障碍电梯的呼叫装置、轿箱内扶手等服务设施应符合现行国家标准</w:t>
      </w:r>
      <w:r>
        <w:rPr>
          <w:bCs/>
        </w:rPr>
        <w:t>《建筑与市政工程无障碍通用规范》GB55019</w:t>
      </w:r>
      <w:r>
        <w:rPr>
          <w:rFonts w:hint="eastAsia"/>
          <w:bCs/>
        </w:rPr>
        <w:t>、《无障碍设计规范》GB 50763的有关规定。</w:t>
      </w:r>
    </w:p>
    <w:p w14:paraId="04527F12">
      <w:pPr>
        <w:numPr>
          <w:ilvl w:val="2"/>
          <w:numId w:val="1"/>
        </w:numPr>
        <w:tabs>
          <w:tab w:val="left" w:pos="851"/>
        </w:tabs>
        <w:jc w:val="left"/>
        <w:outlineLvl w:val="2"/>
      </w:pPr>
      <w:r>
        <w:rPr>
          <w:bCs/>
        </w:rPr>
        <w:t>当电梯兼做消防</w:t>
      </w:r>
      <w:r>
        <w:rPr>
          <w:rFonts w:hint="eastAsia"/>
          <w:bCs/>
        </w:rPr>
        <w:t>员电</w:t>
      </w:r>
      <w:r>
        <w:rPr>
          <w:bCs/>
        </w:rPr>
        <w:t>梯时，</w:t>
      </w:r>
      <w:r>
        <w:rPr>
          <w:rFonts w:hint="eastAsia"/>
          <w:bCs/>
        </w:rPr>
        <w:t>其设施应符合现行国家标准《消防员电梯制造与安</w:t>
      </w:r>
      <w:r>
        <w:rPr>
          <w:rFonts w:hint="eastAsia"/>
        </w:rPr>
        <w:t>装安全规范》GB</w:t>
      </w:r>
      <w:r>
        <w:t xml:space="preserve">/T </w:t>
      </w:r>
      <w:r>
        <w:rPr>
          <w:rFonts w:hint="eastAsia"/>
        </w:rPr>
        <w:t>26</w:t>
      </w:r>
      <w:r>
        <w:t>4</w:t>
      </w:r>
      <w:r>
        <w:rPr>
          <w:rFonts w:hint="eastAsia"/>
        </w:rPr>
        <w:t>65的规定</w:t>
      </w:r>
      <w:r>
        <w:rPr>
          <w:rFonts w:hint="eastAsia" w:ascii="宋体" w:hAnsi="宋体"/>
        </w:rPr>
        <w:t>。</w:t>
      </w:r>
    </w:p>
    <w:p w14:paraId="6BE17635">
      <w:pPr>
        <w:jc w:val="center"/>
        <w:rPr>
          <w:b/>
        </w:rPr>
      </w:pPr>
      <w:r>
        <w:rPr>
          <w:b/>
        </w:rPr>
        <w:t>Ⅱ</w:t>
      </w:r>
      <w:r>
        <w:rPr>
          <w:rFonts w:hint="eastAsia"/>
          <w:b/>
        </w:rPr>
        <w:t xml:space="preserve">  </w:t>
      </w:r>
      <w:r>
        <w:rPr>
          <w:b/>
        </w:rPr>
        <w:t>主要技术参数</w:t>
      </w:r>
    </w:p>
    <w:p w14:paraId="4380B096">
      <w:pPr>
        <w:numPr>
          <w:ilvl w:val="2"/>
          <w:numId w:val="1"/>
        </w:numPr>
        <w:tabs>
          <w:tab w:val="left" w:pos="851"/>
        </w:tabs>
        <w:jc w:val="left"/>
        <w:outlineLvl w:val="2"/>
        <w:rPr>
          <w:bCs/>
        </w:rPr>
      </w:pPr>
      <w:r>
        <w:rPr>
          <w:rFonts w:hint="eastAsia"/>
          <w:szCs w:val="18"/>
        </w:rPr>
        <w:t>无障碍</w:t>
      </w:r>
      <w:r>
        <w:rPr>
          <w:rFonts w:hint="eastAsia"/>
          <w:bCs/>
        </w:rPr>
        <w:t>电梯的额定载重量不应小于1000kg，其余电梯的额定载重根据相关专业需求确定。</w:t>
      </w:r>
    </w:p>
    <w:p w14:paraId="3B034289">
      <w:pPr>
        <w:numPr>
          <w:ilvl w:val="2"/>
          <w:numId w:val="1"/>
        </w:numPr>
        <w:tabs>
          <w:tab w:val="left" w:pos="851"/>
        </w:tabs>
        <w:jc w:val="left"/>
        <w:outlineLvl w:val="2"/>
        <w:rPr>
          <w:bCs/>
        </w:rPr>
      </w:pPr>
      <w:r>
        <w:rPr>
          <w:rFonts w:hint="eastAsia"/>
          <w:bCs/>
        </w:rPr>
        <w:t>电梯额定速度不宜小于1m/s。</w:t>
      </w:r>
    </w:p>
    <w:p w14:paraId="071C45A9">
      <w:pPr>
        <w:numPr>
          <w:ilvl w:val="2"/>
          <w:numId w:val="1"/>
        </w:numPr>
        <w:tabs>
          <w:tab w:val="left" w:pos="851"/>
        </w:tabs>
        <w:jc w:val="left"/>
        <w:outlineLvl w:val="2"/>
        <w:rPr>
          <w:bCs/>
        </w:rPr>
      </w:pPr>
      <w:r>
        <w:rPr>
          <w:rFonts w:hint="eastAsia"/>
          <w:bCs/>
        </w:rPr>
        <w:t>电梯开门宽度不应小于1m（1000kg梯）或1.1m（1600kg梯），且宜采用双扇中分门。</w:t>
      </w:r>
    </w:p>
    <w:p w14:paraId="62A9073C">
      <w:pPr>
        <w:jc w:val="center"/>
        <w:rPr>
          <w:b/>
        </w:rPr>
      </w:pPr>
      <w:r>
        <w:rPr>
          <w:b/>
        </w:rPr>
        <w:t>Ⅲ</w:t>
      </w:r>
      <w:r>
        <w:rPr>
          <w:rFonts w:hint="eastAsia"/>
          <w:b/>
        </w:rPr>
        <w:t xml:space="preserve">  </w:t>
      </w:r>
      <w:r>
        <w:rPr>
          <w:b/>
        </w:rPr>
        <w:t>主要部件要求</w:t>
      </w:r>
    </w:p>
    <w:p w14:paraId="09877466">
      <w:pPr>
        <w:numPr>
          <w:ilvl w:val="2"/>
          <w:numId w:val="1"/>
        </w:numPr>
        <w:tabs>
          <w:tab w:val="left" w:pos="851"/>
        </w:tabs>
        <w:jc w:val="left"/>
        <w:outlineLvl w:val="2"/>
        <w:rPr>
          <w:szCs w:val="18"/>
        </w:rPr>
      </w:pPr>
      <w:r>
        <w:rPr>
          <w:rFonts w:hint="eastAsia"/>
          <w:szCs w:val="18"/>
        </w:rPr>
        <w:t>电梯应采用变频调速的无齿轮曳引机，并宜安装在井道上部或机房内。</w:t>
      </w:r>
    </w:p>
    <w:p w14:paraId="2C891A3D">
      <w:pPr>
        <w:numPr>
          <w:ilvl w:val="2"/>
          <w:numId w:val="1"/>
        </w:numPr>
        <w:tabs>
          <w:tab w:val="left" w:pos="851"/>
        </w:tabs>
        <w:jc w:val="left"/>
        <w:outlineLvl w:val="2"/>
        <w:rPr>
          <w:bCs/>
        </w:rPr>
      </w:pPr>
      <w:r>
        <w:rPr>
          <w:rFonts w:hint="eastAsia"/>
          <w:szCs w:val="18"/>
        </w:rPr>
        <w:t>无障碍电梯的</w:t>
      </w:r>
      <w:r>
        <w:rPr>
          <w:rFonts w:hint="eastAsia"/>
          <w:bCs/>
        </w:rPr>
        <w:t>轿厢应符合下列规定：</w:t>
      </w:r>
    </w:p>
    <w:p w14:paraId="22C05DF2">
      <w:pPr>
        <w:ind w:firstLine="422" w:firstLineChars="200"/>
      </w:pPr>
      <w:r>
        <w:rPr>
          <w:rFonts w:hint="eastAsia" w:cs="Arial"/>
          <w:b/>
        </w:rPr>
        <w:t>1</w:t>
      </w:r>
      <w:r>
        <w:rPr>
          <w:rFonts w:hint="eastAsia" w:cs="Arial"/>
        </w:rPr>
        <w:t xml:space="preserve"> </w:t>
      </w:r>
      <w:r>
        <w:rPr>
          <w:rFonts w:hint="eastAsia"/>
        </w:rPr>
        <w:t xml:space="preserve"> 电梯轿箱宜采用不锈钢轿壁；</w:t>
      </w:r>
    </w:p>
    <w:p w14:paraId="48E0C0D7">
      <w:pPr>
        <w:ind w:firstLine="422" w:firstLineChars="200"/>
      </w:pPr>
      <w:r>
        <w:rPr>
          <w:rFonts w:hint="eastAsia" w:cs="Arial"/>
          <w:b/>
        </w:rPr>
        <w:t xml:space="preserve">2 </w:t>
      </w:r>
      <w:r>
        <w:rPr>
          <w:rFonts w:hint="eastAsia"/>
        </w:rPr>
        <w:t xml:space="preserve"> 轿箱内面向轿门侧的轿壁高0.9m处至顶部宜采用镜面不锈钢；</w:t>
      </w:r>
    </w:p>
    <w:p w14:paraId="7152CD39">
      <w:pPr>
        <w:ind w:firstLine="422" w:firstLineChars="200"/>
        <w:rPr>
          <w:szCs w:val="18"/>
        </w:rPr>
      </w:pPr>
      <w:r>
        <w:rPr>
          <w:rFonts w:hint="eastAsia" w:cs="Arial"/>
          <w:b/>
        </w:rPr>
        <w:t xml:space="preserve">3 </w:t>
      </w:r>
      <w:r>
        <w:rPr>
          <w:rFonts w:hint="eastAsia"/>
        </w:rPr>
        <w:t xml:space="preserve"> </w:t>
      </w:r>
      <w:r>
        <w:rPr>
          <w:rFonts w:hint="eastAsia"/>
          <w:szCs w:val="18"/>
        </w:rPr>
        <w:t>轿厢内未开门面应设置</w:t>
      </w:r>
      <w:r>
        <w:rPr>
          <w:rFonts w:hint="eastAsia"/>
          <w:spacing w:val="2"/>
        </w:rPr>
        <w:t>扶栏。</w:t>
      </w:r>
    </w:p>
    <w:p w14:paraId="1097EABD">
      <w:pPr>
        <w:ind w:firstLine="422" w:firstLineChars="200"/>
        <w:rPr>
          <w:szCs w:val="18"/>
        </w:rPr>
      </w:pPr>
      <w:r>
        <w:rPr>
          <w:rFonts w:hint="eastAsia" w:cs="Arial"/>
          <w:b/>
        </w:rPr>
        <w:t>4</w:t>
      </w:r>
      <w:r>
        <w:rPr>
          <w:rFonts w:hint="eastAsia"/>
          <w:b/>
        </w:rPr>
        <w:t xml:space="preserve"> </w:t>
      </w:r>
      <w:r>
        <w:rPr>
          <w:rFonts w:hint="eastAsia"/>
        </w:rPr>
        <w:t xml:space="preserve"> </w:t>
      </w:r>
      <w:r>
        <w:rPr>
          <w:rFonts w:hint="eastAsia"/>
          <w:szCs w:val="18"/>
        </w:rPr>
        <w:t>轿厢内应设主、副操纵箱。副操纵箱供轮椅者使用，按钮中心距轿厢内地板高0.85m～1.1m。</w:t>
      </w:r>
    </w:p>
    <w:p w14:paraId="2F14FED9">
      <w:pPr>
        <w:numPr>
          <w:ilvl w:val="2"/>
          <w:numId w:val="1"/>
        </w:numPr>
        <w:tabs>
          <w:tab w:val="left" w:pos="851"/>
        </w:tabs>
        <w:jc w:val="left"/>
        <w:outlineLvl w:val="2"/>
        <w:rPr>
          <w:bCs/>
        </w:rPr>
      </w:pPr>
      <w:r>
        <w:rPr>
          <w:rFonts w:hint="eastAsia"/>
          <w:bCs/>
        </w:rPr>
        <w:t>电梯的电线、电缆及柔性套管应采用低烟、无卤、阻燃型，电线、电缆的燃烧性能不应低于B</w:t>
      </w:r>
      <w:r>
        <w:rPr>
          <w:rFonts w:hint="eastAsia"/>
          <w:bCs/>
          <w:vertAlign w:val="subscript"/>
        </w:rPr>
        <w:t>1</w:t>
      </w:r>
      <w:r>
        <w:rPr>
          <w:rFonts w:hint="eastAsia"/>
          <w:bCs/>
        </w:rPr>
        <w:t>级。</w:t>
      </w:r>
    </w:p>
    <w:p w14:paraId="5381886C">
      <w:pPr>
        <w:jc w:val="center"/>
        <w:rPr>
          <w:b/>
        </w:rPr>
      </w:pPr>
      <w:r>
        <w:rPr>
          <w:b/>
        </w:rPr>
        <w:t>Ⅳ</w:t>
      </w:r>
      <w:r>
        <w:rPr>
          <w:rFonts w:hint="eastAsia"/>
          <w:b/>
        </w:rPr>
        <w:t xml:space="preserve">  </w:t>
      </w:r>
      <w:r>
        <w:rPr>
          <w:b/>
        </w:rPr>
        <w:t>其他要求</w:t>
      </w:r>
    </w:p>
    <w:p w14:paraId="2B5B7CEA">
      <w:pPr>
        <w:numPr>
          <w:ilvl w:val="2"/>
          <w:numId w:val="1"/>
        </w:numPr>
        <w:tabs>
          <w:tab w:val="left" w:pos="851"/>
        </w:tabs>
        <w:jc w:val="left"/>
        <w:outlineLvl w:val="2"/>
        <w:rPr>
          <w:bCs/>
        </w:rPr>
      </w:pPr>
      <w:r>
        <w:rPr>
          <w:rFonts w:hint="eastAsia"/>
          <w:szCs w:val="18"/>
        </w:rPr>
        <w:t>电梯</w:t>
      </w:r>
      <w:r>
        <w:rPr>
          <w:rFonts w:hint="eastAsia"/>
          <w:bCs/>
        </w:rPr>
        <w:t>井道应无渗水，底坑设置排水措施、无积水。</w:t>
      </w:r>
    </w:p>
    <w:p w14:paraId="6FD3E323">
      <w:pPr>
        <w:numPr>
          <w:ilvl w:val="2"/>
          <w:numId w:val="1"/>
        </w:numPr>
        <w:tabs>
          <w:tab w:val="left" w:pos="851"/>
        </w:tabs>
        <w:jc w:val="left"/>
        <w:outlineLvl w:val="2"/>
        <w:rPr>
          <w:bCs/>
        </w:rPr>
      </w:pPr>
      <w:r>
        <w:rPr>
          <w:rFonts w:hint="eastAsia"/>
          <w:bCs/>
        </w:rPr>
        <w:t>电梯与环境与设备监控系统的接口宜采用硬线连接方式，与火灾自动报警</w:t>
      </w:r>
      <w:r>
        <w:rPr>
          <w:rFonts w:hint="eastAsia"/>
          <w:bCs/>
          <w:szCs w:val="18"/>
        </w:rPr>
        <w:t>系统的接口应采用硬线连接方式</w:t>
      </w:r>
      <w:r>
        <w:rPr>
          <w:rFonts w:hint="eastAsia"/>
          <w:bCs/>
        </w:rPr>
        <w:t>。</w:t>
      </w:r>
    </w:p>
    <w:p w14:paraId="2EBDB685">
      <w:pPr>
        <w:tabs>
          <w:tab w:val="left" w:pos="709"/>
          <w:tab w:val="left" w:pos="794"/>
          <w:tab w:val="left" w:pos="851"/>
        </w:tabs>
        <w:jc w:val="left"/>
        <w:rPr>
          <w:bCs/>
        </w:rPr>
      </w:pPr>
    </w:p>
    <w:p w14:paraId="3F0FC915">
      <w:pPr>
        <w:pStyle w:val="3"/>
      </w:pPr>
      <w:bookmarkStart w:id="1441" w:name="_Toc168061306"/>
      <w:bookmarkStart w:id="1442" w:name="_Toc181019272"/>
      <w:bookmarkStart w:id="1443" w:name="_Toc168059498"/>
      <w:bookmarkStart w:id="1444" w:name="_Toc168061753"/>
      <w:r>
        <w:br w:type="page"/>
      </w:r>
      <w:bookmarkEnd w:id="1441"/>
      <w:bookmarkEnd w:id="1442"/>
      <w:bookmarkEnd w:id="1443"/>
      <w:bookmarkEnd w:id="1444"/>
      <w:bookmarkStart w:id="1445" w:name="_Toc183882172"/>
      <w:bookmarkStart w:id="1446" w:name="_Toc183888224"/>
      <w:bookmarkStart w:id="1447" w:name="_Toc183735422"/>
      <w:bookmarkStart w:id="1448" w:name="_Toc183765181"/>
      <w:bookmarkStart w:id="1449" w:name="_Toc183790611"/>
      <w:bookmarkStart w:id="1450" w:name="_Toc183699878"/>
      <w:bookmarkStart w:id="1451" w:name="_Toc183888586"/>
      <w:bookmarkStart w:id="1452" w:name="_Toc183683577"/>
      <w:bookmarkStart w:id="1453" w:name="_Toc183882534"/>
      <w:r>
        <w:t>综合监控系统</w:t>
      </w:r>
      <w:bookmarkEnd w:id="1445"/>
      <w:bookmarkEnd w:id="1446"/>
      <w:bookmarkEnd w:id="1447"/>
      <w:bookmarkEnd w:id="1448"/>
      <w:bookmarkEnd w:id="1449"/>
      <w:bookmarkEnd w:id="1450"/>
      <w:bookmarkEnd w:id="1451"/>
      <w:bookmarkEnd w:id="1452"/>
      <w:bookmarkEnd w:id="1453"/>
    </w:p>
    <w:p w14:paraId="5BA21061">
      <w:pPr>
        <w:numPr>
          <w:ilvl w:val="1"/>
          <w:numId w:val="1"/>
        </w:numPr>
        <w:snapToGrid w:val="0"/>
        <w:spacing w:before="156" w:after="156" w:line="240" w:lineRule="auto"/>
        <w:jc w:val="center"/>
        <w:outlineLvl w:val="1"/>
        <w:rPr>
          <w:rFonts w:eastAsia="黑体"/>
          <w:bCs/>
          <w:szCs w:val="28"/>
        </w:rPr>
      </w:pPr>
      <w:bookmarkStart w:id="1454" w:name="_Toc183882535"/>
      <w:bookmarkStart w:id="1455" w:name="_Toc183888225"/>
      <w:bookmarkStart w:id="1456" w:name="_Toc183765182"/>
      <w:bookmarkStart w:id="1457" w:name="_Toc183888587"/>
      <w:bookmarkStart w:id="1458" w:name="_Toc183683578"/>
      <w:bookmarkStart w:id="1459" w:name="_Toc183790612"/>
      <w:bookmarkStart w:id="1460" w:name="_Toc183882173"/>
      <w:r>
        <w:rPr>
          <w:rFonts w:hint="eastAsia" w:eastAsia="黑体"/>
          <w:bCs/>
          <w:szCs w:val="28"/>
        </w:rPr>
        <w:t>一般规定</w:t>
      </w:r>
      <w:bookmarkEnd w:id="1454"/>
      <w:bookmarkEnd w:id="1455"/>
      <w:bookmarkEnd w:id="1456"/>
      <w:bookmarkEnd w:id="1457"/>
      <w:bookmarkEnd w:id="1458"/>
      <w:bookmarkEnd w:id="1459"/>
      <w:bookmarkEnd w:id="1460"/>
    </w:p>
    <w:p w14:paraId="735B4CB3">
      <w:pPr>
        <w:numPr>
          <w:ilvl w:val="2"/>
          <w:numId w:val="1"/>
        </w:numPr>
        <w:tabs>
          <w:tab w:val="left" w:pos="709"/>
        </w:tabs>
        <w:jc w:val="left"/>
        <w:outlineLvl w:val="2"/>
        <w:rPr>
          <w:bCs/>
        </w:rPr>
      </w:pPr>
      <w:r>
        <w:rPr>
          <w:rFonts w:hint="eastAsia"/>
          <w:bCs/>
        </w:rPr>
        <w:t>轨道交通工程宜设置综合监控系统，并应采集行车、设备、客流等信息以满足行车指挥、设备监控、防灾安全、能源管理和乘客服务等运营管理需求。</w:t>
      </w:r>
    </w:p>
    <w:p w14:paraId="109A6BB6">
      <w:pPr>
        <w:numPr>
          <w:ilvl w:val="2"/>
          <w:numId w:val="1"/>
        </w:numPr>
        <w:tabs>
          <w:tab w:val="left" w:pos="709"/>
          <w:tab w:val="left" w:pos="794"/>
        </w:tabs>
        <w:outlineLvl w:val="2"/>
        <w:rPr>
          <w:bCs/>
        </w:rPr>
      </w:pPr>
      <w:r>
        <w:rPr>
          <w:rFonts w:hint="eastAsia"/>
          <w:bCs/>
        </w:rPr>
        <w:t>综合监控系统应为实时监控系统，可与事务数据管理相结合。</w:t>
      </w:r>
    </w:p>
    <w:p w14:paraId="0F22E230">
      <w:pPr>
        <w:numPr>
          <w:ilvl w:val="2"/>
          <w:numId w:val="1"/>
        </w:numPr>
        <w:tabs>
          <w:tab w:val="left" w:pos="709"/>
          <w:tab w:val="left" w:pos="794"/>
        </w:tabs>
        <w:outlineLvl w:val="2"/>
        <w:rPr>
          <w:bCs/>
        </w:rPr>
      </w:pPr>
      <w:r>
        <w:rPr>
          <w:rFonts w:hint="eastAsia"/>
          <w:bCs/>
        </w:rPr>
        <w:t>综合监控系统应采用集成和互联方式构成，应将电力监控、环境与设备监控系统集成到综合监控系统，宜将广播、视频监视、乘客信息、时钟、通信系统集中告警、自动售检票、门禁、站台屏蔽门等系统与综合监控系统互联。</w:t>
      </w:r>
    </w:p>
    <w:p w14:paraId="484C0056">
      <w:pPr>
        <w:numPr>
          <w:ilvl w:val="2"/>
          <w:numId w:val="1"/>
        </w:numPr>
        <w:tabs>
          <w:tab w:val="left" w:pos="709"/>
          <w:tab w:val="left" w:pos="794"/>
        </w:tabs>
        <w:outlineLvl w:val="2"/>
        <w:rPr>
          <w:bCs/>
        </w:rPr>
      </w:pPr>
      <w:r>
        <w:rPr>
          <w:rFonts w:hint="eastAsia"/>
          <w:bCs/>
        </w:rPr>
        <w:t>综合监控系统可集成或互联列车自动监控，宜集成火灾自动报警系统人机界面。</w:t>
      </w:r>
    </w:p>
    <w:p w14:paraId="26B5C639">
      <w:pPr>
        <w:numPr>
          <w:ilvl w:val="2"/>
          <w:numId w:val="1"/>
        </w:numPr>
        <w:tabs>
          <w:tab w:val="left" w:pos="709"/>
          <w:tab w:val="left" w:pos="794"/>
        </w:tabs>
        <w:outlineLvl w:val="2"/>
        <w:rPr>
          <w:bCs/>
        </w:rPr>
      </w:pPr>
      <w:r>
        <w:rPr>
          <w:rFonts w:hint="eastAsia"/>
          <w:bCs/>
        </w:rPr>
        <w:t>综合监控系统应为北京轨道交通指挥中心提供有关信息。</w:t>
      </w:r>
    </w:p>
    <w:p w14:paraId="26825086">
      <w:pPr>
        <w:numPr>
          <w:ilvl w:val="2"/>
          <w:numId w:val="1"/>
        </w:numPr>
        <w:tabs>
          <w:tab w:val="left" w:pos="709"/>
          <w:tab w:val="left" w:pos="794"/>
        </w:tabs>
        <w:outlineLvl w:val="2"/>
        <w:rPr>
          <w:bCs/>
        </w:rPr>
      </w:pPr>
      <w:r>
        <w:rPr>
          <w:rFonts w:hint="eastAsia"/>
          <w:bCs/>
        </w:rPr>
        <w:t>换乘车站的不同线路间的综合监控系统可根据车站换乘形式和运营管理的需求相互提供信息。</w:t>
      </w:r>
    </w:p>
    <w:p w14:paraId="7057FA05">
      <w:pPr>
        <w:numPr>
          <w:ilvl w:val="2"/>
          <w:numId w:val="1"/>
        </w:numPr>
        <w:tabs>
          <w:tab w:val="left" w:pos="709"/>
          <w:tab w:val="left" w:pos="794"/>
        </w:tabs>
        <w:outlineLvl w:val="2"/>
        <w:rPr>
          <w:bCs/>
        </w:rPr>
      </w:pPr>
      <w:r>
        <w:rPr>
          <w:rFonts w:hint="eastAsia"/>
          <w:bCs/>
        </w:rPr>
        <w:t>综合监控系统应符合国家标准《信息安全技术-工业控制系统信息安全分级规范》GB/T 36324对工业控制系统的信息安全等级保护要求，宜按照信息安全等级保护三级要求进行设计。</w:t>
      </w:r>
    </w:p>
    <w:p w14:paraId="7A1F8DBF">
      <w:pPr>
        <w:numPr>
          <w:ilvl w:val="1"/>
          <w:numId w:val="1"/>
        </w:numPr>
        <w:snapToGrid w:val="0"/>
        <w:spacing w:before="156" w:after="156" w:line="240" w:lineRule="auto"/>
        <w:jc w:val="center"/>
        <w:outlineLvl w:val="1"/>
        <w:rPr>
          <w:rFonts w:eastAsia="黑体"/>
          <w:bCs/>
          <w:szCs w:val="28"/>
        </w:rPr>
      </w:pPr>
      <w:bookmarkStart w:id="1461" w:name="_Toc183683579"/>
      <w:bookmarkStart w:id="1462" w:name="_Toc183765183"/>
      <w:bookmarkStart w:id="1463" w:name="_Toc183882174"/>
      <w:bookmarkStart w:id="1464" w:name="_Toc183888226"/>
      <w:bookmarkStart w:id="1465" w:name="_Toc183888588"/>
      <w:bookmarkStart w:id="1466" w:name="_Toc183882536"/>
      <w:bookmarkStart w:id="1467" w:name="_Toc183790613"/>
      <w:r>
        <w:rPr>
          <w:rFonts w:hint="eastAsia" w:eastAsia="黑体"/>
          <w:bCs/>
          <w:szCs w:val="28"/>
        </w:rPr>
        <w:t>系统</w:t>
      </w:r>
      <w:r>
        <w:rPr>
          <w:rFonts w:eastAsia="黑体"/>
          <w:bCs/>
          <w:szCs w:val="28"/>
        </w:rPr>
        <w:t>构成</w:t>
      </w:r>
      <w:bookmarkEnd w:id="1461"/>
      <w:bookmarkEnd w:id="1462"/>
      <w:bookmarkEnd w:id="1463"/>
      <w:bookmarkEnd w:id="1464"/>
      <w:bookmarkEnd w:id="1465"/>
      <w:bookmarkEnd w:id="1466"/>
      <w:bookmarkEnd w:id="1467"/>
    </w:p>
    <w:p w14:paraId="278DC303">
      <w:pPr>
        <w:numPr>
          <w:ilvl w:val="2"/>
          <w:numId w:val="1"/>
        </w:numPr>
        <w:tabs>
          <w:tab w:val="left" w:pos="709"/>
          <w:tab w:val="left" w:pos="794"/>
        </w:tabs>
        <w:outlineLvl w:val="2"/>
        <w:rPr>
          <w:bCs/>
        </w:rPr>
      </w:pPr>
      <w:r>
        <w:rPr>
          <w:rFonts w:hint="eastAsia"/>
          <w:bCs/>
        </w:rPr>
        <w:t>综合监控系统的构建应以运营管理需求为基础，应满足安全性、可靠性、可维护性、可扩展性的要求。</w:t>
      </w:r>
    </w:p>
    <w:p w14:paraId="047F0FDA">
      <w:pPr>
        <w:numPr>
          <w:ilvl w:val="2"/>
          <w:numId w:val="1"/>
        </w:numPr>
        <w:tabs>
          <w:tab w:val="left" w:pos="709"/>
          <w:tab w:val="left" w:pos="794"/>
        </w:tabs>
        <w:outlineLvl w:val="2"/>
        <w:rPr>
          <w:bCs/>
        </w:rPr>
      </w:pPr>
      <w:r>
        <w:rPr>
          <w:rFonts w:hint="eastAsia"/>
          <w:bCs/>
        </w:rPr>
        <w:t>综合监控系统应设置中央级、车站级及车辆综合基地级综合监控系统。车站级可根据运营管理的需求设置区域集中站综合监控系统。</w:t>
      </w:r>
    </w:p>
    <w:p w14:paraId="198FD5CB">
      <w:pPr>
        <w:numPr>
          <w:ilvl w:val="2"/>
          <w:numId w:val="1"/>
        </w:numPr>
        <w:tabs>
          <w:tab w:val="left" w:pos="709"/>
          <w:tab w:val="left" w:pos="794"/>
        </w:tabs>
        <w:outlineLvl w:val="2"/>
        <w:rPr>
          <w:bCs/>
        </w:rPr>
      </w:pPr>
      <w:r>
        <w:rPr>
          <w:rFonts w:hint="eastAsia"/>
          <w:bCs/>
        </w:rPr>
        <w:t>综合监控系统应设置网络管理系统、设备维护管理系统、培训及仿真测试管理系统。</w:t>
      </w:r>
    </w:p>
    <w:p w14:paraId="3E099E0B">
      <w:pPr>
        <w:numPr>
          <w:ilvl w:val="2"/>
          <w:numId w:val="1"/>
        </w:numPr>
        <w:tabs>
          <w:tab w:val="left" w:pos="709"/>
          <w:tab w:val="left" w:pos="794"/>
        </w:tabs>
        <w:outlineLvl w:val="2"/>
        <w:rPr>
          <w:bCs/>
        </w:rPr>
      </w:pPr>
      <w:r>
        <w:rPr>
          <w:rFonts w:hint="eastAsia"/>
          <w:bCs/>
        </w:rPr>
        <w:t>综合监控系统应设置冗余主干网，用于中心级综合监控系统与车站(车辆基地)级综合监控系统的网络连接。主干网宜利用通信传输系统、云平台提供的专用通道组建，当系统独立组建专用传输网络时宜采用冗余环形工业以太网。</w:t>
      </w:r>
    </w:p>
    <w:p w14:paraId="1200E8E9">
      <w:pPr>
        <w:numPr>
          <w:ilvl w:val="2"/>
          <w:numId w:val="1"/>
        </w:numPr>
        <w:tabs>
          <w:tab w:val="left" w:pos="709"/>
          <w:tab w:val="left" w:pos="794"/>
        </w:tabs>
        <w:outlineLvl w:val="2"/>
        <w:rPr>
          <w:bCs/>
        </w:rPr>
      </w:pPr>
      <w:r>
        <w:rPr>
          <w:rFonts w:hint="eastAsia"/>
          <w:bCs/>
        </w:rPr>
        <w:t>综合监控系统宜采用云平台架构，中央级服务器与车站级服务器宜采用虚拟化技术。</w:t>
      </w:r>
    </w:p>
    <w:p w14:paraId="47F3EF1D">
      <w:pPr>
        <w:numPr>
          <w:ilvl w:val="1"/>
          <w:numId w:val="1"/>
        </w:numPr>
        <w:snapToGrid w:val="0"/>
        <w:spacing w:before="156" w:after="156" w:line="240" w:lineRule="auto"/>
        <w:jc w:val="center"/>
        <w:outlineLvl w:val="1"/>
        <w:rPr>
          <w:rFonts w:eastAsia="黑体"/>
          <w:bCs/>
          <w:szCs w:val="28"/>
        </w:rPr>
      </w:pPr>
      <w:bookmarkStart w:id="1468" w:name="_Toc183683580"/>
      <w:bookmarkStart w:id="1469" w:name="_Toc183765184"/>
      <w:bookmarkStart w:id="1470" w:name="_Toc183882537"/>
      <w:bookmarkStart w:id="1471" w:name="_Toc183790614"/>
      <w:bookmarkStart w:id="1472" w:name="_Toc183888227"/>
      <w:bookmarkStart w:id="1473" w:name="_Toc183888589"/>
      <w:bookmarkStart w:id="1474" w:name="_Toc183882175"/>
      <w:r>
        <w:rPr>
          <w:rFonts w:hint="eastAsia" w:eastAsia="黑体"/>
          <w:bCs/>
          <w:szCs w:val="28"/>
        </w:rPr>
        <w:t>系统</w:t>
      </w:r>
      <w:r>
        <w:rPr>
          <w:rFonts w:eastAsia="黑体"/>
          <w:bCs/>
          <w:szCs w:val="28"/>
        </w:rPr>
        <w:t>功能</w:t>
      </w:r>
      <w:bookmarkEnd w:id="1468"/>
      <w:bookmarkEnd w:id="1469"/>
      <w:bookmarkEnd w:id="1470"/>
      <w:bookmarkEnd w:id="1471"/>
      <w:bookmarkEnd w:id="1472"/>
      <w:bookmarkEnd w:id="1473"/>
      <w:bookmarkEnd w:id="1474"/>
    </w:p>
    <w:p w14:paraId="7428F569">
      <w:pPr>
        <w:numPr>
          <w:ilvl w:val="2"/>
          <w:numId w:val="1"/>
        </w:numPr>
        <w:tabs>
          <w:tab w:val="left" w:pos="709"/>
          <w:tab w:val="left" w:pos="794"/>
        </w:tabs>
        <w:outlineLvl w:val="2"/>
        <w:rPr>
          <w:bCs/>
        </w:rPr>
      </w:pPr>
      <w:r>
        <w:rPr>
          <w:rFonts w:hint="eastAsia"/>
          <w:bCs/>
        </w:rPr>
        <w:t>综合监控系统应具有以下功能：</w:t>
      </w:r>
    </w:p>
    <w:p w14:paraId="625BC117">
      <w:pPr>
        <w:ind w:firstLine="420"/>
      </w:pPr>
      <w:r>
        <w:rPr>
          <w:rFonts w:hint="eastAsia"/>
          <w:b/>
        </w:rPr>
        <w:t>1</w:t>
      </w:r>
      <w:r>
        <w:t xml:space="preserve">  </w:t>
      </w:r>
      <w:r>
        <w:rPr>
          <w:rFonts w:hint="eastAsia"/>
        </w:rPr>
        <w:t>数据库管理功能；</w:t>
      </w:r>
    </w:p>
    <w:p w14:paraId="750B8A9C">
      <w:pPr>
        <w:ind w:firstLine="420"/>
      </w:pPr>
      <w:r>
        <w:rPr>
          <w:rFonts w:hint="eastAsia"/>
          <w:b/>
        </w:rPr>
        <w:t>2</w:t>
      </w:r>
      <w:r>
        <w:t xml:space="preserve">  </w:t>
      </w:r>
      <w:r>
        <w:rPr>
          <w:rFonts w:hint="eastAsia"/>
        </w:rPr>
        <w:t>系统权限管理功能；</w:t>
      </w:r>
    </w:p>
    <w:p w14:paraId="56D17B28">
      <w:pPr>
        <w:ind w:firstLine="420"/>
      </w:pPr>
      <w:r>
        <w:rPr>
          <w:rFonts w:hint="eastAsia"/>
          <w:b/>
        </w:rPr>
        <w:t>3</w:t>
      </w:r>
      <w:r>
        <w:rPr>
          <w:b/>
        </w:rPr>
        <w:t xml:space="preserve"> </w:t>
      </w:r>
      <w:r>
        <w:t xml:space="preserve"> </w:t>
      </w:r>
      <w:r>
        <w:rPr>
          <w:rFonts w:hint="eastAsia"/>
        </w:rPr>
        <w:t>冗余设备自动切换功能；</w:t>
      </w:r>
    </w:p>
    <w:p w14:paraId="3D6E8A5E">
      <w:pPr>
        <w:ind w:firstLine="420"/>
      </w:pPr>
      <w:r>
        <w:rPr>
          <w:rFonts w:hint="eastAsia"/>
          <w:b/>
        </w:rPr>
        <w:t>4</w:t>
      </w:r>
      <w:r>
        <w:rPr>
          <w:b/>
        </w:rPr>
        <w:t xml:space="preserve"> </w:t>
      </w:r>
      <w:r>
        <w:t xml:space="preserve"> </w:t>
      </w:r>
      <w:r>
        <w:rPr>
          <w:rFonts w:hint="eastAsia"/>
        </w:rPr>
        <w:t>设备单点控制、序列控制功能；</w:t>
      </w:r>
    </w:p>
    <w:p w14:paraId="54BF1402">
      <w:pPr>
        <w:ind w:firstLine="420"/>
      </w:pPr>
      <w:r>
        <w:rPr>
          <w:rFonts w:hint="eastAsia"/>
          <w:b/>
        </w:rPr>
        <w:t>5</w:t>
      </w:r>
      <w:r>
        <w:rPr>
          <w:b/>
        </w:rPr>
        <w:t xml:space="preserve"> </w:t>
      </w:r>
      <w:r>
        <w:t xml:space="preserve"> </w:t>
      </w:r>
      <w:r>
        <w:rPr>
          <w:rFonts w:hint="eastAsia"/>
        </w:rPr>
        <w:t>设备的监视报警功能；</w:t>
      </w:r>
    </w:p>
    <w:p w14:paraId="416F8517">
      <w:pPr>
        <w:ind w:firstLine="420"/>
      </w:pPr>
      <w:r>
        <w:rPr>
          <w:rFonts w:hint="eastAsia"/>
          <w:b/>
        </w:rPr>
        <w:t>6</w:t>
      </w:r>
      <w:r>
        <w:rPr>
          <w:b/>
        </w:rPr>
        <w:t xml:space="preserve">  </w:t>
      </w:r>
      <w:r>
        <w:rPr>
          <w:rFonts w:hint="eastAsia"/>
        </w:rPr>
        <w:t>历史数据存储与查询功能；</w:t>
      </w:r>
    </w:p>
    <w:p w14:paraId="6E51A090">
      <w:pPr>
        <w:ind w:firstLine="420"/>
      </w:pPr>
      <w:r>
        <w:rPr>
          <w:rFonts w:hint="eastAsia"/>
          <w:b/>
        </w:rPr>
        <w:t>7</w:t>
      </w:r>
      <w:r>
        <w:rPr>
          <w:b/>
        </w:rPr>
        <w:t xml:space="preserve"> </w:t>
      </w:r>
      <w:r>
        <w:t xml:space="preserve"> </w:t>
      </w:r>
      <w:r>
        <w:rPr>
          <w:rFonts w:hint="eastAsia"/>
        </w:rPr>
        <w:t>对供电系统对设备的监控功能；</w:t>
      </w:r>
    </w:p>
    <w:p w14:paraId="4C89B304">
      <w:pPr>
        <w:ind w:firstLine="420"/>
      </w:pPr>
      <w:r>
        <w:rPr>
          <w:rFonts w:hint="eastAsia"/>
          <w:b/>
        </w:rPr>
        <w:t>8</w:t>
      </w:r>
      <w:r>
        <w:rPr>
          <w:b/>
        </w:rPr>
        <w:t xml:space="preserve"> </w:t>
      </w:r>
      <w:r>
        <w:t xml:space="preserve"> </w:t>
      </w:r>
      <w:r>
        <w:rPr>
          <w:rFonts w:hint="eastAsia"/>
        </w:rPr>
        <w:t>对机电系统对设备的监控功能；</w:t>
      </w:r>
    </w:p>
    <w:p w14:paraId="59A58049">
      <w:pPr>
        <w:ind w:firstLine="420"/>
      </w:pPr>
      <w:r>
        <w:rPr>
          <w:rFonts w:hint="eastAsia"/>
          <w:b/>
        </w:rPr>
        <w:t>9</w:t>
      </w:r>
      <w:r>
        <w:t xml:space="preserve">  </w:t>
      </w:r>
      <w:r>
        <w:rPr>
          <w:rFonts w:hint="eastAsia"/>
        </w:rPr>
        <w:t>宜具有能耗统计功能；</w:t>
      </w:r>
    </w:p>
    <w:p w14:paraId="3D375693">
      <w:pPr>
        <w:ind w:firstLine="420"/>
      </w:pPr>
      <w:r>
        <w:rPr>
          <w:rFonts w:hint="eastAsia"/>
          <w:b/>
        </w:rPr>
        <w:t xml:space="preserve">10  </w:t>
      </w:r>
      <w:r>
        <w:rPr>
          <w:rFonts w:hint="eastAsia"/>
        </w:rPr>
        <w:t>报表功能；</w:t>
      </w:r>
    </w:p>
    <w:p w14:paraId="0F010804">
      <w:pPr>
        <w:ind w:firstLine="420"/>
      </w:pPr>
      <w:r>
        <w:rPr>
          <w:rFonts w:hint="eastAsia"/>
          <w:b/>
        </w:rPr>
        <w:t>11</w:t>
      </w:r>
      <w:r>
        <w:rPr>
          <w:b/>
        </w:rPr>
        <w:t xml:space="preserve"> </w:t>
      </w:r>
      <w:r>
        <w:t xml:space="preserve"> </w:t>
      </w:r>
      <w:r>
        <w:rPr>
          <w:rFonts w:hint="eastAsia"/>
        </w:rPr>
        <w:t>打印功能；</w:t>
      </w:r>
    </w:p>
    <w:p w14:paraId="359D474A">
      <w:pPr>
        <w:ind w:firstLine="420"/>
      </w:pPr>
      <w:r>
        <w:rPr>
          <w:rFonts w:hint="eastAsia"/>
          <w:b/>
        </w:rPr>
        <w:t>12</w:t>
      </w:r>
      <w:r>
        <w:rPr>
          <w:b/>
        </w:rPr>
        <w:t xml:space="preserve"> </w:t>
      </w:r>
      <w:r>
        <w:t xml:space="preserve"> </w:t>
      </w:r>
      <w:r>
        <w:rPr>
          <w:rFonts w:hint="eastAsia"/>
        </w:rPr>
        <w:t>时钟同步功能；</w:t>
      </w:r>
    </w:p>
    <w:p w14:paraId="6DC4A072">
      <w:pPr>
        <w:ind w:firstLine="420"/>
      </w:pPr>
      <w:r>
        <w:rPr>
          <w:rFonts w:hint="eastAsia"/>
          <w:b/>
        </w:rPr>
        <w:t>13</w:t>
      </w:r>
      <w:r>
        <w:rPr>
          <w:b/>
        </w:rPr>
        <w:t xml:space="preserve"> </w:t>
      </w:r>
      <w:r>
        <w:t xml:space="preserve"> </w:t>
      </w:r>
      <w:r>
        <w:rPr>
          <w:rFonts w:hint="eastAsia"/>
        </w:rPr>
        <w:t>趋势显示功能；</w:t>
      </w:r>
    </w:p>
    <w:p w14:paraId="2B4C28F5">
      <w:pPr>
        <w:ind w:firstLine="420"/>
      </w:pPr>
      <w:r>
        <w:rPr>
          <w:rFonts w:hint="eastAsia"/>
          <w:b/>
        </w:rPr>
        <w:t>14</w:t>
      </w:r>
      <w:r>
        <w:rPr>
          <w:b/>
        </w:rPr>
        <w:t xml:space="preserve"> </w:t>
      </w:r>
      <w:r>
        <w:t xml:space="preserve"> </w:t>
      </w:r>
      <w:r>
        <w:rPr>
          <w:rFonts w:hint="eastAsia"/>
        </w:rPr>
        <w:t>帮助功能；</w:t>
      </w:r>
    </w:p>
    <w:p w14:paraId="23CBF614">
      <w:pPr>
        <w:ind w:firstLine="420"/>
      </w:pPr>
      <w:r>
        <w:rPr>
          <w:rFonts w:hint="eastAsia"/>
          <w:b/>
        </w:rPr>
        <w:t>15</w:t>
      </w:r>
      <w:r>
        <w:rPr>
          <w:b/>
        </w:rPr>
        <w:t xml:space="preserve"> </w:t>
      </w:r>
      <w:r>
        <w:t xml:space="preserve"> </w:t>
      </w:r>
      <w:r>
        <w:rPr>
          <w:rFonts w:hint="eastAsia"/>
        </w:rPr>
        <w:t>根据运营管理需要，综合监控系统宜具备扩展智慧乘客服务、运营管理等应用的条件。</w:t>
      </w:r>
    </w:p>
    <w:p w14:paraId="62AC2425">
      <w:pPr>
        <w:numPr>
          <w:ilvl w:val="2"/>
          <w:numId w:val="1"/>
        </w:numPr>
        <w:tabs>
          <w:tab w:val="left" w:pos="709"/>
          <w:tab w:val="left" w:pos="794"/>
        </w:tabs>
        <w:outlineLvl w:val="2"/>
        <w:rPr>
          <w:bCs/>
        </w:rPr>
      </w:pPr>
      <w:r>
        <w:rPr>
          <w:rFonts w:hint="eastAsia"/>
          <w:bCs/>
        </w:rPr>
        <w:t>系统发生报警宜通过人机界面以图形、声效、报警条、报警列表等方式。</w:t>
      </w:r>
    </w:p>
    <w:p w14:paraId="00F39934">
      <w:pPr>
        <w:numPr>
          <w:ilvl w:val="2"/>
          <w:numId w:val="1"/>
        </w:numPr>
        <w:tabs>
          <w:tab w:val="left" w:pos="709"/>
          <w:tab w:val="left" w:pos="794"/>
        </w:tabs>
        <w:outlineLvl w:val="2"/>
        <w:rPr>
          <w:bCs/>
        </w:rPr>
      </w:pPr>
      <w:r>
        <w:rPr>
          <w:rFonts w:hint="eastAsia"/>
          <w:bCs/>
        </w:rPr>
        <w:t>综合监控系统应具备下列联动功能；</w:t>
      </w:r>
    </w:p>
    <w:p w14:paraId="1C4919BD">
      <w:pPr>
        <w:ind w:firstLine="422" w:firstLineChars="200"/>
      </w:pPr>
      <w:r>
        <w:rPr>
          <w:rFonts w:hint="eastAsia"/>
          <w:b/>
        </w:rPr>
        <w:t xml:space="preserve">1 </w:t>
      </w:r>
      <w:r>
        <w:rPr>
          <w:rFonts w:hint="eastAsia"/>
        </w:rPr>
        <w:t xml:space="preserve"> 综合监控系统宜设置正常模式、应急模式联动；</w:t>
      </w:r>
    </w:p>
    <w:p w14:paraId="3B6D23D4">
      <w:pPr>
        <w:ind w:firstLine="420"/>
      </w:pPr>
      <w:r>
        <w:rPr>
          <w:rFonts w:hint="eastAsia"/>
          <w:b/>
        </w:rPr>
        <w:t>2</w:t>
      </w:r>
      <w:r>
        <w:rPr>
          <w:rFonts w:hint="eastAsia"/>
        </w:rPr>
        <w:t xml:space="preserve">  联动宜分全自动联动、半自动联动、手动联动。</w:t>
      </w:r>
    </w:p>
    <w:p w14:paraId="65045BE2">
      <w:pPr>
        <w:numPr>
          <w:ilvl w:val="2"/>
          <w:numId w:val="1"/>
        </w:numPr>
        <w:tabs>
          <w:tab w:val="left" w:pos="709"/>
          <w:tab w:val="left" w:pos="794"/>
        </w:tabs>
        <w:outlineLvl w:val="2"/>
        <w:rPr>
          <w:bCs/>
        </w:rPr>
      </w:pPr>
      <w:r>
        <w:rPr>
          <w:rFonts w:hint="eastAsia"/>
          <w:bCs/>
        </w:rPr>
        <w:t xml:space="preserve">广播功能应具备下列基本功能： </w:t>
      </w:r>
    </w:p>
    <w:p w14:paraId="7345E9C8">
      <w:pPr>
        <w:ind w:firstLine="420"/>
      </w:pPr>
      <w:r>
        <w:rPr>
          <w:rFonts w:hint="eastAsia"/>
          <w:b/>
        </w:rPr>
        <w:t>1</w:t>
      </w:r>
      <w:r>
        <w:t xml:space="preserve"> </w:t>
      </w:r>
      <w:r>
        <w:rPr>
          <w:rFonts w:hint="eastAsia"/>
        </w:rPr>
        <w:t xml:space="preserve"> 应具备对广播系统的广播区编组、广播区单选、广播区多选、音源选择、即时广播、定时广播、广播监听、自动时间表广播、广播控制状态显示等监控功能；</w:t>
      </w:r>
    </w:p>
    <w:p w14:paraId="5C268116">
      <w:pPr>
        <w:ind w:firstLine="420"/>
      </w:pPr>
      <w:r>
        <w:rPr>
          <w:rFonts w:hint="eastAsia"/>
          <w:b/>
        </w:rPr>
        <w:t>2</w:t>
      </w:r>
      <w:r>
        <w:rPr>
          <w:rFonts w:hint="eastAsia"/>
        </w:rPr>
        <w:t xml:space="preserve">  应具备对广播系统广播分区状态信息监视的功能。</w:t>
      </w:r>
    </w:p>
    <w:p w14:paraId="4C330454">
      <w:pPr>
        <w:numPr>
          <w:ilvl w:val="2"/>
          <w:numId w:val="1"/>
        </w:numPr>
        <w:tabs>
          <w:tab w:val="left" w:pos="709"/>
          <w:tab w:val="left" w:pos="794"/>
        </w:tabs>
        <w:outlineLvl w:val="2"/>
        <w:rPr>
          <w:bCs/>
        </w:rPr>
      </w:pPr>
      <w:r>
        <w:rPr>
          <w:rFonts w:hint="eastAsia"/>
          <w:bCs/>
        </w:rPr>
        <w:t xml:space="preserve">视频监视系统功能应具备下列基本功能： </w:t>
      </w:r>
    </w:p>
    <w:p w14:paraId="5C39F476">
      <w:pPr>
        <w:ind w:firstLine="420"/>
      </w:pPr>
      <w:r>
        <w:rPr>
          <w:rFonts w:hint="eastAsia"/>
          <w:b/>
        </w:rPr>
        <w:t>1</w:t>
      </w:r>
      <w:r>
        <w:t xml:space="preserve"> </w:t>
      </w:r>
      <w:r>
        <w:rPr>
          <w:rFonts w:hint="eastAsia"/>
        </w:rPr>
        <w:t xml:space="preserve"> 应具备视频监视系统画面选择、P/T/Z 调节、预设位存储、序列自定义、序列控制功能； </w:t>
      </w:r>
    </w:p>
    <w:p w14:paraId="36644CED">
      <w:pPr>
        <w:ind w:firstLine="420"/>
      </w:pPr>
      <w:r>
        <w:rPr>
          <w:rFonts w:hint="eastAsia"/>
          <w:b/>
        </w:rPr>
        <w:t>2</w:t>
      </w:r>
      <w:r>
        <w:rPr>
          <w:b/>
        </w:rPr>
        <w:t xml:space="preserve">  </w:t>
      </w:r>
      <w:r>
        <w:rPr>
          <w:rFonts w:hint="eastAsia"/>
        </w:rPr>
        <w:t>应具备视频监视系统固定摄像机、球型摄像机等主要设备状态信息的监视功能。</w:t>
      </w:r>
    </w:p>
    <w:p w14:paraId="40E7F5D1">
      <w:pPr>
        <w:numPr>
          <w:ilvl w:val="2"/>
          <w:numId w:val="1"/>
        </w:numPr>
        <w:tabs>
          <w:tab w:val="left" w:pos="709"/>
          <w:tab w:val="left" w:pos="794"/>
        </w:tabs>
        <w:outlineLvl w:val="2"/>
        <w:rPr>
          <w:bCs/>
        </w:rPr>
      </w:pPr>
      <w:r>
        <w:rPr>
          <w:rFonts w:hint="eastAsia"/>
          <w:bCs/>
        </w:rPr>
        <w:t>乘客信息系统功能应具备下列基本功能：</w:t>
      </w:r>
    </w:p>
    <w:p w14:paraId="1DCE24FA">
      <w:pPr>
        <w:ind w:firstLine="420"/>
      </w:pPr>
      <w:r>
        <w:rPr>
          <w:rFonts w:hint="eastAsia"/>
          <w:b/>
        </w:rPr>
        <w:t>1</w:t>
      </w:r>
      <w:r>
        <w:rPr>
          <w:rFonts w:hint="eastAsia"/>
        </w:rPr>
        <w:t xml:space="preserve">  应具备乘客信息系统的信息编辑、信息保存、信息模板修改、预定义信息、信息人工审核、信息发布管理功能，信息应区分紧急信息与正常信息；</w:t>
      </w:r>
    </w:p>
    <w:p w14:paraId="086D3A54">
      <w:pPr>
        <w:ind w:firstLine="420"/>
      </w:pPr>
      <w:r>
        <w:rPr>
          <w:rFonts w:hint="eastAsia"/>
          <w:b/>
        </w:rPr>
        <w:t>2</w:t>
      </w:r>
      <w:r>
        <w:rPr>
          <w:rFonts w:hint="eastAsia"/>
        </w:rPr>
        <w:t xml:space="preserve">  宜具备对乘客信息系统显示终端控制器等主要设备状态信息的监视功能。</w:t>
      </w:r>
    </w:p>
    <w:p w14:paraId="61636222">
      <w:pPr>
        <w:numPr>
          <w:ilvl w:val="2"/>
          <w:numId w:val="1"/>
        </w:numPr>
        <w:tabs>
          <w:tab w:val="left" w:pos="709"/>
          <w:tab w:val="left" w:pos="794"/>
        </w:tabs>
        <w:outlineLvl w:val="2"/>
        <w:rPr>
          <w:bCs/>
        </w:rPr>
      </w:pPr>
      <w:r>
        <w:rPr>
          <w:rFonts w:hint="eastAsia"/>
          <w:bCs/>
        </w:rPr>
        <w:t>门禁系统功能应具备下列基本功能：</w:t>
      </w:r>
    </w:p>
    <w:p w14:paraId="3CB8A657">
      <w:pPr>
        <w:ind w:firstLine="420"/>
      </w:pPr>
      <w:r>
        <w:rPr>
          <w:rFonts w:hint="eastAsia"/>
          <w:b/>
        </w:rPr>
        <w:t xml:space="preserve">1 </w:t>
      </w:r>
      <w:r>
        <w:rPr>
          <w:rFonts w:hint="eastAsia"/>
        </w:rPr>
        <w:t xml:space="preserve"> 应具备对门禁系统的火灾运行模式、紧急模式、正常运行模式的运行信息监视功能；</w:t>
      </w:r>
    </w:p>
    <w:p w14:paraId="12D23857">
      <w:pPr>
        <w:ind w:firstLine="420"/>
      </w:pPr>
      <w:r>
        <w:rPr>
          <w:rFonts w:hint="eastAsia"/>
          <w:b/>
        </w:rPr>
        <w:t xml:space="preserve">2 </w:t>
      </w:r>
      <w:r>
        <w:rPr>
          <w:rFonts w:hint="eastAsia"/>
        </w:rPr>
        <w:t xml:space="preserve"> 应具备对门禁系统控制器等主要设备状态信息的监视功能；</w:t>
      </w:r>
    </w:p>
    <w:p w14:paraId="25C82831">
      <w:pPr>
        <w:ind w:firstLine="420"/>
      </w:pPr>
      <w:r>
        <w:rPr>
          <w:rFonts w:hint="eastAsia"/>
          <w:b/>
        </w:rPr>
        <w:t xml:space="preserve">3 </w:t>
      </w:r>
      <w:r>
        <w:rPr>
          <w:rFonts w:hint="eastAsia"/>
        </w:rPr>
        <w:t xml:space="preserve"> 车站综合控制室内的综合后备盘上应设置门禁系统紧急释放按钮。</w:t>
      </w:r>
    </w:p>
    <w:p w14:paraId="0ABA9754">
      <w:pPr>
        <w:numPr>
          <w:ilvl w:val="2"/>
          <w:numId w:val="1"/>
        </w:numPr>
        <w:tabs>
          <w:tab w:val="left" w:pos="709"/>
          <w:tab w:val="left" w:pos="794"/>
        </w:tabs>
        <w:outlineLvl w:val="2"/>
        <w:rPr>
          <w:bCs/>
        </w:rPr>
      </w:pPr>
      <w:r>
        <w:rPr>
          <w:rFonts w:hint="eastAsia"/>
          <w:bCs/>
        </w:rPr>
        <w:t>列车自动监控系统功能应具备下列基本功能：</w:t>
      </w:r>
    </w:p>
    <w:p w14:paraId="334C157B">
      <w:pPr>
        <w:ind w:firstLine="420"/>
      </w:pPr>
      <w:r>
        <w:rPr>
          <w:b/>
        </w:rPr>
        <w:t xml:space="preserve">1 </w:t>
      </w:r>
      <w:r>
        <w:rPr>
          <w:rFonts w:hint="eastAsia"/>
        </w:rPr>
        <w:t xml:space="preserve"> 宜具备对信号系统的列车基本信息、列车位置信息、列车状态信息、信号机状态信息、锁闭信息、道岔状态信息的监视功能；</w:t>
      </w:r>
    </w:p>
    <w:p w14:paraId="08E0F0B8">
      <w:pPr>
        <w:ind w:firstLine="420"/>
      </w:pPr>
      <w:r>
        <w:rPr>
          <w:b/>
        </w:rPr>
        <w:t>2</w:t>
      </w:r>
      <w:r>
        <w:rPr>
          <w:rFonts w:hint="eastAsia"/>
        </w:rPr>
        <w:t xml:space="preserve"> </w:t>
      </w:r>
      <w:r>
        <w:t xml:space="preserve"> </w:t>
      </w:r>
      <w:r>
        <w:rPr>
          <w:rFonts w:hint="eastAsia"/>
        </w:rPr>
        <w:t>应具备接收信号系统阻塞信息的功能；</w:t>
      </w:r>
    </w:p>
    <w:p w14:paraId="387F7EF0">
      <w:pPr>
        <w:ind w:firstLine="420"/>
      </w:pPr>
      <w:r>
        <w:rPr>
          <w:b/>
        </w:rPr>
        <w:t>3</w:t>
      </w:r>
      <w:r>
        <w:rPr>
          <w:rFonts w:hint="eastAsia"/>
          <w:b/>
        </w:rPr>
        <w:t xml:space="preserve"> </w:t>
      </w:r>
      <w:r>
        <w:t xml:space="preserve"> </w:t>
      </w:r>
      <w:r>
        <w:rPr>
          <w:rFonts w:hint="eastAsia"/>
        </w:rPr>
        <w:t>车站综合控制室内的综合后备盘上应设置列车自动监控系统的紧急停车、扣车和放行按钮。</w:t>
      </w:r>
    </w:p>
    <w:p w14:paraId="0E358A97">
      <w:pPr>
        <w:numPr>
          <w:ilvl w:val="2"/>
          <w:numId w:val="1"/>
        </w:numPr>
        <w:tabs>
          <w:tab w:val="left" w:pos="709"/>
          <w:tab w:val="left" w:pos="794"/>
        </w:tabs>
        <w:outlineLvl w:val="2"/>
        <w:rPr>
          <w:bCs/>
        </w:rPr>
      </w:pPr>
      <w:r>
        <w:rPr>
          <w:rFonts w:hint="eastAsia"/>
          <w:bCs/>
        </w:rPr>
        <w:t>自动售检票系统功能应具备下列基本功能：</w:t>
      </w:r>
    </w:p>
    <w:p w14:paraId="37128EAF">
      <w:pPr>
        <w:ind w:firstLine="420"/>
      </w:pPr>
      <w:r>
        <w:rPr>
          <w:b/>
        </w:rPr>
        <w:t xml:space="preserve">1 </w:t>
      </w:r>
      <w:r>
        <w:rPr>
          <w:rFonts w:hint="eastAsia"/>
        </w:rPr>
        <w:t xml:space="preserve"> 应具备对自动售检票系统的进站检票机、出站检票机、双向检票机、宽通道检票机、半自动售票机、全自动售票机等主要设备状态信息监视功能；</w:t>
      </w:r>
    </w:p>
    <w:p w14:paraId="5DF8A285">
      <w:pPr>
        <w:ind w:firstLine="420"/>
      </w:pPr>
      <w:r>
        <w:rPr>
          <w:b/>
        </w:rPr>
        <w:t xml:space="preserve">2 </w:t>
      </w:r>
      <w:r>
        <w:rPr>
          <w:rFonts w:hint="eastAsia"/>
        </w:rPr>
        <w:t xml:space="preserve"> 宜具备监视客流信息功能；</w:t>
      </w:r>
    </w:p>
    <w:p w14:paraId="267FA514">
      <w:pPr>
        <w:ind w:firstLine="420"/>
      </w:pPr>
      <w:r>
        <w:rPr>
          <w:b/>
        </w:rPr>
        <w:t>3</w:t>
      </w:r>
      <w:r>
        <w:t xml:space="preserve"> </w:t>
      </w:r>
      <w:r>
        <w:rPr>
          <w:rFonts w:hint="eastAsia"/>
        </w:rPr>
        <w:t xml:space="preserve"> 车站综合控制室内的综合后备盘上应设置自动售检票系统的闸机紧急释放按钮。</w:t>
      </w:r>
    </w:p>
    <w:p w14:paraId="09ECC52A">
      <w:pPr>
        <w:numPr>
          <w:ilvl w:val="2"/>
          <w:numId w:val="1"/>
        </w:numPr>
        <w:tabs>
          <w:tab w:val="left" w:pos="794"/>
          <w:tab w:val="left" w:pos="851"/>
        </w:tabs>
        <w:outlineLvl w:val="2"/>
        <w:rPr>
          <w:bCs/>
        </w:rPr>
      </w:pPr>
      <w:r>
        <w:rPr>
          <w:rFonts w:hint="eastAsia"/>
          <w:bCs/>
        </w:rPr>
        <w:t>火灾自动报警系统功能应具备下列基本功能：</w:t>
      </w:r>
    </w:p>
    <w:p w14:paraId="5B548804">
      <w:pPr>
        <w:ind w:firstLine="420"/>
      </w:pPr>
      <w:r>
        <w:rPr>
          <w:b/>
        </w:rPr>
        <w:t xml:space="preserve">1 </w:t>
      </w:r>
      <w:r>
        <w:rPr>
          <w:rFonts w:hint="eastAsia"/>
        </w:rPr>
        <w:t xml:space="preserve"> 应具备对火灾自动报警系统全站报警、防烟分区报警信息的监视功能；</w:t>
      </w:r>
    </w:p>
    <w:p w14:paraId="54F2DE4A">
      <w:pPr>
        <w:ind w:firstLine="420"/>
      </w:pPr>
      <w:r>
        <w:rPr>
          <w:b/>
        </w:rPr>
        <w:t xml:space="preserve">2 </w:t>
      </w:r>
      <w:r>
        <w:rPr>
          <w:rFonts w:hint="eastAsia"/>
        </w:rPr>
        <w:t xml:space="preserve"> 当综合监控系统集成火灾自动报警系统人机界面时，应具备对车站管理范围内的专用排烟风机、消防泵或喷淋泵、气体灭火系统主机、防火卷帘门、火灾自动报警主机等主要设备状态信息的监视功能；</w:t>
      </w:r>
    </w:p>
    <w:p w14:paraId="044698C0">
      <w:pPr>
        <w:ind w:firstLine="420"/>
      </w:pPr>
      <w:r>
        <w:rPr>
          <w:b/>
        </w:rPr>
        <w:t xml:space="preserve">3 </w:t>
      </w:r>
      <w:r>
        <w:rPr>
          <w:rFonts w:hint="eastAsia"/>
        </w:rPr>
        <w:t xml:space="preserve"> 车站控制室内的综合后备盘上应设置消防专用设备的紧急启停按钮、气体灭火系统延时释放按钮。</w:t>
      </w:r>
    </w:p>
    <w:p w14:paraId="235EA564">
      <w:pPr>
        <w:numPr>
          <w:ilvl w:val="2"/>
          <w:numId w:val="1"/>
        </w:numPr>
        <w:tabs>
          <w:tab w:val="left" w:pos="794"/>
          <w:tab w:val="left" w:pos="851"/>
        </w:tabs>
        <w:outlineLvl w:val="2"/>
        <w:rPr>
          <w:bCs/>
        </w:rPr>
      </w:pPr>
      <w:r>
        <w:rPr>
          <w:rFonts w:hint="eastAsia"/>
          <w:bCs/>
        </w:rPr>
        <w:t>站台屏蔽门功能应具备下列基本功能：</w:t>
      </w:r>
    </w:p>
    <w:p w14:paraId="00FBA42E">
      <w:pPr>
        <w:ind w:firstLine="420"/>
      </w:pPr>
      <w:r>
        <w:rPr>
          <w:b/>
        </w:rPr>
        <w:t xml:space="preserve">1 </w:t>
      </w:r>
      <w:r>
        <w:rPr>
          <w:rFonts w:hint="eastAsia"/>
        </w:rPr>
        <w:t xml:space="preserve"> 应具备对站台屏蔽门的应急门、滑动门、端门等主要设备状态信息监视功能；</w:t>
      </w:r>
    </w:p>
    <w:p w14:paraId="50D62AB0">
      <w:pPr>
        <w:ind w:firstLine="420"/>
      </w:pPr>
      <w:r>
        <w:rPr>
          <w:b/>
        </w:rPr>
        <w:t xml:space="preserve">2 </w:t>
      </w:r>
      <w:r>
        <w:rPr>
          <w:rFonts w:hint="eastAsia"/>
        </w:rPr>
        <w:t xml:space="preserve"> 车站综合控制室内的综合后备盘上应设置站台屏蔽门系统的紧急开门按钮。</w:t>
      </w:r>
    </w:p>
    <w:p w14:paraId="433081B2">
      <w:pPr>
        <w:numPr>
          <w:ilvl w:val="2"/>
          <w:numId w:val="1"/>
        </w:numPr>
        <w:tabs>
          <w:tab w:val="left" w:pos="794"/>
          <w:tab w:val="left" w:pos="851"/>
        </w:tabs>
        <w:outlineLvl w:val="2"/>
        <w:rPr>
          <w:bCs/>
        </w:rPr>
      </w:pPr>
      <w:r>
        <w:rPr>
          <w:rFonts w:hint="eastAsia"/>
          <w:bCs/>
        </w:rPr>
        <w:t>通信集中告警系统功能应具备下列基本功能：</w:t>
      </w:r>
    </w:p>
    <w:p w14:paraId="36EC7437">
      <w:pPr>
        <w:ind w:firstLine="420"/>
      </w:pPr>
      <w:r>
        <w:rPr>
          <w:rFonts w:hint="eastAsia"/>
        </w:rPr>
        <w:t>宜监视通信相关系统的工作状态，显示视频监视系统、广播系统车站设备的告警信息。</w:t>
      </w:r>
    </w:p>
    <w:p w14:paraId="283320B2">
      <w:pPr>
        <w:numPr>
          <w:ilvl w:val="2"/>
          <w:numId w:val="1"/>
        </w:numPr>
        <w:tabs>
          <w:tab w:val="left" w:pos="794"/>
          <w:tab w:val="left" w:pos="851"/>
        </w:tabs>
        <w:outlineLvl w:val="2"/>
        <w:rPr>
          <w:bCs/>
        </w:rPr>
      </w:pPr>
      <w:r>
        <w:rPr>
          <w:rFonts w:hint="eastAsia"/>
          <w:bCs/>
        </w:rPr>
        <w:t>复示工作站宜根据运营管理的需求在适当地点设置系统复示工作站，具备监视功能。</w:t>
      </w:r>
    </w:p>
    <w:p w14:paraId="4C7A27C7">
      <w:pPr>
        <w:numPr>
          <w:ilvl w:val="2"/>
          <w:numId w:val="1"/>
        </w:numPr>
        <w:tabs>
          <w:tab w:val="left" w:pos="794"/>
          <w:tab w:val="left" w:pos="851"/>
        </w:tabs>
        <w:outlineLvl w:val="2"/>
        <w:rPr>
          <w:bCs/>
        </w:rPr>
      </w:pPr>
      <w:r>
        <w:rPr>
          <w:rFonts w:hint="eastAsia"/>
          <w:bCs/>
        </w:rPr>
        <w:t xml:space="preserve">综合后备盘应对关键功能设有防止误操作的开启/闭锁转换开关装置，并宜具备下列功能：  </w:t>
      </w:r>
    </w:p>
    <w:p w14:paraId="0554D257">
      <w:pPr>
        <w:pStyle w:val="7"/>
        <w:ind w:firstLine="420"/>
      </w:pPr>
      <w:r>
        <w:rPr>
          <w:rFonts w:hint="eastAsia"/>
        </w:rPr>
        <w:t>站台紧急停车、扣车功能；</w:t>
      </w:r>
    </w:p>
    <w:p w14:paraId="22160D4D">
      <w:pPr>
        <w:pStyle w:val="7"/>
        <w:ind w:firstLine="420"/>
      </w:pPr>
      <w:r>
        <w:rPr>
          <w:rFonts w:hint="eastAsia"/>
        </w:rPr>
        <w:t>通风排烟系统的紧急模式控制功能；</w:t>
      </w:r>
    </w:p>
    <w:p w14:paraId="43091791">
      <w:pPr>
        <w:pStyle w:val="7"/>
        <w:ind w:firstLine="420"/>
      </w:pPr>
      <w:r>
        <w:rPr>
          <w:rFonts w:hint="eastAsia"/>
        </w:rPr>
        <w:t>自动检票机释放、票亭报警功能；</w:t>
      </w:r>
    </w:p>
    <w:p w14:paraId="4ED9F249">
      <w:pPr>
        <w:pStyle w:val="7"/>
        <w:ind w:firstLine="420"/>
      </w:pPr>
      <w:r>
        <w:rPr>
          <w:rFonts w:hint="eastAsia"/>
        </w:rPr>
        <w:t>门禁释放功能；</w:t>
      </w:r>
    </w:p>
    <w:p w14:paraId="1A30C7D8">
      <w:pPr>
        <w:pStyle w:val="7"/>
        <w:ind w:firstLine="420"/>
      </w:pPr>
      <w:r>
        <w:rPr>
          <w:rFonts w:hint="eastAsia"/>
        </w:rPr>
        <w:t>站台屏蔽门开门控制功能。</w:t>
      </w:r>
    </w:p>
    <w:p w14:paraId="5C6F5D78">
      <w:pPr>
        <w:pStyle w:val="7"/>
        <w:ind w:firstLine="420"/>
      </w:pPr>
      <w:r>
        <w:rPr>
          <w:rFonts w:hint="eastAsia"/>
        </w:rPr>
        <w:t>在满足本条第1~5款要求的基础上可根据其他专业规范要求及运营规程设置其他功能。</w:t>
      </w:r>
    </w:p>
    <w:p w14:paraId="3761A0AE">
      <w:pPr>
        <w:numPr>
          <w:ilvl w:val="1"/>
          <w:numId w:val="1"/>
        </w:numPr>
        <w:snapToGrid w:val="0"/>
        <w:spacing w:before="156" w:after="156" w:line="240" w:lineRule="auto"/>
        <w:jc w:val="center"/>
        <w:outlineLvl w:val="1"/>
        <w:rPr>
          <w:rFonts w:eastAsia="黑体"/>
          <w:bCs/>
          <w:szCs w:val="28"/>
        </w:rPr>
      </w:pPr>
      <w:bookmarkStart w:id="1475" w:name="_Toc183683581"/>
      <w:bookmarkStart w:id="1476" w:name="_Toc183888590"/>
      <w:bookmarkStart w:id="1477" w:name="_Toc183882176"/>
      <w:bookmarkStart w:id="1478" w:name="_Toc183888228"/>
      <w:bookmarkStart w:id="1479" w:name="_Toc183765185"/>
      <w:bookmarkStart w:id="1480" w:name="_Toc183882538"/>
      <w:bookmarkStart w:id="1481" w:name="_Toc183790615"/>
      <w:r>
        <w:rPr>
          <w:rFonts w:hint="eastAsia" w:eastAsia="黑体"/>
          <w:bCs/>
          <w:szCs w:val="28"/>
        </w:rPr>
        <w:t>系统软件</w:t>
      </w:r>
      <w:bookmarkEnd w:id="1475"/>
      <w:bookmarkEnd w:id="1476"/>
      <w:bookmarkEnd w:id="1477"/>
      <w:bookmarkEnd w:id="1478"/>
      <w:bookmarkEnd w:id="1479"/>
      <w:bookmarkEnd w:id="1480"/>
      <w:bookmarkEnd w:id="1481"/>
    </w:p>
    <w:p w14:paraId="375E161E">
      <w:pPr>
        <w:numPr>
          <w:ilvl w:val="2"/>
          <w:numId w:val="1"/>
        </w:numPr>
        <w:tabs>
          <w:tab w:val="left" w:pos="709"/>
          <w:tab w:val="left" w:pos="794"/>
        </w:tabs>
        <w:outlineLvl w:val="2"/>
        <w:rPr>
          <w:bCs/>
        </w:rPr>
      </w:pPr>
      <w:r>
        <w:rPr>
          <w:rFonts w:hint="eastAsia"/>
          <w:bCs/>
        </w:rPr>
        <w:t>综合监控系统软件平台应采用成熟产品，应为适用于城市轨道交通综合监控系统的软件平台，具备接入更高一级管理系统功能。</w:t>
      </w:r>
    </w:p>
    <w:p w14:paraId="2F834DBF">
      <w:pPr>
        <w:numPr>
          <w:ilvl w:val="2"/>
          <w:numId w:val="1"/>
        </w:numPr>
        <w:tabs>
          <w:tab w:val="left" w:pos="709"/>
          <w:tab w:val="left" w:pos="794"/>
        </w:tabs>
        <w:outlineLvl w:val="2"/>
        <w:rPr>
          <w:bCs/>
        </w:rPr>
      </w:pPr>
      <w:r>
        <w:rPr>
          <w:rFonts w:hint="eastAsia"/>
          <w:bCs/>
        </w:rPr>
        <w:t>综合监控系统的软件应符合下列规定：</w:t>
      </w:r>
    </w:p>
    <w:p w14:paraId="5B4A71DA">
      <w:pPr>
        <w:pStyle w:val="7"/>
        <w:ind w:firstLine="420"/>
      </w:pPr>
      <w:r>
        <w:rPr>
          <w:rFonts w:hint="eastAsia"/>
        </w:rPr>
        <w:t>应为其他应用软件提供开发平台；</w:t>
      </w:r>
    </w:p>
    <w:p w14:paraId="51FE8D63">
      <w:pPr>
        <w:pStyle w:val="7"/>
        <w:ind w:firstLine="420"/>
      </w:pPr>
      <w:r>
        <w:rPr>
          <w:rFonts w:hint="eastAsia"/>
        </w:rPr>
        <w:t>应采用分层分布式软件架构，部署应灵活，并应易于扩展；</w:t>
      </w:r>
    </w:p>
    <w:p w14:paraId="2D82FCF6">
      <w:pPr>
        <w:pStyle w:val="7"/>
        <w:ind w:firstLine="420"/>
      </w:pPr>
      <w:r>
        <w:rPr>
          <w:rFonts w:hint="eastAsia"/>
        </w:rPr>
        <w:t>宜采用层次结构，工程应用层与软件系统平台层应解耦，并应便于工程应用和灵活修改；</w:t>
      </w:r>
    </w:p>
    <w:p w14:paraId="152F35B9">
      <w:pPr>
        <w:pStyle w:val="7"/>
        <w:ind w:firstLine="420"/>
      </w:pPr>
      <w:r>
        <w:rPr>
          <w:rFonts w:hint="eastAsia"/>
        </w:rPr>
        <w:t>应在服务器上实现大容量数据的集中处理和统一管理，并应实现数据的完整性与一致性；</w:t>
      </w:r>
    </w:p>
    <w:p w14:paraId="4F2CB134">
      <w:pPr>
        <w:pStyle w:val="7"/>
        <w:ind w:firstLine="420"/>
      </w:pPr>
      <w:r>
        <w:rPr>
          <w:rFonts w:hint="eastAsia"/>
        </w:rPr>
        <w:t>应能支持综合监控系统项目分期实施；</w:t>
      </w:r>
    </w:p>
    <w:p w14:paraId="0096FE2C">
      <w:pPr>
        <w:pStyle w:val="7"/>
        <w:ind w:firstLine="420"/>
      </w:pPr>
      <w:r>
        <w:rPr>
          <w:rFonts w:hint="eastAsia"/>
        </w:rPr>
        <w:t>应提供方便的监视、管理和维护工具；</w:t>
      </w:r>
    </w:p>
    <w:p w14:paraId="3BA18F23">
      <w:pPr>
        <w:pStyle w:val="7"/>
        <w:ind w:firstLine="420"/>
      </w:pPr>
      <w:r>
        <w:rPr>
          <w:rFonts w:hint="eastAsia"/>
        </w:rPr>
        <w:t>应提供一种基于标准中间件的分布式架构；</w:t>
      </w:r>
    </w:p>
    <w:p w14:paraId="3FFD118D">
      <w:pPr>
        <w:pStyle w:val="7"/>
        <w:ind w:firstLine="420"/>
      </w:pPr>
      <w:r>
        <w:rPr>
          <w:rFonts w:hint="eastAsia"/>
        </w:rPr>
        <w:t>应采用标准的编程语言和编译器。</w:t>
      </w:r>
    </w:p>
    <w:p w14:paraId="6A971960">
      <w:pPr>
        <w:numPr>
          <w:ilvl w:val="2"/>
          <w:numId w:val="1"/>
        </w:numPr>
        <w:tabs>
          <w:tab w:val="left" w:pos="709"/>
          <w:tab w:val="left" w:pos="794"/>
        </w:tabs>
        <w:outlineLvl w:val="2"/>
        <w:rPr>
          <w:bCs/>
        </w:rPr>
      </w:pPr>
      <w:r>
        <w:rPr>
          <w:rFonts w:hint="eastAsia"/>
          <w:bCs/>
        </w:rPr>
        <w:t>综合监控系统的应用软件应符合下列规定：</w:t>
      </w:r>
    </w:p>
    <w:p w14:paraId="41B558D5">
      <w:pPr>
        <w:ind w:firstLine="420"/>
      </w:pPr>
      <w:r>
        <w:rPr>
          <w:rFonts w:hint="eastAsia"/>
          <w:b/>
        </w:rPr>
        <w:t>1</w:t>
      </w:r>
      <w:r>
        <w:t xml:space="preserve">  </w:t>
      </w:r>
      <w:r>
        <w:rPr>
          <w:rFonts w:hint="eastAsia"/>
        </w:rPr>
        <w:t>应全面支持系统功能的实现和扩展；</w:t>
      </w:r>
    </w:p>
    <w:p w14:paraId="651DBEDD">
      <w:pPr>
        <w:ind w:firstLine="420"/>
      </w:pPr>
      <w:r>
        <w:rPr>
          <w:rFonts w:hint="eastAsia"/>
          <w:b/>
        </w:rPr>
        <w:t>2</w:t>
      </w:r>
      <w:r>
        <w:t xml:space="preserve">  </w:t>
      </w:r>
      <w:r>
        <w:rPr>
          <w:rFonts w:hint="eastAsia"/>
        </w:rPr>
        <w:t>应提供一个集成开发环境，应通过模板、向导等方式提供友好的开发界面；</w:t>
      </w:r>
    </w:p>
    <w:p w14:paraId="41301C2C">
      <w:pPr>
        <w:ind w:firstLine="420"/>
      </w:pPr>
      <w:r>
        <w:rPr>
          <w:rFonts w:hint="eastAsia"/>
          <w:b/>
        </w:rPr>
        <w:t>3</w:t>
      </w:r>
      <w:r>
        <w:rPr>
          <w:b/>
        </w:rPr>
        <w:t xml:space="preserve"> </w:t>
      </w:r>
      <w:r>
        <w:t xml:space="preserve"> </w:t>
      </w:r>
      <w:r>
        <w:rPr>
          <w:rFonts w:hint="eastAsia"/>
        </w:rPr>
        <w:t>应支持多人协同开发，并应保证配置数据的完整性与一致性。</w:t>
      </w:r>
    </w:p>
    <w:p w14:paraId="6DB58F6F">
      <w:pPr>
        <w:numPr>
          <w:ilvl w:val="2"/>
          <w:numId w:val="1"/>
        </w:numPr>
        <w:tabs>
          <w:tab w:val="left" w:pos="709"/>
          <w:tab w:val="left" w:pos="794"/>
        </w:tabs>
        <w:outlineLvl w:val="2"/>
        <w:rPr>
          <w:bCs/>
        </w:rPr>
      </w:pPr>
      <w:r>
        <w:rPr>
          <w:rFonts w:hint="eastAsia"/>
          <w:bCs/>
        </w:rPr>
        <w:t>综合监控系统软件的数据库管理应符合以下规定：</w:t>
      </w:r>
    </w:p>
    <w:p w14:paraId="694C9227">
      <w:pPr>
        <w:ind w:firstLine="420"/>
      </w:pPr>
      <w:r>
        <w:rPr>
          <w:rFonts w:hint="eastAsia"/>
          <w:b/>
        </w:rPr>
        <w:t>1</w:t>
      </w:r>
      <w:r>
        <w:rPr>
          <w:b/>
        </w:rPr>
        <w:t xml:space="preserve"> </w:t>
      </w:r>
      <w:r>
        <w:t xml:space="preserve"> </w:t>
      </w:r>
      <w:r>
        <w:rPr>
          <w:rFonts w:hint="eastAsia"/>
        </w:rPr>
        <w:t>宜采用分布式面向对象的实时数据库；</w:t>
      </w:r>
    </w:p>
    <w:p w14:paraId="398FD3AF">
      <w:pPr>
        <w:ind w:firstLine="420"/>
      </w:pPr>
      <w:r>
        <w:rPr>
          <w:rFonts w:hint="eastAsia"/>
          <w:b/>
        </w:rPr>
        <w:t>2</w:t>
      </w:r>
      <w:r>
        <w:t xml:space="preserve">  </w:t>
      </w:r>
      <w:r>
        <w:rPr>
          <w:rFonts w:hint="eastAsia"/>
        </w:rPr>
        <w:t>应提供标准数据接口；</w:t>
      </w:r>
    </w:p>
    <w:p w14:paraId="5DB8C188">
      <w:pPr>
        <w:ind w:firstLine="420"/>
      </w:pPr>
      <w:r>
        <w:rPr>
          <w:rFonts w:hint="eastAsia"/>
          <w:b/>
        </w:rPr>
        <w:t>3</w:t>
      </w:r>
      <w:r>
        <w:rPr>
          <w:b/>
        </w:rPr>
        <w:t xml:space="preserve"> </w:t>
      </w:r>
      <w:r>
        <w:t xml:space="preserve"> </w:t>
      </w:r>
      <w:r>
        <w:rPr>
          <w:rFonts w:hint="eastAsia"/>
        </w:rPr>
        <w:t>应具备数据备份、灾难恢复、系统错误恢复、人为操作错误恢复等功能。</w:t>
      </w:r>
    </w:p>
    <w:p w14:paraId="13E559E6">
      <w:pPr>
        <w:numPr>
          <w:ilvl w:val="2"/>
          <w:numId w:val="1"/>
        </w:numPr>
        <w:tabs>
          <w:tab w:val="left" w:pos="709"/>
          <w:tab w:val="left" w:pos="794"/>
        </w:tabs>
        <w:outlineLvl w:val="2"/>
        <w:rPr>
          <w:bCs/>
        </w:rPr>
      </w:pPr>
      <w:r>
        <w:rPr>
          <w:rFonts w:hint="eastAsia"/>
          <w:bCs/>
        </w:rPr>
        <w:t>应具备用户标识与鉴别、存取控制、视图机制、审计、数据加密等安全控制机制</w:t>
      </w:r>
      <w:r>
        <w:rPr>
          <w:bCs/>
        </w:rPr>
        <w:t>。</w:t>
      </w:r>
    </w:p>
    <w:p w14:paraId="60B677B6">
      <w:pPr>
        <w:numPr>
          <w:ilvl w:val="1"/>
          <w:numId w:val="1"/>
        </w:numPr>
        <w:snapToGrid w:val="0"/>
        <w:spacing w:before="156" w:after="156" w:line="240" w:lineRule="auto"/>
        <w:jc w:val="center"/>
        <w:outlineLvl w:val="1"/>
        <w:rPr>
          <w:rFonts w:eastAsia="黑体"/>
          <w:bCs/>
          <w:szCs w:val="28"/>
        </w:rPr>
      </w:pPr>
      <w:bookmarkStart w:id="1482" w:name="_Toc183765186"/>
      <w:bookmarkStart w:id="1483" w:name="_Toc183888229"/>
      <w:bookmarkStart w:id="1484" w:name="_Toc183882177"/>
      <w:bookmarkStart w:id="1485" w:name="_Toc183683582"/>
      <w:bookmarkStart w:id="1486" w:name="_Toc183882539"/>
      <w:bookmarkStart w:id="1487" w:name="_Toc183790616"/>
      <w:bookmarkStart w:id="1488" w:name="_Toc183888591"/>
      <w:r>
        <w:rPr>
          <w:rFonts w:hint="eastAsia" w:eastAsia="黑体"/>
          <w:bCs/>
          <w:szCs w:val="28"/>
        </w:rPr>
        <w:t>供电、接地及防雷</w:t>
      </w:r>
      <w:bookmarkEnd w:id="1482"/>
      <w:bookmarkEnd w:id="1483"/>
      <w:bookmarkEnd w:id="1484"/>
      <w:bookmarkEnd w:id="1485"/>
      <w:bookmarkEnd w:id="1486"/>
      <w:bookmarkEnd w:id="1487"/>
      <w:bookmarkEnd w:id="1488"/>
    </w:p>
    <w:p w14:paraId="531B72EF">
      <w:pPr>
        <w:numPr>
          <w:ilvl w:val="2"/>
          <w:numId w:val="1"/>
        </w:numPr>
        <w:tabs>
          <w:tab w:val="left" w:pos="709"/>
          <w:tab w:val="left" w:pos="794"/>
        </w:tabs>
        <w:outlineLvl w:val="2"/>
        <w:rPr>
          <w:bCs/>
        </w:rPr>
      </w:pPr>
      <w:r>
        <w:rPr>
          <w:rFonts w:hint="eastAsia"/>
          <w:bCs/>
        </w:rPr>
        <w:t>综合监控系统供电负荷等级应为一级负荷，采用不间断电源供电。</w:t>
      </w:r>
    </w:p>
    <w:p w14:paraId="5F15114A">
      <w:pPr>
        <w:numPr>
          <w:ilvl w:val="2"/>
          <w:numId w:val="1"/>
        </w:numPr>
        <w:tabs>
          <w:tab w:val="left" w:pos="709"/>
          <w:tab w:val="left" w:pos="794"/>
        </w:tabs>
        <w:outlineLvl w:val="2"/>
        <w:rPr>
          <w:bCs/>
        </w:rPr>
      </w:pPr>
      <w:r>
        <w:rPr>
          <w:rFonts w:hint="eastAsia"/>
          <w:bCs/>
        </w:rPr>
        <w:t>综合监控系统设备可与城市轨道交通其他一级负荷合用一套不间断电源设备，也可单独设置不间断电源设备。</w:t>
      </w:r>
    </w:p>
    <w:p w14:paraId="46453540">
      <w:pPr>
        <w:numPr>
          <w:ilvl w:val="2"/>
          <w:numId w:val="1"/>
        </w:numPr>
        <w:tabs>
          <w:tab w:val="left" w:pos="709"/>
          <w:tab w:val="left" w:pos="794"/>
        </w:tabs>
        <w:outlineLvl w:val="2"/>
        <w:rPr>
          <w:bCs/>
        </w:rPr>
      </w:pPr>
      <w:r>
        <w:rPr>
          <w:rFonts w:hint="eastAsia"/>
          <w:bCs/>
        </w:rPr>
        <w:t>不间断电源应采用在线式不间断电源，蓄电池的后备时间不应小于1h。</w:t>
      </w:r>
    </w:p>
    <w:p w14:paraId="6818AB45">
      <w:pPr>
        <w:numPr>
          <w:ilvl w:val="2"/>
          <w:numId w:val="1"/>
        </w:numPr>
        <w:tabs>
          <w:tab w:val="left" w:pos="709"/>
          <w:tab w:val="left" w:pos="794"/>
        </w:tabs>
        <w:outlineLvl w:val="2"/>
      </w:pPr>
      <w:r>
        <w:rPr>
          <w:rFonts w:hint="eastAsia"/>
          <w:bCs/>
        </w:rPr>
        <w:t>综合监控系统与其他系统共用接地装置，接地电阻不应大于1</w:t>
      </w:r>
      <w:r>
        <w:rPr>
          <w:rFonts w:hint="eastAsia"/>
        </w:rPr>
        <w:t>欧姆</w:t>
      </w:r>
      <w:r>
        <w:rPr>
          <w:rFonts w:hint="eastAsia"/>
          <w:bCs/>
        </w:rPr>
        <w:t>，</w:t>
      </w:r>
      <w:r>
        <w:rPr>
          <w:rFonts w:hint="eastAsia"/>
        </w:rPr>
        <w:t>现场机柜、机架、钢管、金属线槽、综合后备盘均应可靠接地。</w:t>
      </w:r>
    </w:p>
    <w:p w14:paraId="156F59CD">
      <w:pPr>
        <w:numPr>
          <w:ilvl w:val="2"/>
          <w:numId w:val="1"/>
        </w:numPr>
        <w:tabs>
          <w:tab w:val="left" w:pos="709"/>
          <w:tab w:val="left" w:pos="794"/>
        </w:tabs>
        <w:outlineLvl w:val="2"/>
        <w:rPr>
          <w:bCs/>
        </w:rPr>
      </w:pPr>
      <w:r>
        <w:rPr>
          <w:rFonts w:hint="eastAsia"/>
          <w:bCs/>
        </w:rPr>
        <w:t>综合监控系统防雷应符合现行国家标准《建筑物电子信息系统防雷设计规范》GB50343及其他国家相关标准、规范的有关规定</w:t>
      </w:r>
      <w:r>
        <w:rPr>
          <w:bCs/>
        </w:rPr>
        <w:t>。</w:t>
      </w:r>
    </w:p>
    <w:p w14:paraId="6BD4B7E1">
      <w:pPr>
        <w:numPr>
          <w:ilvl w:val="1"/>
          <w:numId w:val="1"/>
        </w:numPr>
        <w:snapToGrid w:val="0"/>
        <w:spacing w:before="156" w:after="156" w:line="240" w:lineRule="auto"/>
        <w:jc w:val="center"/>
        <w:outlineLvl w:val="1"/>
        <w:rPr>
          <w:rFonts w:eastAsia="黑体"/>
          <w:bCs/>
          <w:szCs w:val="28"/>
        </w:rPr>
      </w:pPr>
      <w:bookmarkStart w:id="1489" w:name="_Toc183882540"/>
      <w:bookmarkStart w:id="1490" w:name="_Toc183765187"/>
      <w:bookmarkStart w:id="1491" w:name="_Toc183790617"/>
      <w:bookmarkStart w:id="1492" w:name="_Toc183683583"/>
      <w:bookmarkStart w:id="1493" w:name="_Toc183888592"/>
      <w:bookmarkStart w:id="1494" w:name="_Toc183888230"/>
      <w:bookmarkStart w:id="1495" w:name="_Toc183882178"/>
      <w:r>
        <w:rPr>
          <w:rFonts w:eastAsia="黑体"/>
          <w:bCs/>
          <w:szCs w:val="28"/>
        </w:rPr>
        <w:t>布线</w:t>
      </w:r>
      <w:bookmarkEnd w:id="1489"/>
      <w:bookmarkEnd w:id="1490"/>
      <w:bookmarkEnd w:id="1491"/>
      <w:bookmarkEnd w:id="1492"/>
      <w:bookmarkEnd w:id="1493"/>
      <w:bookmarkEnd w:id="1494"/>
      <w:bookmarkEnd w:id="1495"/>
    </w:p>
    <w:p w14:paraId="5A9F2B99">
      <w:pPr>
        <w:numPr>
          <w:ilvl w:val="2"/>
          <w:numId w:val="1"/>
        </w:numPr>
        <w:tabs>
          <w:tab w:val="left" w:pos="709"/>
          <w:tab w:val="left" w:pos="794"/>
        </w:tabs>
        <w:outlineLvl w:val="2"/>
        <w:rPr>
          <w:bCs/>
        </w:rPr>
      </w:pPr>
      <w:r>
        <w:rPr>
          <w:rFonts w:hint="eastAsia" w:ascii="宋体" w:cs="宋体"/>
          <w:bCs/>
          <w:kern w:val="0"/>
          <w:sz w:val="20"/>
          <w:szCs w:val="20"/>
        </w:rPr>
        <w:t>信号线与电源线不应共用一条电缆，不应敷设在同一金属管路内</w:t>
      </w:r>
      <w:r>
        <w:rPr>
          <w:rFonts w:hint="eastAsia"/>
          <w:bCs/>
        </w:rPr>
        <w:t>。</w:t>
      </w:r>
    </w:p>
    <w:p w14:paraId="275865F9">
      <w:pPr>
        <w:numPr>
          <w:ilvl w:val="2"/>
          <w:numId w:val="1"/>
        </w:numPr>
        <w:tabs>
          <w:tab w:val="left" w:pos="709"/>
          <w:tab w:val="left" w:pos="794"/>
        </w:tabs>
        <w:outlineLvl w:val="2"/>
        <w:rPr>
          <w:bCs/>
        </w:rPr>
      </w:pPr>
      <w:r>
        <w:rPr>
          <w:rFonts w:hint="eastAsia"/>
          <w:bCs/>
        </w:rPr>
        <w:t>综合监控系统布线应考虑周围环境电磁干扰的影响。采用屏蔽布线时，应保持屏蔽层的连续性，满足系统接地的可靠性，屏蔽层采用单端屏蔽接地。</w:t>
      </w:r>
    </w:p>
    <w:p w14:paraId="054CCFB0">
      <w:pPr>
        <w:numPr>
          <w:ilvl w:val="2"/>
          <w:numId w:val="1"/>
        </w:numPr>
        <w:tabs>
          <w:tab w:val="left" w:pos="709"/>
          <w:tab w:val="left" w:pos="794"/>
        </w:tabs>
        <w:outlineLvl w:val="2"/>
        <w:rPr>
          <w:bCs/>
        </w:rPr>
      </w:pPr>
      <w:r>
        <w:rPr>
          <w:rFonts w:hint="eastAsia"/>
        </w:rPr>
        <w:t>线缆</w:t>
      </w:r>
      <w:r>
        <w:t>均应采用低烟、无卤、阻燃或低烟、无卤、阻燃耐火型电缆</w:t>
      </w:r>
      <w:r>
        <w:rPr>
          <w:rFonts w:hint="eastAsia"/>
        </w:rPr>
        <w:t>。</w:t>
      </w:r>
      <w:r>
        <w:rPr>
          <w:rFonts w:hint="eastAsia"/>
          <w:bCs/>
        </w:rPr>
        <w:t>各类线缆</w:t>
      </w:r>
      <w:r>
        <w:rPr>
          <w:bCs/>
        </w:rPr>
        <w:t>的</w:t>
      </w:r>
      <w:r>
        <w:rPr>
          <w:rFonts w:hint="eastAsia"/>
          <w:bCs/>
        </w:rPr>
        <w:t>燃烧性能应符合</w:t>
      </w:r>
      <w:r>
        <w:rPr>
          <w:bCs/>
        </w:rPr>
        <w:t>现行国家标准《电缆及光缆燃烧性能分级》GB31247的规定，燃烧性能等级应为B1级。</w:t>
      </w:r>
      <w:r>
        <w:rPr>
          <w:rFonts w:hint="eastAsia"/>
          <w:bCs/>
        </w:rPr>
        <w:t>信号线和通讯线应采用屏蔽线缆。</w:t>
      </w:r>
    </w:p>
    <w:p w14:paraId="6EC83853">
      <w:pPr>
        <w:numPr>
          <w:ilvl w:val="1"/>
          <w:numId w:val="1"/>
        </w:numPr>
        <w:snapToGrid w:val="0"/>
        <w:spacing w:before="156" w:after="156" w:line="240" w:lineRule="auto"/>
        <w:jc w:val="center"/>
        <w:outlineLvl w:val="1"/>
        <w:rPr>
          <w:rFonts w:eastAsia="黑体"/>
          <w:bCs/>
          <w:szCs w:val="28"/>
        </w:rPr>
      </w:pPr>
      <w:bookmarkStart w:id="1496" w:name="_Toc183888231"/>
      <w:bookmarkStart w:id="1497" w:name="_Toc183765188"/>
      <w:bookmarkStart w:id="1498" w:name="_Toc183683584"/>
      <w:bookmarkStart w:id="1499" w:name="_Toc183882179"/>
      <w:bookmarkStart w:id="1500" w:name="_Toc183882541"/>
      <w:bookmarkStart w:id="1501" w:name="_Toc183888593"/>
      <w:bookmarkStart w:id="1502" w:name="_Toc183790618"/>
      <w:r>
        <w:rPr>
          <w:rFonts w:hint="eastAsia" w:eastAsia="黑体"/>
          <w:bCs/>
          <w:szCs w:val="28"/>
        </w:rPr>
        <w:t>系统设备布置</w:t>
      </w:r>
      <w:bookmarkEnd w:id="1496"/>
      <w:bookmarkEnd w:id="1497"/>
      <w:bookmarkEnd w:id="1498"/>
      <w:bookmarkEnd w:id="1499"/>
      <w:bookmarkEnd w:id="1500"/>
      <w:bookmarkEnd w:id="1501"/>
      <w:bookmarkEnd w:id="1502"/>
    </w:p>
    <w:p w14:paraId="1225BA7F">
      <w:pPr>
        <w:numPr>
          <w:ilvl w:val="2"/>
          <w:numId w:val="1"/>
        </w:numPr>
        <w:tabs>
          <w:tab w:val="left" w:pos="709"/>
          <w:tab w:val="left" w:pos="794"/>
        </w:tabs>
        <w:outlineLvl w:val="2"/>
        <w:rPr>
          <w:bCs/>
          <w:szCs w:val="28"/>
        </w:rPr>
      </w:pPr>
      <w:r>
        <w:rPr>
          <w:rFonts w:hint="eastAsia"/>
          <w:bCs/>
        </w:rPr>
        <w:t>设备用房宜与车站控制室相邻设置，并</w:t>
      </w:r>
      <w:r>
        <w:rPr>
          <w:bCs/>
          <w:szCs w:val="28"/>
        </w:rPr>
        <w:t>宜与</w:t>
      </w:r>
      <w:r>
        <w:rPr>
          <w:rFonts w:hint="eastAsia"/>
          <w:bCs/>
          <w:szCs w:val="28"/>
        </w:rPr>
        <w:t>其他弱电</w:t>
      </w:r>
      <w:r>
        <w:rPr>
          <w:bCs/>
          <w:szCs w:val="28"/>
        </w:rPr>
        <w:t>设备</w:t>
      </w:r>
      <w:r>
        <w:rPr>
          <w:rFonts w:hint="eastAsia"/>
          <w:bCs/>
          <w:szCs w:val="28"/>
        </w:rPr>
        <w:t>用房</w:t>
      </w:r>
      <w:r>
        <w:rPr>
          <w:bCs/>
          <w:szCs w:val="28"/>
        </w:rPr>
        <w:t>合并设置</w:t>
      </w:r>
      <w:r>
        <w:rPr>
          <w:rFonts w:hint="eastAsia"/>
          <w:bCs/>
          <w:szCs w:val="28"/>
        </w:rPr>
        <w:t>。</w:t>
      </w:r>
    </w:p>
    <w:p w14:paraId="4C7054CE">
      <w:pPr>
        <w:numPr>
          <w:ilvl w:val="2"/>
          <w:numId w:val="1"/>
        </w:numPr>
        <w:tabs>
          <w:tab w:val="left" w:pos="709"/>
          <w:tab w:val="left" w:pos="794"/>
        </w:tabs>
        <w:outlineLvl w:val="2"/>
        <w:rPr>
          <w:bCs/>
        </w:rPr>
      </w:pPr>
      <w:r>
        <w:rPr>
          <w:rFonts w:hint="eastAsia"/>
          <w:bCs/>
        </w:rPr>
        <w:t>设备用房面积应满足远期设备容量需求，并应便于设备的更新改造。</w:t>
      </w:r>
    </w:p>
    <w:p w14:paraId="0C72454C">
      <w:pPr>
        <w:numPr>
          <w:ilvl w:val="2"/>
          <w:numId w:val="1"/>
        </w:numPr>
        <w:tabs>
          <w:tab w:val="left" w:pos="709"/>
          <w:tab w:val="left" w:pos="794"/>
        </w:tabs>
        <w:outlineLvl w:val="2"/>
        <w:rPr>
          <w:bCs/>
        </w:rPr>
      </w:pPr>
      <w:r>
        <w:rPr>
          <w:rFonts w:hint="eastAsia"/>
          <w:bCs/>
        </w:rPr>
        <w:t>设备用房室内净高不应小于2.8米。</w:t>
      </w:r>
    </w:p>
    <w:p w14:paraId="16D91BA6">
      <w:pPr>
        <w:numPr>
          <w:ilvl w:val="2"/>
          <w:numId w:val="1"/>
        </w:numPr>
        <w:tabs>
          <w:tab w:val="left" w:pos="709"/>
          <w:tab w:val="left" w:pos="794"/>
        </w:tabs>
        <w:outlineLvl w:val="2"/>
        <w:rPr>
          <w:bCs/>
        </w:rPr>
      </w:pPr>
      <w:r>
        <w:rPr>
          <w:rFonts w:hint="eastAsia"/>
          <w:bCs/>
        </w:rPr>
        <w:t xml:space="preserve">车站设备用房环境应达到防尘、防潮、隔音，并应采取防静电措施。温湿度不应低于现行国家标准《数据中心设计规范》 </w:t>
      </w:r>
      <w:r>
        <w:rPr>
          <w:rFonts w:hint="eastAsia"/>
        </w:rPr>
        <w:t>GB50174</w:t>
      </w:r>
      <w:r>
        <w:rPr>
          <w:rFonts w:hint="eastAsia"/>
          <w:bCs/>
        </w:rPr>
        <w:t>的标准，采取防鼠措施。</w:t>
      </w:r>
    </w:p>
    <w:p w14:paraId="22067B22">
      <w:pPr>
        <w:numPr>
          <w:ilvl w:val="1"/>
          <w:numId w:val="1"/>
        </w:numPr>
        <w:snapToGrid w:val="0"/>
        <w:spacing w:before="156" w:after="156" w:line="240" w:lineRule="auto"/>
        <w:jc w:val="center"/>
        <w:outlineLvl w:val="1"/>
        <w:rPr>
          <w:rFonts w:eastAsia="黑体"/>
          <w:bCs/>
          <w:szCs w:val="28"/>
        </w:rPr>
      </w:pPr>
      <w:bookmarkStart w:id="1503" w:name="_Toc183888232"/>
      <w:bookmarkStart w:id="1504" w:name="_Toc183882542"/>
      <w:bookmarkStart w:id="1505" w:name="_Toc183888594"/>
      <w:bookmarkStart w:id="1506" w:name="_Toc183790619"/>
      <w:bookmarkStart w:id="1507" w:name="_Toc183765189"/>
      <w:bookmarkStart w:id="1508" w:name="_Toc183683585"/>
      <w:bookmarkStart w:id="1509" w:name="_Toc183882180"/>
      <w:r>
        <w:rPr>
          <w:rFonts w:hint="eastAsia" w:eastAsia="黑体"/>
          <w:bCs/>
          <w:szCs w:val="28"/>
        </w:rPr>
        <w:t>系统性能</w:t>
      </w:r>
      <w:bookmarkEnd w:id="1503"/>
      <w:bookmarkEnd w:id="1504"/>
      <w:bookmarkEnd w:id="1505"/>
      <w:bookmarkEnd w:id="1506"/>
      <w:bookmarkEnd w:id="1507"/>
      <w:bookmarkEnd w:id="1508"/>
      <w:bookmarkEnd w:id="1509"/>
    </w:p>
    <w:p w14:paraId="6DAE9A4B">
      <w:pPr>
        <w:numPr>
          <w:ilvl w:val="2"/>
          <w:numId w:val="1"/>
        </w:numPr>
        <w:tabs>
          <w:tab w:val="left" w:pos="709"/>
          <w:tab w:val="left" w:pos="794"/>
        </w:tabs>
        <w:outlineLvl w:val="2"/>
        <w:rPr>
          <w:bCs/>
        </w:rPr>
      </w:pPr>
      <w:r>
        <w:rPr>
          <w:rFonts w:hint="eastAsia"/>
          <w:bCs/>
        </w:rPr>
        <w:t>设备状态变化信息在综合监控系统中的响应时间应小于2s。</w:t>
      </w:r>
    </w:p>
    <w:p w14:paraId="5E62325E">
      <w:pPr>
        <w:numPr>
          <w:ilvl w:val="2"/>
          <w:numId w:val="1"/>
        </w:numPr>
        <w:tabs>
          <w:tab w:val="left" w:pos="709"/>
          <w:tab w:val="left" w:pos="794"/>
        </w:tabs>
        <w:outlineLvl w:val="2"/>
        <w:rPr>
          <w:bCs/>
        </w:rPr>
      </w:pPr>
      <w:r>
        <w:rPr>
          <w:rFonts w:hint="eastAsia"/>
          <w:bCs/>
        </w:rPr>
        <w:t>控制命令在综合监控系统中的响应时间应小于2s。</w:t>
      </w:r>
    </w:p>
    <w:p w14:paraId="78333B8D">
      <w:pPr>
        <w:numPr>
          <w:ilvl w:val="2"/>
          <w:numId w:val="1"/>
        </w:numPr>
        <w:tabs>
          <w:tab w:val="left" w:pos="709"/>
          <w:tab w:val="left" w:pos="794"/>
        </w:tabs>
        <w:outlineLvl w:val="2"/>
        <w:rPr>
          <w:bCs/>
        </w:rPr>
      </w:pPr>
      <w:r>
        <w:rPr>
          <w:rFonts w:hint="eastAsia"/>
          <w:bCs/>
        </w:rPr>
        <w:t>冗余设备切换时间应符合下列规定：</w:t>
      </w:r>
    </w:p>
    <w:p w14:paraId="608096A4">
      <w:pPr>
        <w:pStyle w:val="7"/>
        <w:ind w:firstLine="420"/>
      </w:pPr>
      <w:r>
        <w:rPr>
          <w:rFonts w:hint="eastAsia"/>
        </w:rPr>
        <w:t xml:space="preserve">  冗余实时服务器切换时间不应大于</w:t>
      </w:r>
      <w:r>
        <w:t>2s</w:t>
      </w:r>
      <w:r>
        <w:rPr>
          <w:rFonts w:hint="eastAsia"/>
        </w:rPr>
        <w:t>。</w:t>
      </w:r>
    </w:p>
    <w:p w14:paraId="40200CB0">
      <w:pPr>
        <w:pStyle w:val="7"/>
        <w:ind w:firstLine="420"/>
      </w:pPr>
      <w:r>
        <w:rPr>
          <w:rFonts w:hint="eastAsia"/>
        </w:rPr>
        <w:t xml:space="preserve">  冗余前端处理器切换时间不应大于</w:t>
      </w:r>
      <w:r>
        <w:t>1s</w:t>
      </w:r>
      <w:r>
        <w:rPr>
          <w:rFonts w:hint="eastAsia"/>
        </w:rPr>
        <w:t>。</w:t>
      </w:r>
    </w:p>
    <w:p w14:paraId="28938020">
      <w:pPr>
        <w:pStyle w:val="7"/>
        <w:ind w:firstLine="420"/>
      </w:pPr>
      <w:r>
        <w:rPr>
          <w:rFonts w:hint="eastAsia"/>
        </w:rPr>
        <w:t xml:space="preserve">  冗余网络切换时间不应大于0</w:t>
      </w:r>
      <w:r>
        <w:t>.5s</w:t>
      </w:r>
      <w:r>
        <w:rPr>
          <w:rFonts w:hint="eastAsia"/>
        </w:rPr>
        <w:t>。</w:t>
      </w:r>
    </w:p>
    <w:p w14:paraId="3DA70A57">
      <w:pPr>
        <w:pStyle w:val="7"/>
        <w:ind w:firstLine="420"/>
      </w:pPr>
      <w:r>
        <w:rPr>
          <w:rFonts w:hint="eastAsia"/>
        </w:rPr>
        <w:t xml:space="preserve">  冗余历史服务器切换时间不应大于</w:t>
      </w:r>
      <w:r>
        <w:t>15s</w:t>
      </w:r>
      <w:r>
        <w:rPr>
          <w:rFonts w:hint="eastAsia"/>
        </w:rPr>
        <w:t>。</w:t>
      </w:r>
    </w:p>
    <w:p w14:paraId="4C4486B8">
      <w:pPr>
        <w:numPr>
          <w:ilvl w:val="2"/>
          <w:numId w:val="1"/>
        </w:numPr>
        <w:tabs>
          <w:tab w:val="left" w:pos="709"/>
          <w:tab w:val="left" w:pos="794"/>
        </w:tabs>
        <w:outlineLvl w:val="2"/>
        <w:rPr>
          <w:bCs/>
        </w:rPr>
      </w:pPr>
      <w:r>
        <w:rPr>
          <w:rFonts w:hint="eastAsia"/>
          <w:bCs/>
        </w:rPr>
        <w:t>系统平均无故障时间（MTBF）不应小于10000h</w:t>
      </w:r>
      <w:bookmarkStart w:id="1510" w:name="_Toc107829839"/>
      <w:bookmarkStart w:id="1511" w:name="_Toc102204450"/>
      <w:bookmarkStart w:id="1512" w:name="_Toc92253347"/>
      <w:r>
        <w:rPr>
          <w:rFonts w:hint="eastAsia"/>
          <w:bCs/>
        </w:rPr>
        <w:t>。</w:t>
      </w:r>
      <w:bookmarkEnd w:id="1510"/>
      <w:bookmarkEnd w:id="1511"/>
      <w:bookmarkEnd w:id="1512"/>
    </w:p>
    <w:p w14:paraId="7BF115E2">
      <w:pPr>
        <w:ind w:firstLine="420"/>
      </w:pPr>
    </w:p>
    <w:p w14:paraId="6AE18585">
      <w:pPr>
        <w:pStyle w:val="3"/>
      </w:pPr>
      <w:r>
        <w:br w:type="page"/>
      </w:r>
      <w:bookmarkStart w:id="1513" w:name="_Toc183699879"/>
      <w:bookmarkStart w:id="1514" w:name="_Toc183683586"/>
      <w:bookmarkStart w:id="1515" w:name="_Toc183765190"/>
      <w:bookmarkStart w:id="1516" w:name="_Toc183882543"/>
      <w:bookmarkStart w:id="1517" w:name="_Toc183882181"/>
      <w:bookmarkStart w:id="1518" w:name="_Toc183888595"/>
      <w:bookmarkStart w:id="1519" w:name="_Toc183790620"/>
      <w:bookmarkStart w:id="1520" w:name="_Toc183735423"/>
      <w:bookmarkStart w:id="1521" w:name="_Toc183888233"/>
      <w:r>
        <w:t>环境与设备监控系统</w:t>
      </w:r>
      <w:bookmarkEnd w:id="1513"/>
      <w:bookmarkEnd w:id="1514"/>
      <w:bookmarkEnd w:id="1515"/>
      <w:bookmarkEnd w:id="1516"/>
      <w:bookmarkEnd w:id="1517"/>
      <w:bookmarkEnd w:id="1518"/>
      <w:bookmarkEnd w:id="1519"/>
      <w:bookmarkEnd w:id="1520"/>
      <w:bookmarkEnd w:id="1521"/>
    </w:p>
    <w:p w14:paraId="68CC3A6C">
      <w:pPr>
        <w:numPr>
          <w:ilvl w:val="1"/>
          <w:numId w:val="1"/>
        </w:numPr>
        <w:snapToGrid w:val="0"/>
        <w:spacing w:before="156" w:after="156" w:line="240" w:lineRule="auto"/>
        <w:jc w:val="center"/>
        <w:outlineLvl w:val="1"/>
        <w:rPr>
          <w:rFonts w:eastAsia="黑体"/>
          <w:bCs/>
          <w:szCs w:val="28"/>
        </w:rPr>
      </w:pPr>
      <w:bookmarkStart w:id="1522" w:name="_Toc183683587"/>
      <w:bookmarkStart w:id="1523" w:name="_Toc183882182"/>
      <w:bookmarkStart w:id="1524" w:name="_Toc183888596"/>
      <w:bookmarkStart w:id="1525" w:name="_Toc183882544"/>
      <w:bookmarkStart w:id="1526" w:name="_Toc183765191"/>
      <w:bookmarkStart w:id="1527" w:name="_Toc183888234"/>
      <w:bookmarkStart w:id="1528" w:name="_Toc183790621"/>
      <w:r>
        <w:rPr>
          <w:rFonts w:eastAsia="黑体"/>
          <w:bCs/>
          <w:szCs w:val="28"/>
        </w:rPr>
        <w:t>一般规定</w:t>
      </w:r>
      <w:bookmarkEnd w:id="1522"/>
      <w:bookmarkEnd w:id="1523"/>
      <w:bookmarkEnd w:id="1524"/>
      <w:bookmarkEnd w:id="1525"/>
      <w:bookmarkEnd w:id="1526"/>
      <w:bookmarkEnd w:id="1527"/>
      <w:bookmarkEnd w:id="1528"/>
    </w:p>
    <w:p w14:paraId="7DEA2BDB">
      <w:pPr>
        <w:numPr>
          <w:ilvl w:val="2"/>
          <w:numId w:val="1"/>
        </w:numPr>
        <w:tabs>
          <w:tab w:val="left" w:pos="709"/>
          <w:tab w:val="left" w:pos="794"/>
        </w:tabs>
        <w:outlineLvl w:val="2"/>
        <w:rPr>
          <w:bCs/>
        </w:rPr>
      </w:pPr>
      <w:r>
        <w:rPr>
          <w:bCs/>
        </w:rPr>
        <w:t>轨道交通应设置环境与设备监控系统。</w:t>
      </w:r>
    </w:p>
    <w:p w14:paraId="1BA15C9C">
      <w:pPr>
        <w:numPr>
          <w:ilvl w:val="2"/>
          <w:numId w:val="1"/>
        </w:numPr>
        <w:tabs>
          <w:tab w:val="left" w:pos="709"/>
          <w:tab w:val="left" w:pos="794"/>
        </w:tabs>
        <w:outlineLvl w:val="2"/>
        <w:rPr>
          <w:bCs/>
        </w:rPr>
      </w:pPr>
      <w:r>
        <w:rPr>
          <w:bCs/>
        </w:rPr>
        <w:t>环境与设备监控系统应遵循集中管理、分散控制、资源共享的基本原则。</w:t>
      </w:r>
    </w:p>
    <w:p w14:paraId="186A7D74">
      <w:pPr>
        <w:numPr>
          <w:ilvl w:val="2"/>
          <w:numId w:val="1"/>
        </w:numPr>
        <w:tabs>
          <w:tab w:val="left" w:pos="709"/>
          <w:tab w:val="left" w:pos="794"/>
        </w:tabs>
        <w:outlineLvl w:val="2"/>
      </w:pPr>
      <w:r>
        <w:t>环境与设备监控系统的监控范围应包括车站、区间风井、区间变电所、区间隧道</w:t>
      </w:r>
      <w:r>
        <w:rPr>
          <w:rFonts w:hint="eastAsia"/>
        </w:rPr>
        <w:t>、</w:t>
      </w:r>
      <w:r>
        <w:t>车辆基地、控制中心大楼</w:t>
      </w:r>
      <w:r>
        <w:rPr>
          <w:rFonts w:hint="eastAsia"/>
        </w:rPr>
        <w:t>，</w:t>
      </w:r>
      <w:r>
        <w:t>车辆基地、控制中心大楼根据运营需求进行独立管理，不纳入正线系统。</w:t>
      </w:r>
    </w:p>
    <w:p w14:paraId="485B8822">
      <w:pPr>
        <w:numPr>
          <w:ilvl w:val="2"/>
          <w:numId w:val="1"/>
        </w:numPr>
        <w:tabs>
          <w:tab w:val="left" w:pos="709"/>
          <w:tab w:val="left" w:pos="794"/>
        </w:tabs>
        <w:outlineLvl w:val="2"/>
        <w:rPr>
          <w:bCs/>
        </w:rPr>
      </w:pPr>
      <w:r>
        <w:rPr>
          <w:bCs/>
        </w:rPr>
        <w:t>环境与设备监控系统宜按组网灵活、技术先进、便于扩展、运营可靠、管理方便、节约投资进行设计</w:t>
      </w:r>
      <w:r>
        <w:rPr>
          <w:rFonts w:hint="eastAsia"/>
          <w:bCs/>
        </w:rPr>
        <w:t>，</w:t>
      </w:r>
      <w:r>
        <w:rPr>
          <w:bCs/>
        </w:rPr>
        <w:t>宜采用分布式系统结构。。</w:t>
      </w:r>
    </w:p>
    <w:p w14:paraId="7A8254A5">
      <w:pPr>
        <w:numPr>
          <w:ilvl w:val="2"/>
          <w:numId w:val="1"/>
        </w:numPr>
        <w:tabs>
          <w:tab w:val="left" w:pos="709"/>
          <w:tab w:val="left" w:pos="794"/>
        </w:tabs>
        <w:outlineLvl w:val="2"/>
        <w:rPr>
          <w:bCs/>
        </w:rPr>
      </w:pPr>
      <w:r>
        <w:rPr>
          <w:bCs/>
        </w:rPr>
        <w:t>防排烟系统与通风系统共用的设备应由环境与设备监控系统统一监控，火灾工况由火灾自动报警系统发布火灾模式指令，</w:t>
      </w:r>
      <w:r>
        <w:rPr>
          <w:rFonts w:hint="eastAsia"/>
          <w:bCs/>
        </w:rPr>
        <w:t>由</w:t>
      </w:r>
      <w:r>
        <w:rPr>
          <w:bCs/>
        </w:rPr>
        <w:t>环境与设备监控系统优先执行相应控制程序。</w:t>
      </w:r>
    </w:p>
    <w:p w14:paraId="74F6250A">
      <w:pPr>
        <w:numPr>
          <w:ilvl w:val="2"/>
          <w:numId w:val="1"/>
        </w:numPr>
        <w:tabs>
          <w:tab w:val="left" w:pos="709"/>
          <w:tab w:val="left" w:pos="794"/>
        </w:tabs>
        <w:outlineLvl w:val="2"/>
        <w:rPr>
          <w:bCs/>
        </w:rPr>
      </w:pPr>
      <w:r>
        <w:rPr>
          <w:bCs/>
        </w:rPr>
        <w:t>环境与设备监控系统换乘站根据车站换乘方式，宜按系统共享原则设置。</w:t>
      </w:r>
    </w:p>
    <w:p w14:paraId="21F7EE71">
      <w:pPr>
        <w:numPr>
          <w:ilvl w:val="2"/>
          <w:numId w:val="1"/>
        </w:numPr>
        <w:tabs>
          <w:tab w:val="left" w:pos="709"/>
          <w:tab w:val="left" w:pos="794"/>
        </w:tabs>
        <w:outlineLvl w:val="2"/>
      </w:pPr>
      <w:r>
        <w:t>环境与设备监控系统应至少包括以下系统设备</w:t>
      </w:r>
      <w:r>
        <w:rPr>
          <w:rFonts w:hint="eastAsia"/>
        </w:rPr>
        <w:t>的监控</w:t>
      </w:r>
      <w:r>
        <w:t>：</w:t>
      </w:r>
    </w:p>
    <w:p w14:paraId="3F8317A1">
      <w:pPr>
        <w:ind w:firstLine="420"/>
      </w:pPr>
      <w:r>
        <w:rPr>
          <w:b/>
        </w:rPr>
        <w:t>1</w:t>
      </w:r>
      <w:r>
        <w:rPr>
          <w:rFonts w:hint="eastAsia"/>
          <w:b/>
        </w:rPr>
        <w:t xml:space="preserve"> </w:t>
      </w:r>
      <w:r>
        <w:rPr>
          <w:rFonts w:hint="eastAsia"/>
        </w:rPr>
        <w:t xml:space="preserve"> </w:t>
      </w:r>
      <w:r>
        <w:t>通风空调系统；</w:t>
      </w:r>
    </w:p>
    <w:p w14:paraId="232E4645">
      <w:pPr>
        <w:ind w:firstLine="420"/>
      </w:pPr>
      <w:r>
        <w:rPr>
          <w:b/>
        </w:rPr>
        <w:t>2</w:t>
      </w:r>
      <w:r>
        <w:rPr>
          <w:rFonts w:hint="eastAsia"/>
        </w:rPr>
        <w:t xml:space="preserve">  </w:t>
      </w:r>
      <w:r>
        <w:t>给排水系统；</w:t>
      </w:r>
    </w:p>
    <w:p w14:paraId="414A832F">
      <w:pPr>
        <w:ind w:firstLine="420"/>
      </w:pPr>
      <w:r>
        <w:rPr>
          <w:b/>
        </w:rPr>
        <w:t>3</w:t>
      </w:r>
      <w:r>
        <w:rPr>
          <w:rFonts w:hint="eastAsia"/>
        </w:rPr>
        <w:t xml:space="preserve">  </w:t>
      </w:r>
      <w:r>
        <w:t>照明系统；</w:t>
      </w:r>
    </w:p>
    <w:p w14:paraId="62976BCD">
      <w:pPr>
        <w:ind w:firstLine="420"/>
      </w:pPr>
      <w:r>
        <w:rPr>
          <w:b/>
        </w:rPr>
        <w:t>4</w:t>
      </w:r>
      <w:r>
        <w:rPr>
          <w:rFonts w:hint="eastAsia"/>
          <w:b/>
        </w:rPr>
        <w:t xml:space="preserve"> </w:t>
      </w:r>
      <w:r>
        <w:rPr>
          <w:rFonts w:hint="eastAsia"/>
        </w:rPr>
        <w:t xml:space="preserve"> </w:t>
      </w:r>
      <w:r>
        <w:t>自动扶梯、电梯系统；</w:t>
      </w:r>
    </w:p>
    <w:p w14:paraId="660F8D7C">
      <w:pPr>
        <w:ind w:firstLine="420"/>
      </w:pPr>
      <w:r>
        <w:rPr>
          <w:b/>
        </w:rPr>
        <w:t>5</w:t>
      </w:r>
      <w:r>
        <w:rPr>
          <w:rFonts w:hint="eastAsia"/>
        </w:rPr>
        <w:t xml:space="preserve">  </w:t>
      </w:r>
      <w:r>
        <w:t>应急电源及不间断电源系统；</w:t>
      </w:r>
    </w:p>
    <w:p w14:paraId="7DB3AB1B">
      <w:pPr>
        <w:ind w:firstLine="420"/>
      </w:pPr>
      <w:r>
        <w:rPr>
          <w:b/>
        </w:rPr>
        <w:t>6</w:t>
      </w:r>
      <w:r>
        <w:rPr>
          <w:rFonts w:hint="eastAsia"/>
          <w:b/>
        </w:rPr>
        <w:t xml:space="preserve"> </w:t>
      </w:r>
      <w:r>
        <w:rPr>
          <w:rFonts w:hint="eastAsia"/>
        </w:rPr>
        <w:t xml:space="preserve"> </w:t>
      </w:r>
      <w:r>
        <w:t>轨行区人防门</w:t>
      </w:r>
      <w:r>
        <w:rPr>
          <w:rFonts w:hint="eastAsia"/>
        </w:rPr>
        <w:t>。</w:t>
      </w:r>
    </w:p>
    <w:p w14:paraId="70B81B93">
      <w:pPr>
        <w:numPr>
          <w:ilvl w:val="2"/>
          <w:numId w:val="1"/>
        </w:numPr>
        <w:tabs>
          <w:tab w:val="left" w:pos="709"/>
          <w:tab w:val="left" w:pos="794"/>
        </w:tabs>
        <w:outlineLvl w:val="2"/>
        <w:rPr>
          <w:bCs/>
        </w:rPr>
      </w:pPr>
      <w:r>
        <w:rPr>
          <w:bCs/>
        </w:rPr>
        <w:t>环境与设备监控系统应按</w:t>
      </w:r>
      <w:r>
        <w:rPr>
          <w:rFonts w:hint="eastAsia"/>
          <w:bCs/>
        </w:rPr>
        <w:t>全线车站及区间</w:t>
      </w:r>
      <w:r>
        <w:rPr>
          <w:bCs/>
        </w:rPr>
        <w:t>同一时间只发生一次火灾的原则</w:t>
      </w:r>
      <w:r>
        <w:rPr>
          <w:rFonts w:hint="eastAsia"/>
          <w:bCs/>
        </w:rPr>
        <w:t>设定救灾模式；换乘车站宜按同一时间只发生一次火灾的原则设定救灾模式</w:t>
      </w:r>
      <w:r>
        <w:rPr>
          <w:bCs/>
        </w:rPr>
        <w:t>。</w:t>
      </w:r>
    </w:p>
    <w:p w14:paraId="6206BE7A">
      <w:pPr>
        <w:numPr>
          <w:ilvl w:val="2"/>
          <w:numId w:val="1"/>
        </w:numPr>
        <w:tabs>
          <w:tab w:val="left" w:pos="709"/>
          <w:tab w:val="left" w:pos="794"/>
        </w:tabs>
        <w:outlineLvl w:val="2"/>
        <w:rPr>
          <w:bCs/>
        </w:rPr>
      </w:pPr>
      <w:r>
        <w:rPr>
          <w:bCs/>
        </w:rPr>
        <w:t>环境与设备监控系统信息安全等级保护</w:t>
      </w:r>
      <w:r>
        <w:rPr>
          <w:rFonts w:hint="eastAsia"/>
          <w:bCs/>
        </w:rPr>
        <w:t>不应低于</w:t>
      </w:r>
      <w:r>
        <w:rPr>
          <w:bCs/>
        </w:rPr>
        <w:t>二级。</w:t>
      </w:r>
    </w:p>
    <w:p w14:paraId="37C633B3">
      <w:pPr>
        <w:numPr>
          <w:ilvl w:val="1"/>
          <w:numId w:val="1"/>
        </w:numPr>
        <w:snapToGrid w:val="0"/>
        <w:spacing w:before="156" w:after="156" w:line="240" w:lineRule="auto"/>
        <w:jc w:val="center"/>
        <w:outlineLvl w:val="1"/>
        <w:rPr>
          <w:rFonts w:eastAsia="黑体"/>
          <w:bCs/>
          <w:szCs w:val="28"/>
        </w:rPr>
      </w:pPr>
      <w:bookmarkStart w:id="1529" w:name="_Toc183888597"/>
      <w:bookmarkStart w:id="1530" w:name="_Toc183683588"/>
      <w:bookmarkStart w:id="1531" w:name="_Toc183790622"/>
      <w:bookmarkStart w:id="1532" w:name="_Toc183882183"/>
      <w:bookmarkStart w:id="1533" w:name="_Toc183882545"/>
      <w:bookmarkStart w:id="1534" w:name="_Toc183888235"/>
      <w:bookmarkStart w:id="1535" w:name="_Toc183765192"/>
      <w:r>
        <w:rPr>
          <w:rFonts w:eastAsia="黑体"/>
          <w:bCs/>
          <w:szCs w:val="28"/>
        </w:rPr>
        <w:t>系统构成</w:t>
      </w:r>
      <w:bookmarkEnd w:id="1529"/>
      <w:bookmarkEnd w:id="1530"/>
      <w:bookmarkEnd w:id="1531"/>
      <w:bookmarkEnd w:id="1532"/>
      <w:bookmarkEnd w:id="1533"/>
      <w:bookmarkEnd w:id="1534"/>
      <w:bookmarkEnd w:id="1535"/>
    </w:p>
    <w:p w14:paraId="49BA2AA6">
      <w:pPr>
        <w:numPr>
          <w:ilvl w:val="2"/>
          <w:numId w:val="1"/>
        </w:numPr>
        <w:tabs>
          <w:tab w:val="left" w:pos="709"/>
          <w:tab w:val="left" w:pos="794"/>
        </w:tabs>
        <w:outlineLvl w:val="2"/>
        <w:rPr>
          <w:bCs/>
        </w:rPr>
      </w:pPr>
      <w:r>
        <w:rPr>
          <w:rFonts w:hint="eastAsia"/>
          <w:bCs/>
        </w:rPr>
        <w:t>当设置综合监控系统时，环境与设备监控系统应在车站级由综合监控系统集成，车站级、中心级监控功能应由综合监控系统实现。</w:t>
      </w:r>
    </w:p>
    <w:p w14:paraId="06030D3B">
      <w:pPr>
        <w:numPr>
          <w:ilvl w:val="2"/>
          <w:numId w:val="1"/>
        </w:numPr>
        <w:tabs>
          <w:tab w:val="left" w:pos="709"/>
          <w:tab w:val="left" w:pos="794"/>
        </w:tabs>
        <w:outlineLvl w:val="2"/>
        <w:rPr>
          <w:bCs/>
        </w:rPr>
      </w:pPr>
      <w:r>
        <w:rPr>
          <w:rFonts w:hint="eastAsia"/>
          <w:bCs/>
        </w:rPr>
        <w:t>当未设置综合监控系统时，环境与设备监控系统应独立设置中心级、车站级的设备。</w:t>
      </w:r>
    </w:p>
    <w:p w14:paraId="3E1F4BA1">
      <w:pPr>
        <w:numPr>
          <w:ilvl w:val="2"/>
          <w:numId w:val="1"/>
        </w:numPr>
        <w:tabs>
          <w:tab w:val="left" w:pos="709"/>
          <w:tab w:val="left" w:pos="794"/>
        </w:tabs>
        <w:outlineLvl w:val="2"/>
        <w:rPr>
          <w:bCs/>
        </w:rPr>
      </w:pPr>
      <w:r>
        <w:rPr>
          <w:rFonts w:hint="eastAsia"/>
          <w:bCs/>
        </w:rPr>
        <w:t>环境与设备监控系统网络应采用分层结构，宜由全线传输网、中心级局域网、车站级局域网及控制层控制网络组成。</w:t>
      </w:r>
    </w:p>
    <w:p w14:paraId="51A525FF">
      <w:pPr>
        <w:numPr>
          <w:ilvl w:val="2"/>
          <w:numId w:val="1"/>
        </w:numPr>
        <w:tabs>
          <w:tab w:val="left" w:pos="709"/>
          <w:tab w:val="left" w:pos="794"/>
        </w:tabs>
        <w:outlineLvl w:val="2"/>
        <w:rPr>
          <w:bCs/>
        </w:rPr>
      </w:pPr>
      <w:r>
        <w:rPr>
          <w:rFonts w:hint="eastAsia"/>
          <w:bCs/>
        </w:rPr>
        <w:t>全线传输网应由通信传输系统或综合监控系统提供。</w:t>
      </w:r>
    </w:p>
    <w:p w14:paraId="47AF7E8E">
      <w:pPr>
        <w:numPr>
          <w:ilvl w:val="2"/>
          <w:numId w:val="1"/>
        </w:numPr>
        <w:tabs>
          <w:tab w:val="left" w:pos="709"/>
          <w:tab w:val="left" w:pos="794"/>
        </w:tabs>
        <w:outlineLvl w:val="2"/>
        <w:rPr>
          <w:bCs/>
        </w:rPr>
      </w:pPr>
      <w:r>
        <w:rPr>
          <w:bCs/>
        </w:rPr>
        <w:t>中央级系统网络应符合下列规定：</w:t>
      </w:r>
    </w:p>
    <w:p w14:paraId="3296DC09">
      <w:pPr>
        <w:ind w:firstLine="420"/>
      </w:pPr>
      <w:r>
        <w:rPr>
          <w:b/>
        </w:rPr>
        <w:t>1</w:t>
      </w:r>
      <w:r>
        <w:rPr>
          <w:rFonts w:hint="eastAsia"/>
        </w:rPr>
        <w:t xml:space="preserve">  </w:t>
      </w:r>
      <w:r>
        <w:t>传输速率为≥100</w:t>
      </w:r>
      <w:r>
        <w:rPr>
          <w:rFonts w:hint="eastAsia"/>
        </w:rPr>
        <w:t>0</w:t>
      </w:r>
      <w:r>
        <w:t>Mbps；</w:t>
      </w:r>
    </w:p>
    <w:p w14:paraId="608425ED">
      <w:pPr>
        <w:ind w:firstLine="420"/>
      </w:pPr>
      <w:r>
        <w:rPr>
          <w:b/>
        </w:rPr>
        <w:t>2</w:t>
      </w:r>
      <w:r>
        <w:rPr>
          <w:rFonts w:hint="eastAsia"/>
          <w:b/>
        </w:rPr>
        <w:t xml:space="preserve"> </w:t>
      </w:r>
      <w:r>
        <w:rPr>
          <w:rFonts w:hint="eastAsia"/>
        </w:rPr>
        <w:t xml:space="preserve"> </w:t>
      </w:r>
      <w:r>
        <w:t>传输信道纳入综合监控系统(或传输系统)，不另行设置。</w:t>
      </w:r>
    </w:p>
    <w:p w14:paraId="48AFDB13">
      <w:pPr>
        <w:numPr>
          <w:ilvl w:val="2"/>
          <w:numId w:val="1"/>
        </w:numPr>
        <w:tabs>
          <w:tab w:val="left" w:pos="709"/>
          <w:tab w:val="left" w:pos="794"/>
        </w:tabs>
        <w:outlineLvl w:val="2"/>
        <w:rPr>
          <w:bCs/>
        </w:rPr>
      </w:pPr>
      <w:r>
        <w:rPr>
          <w:bCs/>
        </w:rPr>
        <w:t>车站级系统网络应符合下列规定：</w:t>
      </w:r>
    </w:p>
    <w:p w14:paraId="1D7449E9">
      <w:pPr>
        <w:ind w:firstLine="420"/>
      </w:pPr>
      <w:r>
        <w:rPr>
          <w:b/>
        </w:rPr>
        <w:t>1</w:t>
      </w:r>
      <w:r>
        <w:rPr>
          <w:rFonts w:hint="eastAsia"/>
          <w:b/>
        </w:rPr>
        <w:t xml:space="preserve"> </w:t>
      </w:r>
      <w:r>
        <w:rPr>
          <w:rFonts w:hint="eastAsia"/>
        </w:rPr>
        <w:t xml:space="preserve"> </w:t>
      </w:r>
      <w:r>
        <w:t>传输距离以车站管</w:t>
      </w:r>
      <w:r>
        <w:rPr>
          <w:rFonts w:hint="eastAsia"/>
        </w:rPr>
        <w:t>辖</w:t>
      </w:r>
      <w:r>
        <w:t>范围为限不应少于2.5km；</w:t>
      </w:r>
    </w:p>
    <w:p w14:paraId="1144399A">
      <w:pPr>
        <w:ind w:firstLine="420"/>
      </w:pPr>
      <w:r>
        <w:rPr>
          <w:b/>
        </w:rPr>
        <w:t>2</w:t>
      </w:r>
      <w:r>
        <w:rPr>
          <w:rFonts w:hint="eastAsia"/>
        </w:rPr>
        <w:t xml:space="preserve">  </w:t>
      </w:r>
      <w:r>
        <w:t>传输速率为≥10</w:t>
      </w:r>
      <w:r>
        <w:rPr>
          <w:rFonts w:hint="eastAsia"/>
        </w:rPr>
        <w:t>0</w:t>
      </w:r>
      <w:r>
        <w:t>Mbps。</w:t>
      </w:r>
    </w:p>
    <w:p w14:paraId="01628724">
      <w:pPr>
        <w:numPr>
          <w:ilvl w:val="1"/>
          <w:numId w:val="1"/>
        </w:numPr>
        <w:snapToGrid w:val="0"/>
        <w:spacing w:before="156" w:after="156" w:line="240" w:lineRule="auto"/>
        <w:jc w:val="center"/>
        <w:outlineLvl w:val="1"/>
        <w:rPr>
          <w:rFonts w:eastAsia="黑体"/>
          <w:bCs/>
          <w:szCs w:val="28"/>
        </w:rPr>
      </w:pPr>
      <w:bookmarkStart w:id="1536" w:name="_Toc183765193"/>
      <w:bookmarkStart w:id="1537" w:name="_Toc183790623"/>
      <w:bookmarkStart w:id="1538" w:name="_Toc183882546"/>
      <w:bookmarkStart w:id="1539" w:name="_Toc183888598"/>
      <w:bookmarkStart w:id="1540" w:name="_Toc183683589"/>
      <w:bookmarkStart w:id="1541" w:name="_Toc183882184"/>
      <w:bookmarkStart w:id="1542" w:name="_Toc183888236"/>
      <w:r>
        <w:rPr>
          <w:rFonts w:eastAsia="黑体"/>
          <w:bCs/>
          <w:szCs w:val="28"/>
        </w:rPr>
        <w:t>系统功能</w:t>
      </w:r>
      <w:bookmarkEnd w:id="1536"/>
      <w:bookmarkEnd w:id="1537"/>
      <w:bookmarkEnd w:id="1538"/>
      <w:bookmarkEnd w:id="1539"/>
      <w:bookmarkEnd w:id="1540"/>
      <w:bookmarkEnd w:id="1541"/>
      <w:bookmarkEnd w:id="1542"/>
    </w:p>
    <w:p w14:paraId="3BE71A6A">
      <w:pPr>
        <w:numPr>
          <w:ilvl w:val="2"/>
          <w:numId w:val="1"/>
        </w:numPr>
        <w:tabs>
          <w:tab w:val="left" w:pos="709"/>
          <w:tab w:val="left" w:pos="794"/>
        </w:tabs>
        <w:outlineLvl w:val="2"/>
        <w:rPr>
          <w:bCs/>
        </w:rPr>
      </w:pPr>
      <w:r>
        <w:rPr>
          <w:bCs/>
        </w:rPr>
        <w:t>环境与设备监控系统应具</w:t>
      </w:r>
      <w:r>
        <w:rPr>
          <w:rFonts w:hint="eastAsia"/>
          <w:bCs/>
        </w:rPr>
        <w:t>备</w:t>
      </w:r>
      <w:r>
        <w:rPr>
          <w:bCs/>
        </w:rPr>
        <w:t>车站和中心</w:t>
      </w:r>
      <w:r>
        <w:rPr>
          <w:rFonts w:hint="eastAsia"/>
          <w:bCs/>
        </w:rPr>
        <w:t>两</w:t>
      </w:r>
      <w:r>
        <w:rPr>
          <w:bCs/>
        </w:rPr>
        <w:t>级管理，就地、车站、中心三级控制的功能。</w:t>
      </w:r>
    </w:p>
    <w:p w14:paraId="2BED200A">
      <w:pPr>
        <w:numPr>
          <w:ilvl w:val="2"/>
          <w:numId w:val="1"/>
        </w:numPr>
        <w:tabs>
          <w:tab w:val="left" w:pos="709"/>
          <w:tab w:val="left" w:pos="794"/>
        </w:tabs>
        <w:outlineLvl w:val="2"/>
      </w:pPr>
      <w:r>
        <w:t>环境与设备监控系统应</w:t>
      </w:r>
      <w:r>
        <w:rPr>
          <w:bCs/>
        </w:rPr>
        <w:t>具</w:t>
      </w:r>
      <w:r>
        <w:rPr>
          <w:rFonts w:hint="eastAsia"/>
          <w:bCs/>
        </w:rPr>
        <w:t>备</w:t>
      </w:r>
      <w:r>
        <w:t>以下基本功能：</w:t>
      </w:r>
    </w:p>
    <w:p w14:paraId="42F2E22B">
      <w:pPr>
        <w:ind w:firstLine="420"/>
      </w:pPr>
      <w:r>
        <w:rPr>
          <w:b/>
        </w:rPr>
        <w:t>1</w:t>
      </w:r>
      <w:r>
        <w:rPr>
          <w:rFonts w:hint="eastAsia"/>
          <w:b/>
        </w:rPr>
        <w:t xml:space="preserve"> </w:t>
      </w:r>
      <w:r>
        <w:rPr>
          <w:rFonts w:hint="eastAsia"/>
        </w:rPr>
        <w:t xml:space="preserve"> </w:t>
      </w:r>
      <w:r>
        <w:t>机电设备监控；</w:t>
      </w:r>
    </w:p>
    <w:p w14:paraId="7ADB70D9">
      <w:pPr>
        <w:ind w:firstLine="420"/>
      </w:pPr>
      <w:r>
        <w:rPr>
          <w:b/>
        </w:rPr>
        <w:t>2</w:t>
      </w:r>
      <w:r>
        <w:rPr>
          <w:rFonts w:hint="eastAsia"/>
          <w:b/>
        </w:rPr>
        <w:t xml:space="preserve"> </w:t>
      </w:r>
      <w:r>
        <w:rPr>
          <w:rFonts w:hint="eastAsia"/>
        </w:rPr>
        <w:t xml:space="preserve"> </w:t>
      </w:r>
      <w:r>
        <w:t>执行防灾及阻塞模式；</w:t>
      </w:r>
    </w:p>
    <w:p w14:paraId="4F851DE2">
      <w:pPr>
        <w:ind w:firstLine="420"/>
      </w:pPr>
      <w:r>
        <w:rPr>
          <w:b/>
        </w:rPr>
        <w:t>3</w:t>
      </w:r>
      <w:r>
        <w:rPr>
          <w:rFonts w:hint="eastAsia"/>
          <w:b/>
        </w:rPr>
        <w:t xml:space="preserve"> </w:t>
      </w:r>
      <w:r>
        <w:rPr>
          <w:rFonts w:hint="eastAsia"/>
        </w:rPr>
        <w:t xml:space="preserve"> </w:t>
      </w:r>
      <w:r>
        <w:t>环境监控与节能运行管理；</w:t>
      </w:r>
    </w:p>
    <w:p w14:paraId="40D8340E">
      <w:pPr>
        <w:ind w:firstLine="420"/>
      </w:pPr>
      <w:r>
        <w:rPr>
          <w:b/>
        </w:rPr>
        <w:t>4</w:t>
      </w:r>
      <w:r>
        <w:rPr>
          <w:rFonts w:hint="eastAsia"/>
        </w:rPr>
        <w:t xml:space="preserve">  </w:t>
      </w:r>
      <w:r>
        <w:t>设备管理及维护；</w:t>
      </w:r>
    </w:p>
    <w:p w14:paraId="4151C578">
      <w:pPr>
        <w:ind w:firstLine="420"/>
      </w:pPr>
      <w:r>
        <w:rPr>
          <w:b/>
        </w:rPr>
        <w:t>5</w:t>
      </w:r>
      <w:r>
        <w:rPr>
          <w:rFonts w:hint="eastAsia"/>
        </w:rPr>
        <w:t xml:space="preserve">  </w:t>
      </w:r>
      <w:r>
        <w:t>环境监测。</w:t>
      </w:r>
    </w:p>
    <w:p w14:paraId="791151E6">
      <w:pPr>
        <w:numPr>
          <w:ilvl w:val="2"/>
          <w:numId w:val="1"/>
        </w:numPr>
        <w:tabs>
          <w:tab w:val="left" w:pos="709"/>
          <w:tab w:val="left" w:pos="794"/>
        </w:tabs>
        <w:outlineLvl w:val="2"/>
        <w:rPr>
          <w:bCs/>
        </w:rPr>
      </w:pPr>
      <w:r>
        <w:rPr>
          <w:bCs/>
        </w:rPr>
        <w:t>机电设备监控应具备下列功能：</w:t>
      </w:r>
    </w:p>
    <w:p w14:paraId="287FE56F">
      <w:pPr>
        <w:ind w:firstLine="420"/>
      </w:pPr>
      <w:r>
        <w:rPr>
          <w:b/>
        </w:rPr>
        <w:t>1</w:t>
      </w:r>
      <w:r>
        <w:rPr>
          <w:rFonts w:hint="eastAsia"/>
          <w:b/>
        </w:rPr>
        <w:t xml:space="preserve"> </w:t>
      </w:r>
      <w:r>
        <w:rPr>
          <w:rFonts w:hint="eastAsia"/>
        </w:rPr>
        <w:t xml:space="preserve"> </w:t>
      </w:r>
      <w:r>
        <w:t>设备状态信息采集；</w:t>
      </w:r>
    </w:p>
    <w:p w14:paraId="4D9196FC">
      <w:pPr>
        <w:ind w:firstLine="420"/>
      </w:pPr>
      <w:r>
        <w:rPr>
          <w:b/>
        </w:rPr>
        <w:t xml:space="preserve">2 </w:t>
      </w:r>
      <w:r>
        <w:rPr>
          <w:rFonts w:hint="eastAsia"/>
        </w:rPr>
        <w:t xml:space="preserve"> </w:t>
      </w:r>
      <w:r>
        <w:t>设备状态信息显示、数据查询；</w:t>
      </w:r>
    </w:p>
    <w:p w14:paraId="655A1C35">
      <w:pPr>
        <w:ind w:firstLine="420"/>
      </w:pPr>
      <w:r>
        <w:rPr>
          <w:b/>
        </w:rPr>
        <w:t xml:space="preserve">3 </w:t>
      </w:r>
      <w:r>
        <w:rPr>
          <w:rFonts w:hint="eastAsia"/>
        </w:rPr>
        <w:t xml:space="preserve"> </w:t>
      </w:r>
      <w:r>
        <w:t>设备故障报警、设备异常状态报警；</w:t>
      </w:r>
    </w:p>
    <w:p w14:paraId="4CF91537">
      <w:pPr>
        <w:ind w:firstLine="420"/>
      </w:pPr>
      <w:r>
        <w:rPr>
          <w:b/>
        </w:rPr>
        <w:t>4</w:t>
      </w:r>
      <w:r>
        <w:t xml:space="preserve"> </w:t>
      </w:r>
      <w:r>
        <w:rPr>
          <w:rFonts w:hint="eastAsia"/>
        </w:rPr>
        <w:t xml:space="preserve"> </w:t>
      </w:r>
      <w:r>
        <w:t>设备单点控制、模式控制、时间表控制；</w:t>
      </w:r>
    </w:p>
    <w:p w14:paraId="0AAFB168">
      <w:pPr>
        <w:ind w:firstLine="420"/>
      </w:pPr>
      <w:r>
        <w:rPr>
          <w:b/>
        </w:rPr>
        <w:t xml:space="preserve">5 </w:t>
      </w:r>
      <w:r>
        <w:rPr>
          <w:rFonts w:hint="eastAsia"/>
        </w:rPr>
        <w:t xml:space="preserve"> </w:t>
      </w:r>
      <w:r>
        <w:t>按累计运行时间进行设备轮换使用控制；</w:t>
      </w:r>
    </w:p>
    <w:p w14:paraId="11358EC4">
      <w:pPr>
        <w:ind w:firstLine="420"/>
      </w:pPr>
      <w:r>
        <w:rPr>
          <w:b/>
        </w:rPr>
        <w:t>6</w:t>
      </w:r>
      <w:r>
        <w:t xml:space="preserve"> </w:t>
      </w:r>
      <w:r>
        <w:rPr>
          <w:rFonts w:hint="eastAsia"/>
        </w:rPr>
        <w:t xml:space="preserve"> </w:t>
      </w:r>
      <w:r>
        <w:t>运行参数更改、运行工况调整；</w:t>
      </w:r>
    </w:p>
    <w:p w14:paraId="4EB2C095">
      <w:pPr>
        <w:ind w:firstLine="420"/>
      </w:pPr>
      <w:r>
        <w:rPr>
          <w:b/>
        </w:rPr>
        <w:t xml:space="preserve">7 </w:t>
      </w:r>
      <w:r>
        <w:rPr>
          <w:rFonts w:hint="eastAsia"/>
        </w:rPr>
        <w:t xml:space="preserve"> </w:t>
      </w:r>
      <w:r>
        <w:t>用户权限管理；</w:t>
      </w:r>
    </w:p>
    <w:p w14:paraId="3A92E3A1">
      <w:pPr>
        <w:ind w:firstLine="420"/>
      </w:pPr>
      <w:r>
        <w:rPr>
          <w:b/>
        </w:rPr>
        <w:t xml:space="preserve">8 </w:t>
      </w:r>
      <w:r>
        <w:rPr>
          <w:rFonts w:hint="eastAsia"/>
        </w:rPr>
        <w:t xml:space="preserve"> </w:t>
      </w:r>
      <w:r>
        <w:t>事件信息及报表打印。</w:t>
      </w:r>
    </w:p>
    <w:p w14:paraId="3033669D">
      <w:pPr>
        <w:numPr>
          <w:ilvl w:val="2"/>
          <w:numId w:val="1"/>
        </w:numPr>
        <w:tabs>
          <w:tab w:val="left" w:pos="709"/>
          <w:tab w:val="left" w:pos="794"/>
        </w:tabs>
        <w:outlineLvl w:val="2"/>
        <w:rPr>
          <w:bCs/>
        </w:rPr>
      </w:pPr>
      <w:r>
        <w:rPr>
          <w:bCs/>
        </w:rPr>
        <w:t>执行防灾和阻塞模式应具备下列功能：</w:t>
      </w:r>
    </w:p>
    <w:p w14:paraId="3EF467AE">
      <w:pPr>
        <w:ind w:firstLine="420"/>
      </w:pPr>
      <w:r>
        <w:rPr>
          <w:b/>
        </w:rPr>
        <w:t xml:space="preserve">1 </w:t>
      </w:r>
      <w:r>
        <w:rPr>
          <w:rFonts w:hint="eastAsia"/>
        </w:rPr>
        <w:t xml:space="preserve"> </w:t>
      </w:r>
      <w:r>
        <w:t>接收车站自动或手动火灾模式指令，执行车站防排烟模式；</w:t>
      </w:r>
    </w:p>
    <w:p w14:paraId="413A6576">
      <w:pPr>
        <w:ind w:firstLine="420"/>
      </w:pPr>
      <w:r>
        <w:rPr>
          <w:b/>
        </w:rPr>
        <w:t xml:space="preserve">2 </w:t>
      </w:r>
      <w:r>
        <w:rPr>
          <w:rFonts w:hint="eastAsia"/>
        </w:rPr>
        <w:t xml:space="preserve"> </w:t>
      </w:r>
      <w:r>
        <w:t>接收列车区间停车位置、火灾部位信息，执行隧道防排烟模式；</w:t>
      </w:r>
    </w:p>
    <w:p w14:paraId="7853453E">
      <w:pPr>
        <w:ind w:firstLine="420"/>
      </w:pPr>
      <w:r>
        <w:rPr>
          <w:b/>
        </w:rPr>
        <w:t xml:space="preserve">3 </w:t>
      </w:r>
      <w:r>
        <w:rPr>
          <w:rFonts w:hint="eastAsia"/>
        </w:rPr>
        <w:t xml:space="preserve"> </w:t>
      </w:r>
      <w:r>
        <w:t>接收列车区间阻塞信息，执行阻塞通风模式；</w:t>
      </w:r>
    </w:p>
    <w:p w14:paraId="2D945283">
      <w:pPr>
        <w:ind w:firstLine="420"/>
      </w:pPr>
      <w:r>
        <w:rPr>
          <w:b/>
        </w:rPr>
        <w:t xml:space="preserve">4 </w:t>
      </w:r>
      <w:r>
        <w:rPr>
          <w:rFonts w:hint="eastAsia"/>
        </w:rPr>
        <w:t xml:space="preserve"> </w:t>
      </w:r>
      <w:r>
        <w:t>监控车站疏散指示系统和应急照明系统；</w:t>
      </w:r>
    </w:p>
    <w:p w14:paraId="2E2E3027">
      <w:pPr>
        <w:ind w:firstLine="420"/>
      </w:pPr>
      <w:r>
        <w:rPr>
          <w:b/>
        </w:rPr>
        <w:t xml:space="preserve">5 </w:t>
      </w:r>
      <w:r>
        <w:rPr>
          <w:rFonts w:hint="eastAsia"/>
        </w:rPr>
        <w:t xml:space="preserve"> </w:t>
      </w:r>
      <w:r>
        <w:t>监视各排水泵房危险水位</w:t>
      </w:r>
      <w:r>
        <w:rPr>
          <w:rFonts w:hint="eastAsia"/>
        </w:rPr>
        <w:t>；</w:t>
      </w:r>
    </w:p>
    <w:p w14:paraId="3CFA035D">
      <w:pPr>
        <w:ind w:firstLine="420"/>
      </w:pPr>
      <w:r>
        <w:rPr>
          <w:rFonts w:hint="eastAsia"/>
          <w:b/>
        </w:rPr>
        <w:t xml:space="preserve">6 </w:t>
      </w:r>
      <w:r>
        <w:rPr>
          <w:rFonts w:hint="eastAsia"/>
        </w:rPr>
        <w:t xml:space="preserve"> 监视易倒灌通道和低洼位置的积水位。</w:t>
      </w:r>
    </w:p>
    <w:p w14:paraId="5E5FCD4B">
      <w:pPr>
        <w:numPr>
          <w:ilvl w:val="2"/>
          <w:numId w:val="1"/>
        </w:numPr>
        <w:tabs>
          <w:tab w:val="left" w:pos="709"/>
          <w:tab w:val="left" w:pos="794"/>
        </w:tabs>
        <w:outlineLvl w:val="2"/>
        <w:rPr>
          <w:bCs/>
        </w:rPr>
      </w:pPr>
      <w:r>
        <w:rPr>
          <w:bCs/>
        </w:rPr>
        <w:t>对于设置集中通风空调系统的车站，环境与设备监控系统应对其实施节能控制，并应具备下列功能：</w:t>
      </w:r>
    </w:p>
    <w:p w14:paraId="1C538D2A">
      <w:pPr>
        <w:ind w:firstLine="420"/>
      </w:pPr>
      <w:r>
        <w:rPr>
          <w:b/>
        </w:rPr>
        <w:t>1</w:t>
      </w:r>
      <w:r>
        <w:rPr>
          <w:rFonts w:hint="eastAsia"/>
          <w:b/>
        </w:rPr>
        <w:t xml:space="preserve"> </w:t>
      </w:r>
      <w:r>
        <w:rPr>
          <w:rFonts w:hint="eastAsia"/>
        </w:rPr>
        <w:t xml:space="preserve"> </w:t>
      </w:r>
      <w:r>
        <w:t>对通风、空调系统的相关设备进行自动调节与控制；</w:t>
      </w:r>
    </w:p>
    <w:p w14:paraId="4C5B52B5">
      <w:pPr>
        <w:ind w:firstLine="420"/>
      </w:pPr>
      <w:r>
        <w:rPr>
          <w:b/>
        </w:rPr>
        <w:t xml:space="preserve">2 </w:t>
      </w:r>
      <w:r>
        <w:rPr>
          <w:rFonts w:hint="eastAsia"/>
        </w:rPr>
        <w:t xml:space="preserve"> </w:t>
      </w:r>
      <w:r>
        <w:t>根据</w:t>
      </w:r>
      <w:r>
        <w:rPr>
          <w:rFonts w:hint="eastAsia"/>
        </w:rPr>
        <w:t>监测传感器的环境参数</w:t>
      </w:r>
      <w:r>
        <w:t>自动切换通风和空调模式；</w:t>
      </w:r>
    </w:p>
    <w:p w14:paraId="6680CA69">
      <w:pPr>
        <w:ind w:firstLine="420"/>
      </w:pPr>
      <w:r>
        <w:rPr>
          <w:b/>
        </w:rPr>
        <w:t xml:space="preserve">3 </w:t>
      </w:r>
      <w:r>
        <w:rPr>
          <w:rFonts w:hint="eastAsia"/>
        </w:rPr>
        <w:t xml:space="preserve"> 应能控制</w:t>
      </w:r>
      <w:r>
        <w:t>通风</w:t>
      </w:r>
      <w:r>
        <w:rPr>
          <w:rFonts w:hint="eastAsia"/>
        </w:rPr>
        <w:t>、</w:t>
      </w:r>
      <w:r>
        <w:t>空调系统</w:t>
      </w:r>
      <w:r>
        <w:rPr>
          <w:rFonts w:hint="eastAsia"/>
        </w:rPr>
        <w:t>设备优化运行，实现</w:t>
      </w:r>
      <w:r>
        <w:t>节能控制；</w:t>
      </w:r>
    </w:p>
    <w:p w14:paraId="75E2041E">
      <w:pPr>
        <w:ind w:firstLine="420"/>
      </w:pPr>
      <w:r>
        <w:rPr>
          <w:b/>
        </w:rPr>
        <w:t xml:space="preserve">4 </w:t>
      </w:r>
      <w:r>
        <w:rPr>
          <w:rFonts w:hint="eastAsia"/>
        </w:rPr>
        <w:t xml:space="preserve"> </w:t>
      </w:r>
      <w:r>
        <w:t>实现能耗统计分析，并在中心及车站工作站显示能耗统计分析结果；</w:t>
      </w:r>
    </w:p>
    <w:p w14:paraId="7AC4FB44">
      <w:pPr>
        <w:ind w:firstLine="420"/>
      </w:pPr>
      <w:r>
        <w:rPr>
          <w:b/>
        </w:rPr>
        <w:t xml:space="preserve">5 </w:t>
      </w:r>
      <w:r>
        <w:rPr>
          <w:rFonts w:hint="eastAsia"/>
        </w:rPr>
        <w:t xml:space="preserve"> </w:t>
      </w:r>
      <w:r>
        <w:t>根据车站运营时间，可在中心及车站工作站预设公共区空调系统启停时间。</w:t>
      </w:r>
    </w:p>
    <w:p w14:paraId="71E85005">
      <w:pPr>
        <w:numPr>
          <w:ilvl w:val="2"/>
          <w:numId w:val="1"/>
        </w:numPr>
        <w:tabs>
          <w:tab w:val="left" w:pos="709"/>
          <w:tab w:val="left" w:pos="794"/>
        </w:tabs>
        <w:outlineLvl w:val="2"/>
        <w:rPr>
          <w:bCs/>
        </w:rPr>
      </w:pPr>
      <w:r>
        <w:rPr>
          <w:bCs/>
        </w:rPr>
        <w:t>系统应具备下列维护功能：</w:t>
      </w:r>
    </w:p>
    <w:p w14:paraId="7852B471">
      <w:pPr>
        <w:ind w:firstLine="420"/>
      </w:pPr>
      <w:r>
        <w:rPr>
          <w:b/>
        </w:rPr>
        <w:t>1</w:t>
      </w:r>
      <w:r>
        <w:t xml:space="preserve"> </w:t>
      </w:r>
      <w:r>
        <w:rPr>
          <w:rFonts w:hint="eastAsia"/>
        </w:rPr>
        <w:t xml:space="preserve"> </w:t>
      </w:r>
      <w:r>
        <w:t>监视全线环境与设备监控系统被控对象的运行状态，形成维护管理趋势预告等；</w:t>
      </w:r>
    </w:p>
    <w:p w14:paraId="17E15128">
      <w:pPr>
        <w:ind w:firstLine="420"/>
      </w:pPr>
      <w:r>
        <w:rPr>
          <w:b/>
        </w:rPr>
        <w:t xml:space="preserve">2 </w:t>
      </w:r>
      <w:r>
        <w:rPr>
          <w:rFonts w:hint="eastAsia"/>
          <w:b/>
        </w:rPr>
        <w:t xml:space="preserve"> </w:t>
      </w:r>
      <w:r>
        <w:t>环境与设备监控系统软件维护、组态、运行参数设置及操作界面修改等；</w:t>
      </w:r>
    </w:p>
    <w:p w14:paraId="39F339FB">
      <w:pPr>
        <w:ind w:firstLine="420"/>
      </w:pPr>
      <w:r>
        <w:rPr>
          <w:b/>
        </w:rPr>
        <w:t xml:space="preserve">3 </w:t>
      </w:r>
      <w:r>
        <w:rPr>
          <w:rFonts w:hint="eastAsia"/>
          <w:b/>
        </w:rPr>
        <w:t xml:space="preserve"> </w:t>
      </w:r>
      <w:r>
        <w:t>环境与设备监控系统硬件设备故障判断、设备故障报警及维护管理。</w:t>
      </w:r>
    </w:p>
    <w:p w14:paraId="430432D7">
      <w:pPr>
        <w:numPr>
          <w:ilvl w:val="2"/>
          <w:numId w:val="1"/>
        </w:numPr>
        <w:tabs>
          <w:tab w:val="left" w:pos="709"/>
          <w:tab w:val="left" w:pos="794"/>
        </w:tabs>
        <w:outlineLvl w:val="2"/>
        <w:rPr>
          <w:bCs/>
        </w:rPr>
      </w:pPr>
      <w:r>
        <w:rPr>
          <w:bCs/>
        </w:rPr>
        <w:t>环境监测应具备下列功能：</w:t>
      </w:r>
    </w:p>
    <w:p w14:paraId="131F4816">
      <w:pPr>
        <w:ind w:firstLine="420"/>
      </w:pPr>
      <w:r>
        <w:rPr>
          <w:b/>
        </w:rPr>
        <w:t>1</w:t>
      </w:r>
      <w:r>
        <w:rPr>
          <w:rFonts w:hint="eastAsia"/>
          <w:b/>
        </w:rPr>
        <w:t xml:space="preserve"> </w:t>
      </w:r>
      <w:r>
        <w:rPr>
          <w:rFonts w:hint="eastAsia"/>
        </w:rPr>
        <w:t xml:space="preserve"> </w:t>
      </w:r>
      <w:r>
        <w:t>温度、湿度、</w:t>
      </w:r>
      <w:r>
        <w:rPr>
          <w:rFonts w:hint="eastAsia"/>
        </w:rPr>
        <w:t>二氧化碳、可吸入颗粒物</w:t>
      </w:r>
      <w:r>
        <w:t>等环境参数信息采集；</w:t>
      </w:r>
    </w:p>
    <w:p w14:paraId="321D2FA3">
      <w:pPr>
        <w:ind w:firstLine="420"/>
      </w:pPr>
      <w:r>
        <w:rPr>
          <w:b/>
        </w:rPr>
        <w:t>2</w:t>
      </w:r>
      <w:r>
        <w:rPr>
          <w:rFonts w:hint="eastAsia"/>
          <w:b/>
        </w:rPr>
        <w:t xml:space="preserve"> </w:t>
      </w:r>
      <w:r>
        <w:rPr>
          <w:rFonts w:hint="eastAsia"/>
        </w:rPr>
        <w:t xml:space="preserve"> </w:t>
      </w:r>
      <w:r>
        <w:t>环境监测数据显示、数据查询；</w:t>
      </w:r>
    </w:p>
    <w:p w14:paraId="24B94A2C">
      <w:pPr>
        <w:ind w:firstLine="420"/>
      </w:pPr>
      <w:r>
        <w:rPr>
          <w:b/>
        </w:rPr>
        <w:t>3</w:t>
      </w:r>
      <w:r>
        <w:t xml:space="preserve"> </w:t>
      </w:r>
      <w:r>
        <w:rPr>
          <w:rFonts w:hint="eastAsia"/>
        </w:rPr>
        <w:t xml:space="preserve"> </w:t>
      </w:r>
      <w:r>
        <w:t>环境异常状态报警</w:t>
      </w:r>
      <w:r>
        <w:rPr>
          <w:rFonts w:hint="eastAsia"/>
        </w:rPr>
        <w:t>。</w:t>
      </w:r>
    </w:p>
    <w:p w14:paraId="735F382C">
      <w:pPr>
        <w:numPr>
          <w:ilvl w:val="1"/>
          <w:numId w:val="1"/>
        </w:numPr>
        <w:snapToGrid w:val="0"/>
        <w:spacing w:before="156" w:after="156" w:line="240" w:lineRule="auto"/>
        <w:jc w:val="center"/>
        <w:outlineLvl w:val="1"/>
        <w:rPr>
          <w:rFonts w:eastAsia="黑体"/>
          <w:bCs/>
          <w:szCs w:val="28"/>
        </w:rPr>
      </w:pPr>
      <w:bookmarkStart w:id="1543" w:name="_Toc183882185"/>
      <w:bookmarkStart w:id="1544" w:name="_Toc183790624"/>
      <w:bookmarkStart w:id="1545" w:name="_Toc183765194"/>
      <w:bookmarkStart w:id="1546" w:name="_Toc183888237"/>
      <w:bookmarkStart w:id="1547" w:name="_Toc183683590"/>
      <w:bookmarkStart w:id="1548" w:name="_Toc183882547"/>
      <w:bookmarkStart w:id="1549" w:name="_Toc183888599"/>
      <w:r>
        <w:rPr>
          <w:rFonts w:eastAsia="黑体"/>
          <w:bCs/>
          <w:szCs w:val="28"/>
        </w:rPr>
        <w:t>系统软件</w:t>
      </w:r>
      <w:bookmarkEnd w:id="1543"/>
      <w:bookmarkEnd w:id="1544"/>
      <w:bookmarkEnd w:id="1545"/>
      <w:bookmarkEnd w:id="1546"/>
      <w:bookmarkEnd w:id="1547"/>
      <w:bookmarkEnd w:id="1548"/>
      <w:bookmarkEnd w:id="1549"/>
    </w:p>
    <w:p w14:paraId="26FAE70C">
      <w:pPr>
        <w:numPr>
          <w:ilvl w:val="2"/>
          <w:numId w:val="1"/>
        </w:numPr>
        <w:tabs>
          <w:tab w:val="left" w:pos="709"/>
          <w:tab w:val="left" w:pos="794"/>
        </w:tabs>
        <w:outlineLvl w:val="2"/>
        <w:rPr>
          <w:bCs/>
        </w:rPr>
      </w:pPr>
      <w:r>
        <w:rPr>
          <w:bCs/>
        </w:rPr>
        <w:t>软件平台应与硬件系统配置相适应，宜采用成熟、可靠、开放的监控系统软件平台，可按功能需求开发应用软件。</w:t>
      </w:r>
    </w:p>
    <w:p w14:paraId="027E82F7">
      <w:pPr>
        <w:numPr>
          <w:ilvl w:val="2"/>
          <w:numId w:val="1"/>
        </w:numPr>
        <w:tabs>
          <w:tab w:val="left" w:pos="709"/>
          <w:tab w:val="left" w:pos="794"/>
        </w:tabs>
        <w:outlineLvl w:val="2"/>
        <w:rPr>
          <w:bCs/>
        </w:rPr>
      </w:pPr>
      <w:r>
        <w:rPr>
          <w:bCs/>
        </w:rPr>
        <w:t>应采用模块化结构，应具有良好的开放性和扩展性。</w:t>
      </w:r>
    </w:p>
    <w:p w14:paraId="4A72FBC5">
      <w:pPr>
        <w:numPr>
          <w:ilvl w:val="1"/>
          <w:numId w:val="1"/>
        </w:numPr>
        <w:snapToGrid w:val="0"/>
        <w:spacing w:before="156" w:after="156" w:line="240" w:lineRule="auto"/>
        <w:jc w:val="center"/>
        <w:outlineLvl w:val="1"/>
        <w:rPr>
          <w:rFonts w:eastAsia="黑体"/>
          <w:bCs/>
          <w:szCs w:val="28"/>
        </w:rPr>
      </w:pPr>
      <w:bookmarkStart w:id="1550" w:name="_Toc183888238"/>
      <w:bookmarkStart w:id="1551" w:name="_Toc183882548"/>
      <w:bookmarkStart w:id="1552" w:name="_Toc183683591"/>
      <w:bookmarkStart w:id="1553" w:name="_Toc183790625"/>
      <w:bookmarkStart w:id="1554" w:name="_Toc183882186"/>
      <w:bookmarkStart w:id="1555" w:name="_Toc183765195"/>
      <w:bookmarkStart w:id="1556" w:name="_Toc183888600"/>
      <w:r>
        <w:rPr>
          <w:rFonts w:eastAsia="黑体"/>
          <w:bCs/>
          <w:szCs w:val="28"/>
        </w:rPr>
        <w:t>供电、接地及防雷</w:t>
      </w:r>
      <w:bookmarkEnd w:id="1550"/>
      <w:bookmarkEnd w:id="1551"/>
      <w:bookmarkEnd w:id="1552"/>
      <w:bookmarkEnd w:id="1553"/>
      <w:bookmarkEnd w:id="1554"/>
      <w:bookmarkEnd w:id="1555"/>
      <w:bookmarkEnd w:id="1556"/>
    </w:p>
    <w:p w14:paraId="38319DB2">
      <w:pPr>
        <w:numPr>
          <w:ilvl w:val="2"/>
          <w:numId w:val="1"/>
        </w:numPr>
        <w:tabs>
          <w:tab w:val="left" w:pos="709"/>
          <w:tab w:val="left" w:pos="794"/>
        </w:tabs>
        <w:outlineLvl w:val="2"/>
      </w:pPr>
      <w:r>
        <w:t>环境与设备监控系统供电负荷等级应为一级负荷，应配置在线式不间断电源，</w:t>
      </w:r>
      <w:r>
        <w:rPr>
          <w:rFonts w:hint="eastAsia"/>
        </w:rPr>
        <w:t>当系统参与消防联动时，</w:t>
      </w:r>
      <w:r>
        <w:t>不间断电源为就地级及控制层网络</w:t>
      </w:r>
      <w:r>
        <w:rPr>
          <w:bCs/>
        </w:rPr>
        <w:t>设备</w:t>
      </w:r>
      <w:r>
        <w:t>提供后备电源的供电时间不应小于3h</w:t>
      </w:r>
      <w:r>
        <w:rPr>
          <w:rFonts w:hint="eastAsia"/>
        </w:rPr>
        <w:t>，当系统不参与消防联动时，</w:t>
      </w:r>
      <w:r>
        <w:t>不间断电源为就地级及控制层网络设备提供后备电源的供电时间不应小于</w:t>
      </w:r>
      <w:r>
        <w:rPr>
          <w:rFonts w:hint="eastAsia"/>
        </w:rPr>
        <w:t>1</w:t>
      </w:r>
      <w:r>
        <w:t>h</w:t>
      </w:r>
      <w:r>
        <w:rPr>
          <w:rFonts w:hint="eastAsia"/>
        </w:rPr>
        <w:t>；</w:t>
      </w:r>
      <w:r>
        <w:t>为中心级、车站级设备及相关网络设备提供后备电源的供电时间不应小于1h。</w:t>
      </w:r>
    </w:p>
    <w:p w14:paraId="627B7A12">
      <w:pPr>
        <w:numPr>
          <w:ilvl w:val="2"/>
          <w:numId w:val="1"/>
        </w:numPr>
        <w:tabs>
          <w:tab w:val="left" w:pos="709"/>
          <w:tab w:val="left" w:pos="794"/>
        </w:tabs>
        <w:outlineLvl w:val="2"/>
        <w:rPr>
          <w:bCs/>
        </w:rPr>
      </w:pPr>
      <w:r>
        <w:rPr>
          <w:bCs/>
        </w:rPr>
        <w:t>系统接地应满足下列要求：</w:t>
      </w:r>
    </w:p>
    <w:p w14:paraId="3606FE86">
      <w:pPr>
        <w:ind w:firstLine="420"/>
      </w:pPr>
      <w:r>
        <w:rPr>
          <w:b/>
        </w:rPr>
        <w:t>1</w:t>
      </w:r>
      <w:r>
        <w:rPr>
          <w:rFonts w:hint="eastAsia"/>
        </w:rPr>
        <w:t xml:space="preserve">  </w:t>
      </w:r>
      <w:r>
        <w:t>应与其他系统共用接地装置，接地电阻不应大于1</w:t>
      </w:r>
      <w:r>
        <w:rPr>
          <w:rFonts w:hint="eastAsia"/>
        </w:rPr>
        <w:t>欧姆</w:t>
      </w:r>
      <w:r>
        <w:t>；</w:t>
      </w:r>
    </w:p>
    <w:p w14:paraId="455F296E">
      <w:pPr>
        <w:ind w:firstLine="420"/>
      </w:pPr>
      <w:r>
        <w:rPr>
          <w:b/>
        </w:rPr>
        <w:t>2</w:t>
      </w:r>
      <w:r>
        <w:rPr>
          <w:rFonts w:hint="eastAsia"/>
        </w:rPr>
        <w:t xml:space="preserve">  </w:t>
      </w:r>
      <w:r>
        <w:t>接地干线采用两根截面不小于25mm</w:t>
      </w:r>
      <w:r>
        <w:rPr>
          <w:vertAlign w:val="superscript"/>
        </w:rPr>
        <w:t>2</w:t>
      </w:r>
      <w:r>
        <w:t>的塑料绝缘铜芯电线，接地支线截面不小于6mm</w:t>
      </w:r>
      <w:r>
        <w:rPr>
          <w:vertAlign w:val="superscript"/>
        </w:rPr>
        <w:t>2</w:t>
      </w:r>
      <w:r>
        <w:t>的塑料绝缘铜芯电线；</w:t>
      </w:r>
    </w:p>
    <w:p w14:paraId="6EC53720">
      <w:pPr>
        <w:ind w:firstLine="422" w:firstLineChars="200"/>
      </w:pPr>
      <w:r>
        <w:rPr>
          <w:b/>
        </w:rPr>
        <w:t>3</w:t>
      </w:r>
      <w:r>
        <w:rPr>
          <w:rFonts w:hint="eastAsia"/>
        </w:rPr>
        <w:t xml:space="preserve">  </w:t>
      </w:r>
      <w:r>
        <w:t>所有环境与设备监控系统现场机柜、模块箱应可靠接地，控制器、计算机设备、监控模块等设备宜根据相应产品或系统的要求，设置功能性接地或浮空及保护性接地。</w:t>
      </w:r>
    </w:p>
    <w:p w14:paraId="1EE0C27C">
      <w:pPr>
        <w:numPr>
          <w:ilvl w:val="2"/>
          <w:numId w:val="1"/>
        </w:numPr>
        <w:tabs>
          <w:tab w:val="left" w:pos="709"/>
          <w:tab w:val="left" w:pos="794"/>
        </w:tabs>
        <w:outlineLvl w:val="2"/>
        <w:rPr>
          <w:bCs/>
        </w:rPr>
      </w:pPr>
      <w:r>
        <w:rPr>
          <w:bCs/>
        </w:rPr>
        <w:t>环境与设备监控系统防雷应</w:t>
      </w:r>
      <w:r>
        <w:rPr>
          <w:rFonts w:hint="eastAsia"/>
          <w:bCs/>
        </w:rPr>
        <w:t>符合</w:t>
      </w:r>
      <w:r>
        <w:rPr>
          <w:bCs/>
        </w:rPr>
        <w:t>现行国家标准《建筑物电子信息系统防雷设计规范》GB50343及其他国家相关标准、规范的有关规定。</w:t>
      </w:r>
    </w:p>
    <w:p w14:paraId="2F91CC44">
      <w:pPr>
        <w:numPr>
          <w:ilvl w:val="1"/>
          <w:numId w:val="1"/>
        </w:numPr>
        <w:snapToGrid w:val="0"/>
        <w:spacing w:before="156" w:after="156" w:line="240" w:lineRule="auto"/>
        <w:jc w:val="center"/>
        <w:outlineLvl w:val="1"/>
        <w:rPr>
          <w:rFonts w:eastAsia="黑体"/>
          <w:bCs/>
          <w:szCs w:val="28"/>
        </w:rPr>
      </w:pPr>
      <w:bookmarkStart w:id="1557" w:name="_Toc183882549"/>
      <w:bookmarkStart w:id="1558" w:name="_Toc183683592"/>
      <w:bookmarkStart w:id="1559" w:name="_Toc183790626"/>
      <w:bookmarkStart w:id="1560" w:name="_Toc183888601"/>
      <w:bookmarkStart w:id="1561" w:name="_Toc183888239"/>
      <w:bookmarkStart w:id="1562" w:name="_Toc183882187"/>
      <w:bookmarkStart w:id="1563" w:name="_Toc183765196"/>
      <w:r>
        <w:rPr>
          <w:rFonts w:eastAsia="黑体"/>
          <w:bCs/>
          <w:szCs w:val="28"/>
        </w:rPr>
        <w:t>布线</w:t>
      </w:r>
      <w:bookmarkEnd w:id="1557"/>
      <w:bookmarkEnd w:id="1558"/>
      <w:bookmarkEnd w:id="1559"/>
      <w:bookmarkEnd w:id="1560"/>
      <w:bookmarkEnd w:id="1561"/>
      <w:bookmarkEnd w:id="1562"/>
      <w:bookmarkEnd w:id="1563"/>
    </w:p>
    <w:p w14:paraId="07560F8B">
      <w:pPr>
        <w:numPr>
          <w:ilvl w:val="2"/>
          <w:numId w:val="1"/>
        </w:numPr>
        <w:tabs>
          <w:tab w:val="left" w:pos="709"/>
          <w:tab w:val="left" w:pos="794"/>
        </w:tabs>
        <w:outlineLvl w:val="2"/>
        <w:rPr>
          <w:bCs/>
        </w:rPr>
      </w:pPr>
      <w:r>
        <w:rPr>
          <w:bCs/>
        </w:rPr>
        <w:t>系统布线应考虑周围环境电磁干扰的影响。</w:t>
      </w:r>
    </w:p>
    <w:p w14:paraId="0B9EFBE0">
      <w:pPr>
        <w:numPr>
          <w:ilvl w:val="2"/>
          <w:numId w:val="1"/>
        </w:numPr>
        <w:tabs>
          <w:tab w:val="left" w:pos="709"/>
          <w:tab w:val="left" w:pos="794"/>
        </w:tabs>
        <w:outlineLvl w:val="2"/>
        <w:rPr>
          <w:bCs/>
        </w:rPr>
      </w:pPr>
      <w:r>
        <w:rPr>
          <w:bCs/>
        </w:rPr>
        <w:t>系统的信号线与电源线不应共用一条电缆，不应敷设在同一根金属套管内。</w:t>
      </w:r>
    </w:p>
    <w:p w14:paraId="6D317293">
      <w:pPr>
        <w:numPr>
          <w:ilvl w:val="2"/>
          <w:numId w:val="1"/>
        </w:numPr>
        <w:tabs>
          <w:tab w:val="left" w:pos="709"/>
          <w:tab w:val="left" w:pos="794"/>
        </w:tabs>
        <w:outlineLvl w:val="2"/>
        <w:rPr>
          <w:bCs/>
        </w:rPr>
      </w:pPr>
      <w:r>
        <w:rPr>
          <w:bCs/>
        </w:rPr>
        <w:t>采用屏蔽布线系统时，应保持系统中屏蔽层的连续性，以满足系统接地的可靠性。</w:t>
      </w:r>
    </w:p>
    <w:p w14:paraId="1D056611">
      <w:pPr>
        <w:numPr>
          <w:ilvl w:val="2"/>
          <w:numId w:val="1"/>
        </w:numPr>
        <w:tabs>
          <w:tab w:val="left" w:pos="709"/>
          <w:tab w:val="left" w:pos="794"/>
        </w:tabs>
        <w:outlineLvl w:val="2"/>
        <w:rPr>
          <w:bCs/>
        </w:rPr>
      </w:pPr>
      <w:r>
        <w:rPr>
          <w:bCs/>
        </w:rPr>
        <w:t>通讯电缆宜采用光缆、同轴或双绞屏蔽电缆，屏蔽层单端接地。</w:t>
      </w:r>
    </w:p>
    <w:p w14:paraId="73296CF8">
      <w:pPr>
        <w:numPr>
          <w:ilvl w:val="2"/>
          <w:numId w:val="1"/>
        </w:numPr>
        <w:tabs>
          <w:tab w:val="left" w:pos="709"/>
          <w:tab w:val="left" w:pos="794"/>
        </w:tabs>
        <w:outlineLvl w:val="2"/>
      </w:pPr>
      <w:r>
        <w:t>控制电缆、信号线缆、光缆、通讯电缆</w:t>
      </w:r>
      <w:r>
        <w:rPr>
          <w:rFonts w:hint="eastAsia"/>
        </w:rPr>
        <w:t>、模拟信号线缆</w:t>
      </w:r>
      <w:r>
        <w:t>均应采用低烟、无卤、阻燃或低烟、无卤、阻燃耐火型电缆</w:t>
      </w:r>
      <w:r>
        <w:rPr>
          <w:rFonts w:hint="eastAsia"/>
        </w:rPr>
        <w:t>，带屏蔽层的线缆应单端接地</w:t>
      </w:r>
      <w:r>
        <w:t>。</w:t>
      </w:r>
    </w:p>
    <w:p w14:paraId="17465B49">
      <w:pPr>
        <w:numPr>
          <w:ilvl w:val="2"/>
          <w:numId w:val="1"/>
        </w:numPr>
        <w:tabs>
          <w:tab w:val="left" w:pos="709"/>
          <w:tab w:val="left" w:pos="794"/>
        </w:tabs>
        <w:outlineLvl w:val="2"/>
        <w:rPr>
          <w:bCs/>
        </w:rPr>
      </w:pPr>
      <w:r>
        <w:rPr>
          <w:rFonts w:hint="eastAsia"/>
          <w:bCs/>
        </w:rPr>
        <w:t>各类线缆</w:t>
      </w:r>
      <w:r>
        <w:rPr>
          <w:bCs/>
        </w:rPr>
        <w:t>的</w:t>
      </w:r>
      <w:r>
        <w:rPr>
          <w:rFonts w:hint="eastAsia"/>
          <w:bCs/>
        </w:rPr>
        <w:t>燃烧性能应符合</w:t>
      </w:r>
      <w:r>
        <w:rPr>
          <w:bCs/>
        </w:rPr>
        <w:t>现行国家标准《电缆及光缆燃烧性能分级》GB31247的规定，燃烧性能等级应为B1级。</w:t>
      </w:r>
    </w:p>
    <w:p w14:paraId="0128B64C">
      <w:pPr>
        <w:numPr>
          <w:ilvl w:val="2"/>
          <w:numId w:val="1"/>
        </w:numPr>
        <w:tabs>
          <w:tab w:val="left" w:pos="709"/>
          <w:tab w:val="left" w:pos="794"/>
        </w:tabs>
        <w:outlineLvl w:val="2"/>
        <w:rPr>
          <w:bCs/>
        </w:rPr>
      </w:pPr>
      <w:r>
        <w:rPr>
          <w:bCs/>
        </w:rPr>
        <w:t>控制电缆截面宜选用1.5mm</w:t>
      </w:r>
      <w:r>
        <w:rPr>
          <w:bCs/>
          <w:vertAlign w:val="superscript"/>
        </w:rPr>
        <w:t>2</w:t>
      </w:r>
      <w:r>
        <w:rPr>
          <w:rFonts w:hint="eastAsia"/>
          <w:bCs/>
        </w:rPr>
        <w:t>，</w:t>
      </w:r>
      <w:r>
        <w:rPr>
          <w:bCs/>
        </w:rPr>
        <w:t>信号电缆截面宜选用1.0mm</w:t>
      </w:r>
      <w:r>
        <w:rPr>
          <w:bCs/>
          <w:vertAlign w:val="superscript"/>
        </w:rPr>
        <w:t>2</w:t>
      </w:r>
      <w:r>
        <w:rPr>
          <w:bCs/>
        </w:rPr>
        <w:t>。</w:t>
      </w:r>
    </w:p>
    <w:p w14:paraId="11E62C9F">
      <w:pPr>
        <w:numPr>
          <w:ilvl w:val="1"/>
          <w:numId w:val="1"/>
        </w:numPr>
        <w:snapToGrid w:val="0"/>
        <w:spacing w:before="156" w:after="156" w:line="240" w:lineRule="auto"/>
        <w:jc w:val="center"/>
        <w:outlineLvl w:val="1"/>
        <w:rPr>
          <w:rFonts w:eastAsia="黑体"/>
          <w:bCs/>
          <w:szCs w:val="28"/>
        </w:rPr>
      </w:pPr>
      <w:bookmarkStart w:id="1564" w:name="_Toc183765197"/>
      <w:bookmarkStart w:id="1565" w:name="_Toc183882188"/>
      <w:bookmarkStart w:id="1566" w:name="_Toc183888240"/>
      <w:bookmarkStart w:id="1567" w:name="_Toc183683593"/>
      <w:bookmarkStart w:id="1568" w:name="_Toc183882550"/>
      <w:bookmarkStart w:id="1569" w:name="_Toc183790627"/>
      <w:bookmarkStart w:id="1570" w:name="_Toc183888602"/>
      <w:r>
        <w:rPr>
          <w:rFonts w:eastAsia="黑体"/>
          <w:bCs/>
          <w:szCs w:val="28"/>
        </w:rPr>
        <w:t>系统设备布置</w:t>
      </w:r>
      <w:bookmarkEnd w:id="1564"/>
      <w:bookmarkEnd w:id="1565"/>
      <w:bookmarkEnd w:id="1566"/>
      <w:bookmarkEnd w:id="1567"/>
      <w:bookmarkEnd w:id="1568"/>
      <w:bookmarkEnd w:id="1569"/>
      <w:bookmarkEnd w:id="1570"/>
    </w:p>
    <w:p w14:paraId="464A8D47">
      <w:pPr>
        <w:numPr>
          <w:ilvl w:val="2"/>
          <w:numId w:val="1"/>
        </w:numPr>
        <w:tabs>
          <w:tab w:val="left" w:pos="709"/>
          <w:tab w:val="left" w:pos="794"/>
        </w:tabs>
        <w:outlineLvl w:val="2"/>
        <w:rPr>
          <w:bCs/>
        </w:rPr>
      </w:pPr>
      <w:r>
        <w:rPr>
          <w:bCs/>
        </w:rPr>
        <w:t>设备用房宜与环控电控室合用设置，并宜靠近其他弱电设备房。</w:t>
      </w:r>
    </w:p>
    <w:p w14:paraId="351AC701">
      <w:pPr>
        <w:numPr>
          <w:ilvl w:val="2"/>
          <w:numId w:val="1"/>
        </w:numPr>
        <w:tabs>
          <w:tab w:val="left" w:pos="709"/>
          <w:tab w:val="left" w:pos="794"/>
        </w:tabs>
        <w:outlineLvl w:val="2"/>
        <w:rPr>
          <w:bCs/>
        </w:rPr>
      </w:pPr>
      <w:r>
        <w:rPr>
          <w:bCs/>
        </w:rPr>
        <w:t>设备用房面积应满足远期设备容量需求，并应便于设备的更新改造。</w:t>
      </w:r>
    </w:p>
    <w:p w14:paraId="5F514A3A">
      <w:pPr>
        <w:numPr>
          <w:ilvl w:val="2"/>
          <w:numId w:val="1"/>
        </w:numPr>
        <w:tabs>
          <w:tab w:val="left" w:pos="709"/>
          <w:tab w:val="left" w:pos="794"/>
        </w:tabs>
        <w:outlineLvl w:val="2"/>
        <w:rPr>
          <w:bCs/>
        </w:rPr>
      </w:pPr>
      <w:r>
        <w:rPr>
          <w:bCs/>
        </w:rPr>
        <w:t>设备用房室内净高不应小于2.8</w:t>
      </w:r>
      <w:r>
        <w:rPr>
          <w:rFonts w:hint="eastAsia"/>
          <w:bCs/>
        </w:rPr>
        <w:t>米</w:t>
      </w:r>
      <w:r>
        <w:rPr>
          <w:bCs/>
        </w:rPr>
        <w:t>。</w:t>
      </w:r>
    </w:p>
    <w:p w14:paraId="4C997D3E">
      <w:pPr>
        <w:numPr>
          <w:ilvl w:val="2"/>
          <w:numId w:val="1"/>
        </w:numPr>
        <w:tabs>
          <w:tab w:val="left" w:pos="709"/>
          <w:tab w:val="left" w:pos="794"/>
        </w:tabs>
        <w:outlineLvl w:val="2"/>
      </w:pPr>
      <w:r>
        <w:t>车站设备用房环境应达到防尘、防潮、隔音</w:t>
      </w:r>
      <w:r>
        <w:rPr>
          <w:rFonts w:hint="eastAsia"/>
          <w:szCs w:val="18"/>
        </w:rPr>
        <w:t>，并应采取防静电措施</w:t>
      </w:r>
      <w:r>
        <w:t>。温湿度不应低于现行国家标准《数据中心设计规范》GB50174中C级的标准。</w:t>
      </w:r>
    </w:p>
    <w:p w14:paraId="37669C20">
      <w:pPr>
        <w:numPr>
          <w:ilvl w:val="2"/>
          <w:numId w:val="1"/>
        </w:numPr>
        <w:tabs>
          <w:tab w:val="left" w:pos="709"/>
          <w:tab w:val="left" w:pos="794"/>
        </w:tabs>
        <w:outlineLvl w:val="2"/>
        <w:rPr>
          <w:bCs/>
        </w:rPr>
      </w:pPr>
      <w:r>
        <w:rPr>
          <w:bCs/>
        </w:rPr>
        <w:t>环境与设备监控系统设备布置应符合下列规定：</w:t>
      </w:r>
    </w:p>
    <w:p w14:paraId="768040FA">
      <w:pPr>
        <w:ind w:firstLine="420"/>
      </w:pPr>
      <w:r>
        <w:rPr>
          <w:b/>
        </w:rPr>
        <w:t>1</w:t>
      </w:r>
      <w:r>
        <w:rPr>
          <w:rFonts w:hint="eastAsia"/>
        </w:rPr>
        <w:t xml:space="preserve">  </w:t>
      </w:r>
      <w:r>
        <w:t>单列机柜正面与墙的距离不应小于1.2</w:t>
      </w:r>
      <w:r>
        <w:rPr>
          <w:rFonts w:hint="eastAsia"/>
          <w:bCs/>
          <w:szCs w:val="28"/>
        </w:rPr>
        <w:t>米</w:t>
      </w:r>
      <w:r>
        <w:t>，后面和侧面与墙距离不应小于1.0</w:t>
      </w:r>
      <w:r>
        <w:rPr>
          <w:rFonts w:hint="eastAsia"/>
          <w:bCs/>
          <w:szCs w:val="28"/>
        </w:rPr>
        <w:t>米</w:t>
      </w:r>
      <w:r>
        <w:t>。</w:t>
      </w:r>
    </w:p>
    <w:p w14:paraId="3149B05B">
      <w:pPr>
        <w:ind w:firstLine="420"/>
      </w:pPr>
      <w:r>
        <w:rPr>
          <w:b/>
        </w:rPr>
        <w:t>2</w:t>
      </w:r>
      <w:r>
        <w:rPr>
          <w:rFonts w:hint="eastAsia"/>
        </w:rPr>
        <w:t xml:space="preserve">  </w:t>
      </w:r>
      <w:r>
        <w:t>两相对机柜正面之间距离不应小于1.2</w:t>
      </w:r>
      <w:r>
        <w:rPr>
          <w:rFonts w:hint="eastAsia"/>
          <w:bCs/>
          <w:szCs w:val="28"/>
        </w:rPr>
        <w:t>米</w:t>
      </w:r>
      <w:r>
        <w:t>，后面和侧面与墙距离不应小于1.0</w:t>
      </w:r>
      <w:r>
        <w:rPr>
          <w:rFonts w:hint="eastAsia"/>
          <w:bCs/>
          <w:szCs w:val="28"/>
        </w:rPr>
        <w:t>米</w:t>
      </w:r>
      <w:r>
        <w:t>。</w:t>
      </w:r>
    </w:p>
    <w:p w14:paraId="72FF5E82">
      <w:pPr>
        <w:pStyle w:val="3"/>
      </w:pPr>
      <w:r>
        <w:br w:type="page"/>
      </w:r>
      <w:bookmarkStart w:id="1571" w:name="_Toc183683594"/>
      <w:bookmarkStart w:id="1572" w:name="_Toc183888603"/>
      <w:bookmarkStart w:id="1573" w:name="_Toc183888241"/>
      <w:bookmarkStart w:id="1574" w:name="_Toc183882189"/>
      <w:bookmarkStart w:id="1575" w:name="_Toc183882551"/>
      <w:bookmarkStart w:id="1576" w:name="_Toc183765198"/>
      <w:bookmarkStart w:id="1577" w:name="_Toc183790628"/>
      <w:bookmarkStart w:id="1578" w:name="_Toc183735424"/>
      <w:bookmarkStart w:id="1579" w:name="_Toc183699880"/>
      <w:r>
        <w:t>火灾自动报警系统</w:t>
      </w:r>
      <w:bookmarkEnd w:id="1571"/>
      <w:bookmarkEnd w:id="1572"/>
      <w:bookmarkEnd w:id="1573"/>
      <w:bookmarkEnd w:id="1574"/>
      <w:bookmarkEnd w:id="1575"/>
      <w:bookmarkEnd w:id="1576"/>
      <w:bookmarkEnd w:id="1577"/>
      <w:bookmarkEnd w:id="1578"/>
      <w:bookmarkEnd w:id="1579"/>
    </w:p>
    <w:p w14:paraId="49D99E0F">
      <w:pPr>
        <w:numPr>
          <w:ilvl w:val="1"/>
          <w:numId w:val="1"/>
        </w:numPr>
        <w:snapToGrid w:val="0"/>
        <w:spacing w:before="156" w:after="156" w:line="240" w:lineRule="auto"/>
        <w:jc w:val="center"/>
        <w:outlineLvl w:val="1"/>
        <w:rPr>
          <w:rFonts w:eastAsia="黑体"/>
          <w:bCs/>
          <w:szCs w:val="28"/>
        </w:rPr>
      </w:pPr>
      <w:bookmarkStart w:id="1580" w:name="_Toc183683595"/>
      <w:bookmarkStart w:id="1581" w:name="_Toc183882190"/>
      <w:bookmarkStart w:id="1582" w:name="_Toc183888604"/>
      <w:bookmarkStart w:id="1583" w:name="_Toc183790629"/>
      <w:bookmarkStart w:id="1584" w:name="_Toc183888242"/>
      <w:bookmarkStart w:id="1585" w:name="_Toc183882552"/>
      <w:bookmarkStart w:id="1586" w:name="_Toc183765199"/>
      <w:r>
        <w:rPr>
          <w:rFonts w:eastAsia="黑体"/>
          <w:bCs/>
          <w:szCs w:val="28"/>
        </w:rPr>
        <w:t>一般规定</w:t>
      </w:r>
      <w:bookmarkEnd w:id="1580"/>
      <w:bookmarkEnd w:id="1581"/>
      <w:bookmarkEnd w:id="1582"/>
      <w:bookmarkEnd w:id="1583"/>
      <w:bookmarkEnd w:id="1584"/>
      <w:bookmarkEnd w:id="1585"/>
      <w:bookmarkEnd w:id="1586"/>
    </w:p>
    <w:p w14:paraId="3C91709A">
      <w:pPr>
        <w:numPr>
          <w:ilvl w:val="2"/>
          <w:numId w:val="1"/>
        </w:numPr>
        <w:tabs>
          <w:tab w:val="left" w:pos="709"/>
          <w:tab w:val="left" w:pos="794"/>
        </w:tabs>
        <w:jc w:val="left"/>
        <w:outlineLvl w:val="2"/>
        <w:rPr>
          <w:bCs/>
          <w:szCs w:val="28"/>
        </w:rPr>
      </w:pPr>
      <w:r>
        <w:rPr>
          <w:bCs/>
          <w:szCs w:val="28"/>
        </w:rPr>
        <w:t>车站、区间隧道、区间变电所及系统设备用房、主变电所、车辆基地</w:t>
      </w:r>
      <w:r>
        <w:rPr>
          <w:rFonts w:hint="eastAsia"/>
          <w:bCs/>
          <w:szCs w:val="28"/>
        </w:rPr>
        <w:t>等场所</w:t>
      </w:r>
      <w:r>
        <w:rPr>
          <w:bCs/>
          <w:szCs w:val="28"/>
        </w:rPr>
        <w:t>应设置火灾自动报警系统。</w:t>
      </w:r>
    </w:p>
    <w:p w14:paraId="3299A4E7">
      <w:pPr>
        <w:numPr>
          <w:ilvl w:val="2"/>
          <w:numId w:val="1"/>
        </w:numPr>
        <w:tabs>
          <w:tab w:val="left" w:pos="709"/>
          <w:tab w:val="left" w:pos="794"/>
        </w:tabs>
        <w:jc w:val="left"/>
        <w:outlineLvl w:val="2"/>
        <w:rPr>
          <w:bCs/>
          <w:szCs w:val="28"/>
        </w:rPr>
      </w:pPr>
      <w:r>
        <w:rPr>
          <w:bCs/>
          <w:szCs w:val="28"/>
        </w:rPr>
        <w:t>火灾自动报警系统的时钟应与通信系统中心母钟的信号保持同步。</w:t>
      </w:r>
    </w:p>
    <w:p w14:paraId="4B580D68">
      <w:pPr>
        <w:numPr>
          <w:ilvl w:val="2"/>
          <w:numId w:val="1"/>
        </w:numPr>
        <w:tabs>
          <w:tab w:val="left" w:pos="709"/>
          <w:tab w:val="left" w:pos="794"/>
        </w:tabs>
        <w:jc w:val="left"/>
        <w:outlineLvl w:val="2"/>
        <w:rPr>
          <w:bCs/>
          <w:szCs w:val="28"/>
        </w:rPr>
      </w:pPr>
      <w:r>
        <w:rPr>
          <w:bCs/>
          <w:szCs w:val="28"/>
        </w:rPr>
        <w:t>换乘车站火灾自动报警系统根据车站换乘方式，宜按系统共享原则设置。</w:t>
      </w:r>
    </w:p>
    <w:p w14:paraId="0C07204F">
      <w:pPr>
        <w:numPr>
          <w:ilvl w:val="2"/>
          <w:numId w:val="1"/>
        </w:numPr>
        <w:tabs>
          <w:tab w:val="left" w:pos="709"/>
          <w:tab w:val="left" w:pos="794"/>
        </w:tabs>
        <w:jc w:val="left"/>
        <w:outlineLvl w:val="2"/>
        <w:rPr>
          <w:bCs/>
          <w:szCs w:val="28"/>
        </w:rPr>
      </w:pPr>
      <w:r>
        <w:rPr>
          <w:bCs/>
          <w:szCs w:val="28"/>
        </w:rPr>
        <w:t>火灾自动报警系统应</w:t>
      </w:r>
      <w:r>
        <w:rPr>
          <w:rFonts w:hint="eastAsia"/>
          <w:bCs/>
          <w:szCs w:val="28"/>
        </w:rPr>
        <w:t>按全线车站及区间同一时间只发生一次火灾的原则设定救灾模式；换乘车站也应按同一时间只发生一次火灾的原则设定救灾模式</w:t>
      </w:r>
      <w:r>
        <w:rPr>
          <w:bCs/>
          <w:szCs w:val="28"/>
        </w:rPr>
        <w:t>。</w:t>
      </w:r>
    </w:p>
    <w:p w14:paraId="086F1BCB">
      <w:pPr>
        <w:numPr>
          <w:ilvl w:val="2"/>
          <w:numId w:val="1"/>
        </w:numPr>
        <w:tabs>
          <w:tab w:val="left" w:pos="709"/>
          <w:tab w:val="left" w:pos="794"/>
        </w:tabs>
        <w:jc w:val="left"/>
        <w:outlineLvl w:val="2"/>
        <w:rPr>
          <w:bCs/>
          <w:szCs w:val="28"/>
        </w:rPr>
      </w:pPr>
      <w:r>
        <w:rPr>
          <w:bCs/>
          <w:szCs w:val="28"/>
        </w:rPr>
        <w:t>车辆基地火灾自动报警系统可独立设置，实现独立的消防管理，可不纳入正线中央级系统</w:t>
      </w:r>
      <w:r>
        <w:rPr>
          <w:rFonts w:hint="eastAsia"/>
          <w:bCs/>
          <w:szCs w:val="28"/>
        </w:rPr>
        <w:t>，独立设置时应与正线火灾自动报警系统实现信息互联互通</w:t>
      </w:r>
      <w:r>
        <w:rPr>
          <w:bCs/>
          <w:szCs w:val="28"/>
        </w:rPr>
        <w:t>。</w:t>
      </w:r>
    </w:p>
    <w:p w14:paraId="2989EADA">
      <w:pPr>
        <w:numPr>
          <w:ilvl w:val="2"/>
          <w:numId w:val="1"/>
        </w:numPr>
        <w:tabs>
          <w:tab w:val="left" w:pos="709"/>
          <w:tab w:val="left" w:pos="794"/>
        </w:tabs>
        <w:jc w:val="left"/>
        <w:outlineLvl w:val="2"/>
        <w:rPr>
          <w:bCs/>
          <w:szCs w:val="28"/>
        </w:rPr>
      </w:pPr>
      <w:r>
        <w:rPr>
          <w:bCs/>
          <w:szCs w:val="28"/>
        </w:rPr>
        <w:t>火灾自动报警系统信息安全等级保护</w:t>
      </w:r>
      <w:r>
        <w:rPr>
          <w:rFonts w:hint="eastAsia"/>
          <w:bCs/>
          <w:szCs w:val="28"/>
        </w:rPr>
        <w:t>不应低于</w:t>
      </w:r>
      <w:r>
        <w:rPr>
          <w:bCs/>
          <w:szCs w:val="28"/>
        </w:rPr>
        <w:t>二级。</w:t>
      </w:r>
    </w:p>
    <w:p w14:paraId="2B037833">
      <w:pPr>
        <w:numPr>
          <w:ilvl w:val="2"/>
          <w:numId w:val="1"/>
        </w:numPr>
        <w:tabs>
          <w:tab w:val="left" w:pos="709"/>
          <w:tab w:val="left" w:pos="794"/>
        </w:tabs>
        <w:jc w:val="left"/>
        <w:outlineLvl w:val="2"/>
        <w:rPr>
          <w:bCs/>
          <w:szCs w:val="28"/>
        </w:rPr>
      </w:pPr>
      <w:r>
        <w:rPr>
          <w:bCs/>
          <w:szCs w:val="28"/>
        </w:rPr>
        <w:t>火灾自动报警系统的设计除满足本规范的规定外，尚应符合现行国家标准《火灾自动报警系统设计规范》GB50116及有关强制性国家标准、规范的有关规定。</w:t>
      </w:r>
    </w:p>
    <w:p w14:paraId="3F270F8C">
      <w:pPr>
        <w:numPr>
          <w:ilvl w:val="1"/>
          <w:numId w:val="1"/>
        </w:numPr>
        <w:snapToGrid w:val="0"/>
        <w:spacing w:before="156" w:after="156" w:line="240" w:lineRule="auto"/>
        <w:jc w:val="center"/>
        <w:outlineLvl w:val="1"/>
        <w:rPr>
          <w:rFonts w:eastAsia="黑体"/>
          <w:bCs/>
          <w:szCs w:val="28"/>
        </w:rPr>
      </w:pPr>
      <w:bookmarkStart w:id="1587" w:name="_Toc183882553"/>
      <w:bookmarkStart w:id="1588" w:name="_Toc183790630"/>
      <w:bookmarkStart w:id="1589" w:name="_Toc183888243"/>
      <w:bookmarkStart w:id="1590" w:name="_Toc183683596"/>
      <w:bookmarkStart w:id="1591" w:name="_Toc183882191"/>
      <w:bookmarkStart w:id="1592" w:name="_Toc183888605"/>
      <w:bookmarkStart w:id="1593" w:name="_Toc183765200"/>
      <w:r>
        <w:rPr>
          <w:rFonts w:eastAsia="黑体"/>
          <w:bCs/>
          <w:szCs w:val="28"/>
        </w:rPr>
        <w:t>系统构成</w:t>
      </w:r>
      <w:bookmarkEnd w:id="1587"/>
      <w:bookmarkEnd w:id="1588"/>
      <w:bookmarkEnd w:id="1589"/>
      <w:bookmarkEnd w:id="1590"/>
      <w:bookmarkEnd w:id="1591"/>
      <w:bookmarkEnd w:id="1592"/>
      <w:bookmarkEnd w:id="1593"/>
    </w:p>
    <w:p w14:paraId="588C5196">
      <w:pPr>
        <w:numPr>
          <w:ilvl w:val="2"/>
          <w:numId w:val="1"/>
        </w:numPr>
        <w:tabs>
          <w:tab w:val="left" w:pos="709"/>
          <w:tab w:val="left" w:pos="794"/>
        </w:tabs>
        <w:jc w:val="left"/>
        <w:outlineLvl w:val="2"/>
        <w:rPr>
          <w:bCs/>
          <w:szCs w:val="28"/>
        </w:rPr>
      </w:pPr>
      <w:r>
        <w:rPr>
          <w:bCs/>
          <w:szCs w:val="28"/>
        </w:rPr>
        <w:t>火灾自动报警系统应由报警系统和联动系统构成，并应实现火灾救灾设备的控制及与相关系统的联动控制。</w:t>
      </w:r>
    </w:p>
    <w:p w14:paraId="1A22DEA1">
      <w:pPr>
        <w:numPr>
          <w:ilvl w:val="2"/>
          <w:numId w:val="1"/>
        </w:numPr>
        <w:tabs>
          <w:tab w:val="left" w:pos="709"/>
          <w:tab w:val="left" w:pos="794"/>
        </w:tabs>
        <w:jc w:val="left"/>
        <w:outlineLvl w:val="2"/>
        <w:rPr>
          <w:bCs/>
          <w:szCs w:val="28"/>
        </w:rPr>
      </w:pPr>
      <w:r>
        <w:rPr>
          <w:bCs/>
          <w:szCs w:val="28"/>
        </w:rPr>
        <w:t>火灾自动报警系统由中央级监控管理系统、车站级监控管理系统、现场级监控设备及相关通信网络等构成。</w:t>
      </w:r>
    </w:p>
    <w:p w14:paraId="46C398FC">
      <w:pPr>
        <w:numPr>
          <w:ilvl w:val="2"/>
          <w:numId w:val="1"/>
        </w:numPr>
        <w:tabs>
          <w:tab w:val="left" w:pos="709"/>
          <w:tab w:val="left" w:pos="794"/>
        </w:tabs>
        <w:jc w:val="left"/>
        <w:outlineLvl w:val="2"/>
        <w:rPr>
          <w:bCs/>
          <w:szCs w:val="28"/>
        </w:rPr>
      </w:pPr>
      <w:r>
        <w:rPr>
          <w:rFonts w:hint="eastAsia"/>
          <w:bCs/>
          <w:szCs w:val="28"/>
        </w:rPr>
        <w:t>当设置综合监控系统时，火灾自动报警系统宜由综合监控系统集成或操作人机界面纳入综合监控系统。</w:t>
      </w:r>
    </w:p>
    <w:p w14:paraId="58D0D4DC">
      <w:pPr>
        <w:numPr>
          <w:ilvl w:val="2"/>
          <w:numId w:val="1"/>
        </w:numPr>
        <w:tabs>
          <w:tab w:val="left" w:pos="709"/>
          <w:tab w:val="left" w:pos="794"/>
        </w:tabs>
        <w:outlineLvl w:val="2"/>
      </w:pPr>
      <w:r>
        <w:t>全线火灾自动报警与联动控制的信息传输网络</w:t>
      </w:r>
      <w:r>
        <w:rPr>
          <w:rFonts w:hint="eastAsia"/>
        </w:rPr>
        <w:t>应</w:t>
      </w:r>
      <w:r>
        <w:t>采用</w:t>
      </w:r>
      <w:r>
        <w:rPr>
          <w:rFonts w:hint="eastAsia"/>
        </w:rPr>
        <w:t>轨道交通公共通信网络</w:t>
      </w:r>
      <w:r>
        <w:t>，火灾自动报警系统现场级网络应独立配置。</w:t>
      </w:r>
    </w:p>
    <w:p w14:paraId="5E82E98A">
      <w:pPr>
        <w:numPr>
          <w:ilvl w:val="1"/>
          <w:numId w:val="1"/>
        </w:numPr>
        <w:snapToGrid w:val="0"/>
        <w:spacing w:before="156" w:after="156" w:line="240" w:lineRule="auto"/>
        <w:jc w:val="center"/>
        <w:outlineLvl w:val="1"/>
        <w:rPr>
          <w:rFonts w:eastAsia="黑体"/>
          <w:bCs/>
          <w:szCs w:val="28"/>
        </w:rPr>
      </w:pPr>
      <w:bookmarkStart w:id="1594" w:name="_Toc183888606"/>
      <w:bookmarkStart w:id="1595" w:name="_Toc183882554"/>
      <w:bookmarkStart w:id="1596" w:name="_Toc183888244"/>
      <w:bookmarkStart w:id="1597" w:name="_Toc183683597"/>
      <w:bookmarkStart w:id="1598" w:name="_Toc183882192"/>
      <w:bookmarkStart w:id="1599" w:name="_Toc183790631"/>
      <w:bookmarkStart w:id="1600" w:name="_Toc183765201"/>
      <w:r>
        <w:rPr>
          <w:rFonts w:eastAsia="黑体"/>
          <w:bCs/>
          <w:szCs w:val="28"/>
        </w:rPr>
        <w:t>系统功能</w:t>
      </w:r>
      <w:bookmarkEnd w:id="1594"/>
      <w:bookmarkEnd w:id="1595"/>
      <w:bookmarkEnd w:id="1596"/>
      <w:bookmarkEnd w:id="1597"/>
      <w:bookmarkEnd w:id="1598"/>
      <w:bookmarkEnd w:id="1599"/>
      <w:bookmarkEnd w:id="1600"/>
    </w:p>
    <w:p w14:paraId="5F46495E">
      <w:pPr>
        <w:numPr>
          <w:ilvl w:val="2"/>
          <w:numId w:val="1"/>
        </w:numPr>
        <w:tabs>
          <w:tab w:val="left" w:pos="709"/>
          <w:tab w:val="left" w:pos="794"/>
        </w:tabs>
        <w:jc w:val="left"/>
        <w:outlineLvl w:val="2"/>
        <w:rPr>
          <w:bCs/>
          <w:snapToGrid w:val="0"/>
          <w:szCs w:val="28"/>
        </w:rPr>
      </w:pPr>
      <w:r>
        <w:rPr>
          <w:bCs/>
          <w:szCs w:val="28"/>
        </w:rPr>
        <w:t>中心级火灾自</w:t>
      </w:r>
      <w:r>
        <w:rPr>
          <w:bCs/>
          <w:snapToGrid w:val="0"/>
          <w:szCs w:val="28"/>
        </w:rPr>
        <w:t>动报警系统应具备下列功能：</w:t>
      </w:r>
    </w:p>
    <w:p w14:paraId="26798D1E">
      <w:pPr>
        <w:ind w:firstLine="422" w:firstLineChars="200"/>
        <w:rPr>
          <w:snapToGrid w:val="0"/>
        </w:rPr>
      </w:pPr>
      <w:r>
        <w:rPr>
          <w:b/>
          <w:snapToGrid w:val="0"/>
        </w:rPr>
        <w:t>1</w:t>
      </w:r>
      <w:r>
        <w:rPr>
          <w:rFonts w:hint="eastAsia"/>
          <w:b/>
          <w:snapToGrid w:val="0"/>
        </w:rPr>
        <w:t xml:space="preserve"> </w:t>
      </w:r>
      <w:r>
        <w:rPr>
          <w:rFonts w:hint="eastAsia"/>
          <w:snapToGrid w:val="0"/>
        </w:rPr>
        <w:t xml:space="preserve"> </w:t>
      </w:r>
      <w:r>
        <w:rPr>
          <w:snapToGrid w:val="0"/>
        </w:rPr>
        <w:t>与上一级系统实现信息交互</w:t>
      </w:r>
      <w:r>
        <w:rPr>
          <w:rFonts w:hint="eastAsia"/>
          <w:snapToGrid w:val="0"/>
        </w:rPr>
        <w:t>；</w:t>
      </w:r>
    </w:p>
    <w:p w14:paraId="202775F1">
      <w:pPr>
        <w:ind w:firstLine="422" w:firstLineChars="200"/>
        <w:rPr>
          <w:snapToGrid w:val="0"/>
        </w:rPr>
      </w:pPr>
      <w:r>
        <w:rPr>
          <w:b/>
          <w:snapToGrid w:val="0"/>
        </w:rPr>
        <w:t>2</w:t>
      </w:r>
      <w:r>
        <w:rPr>
          <w:rFonts w:hint="eastAsia"/>
          <w:b/>
          <w:snapToGrid w:val="0"/>
        </w:rPr>
        <w:t xml:space="preserve"> </w:t>
      </w:r>
      <w:r>
        <w:rPr>
          <w:rFonts w:hint="eastAsia"/>
          <w:snapToGrid w:val="0"/>
        </w:rPr>
        <w:t xml:space="preserve"> </w:t>
      </w:r>
      <w:r>
        <w:rPr>
          <w:snapToGrid w:val="0"/>
        </w:rPr>
        <w:t>与车站级火灾自动报警系统进行通信联络</w:t>
      </w:r>
      <w:r>
        <w:rPr>
          <w:rFonts w:hint="eastAsia"/>
          <w:snapToGrid w:val="0"/>
        </w:rPr>
        <w:t>；</w:t>
      </w:r>
    </w:p>
    <w:p w14:paraId="24E46150">
      <w:pPr>
        <w:ind w:firstLine="422" w:firstLineChars="200"/>
        <w:rPr>
          <w:snapToGrid w:val="0"/>
        </w:rPr>
      </w:pPr>
      <w:r>
        <w:rPr>
          <w:b/>
          <w:snapToGrid w:val="0"/>
        </w:rPr>
        <w:t>3</w:t>
      </w:r>
      <w:r>
        <w:rPr>
          <w:rFonts w:hint="eastAsia"/>
          <w:b/>
          <w:snapToGrid w:val="0"/>
        </w:rPr>
        <w:t xml:space="preserve"> </w:t>
      </w:r>
      <w:r>
        <w:rPr>
          <w:rFonts w:hint="eastAsia"/>
          <w:snapToGrid w:val="0"/>
        </w:rPr>
        <w:t xml:space="preserve"> </w:t>
      </w:r>
      <w:r>
        <w:rPr>
          <w:snapToGrid w:val="0"/>
        </w:rPr>
        <w:t>发布火灾报警信息</w:t>
      </w:r>
      <w:r>
        <w:rPr>
          <w:rFonts w:hint="eastAsia"/>
          <w:snapToGrid w:val="0"/>
        </w:rPr>
        <w:t>；</w:t>
      </w:r>
    </w:p>
    <w:p w14:paraId="68760DD5">
      <w:pPr>
        <w:ind w:firstLine="422" w:firstLineChars="200"/>
        <w:rPr>
          <w:snapToGrid w:val="0"/>
        </w:rPr>
      </w:pPr>
      <w:r>
        <w:rPr>
          <w:b/>
          <w:snapToGrid w:val="0"/>
        </w:rPr>
        <w:t>4</w:t>
      </w:r>
      <w:r>
        <w:rPr>
          <w:rFonts w:hint="eastAsia"/>
          <w:b/>
          <w:snapToGrid w:val="0"/>
        </w:rPr>
        <w:t xml:space="preserve"> </w:t>
      </w:r>
      <w:r>
        <w:rPr>
          <w:rFonts w:hint="eastAsia"/>
          <w:snapToGrid w:val="0"/>
        </w:rPr>
        <w:t xml:space="preserve"> </w:t>
      </w:r>
      <w:r>
        <w:t>显示全线火灾报警信息</w:t>
      </w:r>
      <w:r>
        <w:rPr>
          <w:snapToGrid w:val="0"/>
        </w:rPr>
        <w:t>、消防设备设施的工作状态信息等</w:t>
      </w:r>
      <w:r>
        <w:rPr>
          <w:rFonts w:hint="eastAsia"/>
          <w:snapToGrid w:val="0"/>
        </w:rPr>
        <w:t>；</w:t>
      </w:r>
    </w:p>
    <w:p w14:paraId="13FD8111">
      <w:pPr>
        <w:ind w:firstLine="422" w:firstLineChars="200"/>
      </w:pPr>
      <w:r>
        <w:rPr>
          <w:b/>
          <w:snapToGrid w:val="0"/>
        </w:rPr>
        <w:t>5</w:t>
      </w:r>
      <w:r>
        <w:rPr>
          <w:rFonts w:hint="eastAsia"/>
          <w:b/>
          <w:snapToGrid w:val="0"/>
        </w:rPr>
        <w:t xml:space="preserve"> </w:t>
      </w:r>
      <w:r>
        <w:rPr>
          <w:rFonts w:hint="eastAsia"/>
          <w:snapToGrid w:val="0"/>
        </w:rPr>
        <w:t xml:space="preserve"> </w:t>
      </w:r>
      <w:r>
        <w:rPr>
          <w:snapToGrid w:val="0"/>
        </w:rPr>
        <w:t>系统信息、状态的存储、查询、打印</w:t>
      </w:r>
      <w:r>
        <w:t>等</w:t>
      </w:r>
      <w:r>
        <w:rPr>
          <w:rFonts w:hint="eastAsia"/>
        </w:rPr>
        <w:t>。</w:t>
      </w:r>
    </w:p>
    <w:p w14:paraId="7F4D3719">
      <w:pPr>
        <w:numPr>
          <w:ilvl w:val="2"/>
          <w:numId w:val="1"/>
        </w:numPr>
        <w:tabs>
          <w:tab w:val="left" w:pos="709"/>
          <w:tab w:val="left" w:pos="794"/>
        </w:tabs>
        <w:jc w:val="left"/>
        <w:outlineLvl w:val="2"/>
        <w:rPr>
          <w:bCs/>
          <w:szCs w:val="28"/>
        </w:rPr>
      </w:pPr>
      <w:r>
        <w:rPr>
          <w:bCs/>
          <w:szCs w:val="28"/>
        </w:rPr>
        <w:t>车站级火灾自动报警系统应具备下列功能：</w:t>
      </w:r>
    </w:p>
    <w:p w14:paraId="5047B6B0">
      <w:pPr>
        <w:ind w:firstLine="422" w:firstLineChars="200"/>
      </w:pPr>
      <w:r>
        <w:rPr>
          <w:b/>
        </w:rPr>
        <w:t>1</w:t>
      </w:r>
      <w:r>
        <w:rPr>
          <w:rFonts w:hint="eastAsia"/>
        </w:rPr>
        <w:t xml:space="preserve">  </w:t>
      </w:r>
      <w:r>
        <w:t>与中心级火灾自动报警系统进行通信联络</w:t>
      </w:r>
      <w:r>
        <w:rPr>
          <w:rFonts w:hint="eastAsia"/>
        </w:rPr>
        <w:t>；</w:t>
      </w:r>
    </w:p>
    <w:p w14:paraId="6A385A79">
      <w:pPr>
        <w:ind w:firstLine="422" w:firstLineChars="200"/>
      </w:pPr>
      <w:r>
        <w:rPr>
          <w:b/>
        </w:rPr>
        <w:t>2</w:t>
      </w:r>
      <w:r>
        <w:rPr>
          <w:rFonts w:hint="eastAsia"/>
        </w:rPr>
        <w:t xml:space="preserve">  </w:t>
      </w:r>
      <w:r>
        <w:t>与就地级自动报警系统进行通信联络</w:t>
      </w:r>
      <w:r>
        <w:rPr>
          <w:rFonts w:hint="eastAsia"/>
        </w:rPr>
        <w:t>；</w:t>
      </w:r>
    </w:p>
    <w:p w14:paraId="0EF3BA50">
      <w:pPr>
        <w:ind w:firstLine="422" w:firstLineChars="200"/>
      </w:pPr>
      <w:r>
        <w:rPr>
          <w:b/>
        </w:rPr>
        <w:t>3</w:t>
      </w:r>
      <w:r>
        <w:rPr>
          <w:rFonts w:hint="eastAsia"/>
        </w:rPr>
        <w:t xml:space="preserve">  </w:t>
      </w:r>
      <w:r>
        <w:t>发布消防控制指令，控制消防设备的启、停</w:t>
      </w:r>
      <w:r>
        <w:rPr>
          <w:rFonts w:hint="eastAsia"/>
        </w:rPr>
        <w:t>；</w:t>
      </w:r>
    </w:p>
    <w:p w14:paraId="373F472F">
      <w:pPr>
        <w:ind w:firstLine="422" w:firstLineChars="200"/>
      </w:pPr>
      <w:r>
        <w:rPr>
          <w:b/>
        </w:rPr>
        <w:t>4</w:t>
      </w:r>
      <w:r>
        <w:rPr>
          <w:rFonts w:hint="eastAsia"/>
        </w:rPr>
        <w:t xml:space="preserve">  </w:t>
      </w:r>
      <w:r>
        <w:t>显示火灾报警信息、消防设备设施的工作状态信息等</w:t>
      </w:r>
      <w:r>
        <w:rPr>
          <w:rFonts w:hint="eastAsia"/>
        </w:rPr>
        <w:t>；</w:t>
      </w:r>
    </w:p>
    <w:p w14:paraId="119AB1CA">
      <w:pPr>
        <w:ind w:firstLine="422" w:firstLineChars="200"/>
      </w:pPr>
      <w:r>
        <w:rPr>
          <w:b/>
        </w:rPr>
        <w:t>5</w:t>
      </w:r>
      <w:r>
        <w:rPr>
          <w:rFonts w:hint="eastAsia"/>
        </w:rPr>
        <w:t xml:space="preserve">  </w:t>
      </w:r>
      <w:r>
        <w:t>系统信息、状态的存储、查询、打印等。</w:t>
      </w:r>
    </w:p>
    <w:p w14:paraId="76A35272">
      <w:pPr>
        <w:numPr>
          <w:ilvl w:val="2"/>
          <w:numId w:val="1"/>
        </w:numPr>
        <w:tabs>
          <w:tab w:val="left" w:pos="709"/>
          <w:tab w:val="left" w:pos="794"/>
        </w:tabs>
        <w:jc w:val="left"/>
        <w:outlineLvl w:val="2"/>
        <w:rPr>
          <w:bCs/>
          <w:szCs w:val="28"/>
        </w:rPr>
      </w:pPr>
      <w:r>
        <w:rPr>
          <w:bCs/>
          <w:szCs w:val="28"/>
        </w:rPr>
        <w:t>就地级火灾自动报警系统应具备下列功能：</w:t>
      </w:r>
    </w:p>
    <w:p w14:paraId="729EC4DD">
      <w:pPr>
        <w:ind w:firstLine="422" w:firstLineChars="200"/>
      </w:pPr>
      <w:r>
        <w:rPr>
          <w:b/>
        </w:rPr>
        <w:t>1</w:t>
      </w:r>
      <w:r>
        <w:rPr>
          <w:rFonts w:hint="eastAsia"/>
        </w:rPr>
        <w:t xml:space="preserve">  </w:t>
      </w:r>
      <w:r>
        <w:t>采集火灾信息，上传车站级火灾自动报警系统</w:t>
      </w:r>
      <w:r>
        <w:rPr>
          <w:rFonts w:hint="eastAsia"/>
        </w:rPr>
        <w:t>；</w:t>
      </w:r>
    </w:p>
    <w:p w14:paraId="4FF35064">
      <w:pPr>
        <w:ind w:firstLine="422" w:firstLineChars="200"/>
      </w:pPr>
      <w:r>
        <w:rPr>
          <w:b/>
        </w:rPr>
        <w:t>2</w:t>
      </w:r>
      <w:r>
        <w:rPr>
          <w:rFonts w:hint="eastAsia"/>
        </w:rPr>
        <w:t xml:space="preserve">  </w:t>
      </w:r>
      <w:r>
        <w:t>监视消防设备的工作状态</w:t>
      </w:r>
      <w:r>
        <w:rPr>
          <w:rFonts w:hint="eastAsia"/>
        </w:rPr>
        <w:t>。</w:t>
      </w:r>
    </w:p>
    <w:p w14:paraId="445FDAC7">
      <w:pPr>
        <w:numPr>
          <w:ilvl w:val="2"/>
          <w:numId w:val="1"/>
        </w:numPr>
        <w:tabs>
          <w:tab w:val="left" w:pos="709"/>
          <w:tab w:val="left" w:pos="794"/>
        </w:tabs>
        <w:jc w:val="left"/>
        <w:outlineLvl w:val="2"/>
        <w:rPr>
          <w:bCs/>
          <w:szCs w:val="28"/>
        </w:rPr>
      </w:pPr>
      <w:r>
        <w:rPr>
          <w:bCs/>
          <w:szCs w:val="28"/>
        </w:rPr>
        <w:t>列车车厢应设火灾自动报警系统，当列车采用GOA4自动化等级运行时，应将列车火灾报警信息实时传至运营控制中心</w:t>
      </w:r>
      <w:r>
        <w:rPr>
          <w:rFonts w:hint="eastAsia"/>
          <w:bCs/>
          <w:szCs w:val="28"/>
        </w:rPr>
        <w:t>。</w:t>
      </w:r>
    </w:p>
    <w:p w14:paraId="2C58E4F4">
      <w:pPr>
        <w:numPr>
          <w:ilvl w:val="1"/>
          <w:numId w:val="1"/>
        </w:numPr>
        <w:snapToGrid w:val="0"/>
        <w:spacing w:before="156" w:after="156" w:line="240" w:lineRule="auto"/>
        <w:jc w:val="center"/>
        <w:outlineLvl w:val="1"/>
        <w:rPr>
          <w:rFonts w:eastAsia="黑体"/>
          <w:bCs/>
          <w:szCs w:val="28"/>
        </w:rPr>
      </w:pPr>
      <w:bookmarkStart w:id="1601" w:name="_Toc183683598"/>
      <w:bookmarkStart w:id="1602" w:name="_Toc183882555"/>
      <w:bookmarkStart w:id="1603" w:name="_Toc183888245"/>
      <w:bookmarkStart w:id="1604" w:name="_Toc183888607"/>
      <w:bookmarkStart w:id="1605" w:name="_Toc183765202"/>
      <w:bookmarkStart w:id="1606" w:name="_Toc183882193"/>
      <w:bookmarkStart w:id="1607" w:name="_Toc183790632"/>
      <w:r>
        <w:rPr>
          <w:rFonts w:eastAsia="黑体"/>
          <w:bCs/>
          <w:szCs w:val="28"/>
        </w:rPr>
        <w:t>消防联动控制</w:t>
      </w:r>
      <w:bookmarkEnd w:id="1601"/>
      <w:bookmarkEnd w:id="1602"/>
      <w:bookmarkEnd w:id="1603"/>
      <w:bookmarkEnd w:id="1604"/>
      <w:bookmarkEnd w:id="1605"/>
      <w:bookmarkEnd w:id="1606"/>
      <w:bookmarkEnd w:id="1607"/>
    </w:p>
    <w:p w14:paraId="69542441">
      <w:pPr>
        <w:numPr>
          <w:ilvl w:val="2"/>
          <w:numId w:val="1"/>
        </w:numPr>
        <w:tabs>
          <w:tab w:val="left" w:pos="709"/>
          <w:tab w:val="left" w:pos="794"/>
        </w:tabs>
        <w:jc w:val="left"/>
        <w:outlineLvl w:val="2"/>
        <w:rPr>
          <w:bCs/>
          <w:szCs w:val="28"/>
        </w:rPr>
      </w:pPr>
      <w:r>
        <w:rPr>
          <w:bCs/>
          <w:szCs w:val="28"/>
        </w:rPr>
        <w:t>消防联动控制系统应实现消火栓系统、水喷淋系统、自动灭火系统、防烟排烟系统、消防电源及应急照明系统、疏散指示系统、消防广播系统、自动售检票系统、门禁系统、</w:t>
      </w:r>
      <w:r>
        <w:rPr>
          <w:rFonts w:hint="eastAsia"/>
          <w:bCs/>
          <w:szCs w:val="28"/>
        </w:rPr>
        <w:t>站台屏蔽门</w:t>
      </w:r>
      <w:r>
        <w:rPr>
          <w:bCs/>
          <w:szCs w:val="28"/>
        </w:rPr>
        <w:t>及防火卷帘、电动挡烟垂帘、自动扶梯、电梯等设备系统在火灾情况下的消防联动控制。</w:t>
      </w:r>
    </w:p>
    <w:p w14:paraId="5BFFB39E">
      <w:pPr>
        <w:numPr>
          <w:ilvl w:val="2"/>
          <w:numId w:val="1"/>
        </w:numPr>
        <w:tabs>
          <w:tab w:val="left" w:pos="709"/>
          <w:tab w:val="left" w:pos="794"/>
        </w:tabs>
        <w:jc w:val="left"/>
        <w:outlineLvl w:val="2"/>
        <w:rPr>
          <w:bCs/>
          <w:szCs w:val="28"/>
        </w:rPr>
      </w:pPr>
      <w:r>
        <w:rPr>
          <w:bCs/>
          <w:szCs w:val="28"/>
        </w:rPr>
        <w:t>消火栓系统的控制应符合下列规定：</w:t>
      </w:r>
    </w:p>
    <w:p w14:paraId="7B9AA4B6">
      <w:pPr>
        <w:ind w:firstLine="422" w:firstLineChars="200"/>
      </w:pPr>
      <w:r>
        <w:rPr>
          <w:b/>
        </w:rPr>
        <w:t>1</w:t>
      </w:r>
      <w:r>
        <w:rPr>
          <w:rFonts w:hint="eastAsia"/>
        </w:rPr>
        <w:t xml:space="preserve">  </w:t>
      </w:r>
      <w:r>
        <w:t>控制消防泵的启、停；</w:t>
      </w:r>
    </w:p>
    <w:p w14:paraId="76ADE508">
      <w:pPr>
        <w:ind w:firstLine="422" w:firstLineChars="200"/>
      </w:pPr>
      <w:r>
        <w:rPr>
          <w:b/>
        </w:rPr>
        <w:t>2</w:t>
      </w:r>
      <w:r>
        <w:rPr>
          <w:rFonts w:hint="eastAsia"/>
        </w:rPr>
        <w:t xml:space="preserve">  </w:t>
      </w:r>
      <w:r>
        <w:t>车站综合控制室应能显示消防泵的工作、故障和手/自动开关状态、消火栓按钮工作位置；</w:t>
      </w:r>
    </w:p>
    <w:p w14:paraId="08385B1F">
      <w:pPr>
        <w:ind w:firstLine="422" w:firstLineChars="200"/>
      </w:pPr>
      <w:r>
        <w:rPr>
          <w:b/>
        </w:rPr>
        <w:t>3</w:t>
      </w:r>
      <w:r>
        <w:rPr>
          <w:rFonts w:hint="eastAsia"/>
          <w:b/>
        </w:rPr>
        <w:t xml:space="preserve"> </w:t>
      </w:r>
      <w:r>
        <w:rPr>
          <w:rFonts w:hint="eastAsia"/>
        </w:rPr>
        <w:t xml:space="preserve"> </w:t>
      </w:r>
      <w:r>
        <w:t>车站级火灾自动报警系统应控制消防给水干管电动阀门的开关，并显示其工作状态；</w:t>
      </w:r>
    </w:p>
    <w:p w14:paraId="750C676F">
      <w:pPr>
        <w:ind w:firstLine="422" w:firstLineChars="200"/>
      </w:pPr>
      <w:r>
        <w:rPr>
          <w:b/>
        </w:rPr>
        <w:t>4</w:t>
      </w:r>
      <w:r>
        <w:rPr>
          <w:rFonts w:hint="eastAsia"/>
          <w:b/>
        </w:rPr>
        <w:t xml:space="preserve"> </w:t>
      </w:r>
      <w:r>
        <w:rPr>
          <w:rFonts w:hint="eastAsia"/>
        </w:rPr>
        <w:t xml:space="preserve"> </w:t>
      </w:r>
      <w:r>
        <w:t>设消防泵的消火栓处应设消火栓按钮，并可向消防控制室发送启动消防泵的信号。</w:t>
      </w:r>
    </w:p>
    <w:p w14:paraId="77E90FD9">
      <w:pPr>
        <w:numPr>
          <w:ilvl w:val="2"/>
          <w:numId w:val="1"/>
        </w:numPr>
        <w:tabs>
          <w:tab w:val="left" w:pos="709"/>
          <w:tab w:val="left" w:pos="794"/>
        </w:tabs>
        <w:jc w:val="left"/>
        <w:outlineLvl w:val="2"/>
        <w:rPr>
          <w:bCs/>
          <w:szCs w:val="28"/>
        </w:rPr>
      </w:pPr>
      <w:r>
        <w:rPr>
          <w:bCs/>
          <w:szCs w:val="28"/>
        </w:rPr>
        <w:t>车站火灾自动报警系统应显示自动灭火系统保护区的报警、喷放、风阀状态、手/自动开关所处位置；宜与自动灭火控制系统设置通信接口。</w:t>
      </w:r>
    </w:p>
    <w:p w14:paraId="4311E1DB">
      <w:pPr>
        <w:numPr>
          <w:ilvl w:val="2"/>
          <w:numId w:val="1"/>
        </w:numPr>
        <w:tabs>
          <w:tab w:val="left" w:pos="709"/>
          <w:tab w:val="left" w:pos="794"/>
        </w:tabs>
        <w:jc w:val="left"/>
        <w:outlineLvl w:val="2"/>
        <w:rPr>
          <w:bCs/>
          <w:szCs w:val="28"/>
        </w:rPr>
      </w:pPr>
      <w:r>
        <w:rPr>
          <w:bCs/>
          <w:szCs w:val="28"/>
        </w:rPr>
        <w:t>防烟、排烟系统的控制应符合下列规定：</w:t>
      </w:r>
    </w:p>
    <w:p w14:paraId="2012694D">
      <w:pPr>
        <w:ind w:firstLine="422" w:firstLineChars="200"/>
      </w:pPr>
      <w:r>
        <w:rPr>
          <w:b/>
        </w:rPr>
        <w:t>1</w:t>
      </w:r>
      <w:r>
        <w:rPr>
          <w:rFonts w:hint="eastAsia"/>
          <w:b/>
        </w:rPr>
        <w:t xml:space="preserve"> </w:t>
      </w:r>
      <w:r>
        <w:rPr>
          <w:rFonts w:hint="eastAsia"/>
        </w:rPr>
        <w:t xml:space="preserve"> </w:t>
      </w:r>
      <w:r>
        <w:t>由火灾自动报警系统确认火灾，发布预定防烟、排烟模式指令；</w:t>
      </w:r>
    </w:p>
    <w:p w14:paraId="7D5E612C">
      <w:pPr>
        <w:ind w:firstLine="422" w:firstLineChars="200"/>
      </w:pPr>
      <w:r>
        <w:rPr>
          <w:b/>
        </w:rPr>
        <w:t>2</w:t>
      </w:r>
      <w:r>
        <w:rPr>
          <w:rFonts w:hint="eastAsia"/>
        </w:rPr>
        <w:t xml:space="preserve">  </w:t>
      </w:r>
      <w:r>
        <w:t>由火灾自动报警系统直接联动控制；也可由环境与设备监控系统或综合监控系统接收指令对参与防、排烟的非消防专用设备执行联动控制并保证火灾优先；</w:t>
      </w:r>
    </w:p>
    <w:p w14:paraId="28C2C9A6">
      <w:pPr>
        <w:ind w:firstLine="422" w:firstLineChars="200"/>
      </w:pPr>
      <w:r>
        <w:rPr>
          <w:b/>
        </w:rPr>
        <w:t>3</w:t>
      </w:r>
      <w:r>
        <w:rPr>
          <w:rFonts w:hint="eastAsia"/>
          <w:b/>
        </w:rPr>
        <w:t xml:space="preserve"> </w:t>
      </w:r>
      <w:r>
        <w:rPr>
          <w:rFonts w:hint="eastAsia"/>
        </w:rPr>
        <w:t xml:space="preserve"> </w:t>
      </w:r>
      <w:r>
        <w:t>火灾自动报警系统直接联动的设备应在火灾报警显示器上显示运行模式状态。</w:t>
      </w:r>
    </w:p>
    <w:p w14:paraId="53BEB819">
      <w:pPr>
        <w:numPr>
          <w:ilvl w:val="2"/>
          <w:numId w:val="1"/>
        </w:numPr>
        <w:tabs>
          <w:tab w:val="left" w:pos="709"/>
          <w:tab w:val="left" w:pos="794"/>
        </w:tabs>
        <w:jc w:val="left"/>
        <w:outlineLvl w:val="2"/>
        <w:rPr>
          <w:bCs/>
          <w:szCs w:val="28"/>
        </w:rPr>
      </w:pPr>
      <w:r>
        <w:rPr>
          <w:bCs/>
          <w:szCs w:val="28"/>
        </w:rPr>
        <w:t>车站火灾自动报警系统除消防泵和专用防烟、排烟风机设自动控制外，应设手动控制；对防烟、排烟设备还应设手动和自动的模式控制装置。</w:t>
      </w:r>
    </w:p>
    <w:p w14:paraId="56A98C45">
      <w:pPr>
        <w:numPr>
          <w:ilvl w:val="2"/>
          <w:numId w:val="1"/>
        </w:numPr>
        <w:tabs>
          <w:tab w:val="left" w:pos="709"/>
          <w:tab w:val="left" w:pos="794"/>
        </w:tabs>
        <w:jc w:val="left"/>
        <w:outlineLvl w:val="2"/>
        <w:rPr>
          <w:bCs/>
          <w:szCs w:val="28"/>
        </w:rPr>
      </w:pPr>
      <w:r>
        <w:rPr>
          <w:bCs/>
          <w:szCs w:val="28"/>
        </w:rPr>
        <w:t>消防电源、应急照明及疏散指示系统的控制应符合下列规定：</w:t>
      </w:r>
    </w:p>
    <w:p w14:paraId="41771034">
      <w:pPr>
        <w:ind w:firstLine="422" w:firstLineChars="200"/>
      </w:pPr>
      <w:r>
        <w:rPr>
          <w:b/>
        </w:rPr>
        <w:t>1</w:t>
      </w:r>
      <w:r>
        <w:rPr>
          <w:rFonts w:hint="eastAsia"/>
          <w:b/>
        </w:rPr>
        <w:t xml:space="preserve"> </w:t>
      </w:r>
      <w:r>
        <w:rPr>
          <w:rFonts w:hint="eastAsia"/>
        </w:rPr>
        <w:t xml:space="preserve"> </w:t>
      </w:r>
      <w:r>
        <w:t>确认火灾后，消防控制设备应按防火分区在配电室或变电所切断相关区域的非消防电源；</w:t>
      </w:r>
    </w:p>
    <w:p w14:paraId="0FB56C44">
      <w:pPr>
        <w:ind w:firstLine="422" w:firstLineChars="200"/>
      </w:pPr>
      <w:r>
        <w:rPr>
          <w:b/>
        </w:rPr>
        <w:t>2</w:t>
      </w:r>
      <w:r>
        <w:rPr>
          <w:rFonts w:hint="eastAsia"/>
          <w:b/>
        </w:rPr>
        <w:t xml:space="preserve"> </w:t>
      </w:r>
      <w:r>
        <w:rPr>
          <w:rFonts w:hint="eastAsia"/>
        </w:rPr>
        <w:t xml:space="preserve"> </w:t>
      </w:r>
      <w:r>
        <w:t>确认火灾后，应接通应急照明灯和疏散标志灯电源，并监视其工作状态。</w:t>
      </w:r>
    </w:p>
    <w:p w14:paraId="3E072A38">
      <w:pPr>
        <w:numPr>
          <w:ilvl w:val="2"/>
          <w:numId w:val="1"/>
        </w:numPr>
        <w:tabs>
          <w:tab w:val="left" w:pos="709"/>
          <w:tab w:val="left" w:pos="794"/>
        </w:tabs>
        <w:jc w:val="left"/>
        <w:outlineLvl w:val="2"/>
        <w:rPr>
          <w:bCs/>
          <w:szCs w:val="28"/>
        </w:rPr>
      </w:pPr>
      <w:r>
        <w:rPr>
          <w:bCs/>
          <w:szCs w:val="28"/>
        </w:rPr>
        <w:t>防火门、防火卷帘门、电动挡烟垂帘的控制应符合下列规定：</w:t>
      </w:r>
    </w:p>
    <w:p w14:paraId="33EB850E">
      <w:pPr>
        <w:ind w:firstLine="422" w:firstLineChars="200"/>
      </w:pPr>
      <w:r>
        <w:rPr>
          <w:b/>
        </w:rPr>
        <w:t>1</w:t>
      </w:r>
      <w:r>
        <w:rPr>
          <w:rFonts w:hint="eastAsia"/>
        </w:rPr>
        <w:t xml:space="preserve">  </w:t>
      </w:r>
      <w:r>
        <w:t>疏散通道、区间联络通道上的防火门应设防火门监控装置；</w:t>
      </w:r>
    </w:p>
    <w:p w14:paraId="6D5C3456">
      <w:pPr>
        <w:ind w:firstLine="422" w:firstLineChars="200"/>
      </w:pPr>
      <w:r>
        <w:rPr>
          <w:b/>
        </w:rPr>
        <w:t>2</w:t>
      </w:r>
      <w:r>
        <w:rPr>
          <w:rFonts w:hint="eastAsia"/>
        </w:rPr>
        <w:t xml:space="preserve">  </w:t>
      </w:r>
      <w:r>
        <w:t>应控制疏散通道上的常开防火门关闭；</w:t>
      </w:r>
    </w:p>
    <w:p w14:paraId="0550C7AC">
      <w:pPr>
        <w:ind w:firstLine="422" w:firstLineChars="200"/>
      </w:pPr>
      <w:r>
        <w:rPr>
          <w:b/>
        </w:rPr>
        <w:t>3</w:t>
      </w:r>
      <w:r>
        <w:rPr>
          <w:rFonts w:hint="eastAsia"/>
        </w:rPr>
        <w:t xml:space="preserve">  </w:t>
      </w:r>
      <w:r>
        <w:t>疏散通道、区间联络通道上各防火门的开启、关闭及故障信号应反馈至消防控制室；</w:t>
      </w:r>
    </w:p>
    <w:p w14:paraId="0708D1DA">
      <w:pPr>
        <w:ind w:firstLine="420" w:firstLineChars="200"/>
      </w:pPr>
      <w:r>
        <w:t>4</w:t>
      </w:r>
      <w:r>
        <w:rPr>
          <w:rFonts w:hint="eastAsia"/>
        </w:rPr>
        <w:t xml:space="preserve">  </w:t>
      </w:r>
      <w:r>
        <w:t>应控制防火卷帘门、电动挡烟垂帘降落，并显示工作状态；</w:t>
      </w:r>
    </w:p>
    <w:p w14:paraId="78674CCB">
      <w:pPr>
        <w:numPr>
          <w:ilvl w:val="2"/>
          <w:numId w:val="1"/>
        </w:numPr>
        <w:tabs>
          <w:tab w:val="left" w:pos="709"/>
          <w:tab w:val="left" w:pos="794"/>
        </w:tabs>
        <w:jc w:val="left"/>
        <w:outlineLvl w:val="2"/>
        <w:rPr>
          <w:bCs/>
          <w:szCs w:val="28"/>
        </w:rPr>
      </w:pPr>
      <w:r>
        <w:rPr>
          <w:bCs/>
          <w:szCs w:val="28"/>
        </w:rPr>
        <w:t>火灾自动报警系统对电梯、自动扶梯的联动控制应符合下列规定：</w:t>
      </w:r>
    </w:p>
    <w:p w14:paraId="2DF9F538">
      <w:pPr>
        <w:pStyle w:val="86"/>
        <w:ind w:firstLine="422"/>
        <w:rPr>
          <w:color w:val="auto"/>
        </w:rPr>
      </w:pPr>
      <w:r>
        <w:rPr>
          <w:b/>
          <w:color w:val="auto"/>
        </w:rPr>
        <w:t>1</w:t>
      </w:r>
      <w:r>
        <w:rPr>
          <w:rFonts w:hint="eastAsia"/>
          <w:color w:val="auto"/>
        </w:rPr>
        <w:t xml:space="preserve">  </w:t>
      </w:r>
      <w:r>
        <w:rPr>
          <w:color w:val="auto"/>
        </w:rPr>
        <w:t>确认火灾后，将电梯迫降至疏散层，接收电梯的状态反馈信息；</w:t>
      </w:r>
    </w:p>
    <w:p w14:paraId="6941275A">
      <w:pPr>
        <w:pStyle w:val="86"/>
        <w:ind w:firstLine="422"/>
        <w:rPr>
          <w:color w:val="auto"/>
        </w:rPr>
      </w:pPr>
      <w:r>
        <w:rPr>
          <w:rFonts w:hint="eastAsia"/>
          <w:b/>
          <w:color w:val="auto"/>
        </w:rPr>
        <w:t>2</w:t>
      </w:r>
      <w:r>
        <w:rPr>
          <w:rFonts w:hint="eastAsia"/>
          <w:color w:val="auto"/>
        </w:rPr>
        <w:t xml:space="preserve">  </w:t>
      </w:r>
      <w:r>
        <w:rPr>
          <w:color w:val="auto"/>
        </w:rPr>
        <w:t>消防控制室在收到电梯完成消防动作信号后，应切断非消防电梯电源；在确认非疏散自动扶梯完成消防动作后，应切断自动扶梯电源；</w:t>
      </w:r>
    </w:p>
    <w:p w14:paraId="038FA8E0">
      <w:pPr>
        <w:ind w:firstLine="422" w:firstLineChars="200"/>
      </w:pPr>
      <w:r>
        <w:rPr>
          <w:b/>
        </w:rPr>
        <w:t>3</w:t>
      </w:r>
      <w:r>
        <w:rPr>
          <w:rFonts w:hint="eastAsia"/>
        </w:rPr>
        <w:t xml:space="preserve">  </w:t>
      </w:r>
      <w:r>
        <w:t>不应自动控制自动扶梯的反向运行。</w:t>
      </w:r>
    </w:p>
    <w:p w14:paraId="394E528C">
      <w:pPr>
        <w:numPr>
          <w:ilvl w:val="2"/>
          <w:numId w:val="1"/>
        </w:numPr>
        <w:tabs>
          <w:tab w:val="left" w:pos="709"/>
          <w:tab w:val="left" w:pos="794"/>
        </w:tabs>
        <w:jc w:val="left"/>
        <w:outlineLvl w:val="2"/>
        <w:rPr>
          <w:bCs/>
          <w:szCs w:val="28"/>
        </w:rPr>
      </w:pPr>
      <w:r>
        <w:rPr>
          <w:bCs/>
          <w:szCs w:val="28"/>
        </w:rPr>
        <w:t>消防联动对其他系统的控制可通过火灾自动报警系统或综合监控系统实现，并应符合下列规定：</w:t>
      </w:r>
    </w:p>
    <w:p w14:paraId="0CC18F0B">
      <w:pPr>
        <w:ind w:firstLine="422" w:firstLineChars="200"/>
      </w:pPr>
      <w:r>
        <w:rPr>
          <w:b/>
        </w:rPr>
        <w:t>1</w:t>
      </w:r>
      <w:r>
        <w:rPr>
          <w:rFonts w:hint="eastAsia"/>
        </w:rPr>
        <w:t xml:space="preserve">  </w:t>
      </w:r>
      <w:r>
        <w:t>自动或手动将广播转换为火灾应急广播状态；</w:t>
      </w:r>
    </w:p>
    <w:p w14:paraId="789945BA">
      <w:pPr>
        <w:ind w:firstLine="422" w:firstLineChars="200"/>
      </w:pPr>
      <w:r>
        <w:rPr>
          <w:b/>
        </w:rPr>
        <w:t>2</w:t>
      </w:r>
      <w:r>
        <w:rPr>
          <w:rFonts w:hint="eastAsia"/>
          <w:b/>
        </w:rPr>
        <w:t xml:space="preserve"> </w:t>
      </w:r>
      <w:r>
        <w:rPr>
          <w:rFonts w:hint="eastAsia"/>
        </w:rPr>
        <w:t xml:space="preserve"> </w:t>
      </w:r>
      <w:r>
        <w:t>自动或手动将视频监视系统切换至相关画面；</w:t>
      </w:r>
    </w:p>
    <w:p w14:paraId="2B14DB45">
      <w:pPr>
        <w:ind w:firstLine="422" w:firstLineChars="200"/>
      </w:pPr>
      <w:r>
        <w:rPr>
          <w:b/>
        </w:rPr>
        <w:t>3</w:t>
      </w:r>
      <w:r>
        <w:rPr>
          <w:rFonts w:hint="eastAsia"/>
        </w:rPr>
        <w:t xml:space="preserve">  </w:t>
      </w:r>
      <w:r>
        <w:t>自动或手动将自动检票机开启。</w:t>
      </w:r>
    </w:p>
    <w:p w14:paraId="5A2CB2B7">
      <w:pPr>
        <w:numPr>
          <w:ilvl w:val="2"/>
          <w:numId w:val="1"/>
        </w:numPr>
        <w:tabs>
          <w:tab w:val="left" w:pos="709"/>
          <w:tab w:val="left" w:pos="794"/>
        </w:tabs>
        <w:jc w:val="left"/>
        <w:outlineLvl w:val="2"/>
        <w:rPr>
          <w:bCs/>
          <w:szCs w:val="28"/>
        </w:rPr>
      </w:pPr>
      <w:r>
        <w:rPr>
          <w:bCs/>
          <w:szCs w:val="28"/>
        </w:rPr>
        <w:t>根据火灾运行模式或工况自动或手动控制车站</w:t>
      </w:r>
      <w:r>
        <w:rPr>
          <w:rFonts w:hint="eastAsia"/>
          <w:bCs/>
          <w:szCs w:val="28"/>
        </w:rPr>
        <w:t>站台屏蔽门</w:t>
      </w:r>
      <w:r>
        <w:rPr>
          <w:bCs/>
          <w:szCs w:val="28"/>
        </w:rPr>
        <w:t>开启。</w:t>
      </w:r>
    </w:p>
    <w:p w14:paraId="7FD10FB6">
      <w:pPr>
        <w:numPr>
          <w:ilvl w:val="2"/>
          <w:numId w:val="1"/>
        </w:numPr>
        <w:tabs>
          <w:tab w:val="left" w:pos="709"/>
          <w:tab w:val="left" w:pos="794"/>
        </w:tabs>
        <w:jc w:val="left"/>
        <w:outlineLvl w:val="2"/>
        <w:rPr>
          <w:bCs/>
          <w:szCs w:val="28"/>
        </w:rPr>
      </w:pPr>
      <w:r>
        <w:rPr>
          <w:bCs/>
          <w:szCs w:val="28"/>
        </w:rPr>
        <w:t>门禁的联动控制应符合下列规定：</w:t>
      </w:r>
    </w:p>
    <w:p w14:paraId="1254B547">
      <w:pPr>
        <w:pStyle w:val="86"/>
        <w:ind w:firstLine="422"/>
        <w:rPr>
          <w:color w:val="auto"/>
        </w:rPr>
      </w:pPr>
      <w:r>
        <w:rPr>
          <w:b/>
          <w:color w:val="auto"/>
        </w:rPr>
        <w:t>1</w:t>
      </w:r>
      <w:r>
        <w:rPr>
          <w:rFonts w:hint="eastAsia"/>
          <w:b/>
          <w:color w:val="auto"/>
        </w:rPr>
        <w:t xml:space="preserve"> </w:t>
      </w:r>
      <w:r>
        <w:rPr>
          <w:rFonts w:hint="eastAsia"/>
          <w:color w:val="auto"/>
        </w:rPr>
        <w:t xml:space="preserve"> </w:t>
      </w:r>
      <w:r>
        <w:rPr>
          <w:color w:val="auto"/>
        </w:rPr>
        <w:t>火灾自动报警系统应能将火灾信息发送至门禁系统，由门禁系统控制门解禁；</w:t>
      </w:r>
    </w:p>
    <w:p w14:paraId="56BB1785">
      <w:pPr>
        <w:pStyle w:val="86"/>
        <w:ind w:firstLine="422"/>
        <w:rPr>
          <w:color w:val="auto"/>
        </w:rPr>
      </w:pPr>
      <w:r>
        <w:rPr>
          <w:b/>
          <w:color w:val="auto"/>
        </w:rPr>
        <w:t>2</w:t>
      </w:r>
      <w:r>
        <w:rPr>
          <w:rFonts w:hint="eastAsia"/>
          <w:b/>
          <w:color w:val="auto"/>
        </w:rPr>
        <w:t xml:space="preserve"> </w:t>
      </w:r>
      <w:r>
        <w:rPr>
          <w:rFonts w:hint="eastAsia"/>
          <w:color w:val="auto"/>
        </w:rPr>
        <w:t xml:space="preserve"> </w:t>
      </w:r>
      <w:r>
        <w:rPr>
          <w:color w:val="auto"/>
        </w:rPr>
        <w:t>门禁系统应能在车站控制室或消防控制室内手动控制；</w:t>
      </w:r>
    </w:p>
    <w:p w14:paraId="62822208">
      <w:pPr>
        <w:pStyle w:val="86"/>
        <w:ind w:firstLine="422"/>
        <w:rPr>
          <w:color w:val="auto"/>
        </w:rPr>
      </w:pPr>
      <w:r>
        <w:rPr>
          <w:b/>
          <w:color w:val="auto"/>
        </w:rPr>
        <w:t>3</w:t>
      </w:r>
      <w:r>
        <w:rPr>
          <w:rFonts w:hint="eastAsia"/>
          <w:color w:val="auto"/>
        </w:rPr>
        <w:t xml:space="preserve">  </w:t>
      </w:r>
      <w:r>
        <w:rPr>
          <w:color w:val="auto"/>
        </w:rPr>
        <w:t>当供电中断时，门禁系应能自动解禁。</w:t>
      </w:r>
    </w:p>
    <w:p w14:paraId="35606925">
      <w:pPr>
        <w:numPr>
          <w:ilvl w:val="2"/>
          <w:numId w:val="1"/>
        </w:numPr>
        <w:tabs>
          <w:tab w:val="left" w:pos="709"/>
          <w:tab w:val="left" w:pos="794"/>
        </w:tabs>
        <w:jc w:val="left"/>
        <w:outlineLvl w:val="2"/>
        <w:rPr>
          <w:bCs/>
          <w:szCs w:val="28"/>
        </w:rPr>
      </w:pPr>
      <w:r>
        <w:rPr>
          <w:bCs/>
          <w:szCs w:val="28"/>
        </w:rPr>
        <w:t>消防联动控制器控制每一总线回路的地址码总数，宜留有10%~20%的余量。</w:t>
      </w:r>
    </w:p>
    <w:p w14:paraId="4EAE7AEB">
      <w:pPr>
        <w:numPr>
          <w:ilvl w:val="1"/>
          <w:numId w:val="1"/>
        </w:numPr>
        <w:snapToGrid w:val="0"/>
        <w:spacing w:before="156" w:after="156" w:line="240" w:lineRule="auto"/>
        <w:jc w:val="center"/>
        <w:outlineLvl w:val="1"/>
        <w:rPr>
          <w:rFonts w:eastAsia="黑体"/>
          <w:bCs/>
          <w:szCs w:val="28"/>
        </w:rPr>
      </w:pPr>
      <w:bookmarkStart w:id="1608" w:name="_Toc183882194"/>
      <w:bookmarkStart w:id="1609" w:name="_Toc183683599"/>
      <w:bookmarkStart w:id="1610" w:name="_Toc183765203"/>
      <w:bookmarkStart w:id="1611" w:name="_Toc183882556"/>
      <w:bookmarkStart w:id="1612" w:name="_Toc183888246"/>
      <w:bookmarkStart w:id="1613" w:name="_Toc183888608"/>
      <w:bookmarkStart w:id="1614" w:name="_Toc183790633"/>
      <w:r>
        <w:rPr>
          <w:rFonts w:eastAsia="黑体"/>
          <w:bCs/>
          <w:szCs w:val="28"/>
        </w:rPr>
        <w:t>火灾探测器与报警装置的设置</w:t>
      </w:r>
      <w:bookmarkEnd w:id="1608"/>
      <w:bookmarkEnd w:id="1609"/>
      <w:bookmarkEnd w:id="1610"/>
      <w:bookmarkEnd w:id="1611"/>
      <w:bookmarkEnd w:id="1612"/>
      <w:bookmarkEnd w:id="1613"/>
      <w:bookmarkEnd w:id="1614"/>
    </w:p>
    <w:p w14:paraId="16AE7858">
      <w:pPr>
        <w:numPr>
          <w:ilvl w:val="2"/>
          <w:numId w:val="1"/>
        </w:numPr>
        <w:tabs>
          <w:tab w:val="left" w:pos="709"/>
          <w:tab w:val="left" w:pos="794"/>
        </w:tabs>
        <w:jc w:val="left"/>
        <w:outlineLvl w:val="2"/>
        <w:rPr>
          <w:bCs/>
          <w:szCs w:val="28"/>
        </w:rPr>
      </w:pPr>
      <w:r>
        <w:rPr>
          <w:bCs/>
          <w:szCs w:val="28"/>
        </w:rPr>
        <w:t>火灾自动报警系统应设有自动和手动两种触发装置。</w:t>
      </w:r>
    </w:p>
    <w:p w14:paraId="3E4B7BD2">
      <w:pPr>
        <w:numPr>
          <w:ilvl w:val="2"/>
          <w:numId w:val="1"/>
        </w:numPr>
        <w:tabs>
          <w:tab w:val="left" w:pos="709"/>
          <w:tab w:val="left" w:pos="794"/>
        </w:tabs>
        <w:jc w:val="left"/>
        <w:outlineLvl w:val="2"/>
        <w:rPr>
          <w:bCs/>
          <w:szCs w:val="28"/>
        </w:rPr>
      </w:pPr>
      <w:r>
        <w:rPr>
          <w:bCs/>
          <w:szCs w:val="28"/>
        </w:rPr>
        <w:t>报警区域应根据防火分区和设备配置划分，每个防烟分区应划分为独立的火灾探测区域。</w:t>
      </w:r>
    </w:p>
    <w:p w14:paraId="70D9F570">
      <w:pPr>
        <w:numPr>
          <w:ilvl w:val="2"/>
          <w:numId w:val="1"/>
        </w:numPr>
        <w:tabs>
          <w:tab w:val="left" w:pos="709"/>
          <w:tab w:val="left" w:pos="794"/>
        </w:tabs>
        <w:jc w:val="left"/>
        <w:outlineLvl w:val="2"/>
        <w:rPr>
          <w:bCs/>
          <w:szCs w:val="28"/>
        </w:rPr>
      </w:pPr>
      <w:r>
        <w:rPr>
          <w:bCs/>
          <w:szCs w:val="28"/>
        </w:rPr>
        <w:t>地下车站的站厅层公共区、站台层公共区、换乘公共区、各种设备机房、库房、值班室、办公室、走廊、配电室、电缆隧道或夹层以及长度超过60</w:t>
      </w:r>
      <w:r>
        <w:rPr>
          <w:rFonts w:hint="eastAsia"/>
          <w:bCs/>
          <w:szCs w:val="28"/>
          <w:u w:val="dotted"/>
        </w:rPr>
        <w:t>米</w:t>
      </w:r>
      <w:r>
        <w:rPr>
          <w:bCs/>
          <w:szCs w:val="28"/>
        </w:rPr>
        <w:t>的出入口通道应设火灾探测器；</w:t>
      </w:r>
    </w:p>
    <w:p w14:paraId="74A9B4D5">
      <w:pPr>
        <w:numPr>
          <w:ilvl w:val="2"/>
          <w:numId w:val="1"/>
        </w:numPr>
        <w:tabs>
          <w:tab w:val="left" w:pos="709"/>
          <w:tab w:val="left" w:pos="794"/>
        </w:tabs>
        <w:jc w:val="left"/>
        <w:outlineLvl w:val="2"/>
        <w:rPr>
          <w:bCs/>
          <w:szCs w:val="28"/>
        </w:rPr>
      </w:pPr>
      <w:r>
        <w:rPr>
          <w:bCs/>
          <w:szCs w:val="28"/>
        </w:rPr>
        <w:t>地上车站封闭式的站厅、站台、各类设备用房、管理用房、配电室、电缆隧道或夹层应设置火灾探测器。</w:t>
      </w:r>
    </w:p>
    <w:p w14:paraId="2D8B45FE">
      <w:pPr>
        <w:numPr>
          <w:ilvl w:val="2"/>
          <w:numId w:val="1"/>
        </w:numPr>
        <w:tabs>
          <w:tab w:val="left" w:pos="709"/>
          <w:tab w:val="left" w:pos="794"/>
        </w:tabs>
        <w:jc w:val="left"/>
        <w:outlineLvl w:val="2"/>
        <w:rPr>
          <w:bCs/>
          <w:szCs w:val="28"/>
        </w:rPr>
      </w:pPr>
      <w:r>
        <w:rPr>
          <w:bCs/>
          <w:szCs w:val="28"/>
        </w:rPr>
        <w:t>车辆基地的停车列检库、维修车间、重要设备用房、可燃物品仓库、变配电室，以及火灾危险性较大的场所应设火灾探测器。</w:t>
      </w:r>
    </w:p>
    <w:p w14:paraId="5308E96E">
      <w:pPr>
        <w:numPr>
          <w:ilvl w:val="2"/>
          <w:numId w:val="1"/>
        </w:numPr>
        <w:tabs>
          <w:tab w:val="left" w:pos="709"/>
          <w:tab w:val="left" w:pos="794"/>
        </w:tabs>
        <w:jc w:val="left"/>
        <w:outlineLvl w:val="2"/>
        <w:rPr>
          <w:bCs/>
          <w:szCs w:val="28"/>
        </w:rPr>
      </w:pPr>
      <w:r>
        <w:rPr>
          <w:bCs/>
          <w:szCs w:val="28"/>
        </w:rPr>
        <w:t>设气体自动灭火的房间应设两种火灾自动报警探测器。</w:t>
      </w:r>
    </w:p>
    <w:p w14:paraId="17EFF7BB">
      <w:pPr>
        <w:numPr>
          <w:ilvl w:val="2"/>
          <w:numId w:val="1"/>
        </w:numPr>
        <w:tabs>
          <w:tab w:val="left" w:pos="709"/>
          <w:tab w:val="left" w:pos="794"/>
        </w:tabs>
        <w:jc w:val="left"/>
        <w:outlineLvl w:val="2"/>
        <w:rPr>
          <w:bCs/>
          <w:szCs w:val="28"/>
        </w:rPr>
      </w:pPr>
      <w:r>
        <w:rPr>
          <w:bCs/>
          <w:szCs w:val="28"/>
        </w:rPr>
        <w:t>设置火灾探测器的场所应设置手动报警按钮。</w:t>
      </w:r>
    </w:p>
    <w:p w14:paraId="6BFF8172">
      <w:pPr>
        <w:numPr>
          <w:ilvl w:val="2"/>
          <w:numId w:val="1"/>
        </w:numPr>
        <w:tabs>
          <w:tab w:val="left" w:pos="709"/>
          <w:tab w:val="left" w:pos="794"/>
        </w:tabs>
        <w:jc w:val="left"/>
        <w:outlineLvl w:val="2"/>
        <w:rPr>
          <w:bCs/>
          <w:szCs w:val="28"/>
        </w:rPr>
      </w:pPr>
      <w:r>
        <w:rPr>
          <w:bCs/>
          <w:szCs w:val="28"/>
        </w:rPr>
        <w:t>地下区间隧道、长度超过30</w:t>
      </w:r>
      <w:r>
        <w:rPr>
          <w:rFonts w:hint="eastAsia"/>
          <w:bCs/>
          <w:szCs w:val="28"/>
        </w:rPr>
        <w:t>米</w:t>
      </w:r>
      <w:r>
        <w:rPr>
          <w:bCs/>
          <w:szCs w:val="28"/>
        </w:rPr>
        <w:t>的出入口通道应设手动报警按钮。区间手动报警按钮设置</w:t>
      </w:r>
      <w:r>
        <w:rPr>
          <w:rFonts w:hint="eastAsia"/>
          <w:bCs/>
          <w:szCs w:val="28"/>
        </w:rPr>
        <w:t>在疏散平台一侧，</w:t>
      </w:r>
      <w:r>
        <w:rPr>
          <w:bCs/>
          <w:szCs w:val="28"/>
        </w:rPr>
        <w:t>宜与区间消火栓的</w:t>
      </w:r>
      <w:r>
        <w:rPr>
          <w:rFonts w:hint="eastAsia"/>
          <w:bCs/>
          <w:szCs w:val="28"/>
        </w:rPr>
        <w:t>里程</w:t>
      </w:r>
      <w:r>
        <w:rPr>
          <w:bCs/>
          <w:szCs w:val="28"/>
        </w:rPr>
        <w:t>位置结合设置。</w:t>
      </w:r>
    </w:p>
    <w:p w14:paraId="4415DB50">
      <w:pPr>
        <w:numPr>
          <w:ilvl w:val="2"/>
          <w:numId w:val="1"/>
        </w:numPr>
        <w:tabs>
          <w:tab w:val="left" w:pos="709"/>
          <w:tab w:val="left" w:pos="794"/>
        </w:tabs>
        <w:jc w:val="left"/>
        <w:outlineLvl w:val="2"/>
        <w:rPr>
          <w:bCs/>
          <w:szCs w:val="28"/>
        </w:rPr>
      </w:pPr>
      <w:r>
        <w:rPr>
          <w:bCs/>
          <w:szCs w:val="28"/>
        </w:rPr>
        <w:t>车站公共区、出入口及通道、设备区走廊应设置火灾声光警报装置，在确认火灾后启动建筑内的所有火灾声光警报器。</w:t>
      </w:r>
    </w:p>
    <w:p w14:paraId="158B714B">
      <w:pPr>
        <w:numPr>
          <w:ilvl w:val="2"/>
          <w:numId w:val="1"/>
        </w:numPr>
        <w:tabs>
          <w:tab w:val="left" w:pos="709"/>
          <w:tab w:val="left" w:pos="794"/>
        </w:tabs>
        <w:jc w:val="left"/>
        <w:outlineLvl w:val="2"/>
        <w:rPr>
          <w:bCs/>
          <w:szCs w:val="28"/>
        </w:rPr>
      </w:pPr>
      <w:r>
        <w:rPr>
          <w:bCs/>
          <w:szCs w:val="28"/>
        </w:rPr>
        <w:t>地下区间宜设置感温光纤系统。</w:t>
      </w:r>
    </w:p>
    <w:p w14:paraId="21860CEF">
      <w:pPr>
        <w:numPr>
          <w:ilvl w:val="2"/>
          <w:numId w:val="1"/>
        </w:numPr>
        <w:tabs>
          <w:tab w:val="left" w:pos="709"/>
          <w:tab w:val="left" w:pos="794"/>
        </w:tabs>
        <w:jc w:val="left"/>
        <w:outlineLvl w:val="2"/>
        <w:rPr>
          <w:bCs/>
          <w:szCs w:val="28"/>
        </w:rPr>
      </w:pPr>
      <w:r>
        <w:rPr>
          <w:bCs/>
          <w:szCs w:val="28"/>
        </w:rPr>
        <w:t>区间隧道动力电缆电气火灾监控探测器设置应符合下列规定：</w:t>
      </w:r>
    </w:p>
    <w:p w14:paraId="2EAAF9A1">
      <w:pPr>
        <w:ind w:firstLine="422" w:firstLineChars="200"/>
      </w:pPr>
      <w:r>
        <w:rPr>
          <w:b/>
        </w:rPr>
        <w:t>1</w:t>
      </w:r>
      <w:r>
        <w:rPr>
          <w:rFonts w:hint="eastAsia"/>
          <w:b/>
        </w:rPr>
        <w:t xml:space="preserve"> </w:t>
      </w:r>
      <w:r>
        <w:rPr>
          <w:rFonts w:hint="eastAsia"/>
        </w:rPr>
        <w:t xml:space="preserve"> </w:t>
      </w:r>
      <w:r>
        <w:t>线型感温火灾探测器可接入火灾报警控制器或电气火灾监控器。</w:t>
      </w:r>
    </w:p>
    <w:p w14:paraId="70374FEE">
      <w:pPr>
        <w:ind w:firstLine="422" w:firstLineChars="200"/>
      </w:pPr>
      <w:r>
        <w:rPr>
          <w:b/>
        </w:rPr>
        <w:t>2</w:t>
      </w:r>
      <w:r>
        <w:rPr>
          <w:rFonts w:hint="eastAsia"/>
        </w:rPr>
        <w:t xml:space="preserve">  </w:t>
      </w:r>
      <w:r>
        <w:t>采用燃烧性能B1级及以上且中间无电缆接头的动力电缆，可只在车站配电柜出线端设置测温型电气火灾监控探测器。</w:t>
      </w:r>
    </w:p>
    <w:p w14:paraId="15025161">
      <w:pPr>
        <w:numPr>
          <w:ilvl w:val="2"/>
          <w:numId w:val="1"/>
        </w:numPr>
        <w:tabs>
          <w:tab w:val="left" w:pos="709"/>
          <w:tab w:val="left" w:pos="794"/>
        </w:tabs>
        <w:jc w:val="left"/>
        <w:outlineLvl w:val="2"/>
        <w:rPr>
          <w:bCs/>
          <w:szCs w:val="28"/>
        </w:rPr>
      </w:pPr>
      <w:r>
        <w:rPr>
          <w:bCs/>
          <w:szCs w:val="28"/>
        </w:rPr>
        <w:t>地铁线路应设置消防专用电话系统，消防专用电话网络应为独立的消防通信系统。消防专用电话系统的设置应符合下列规定：</w:t>
      </w:r>
    </w:p>
    <w:p w14:paraId="14F8A9B8">
      <w:pPr>
        <w:ind w:firstLine="422" w:firstLineChars="200"/>
      </w:pPr>
      <w:r>
        <w:rPr>
          <w:b/>
        </w:rPr>
        <w:t>1</w:t>
      </w:r>
      <w:r>
        <w:rPr>
          <w:rFonts w:hint="eastAsia"/>
        </w:rPr>
        <w:t xml:space="preserve">  </w:t>
      </w:r>
      <w:r>
        <w:t>消防控制室应设置消防专用电话总机。</w:t>
      </w:r>
    </w:p>
    <w:p w14:paraId="2293A328">
      <w:pPr>
        <w:ind w:firstLine="422" w:firstLineChars="200"/>
      </w:pPr>
      <w:r>
        <w:rPr>
          <w:b/>
        </w:rPr>
        <w:t>2</w:t>
      </w:r>
      <w:r>
        <w:t xml:space="preserve"> </w:t>
      </w:r>
      <w:r>
        <w:rPr>
          <w:rFonts w:hint="eastAsia"/>
        </w:rPr>
        <w:t xml:space="preserve"> </w:t>
      </w:r>
      <w:r>
        <w:t>消防水泵房、配变电室、防排烟机房、灭火控制盘处、消防电梯机房、区域火灾报警控制器处及其他与消防联动控制有关的且经常有人值班的机房应设置消防专用电话分机。</w:t>
      </w:r>
    </w:p>
    <w:p w14:paraId="14E6E88F">
      <w:pPr>
        <w:ind w:firstLine="422" w:firstLineChars="200"/>
      </w:pPr>
      <w:r>
        <w:rPr>
          <w:b/>
        </w:rPr>
        <w:t xml:space="preserve">3 </w:t>
      </w:r>
      <w:r>
        <w:rPr>
          <w:rFonts w:hint="eastAsia"/>
        </w:rPr>
        <w:t xml:space="preserve"> </w:t>
      </w:r>
      <w:r>
        <w:t>设置手动火灾报警按钮和消火栓按钮等处应设置电话插孔，接入消防专用电话总机。</w:t>
      </w:r>
    </w:p>
    <w:p w14:paraId="7974842C">
      <w:pPr>
        <w:ind w:firstLine="422" w:firstLineChars="200"/>
      </w:pPr>
      <w:r>
        <w:rPr>
          <w:b/>
        </w:rPr>
        <w:t xml:space="preserve">4 </w:t>
      </w:r>
      <w:r>
        <w:rPr>
          <w:rFonts w:hint="eastAsia"/>
        </w:rPr>
        <w:t xml:space="preserve"> </w:t>
      </w:r>
      <w:r>
        <w:t>消防应急广播系统宜与正线运营广播系统、车辆基地广播系统合用。</w:t>
      </w:r>
    </w:p>
    <w:p w14:paraId="05FF7E1B">
      <w:pPr>
        <w:numPr>
          <w:ilvl w:val="2"/>
          <w:numId w:val="1"/>
        </w:numPr>
        <w:tabs>
          <w:tab w:val="left" w:pos="709"/>
          <w:tab w:val="left" w:pos="794"/>
        </w:tabs>
        <w:jc w:val="left"/>
        <w:outlineLvl w:val="2"/>
        <w:rPr>
          <w:bCs/>
          <w:szCs w:val="28"/>
        </w:rPr>
      </w:pPr>
      <w:r>
        <w:rPr>
          <w:rFonts w:hint="eastAsia"/>
          <w:bCs/>
          <w:szCs w:val="28"/>
        </w:rPr>
        <w:t>地铁沿线车站、车辆基地等处的消防控制室或兼做消防控制室功能的车站控制室，应设置可直接报警的外线电话。</w:t>
      </w:r>
    </w:p>
    <w:p w14:paraId="35957780">
      <w:pPr>
        <w:numPr>
          <w:ilvl w:val="1"/>
          <w:numId w:val="1"/>
        </w:numPr>
        <w:snapToGrid w:val="0"/>
        <w:spacing w:before="156" w:after="156" w:line="240" w:lineRule="auto"/>
        <w:jc w:val="center"/>
        <w:outlineLvl w:val="1"/>
        <w:rPr>
          <w:rFonts w:eastAsia="黑体"/>
          <w:bCs/>
          <w:szCs w:val="28"/>
        </w:rPr>
      </w:pPr>
      <w:bookmarkStart w:id="1615" w:name="_Toc183683600"/>
      <w:bookmarkStart w:id="1616" w:name="_Toc183765204"/>
      <w:bookmarkStart w:id="1617" w:name="_Toc183888609"/>
      <w:bookmarkStart w:id="1618" w:name="_Toc183790634"/>
      <w:bookmarkStart w:id="1619" w:name="_Toc183882195"/>
      <w:bookmarkStart w:id="1620" w:name="_Toc183888247"/>
      <w:bookmarkStart w:id="1621" w:name="_Toc183882557"/>
      <w:r>
        <w:rPr>
          <w:rFonts w:eastAsia="黑体"/>
          <w:bCs/>
          <w:szCs w:val="28"/>
        </w:rPr>
        <w:t>消防控制室</w:t>
      </w:r>
      <w:bookmarkEnd w:id="1615"/>
      <w:bookmarkEnd w:id="1616"/>
      <w:bookmarkEnd w:id="1617"/>
      <w:bookmarkEnd w:id="1618"/>
      <w:bookmarkEnd w:id="1619"/>
      <w:bookmarkEnd w:id="1620"/>
      <w:bookmarkEnd w:id="1621"/>
    </w:p>
    <w:p w14:paraId="42162AFD">
      <w:pPr>
        <w:numPr>
          <w:ilvl w:val="2"/>
          <w:numId w:val="1"/>
        </w:numPr>
        <w:tabs>
          <w:tab w:val="left" w:pos="709"/>
          <w:tab w:val="left" w:pos="794"/>
        </w:tabs>
        <w:jc w:val="left"/>
        <w:outlineLvl w:val="2"/>
        <w:rPr>
          <w:bCs/>
          <w:szCs w:val="28"/>
        </w:rPr>
      </w:pPr>
      <w:r>
        <w:rPr>
          <w:bCs/>
          <w:szCs w:val="28"/>
        </w:rPr>
        <w:t>车站消防控制室应与车站综合控制室合建。消防控制室应设火灾报警控制器、消防联动控制器、</w:t>
      </w:r>
      <w:r>
        <w:rPr>
          <w:rFonts w:hint="eastAsia"/>
          <w:bCs/>
          <w:szCs w:val="28"/>
        </w:rPr>
        <w:t>消防电话主机、</w:t>
      </w:r>
      <w:r>
        <w:rPr>
          <w:bCs/>
          <w:szCs w:val="28"/>
        </w:rPr>
        <w:t>消防控制室图形显示装置。</w:t>
      </w:r>
    </w:p>
    <w:p w14:paraId="677BFC4E">
      <w:pPr>
        <w:numPr>
          <w:ilvl w:val="2"/>
          <w:numId w:val="1"/>
        </w:numPr>
        <w:tabs>
          <w:tab w:val="left" w:pos="709"/>
          <w:tab w:val="left" w:pos="794"/>
        </w:tabs>
        <w:jc w:val="left"/>
        <w:outlineLvl w:val="2"/>
        <w:rPr>
          <w:bCs/>
          <w:szCs w:val="28"/>
        </w:rPr>
      </w:pPr>
      <w:r>
        <w:rPr>
          <w:bCs/>
          <w:szCs w:val="28"/>
        </w:rPr>
        <w:t>消防控制室应能监控保护区域内的火灾探测报警及联动控制系统、消火栓系统、自动灭火系统、防烟排烟系统、防火门与卷帘系统、消防电源、消防应急照明与疏散指示系统、消防通讯等各类消防系统和系统中的各类消防设施，并应显示各类消防设施的动态信息和消防管理信息。</w:t>
      </w:r>
    </w:p>
    <w:p w14:paraId="1A8B38B8">
      <w:pPr>
        <w:numPr>
          <w:ilvl w:val="2"/>
          <w:numId w:val="1"/>
        </w:numPr>
        <w:tabs>
          <w:tab w:val="left" w:pos="709"/>
          <w:tab w:val="left" w:pos="794"/>
        </w:tabs>
        <w:jc w:val="left"/>
        <w:outlineLvl w:val="2"/>
        <w:rPr>
          <w:bCs/>
          <w:szCs w:val="28"/>
        </w:rPr>
      </w:pPr>
      <w:r>
        <w:rPr>
          <w:bCs/>
          <w:szCs w:val="28"/>
        </w:rPr>
        <w:t>消防控制室应能控制火灾声或光警报器的工作状态。</w:t>
      </w:r>
    </w:p>
    <w:p w14:paraId="6A0BB266">
      <w:pPr>
        <w:numPr>
          <w:ilvl w:val="2"/>
          <w:numId w:val="1"/>
        </w:numPr>
        <w:tabs>
          <w:tab w:val="left" w:pos="709"/>
          <w:tab w:val="left" w:pos="794"/>
        </w:tabs>
        <w:jc w:val="left"/>
        <w:outlineLvl w:val="2"/>
        <w:rPr>
          <w:bCs/>
          <w:szCs w:val="28"/>
        </w:rPr>
      </w:pPr>
      <w:r>
        <w:rPr>
          <w:bCs/>
          <w:szCs w:val="28"/>
        </w:rPr>
        <w:t>消防控制室应具备紧急广播功能。</w:t>
      </w:r>
    </w:p>
    <w:p w14:paraId="5DC7DECD">
      <w:pPr>
        <w:numPr>
          <w:ilvl w:val="1"/>
          <w:numId w:val="1"/>
        </w:numPr>
        <w:snapToGrid w:val="0"/>
        <w:spacing w:before="156" w:after="156" w:line="240" w:lineRule="auto"/>
        <w:jc w:val="center"/>
        <w:outlineLvl w:val="1"/>
        <w:rPr>
          <w:rFonts w:eastAsia="黑体"/>
          <w:bCs/>
          <w:szCs w:val="28"/>
        </w:rPr>
      </w:pPr>
      <w:bookmarkStart w:id="1622" w:name="_Toc183888248"/>
      <w:bookmarkStart w:id="1623" w:name="_Toc183683601"/>
      <w:bookmarkStart w:id="1624" w:name="_Toc183790635"/>
      <w:bookmarkStart w:id="1625" w:name="_Toc183882558"/>
      <w:bookmarkStart w:id="1626" w:name="_Toc183765205"/>
      <w:bookmarkStart w:id="1627" w:name="_Toc183888610"/>
      <w:bookmarkStart w:id="1628" w:name="_Toc183882196"/>
      <w:r>
        <w:rPr>
          <w:rFonts w:eastAsia="黑体"/>
          <w:bCs/>
          <w:szCs w:val="28"/>
        </w:rPr>
        <w:t>供电、接地及防雷</w:t>
      </w:r>
      <w:bookmarkEnd w:id="1622"/>
      <w:bookmarkEnd w:id="1623"/>
      <w:bookmarkEnd w:id="1624"/>
      <w:bookmarkEnd w:id="1625"/>
      <w:bookmarkEnd w:id="1626"/>
      <w:bookmarkEnd w:id="1627"/>
      <w:bookmarkEnd w:id="1628"/>
    </w:p>
    <w:p w14:paraId="57BB3FF4">
      <w:pPr>
        <w:pStyle w:val="5"/>
      </w:pPr>
      <w:r>
        <w:t>火灾自动报警系统应为一级负荷中特别重要负荷、消防负荷，设有主电源和直流备用电源。</w:t>
      </w:r>
    </w:p>
    <w:p w14:paraId="4591598B">
      <w:pPr>
        <w:numPr>
          <w:ilvl w:val="2"/>
          <w:numId w:val="1"/>
        </w:numPr>
        <w:tabs>
          <w:tab w:val="left" w:pos="709"/>
          <w:tab w:val="left" w:pos="794"/>
        </w:tabs>
        <w:outlineLvl w:val="2"/>
      </w:pPr>
      <w:r>
        <w:t>火灾自动报警系统直流备用电源宜采用专用蓄电池或集中设置的蓄电池组供电，其容量应保证主电源断电后，系统在火灾状态同时工作负荷条件下连续供电3</w:t>
      </w:r>
      <w:r>
        <w:rPr>
          <w:rFonts w:hint="eastAsia"/>
        </w:rPr>
        <w:t>h，</w:t>
      </w:r>
      <w:r>
        <w:rPr>
          <w:rFonts w:hint="eastAsia"/>
          <w:szCs w:val="18"/>
        </w:rPr>
        <w:t>采用集中设置蓄电池时，火灾报警控制器供电</w:t>
      </w:r>
      <w:r>
        <w:rPr>
          <w:rFonts w:hint="eastAsia"/>
        </w:rPr>
        <w:t>回路</w:t>
      </w:r>
      <w:r>
        <w:rPr>
          <w:rFonts w:hint="eastAsia"/>
          <w:szCs w:val="18"/>
        </w:rPr>
        <w:t>应单独设置</w:t>
      </w:r>
      <w:r>
        <w:t>。</w:t>
      </w:r>
    </w:p>
    <w:p w14:paraId="74250488">
      <w:pPr>
        <w:numPr>
          <w:ilvl w:val="2"/>
          <w:numId w:val="1"/>
        </w:numPr>
        <w:tabs>
          <w:tab w:val="left" w:pos="709"/>
          <w:tab w:val="left" w:pos="794"/>
        </w:tabs>
        <w:outlineLvl w:val="2"/>
      </w:pPr>
      <w:r>
        <w:t>火灾自动报警系统图形显示装置、消防通信设备等的电源，宜由不间断电源装置或蓄电池型应急控制电源系统供电，后备时间不小于3</w:t>
      </w:r>
      <w:r>
        <w:rPr>
          <w:rFonts w:hint="eastAsia"/>
        </w:rPr>
        <w:t>小时</w:t>
      </w:r>
      <w:r>
        <w:t>。</w:t>
      </w:r>
    </w:p>
    <w:p w14:paraId="4B2BC9D8">
      <w:pPr>
        <w:numPr>
          <w:ilvl w:val="2"/>
          <w:numId w:val="1"/>
        </w:numPr>
        <w:tabs>
          <w:tab w:val="left" w:pos="709"/>
          <w:tab w:val="left" w:pos="794"/>
        </w:tabs>
        <w:jc w:val="left"/>
        <w:outlineLvl w:val="2"/>
        <w:rPr>
          <w:bCs/>
          <w:szCs w:val="28"/>
        </w:rPr>
      </w:pPr>
      <w:r>
        <w:rPr>
          <w:bCs/>
          <w:szCs w:val="28"/>
        </w:rPr>
        <w:t>火灾自动报警系统接地装置的接地电阻值应符合下列规定：</w:t>
      </w:r>
    </w:p>
    <w:p w14:paraId="69EB47CC">
      <w:pPr>
        <w:ind w:firstLine="422" w:firstLineChars="200"/>
      </w:pPr>
      <w:r>
        <w:rPr>
          <w:b/>
        </w:rPr>
        <w:t>1</w:t>
      </w:r>
      <w:r>
        <w:rPr>
          <w:rFonts w:hint="eastAsia"/>
          <w:b/>
        </w:rPr>
        <w:t xml:space="preserve"> </w:t>
      </w:r>
      <w:r>
        <w:rPr>
          <w:rFonts w:hint="eastAsia"/>
        </w:rPr>
        <w:t xml:space="preserve"> </w:t>
      </w:r>
      <w:r>
        <w:t>与其他系统共用接地装置时，接地电阻值不应大于1</w:t>
      </w:r>
      <w:r>
        <w:rPr>
          <w:rFonts w:hint="eastAsia"/>
        </w:rPr>
        <w:t>欧姆</w:t>
      </w:r>
      <w:r>
        <w:t>。</w:t>
      </w:r>
    </w:p>
    <w:p w14:paraId="022E3F45">
      <w:pPr>
        <w:ind w:firstLine="422" w:firstLineChars="200"/>
      </w:pPr>
      <w:r>
        <w:rPr>
          <w:b/>
        </w:rPr>
        <w:t>2</w:t>
      </w:r>
      <w:r>
        <w:rPr>
          <w:rFonts w:hint="eastAsia"/>
          <w:b/>
        </w:rPr>
        <w:t xml:space="preserve"> </w:t>
      </w:r>
      <w:r>
        <w:rPr>
          <w:rFonts w:hint="eastAsia"/>
        </w:rPr>
        <w:t xml:space="preserve"> </w:t>
      </w:r>
      <w:r>
        <w:t>采用专用接地装置时，接地电阻值不应大于4</w:t>
      </w:r>
      <w:r>
        <w:rPr>
          <w:rFonts w:hint="eastAsia"/>
        </w:rPr>
        <w:t>欧姆</w:t>
      </w:r>
      <w:r>
        <w:t>。</w:t>
      </w:r>
    </w:p>
    <w:p w14:paraId="433DEB98">
      <w:pPr>
        <w:numPr>
          <w:ilvl w:val="2"/>
          <w:numId w:val="1"/>
        </w:numPr>
        <w:tabs>
          <w:tab w:val="left" w:pos="709"/>
          <w:tab w:val="left" w:pos="794"/>
        </w:tabs>
        <w:outlineLvl w:val="2"/>
      </w:pPr>
      <w:r>
        <w:t>火灾自动报警系统防雷应满足现行国家标准《建筑物电子信息系统防雷设计规范》GB50343及其他国家相关标准、规范的有关规定。</w:t>
      </w:r>
    </w:p>
    <w:p w14:paraId="39840289">
      <w:pPr>
        <w:numPr>
          <w:ilvl w:val="1"/>
          <w:numId w:val="1"/>
        </w:numPr>
        <w:snapToGrid w:val="0"/>
        <w:spacing w:before="156" w:after="156" w:line="240" w:lineRule="auto"/>
        <w:jc w:val="center"/>
        <w:outlineLvl w:val="1"/>
        <w:rPr>
          <w:rFonts w:eastAsia="黑体"/>
          <w:bCs/>
          <w:szCs w:val="28"/>
        </w:rPr>
      </w:pPr>
      <w:bookmarkStart w:id="1629" w:name="_Toc183790636"/>
      <w:bookmarkStart w:id="1630" w:name="_Toc183888611"/>
      <w:bookmarkStart w:id="1631" w:name="_Toc183882197"/>
      <w:bookmarkStart w:id="1632" w:name="_Toc183683602"/>
      <w:bookmarkStart w:id="1633" w:name="_Toc183765206"/>
      <w:bookmarkStart w:id="1634" w:name="_Toc183882559"/>
      <w:bookmarkStart w:id="1635" w:name="_Toc183888249"/>
      <w:r>
        <w:rPr>
          <w:rFonts w:eastAsia="黑体"/>
          <w:bCs/>
          <w:szCs w:val="28"/>
        </w:rPr>
        <w:t>布线</w:t>
      </w:r>
      <w:bookmarkEnd w:id="1629"/>
      <w:bookmarkEnd w:id="1630"/>
      <w:bookmarkEnd w:id="1631"/>
      <w:bookmarkEnd w:id="1632"/>
      <w:bookmarkEnd w:id="1633"/>
      <w:bookmarkEnd w:id="1634"/>
      <w:bookmarkEnd w:id="1635"/>
    </w:p>
    <w:p w14:paraId="186203DC">
      <w:pPr>
        <w:numPr>
          <w:ilvl w:val="2"/>
          <w:numId w:val="1"/>
        </w:numPr>
        <w:tabs>
          <w:tab w:val="left" w:pos="709"/>
          <w:tab w:val="left" w:pos="794"/>
        </w:tabs>
        <w:jc w:val="left"/>
        <w:outlineLvl w:val="2"/>
        <w:rPr>
          <w:bCs/>
          <w:szCs w:val="28"/>
        </w:rPr>
      </w:pPr>
      <w:r>
        <w:rPr>
          <w:bCs/>
          <w:szCs w:val="28"/>
        </w:rPr>
        <w:t>火灾自动报警系统传输线路的线芯截面选择，除应满足自动报警装置技术条件的要求外，尚应满足机械强度的要求。铜芯绝缘导线、铜芯电缆线芯的最小截面面积不应小于下表的相关规定。</w:t>
      </w:r>
    </w:p>
    <w:p w14:paraId="033ACA58">
      <w:pPr>
        <w:pStyle w:val="198"/>
      </w:pPr>
      <w:r>
        <w:t>表</w:t>
      </w:r>
      <w:r>
        <w:rPr>
          <w:rFonts w:hint="eastAsia"/>
        </w:rPr>
        <w:t>22</w:t>
      </w:r>
      <w:r>
        <w:t>.</w:t>
      </w:r>
      <w:r>
        <w:rPr>
          <w:rFonts w:hint="eastAsia"/>
        </w:rPr>
        <w:t>9</w:t>
      </w:r>
      <w:r>
        <w:t>.</w:t>
      </w:r>
      <w:r>
        <w:rPr>
          <w:rFonts w:hint="eastAsia"/>
        </w:rPr>
        <w:t xml:space="preserve">1  </w:t>
      </w:r>
      <w:r>
        <w:t>铜芯绝缘导线和铜芯电缆的线芯最小截面积(mm</w:t>
      </w:r>
      <w:r>
        <w:rPr>
          <w:vertAlign w:val="superscript"/>
        </w:rPr>
        <w:t>2</w:t>
      </w:r>
      <w:r>
        <w:t>)</w:t>
      </w:r>
    </w:p>
    <w:tbl>
      <w:tblPr>
        <w:tblStyle w:val="88"/>
        <w:tblW w:w="6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15"/>
        <w:gridCol w:w="2107"/>
        <w:gridCol w:w="2118"/>
      </w:tblGrid>
      <w:tr w14:paraId="394F7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6" w:hRule="atLeast"/>
          <w:jc w:val="center"/>
        </w:trPr>
        <w:tc>
          <w:tcPr>
            <w:tcW w:w="2115" w:type="dxa"/>
            <w:tcBorders>
              <w:left w:val="single" w:color="000000" w:sz="6" w:space="0"/>
            </w:tcBorders>
            <w:vAlign w:val="center"/>
          </w:tcPr>
          <w:p w14:paraId="01714706">
            <w:pPr>
              <w:pStyle w:val="235"/>
              <w:rPr>
                <w:color w:val="auto"/>
              </w:rPr>
            </w:pPr>
            <w:r>
              <w:rPr>
                <w:color w:val="auto"/>
              </w:rPr>
              <w:t>序号</w:t>
            </w:r>
          </w:p>
        </w:tc>
        <w:tc>
          <w:tcPr>
            <w:tcW w:w="2107" w:type="dxa"/>
            <w:vAlign w:val="center"/>
          </w:tcPr>
          <w:p w14:paraId="71BE555F">
            <w:pPr>
              <w:pStyle w:val="235"/>
              <w:rPr>
                <w:color w:val="auto"/>
              </w:rPr>
            </w:pPr>
            <w:r>
              <w:rPr>
                <w:color w:val="auto"/>
              </w:rPr>
              <w:t>类别</w:t>
            </w:r>
          </w:p>
        </w:tc>
        <w:tc>
          <w:tcPr>
            <w:tcW w:w="2118" w:type="dxa"/>
            <w:tcBorders>
              <w:right w:val="single" w:color="000000" w:sz="6" w:space="0"/>
            </w:tcBorders>
            <w:vAlign w:val="center"/>
          </w:tcPr>
          <w:p w14:paraId="2DDE0416">
            <w:pPr>
              <w:pStyle w:val="235"/>
              <w:rPr>
                <w:color w:val="auto"/>
              </w:rPr>
            </w:pPr>
            <w:r>
              <w:rPr>
                <w:color w:val="auto"/>
              </w:rPr>
              <w:t>线芯的最小截面面积</w:t>
            </w:r>
          </w:p>
        </w:tc>
      </w:tr>
      <w:tr w14:paraId="06AF3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3" w:hRule="atLeast"/>
          <w:jc w:val="center"/>
        </w:trPr>
        <w:tc>
          <w:tcPr>
            <w:tcW w:w="2115" w:type="dxa"/>
            <w:tcBorders>
              <w:left w:val="single" w:color="000000" w:sz="6" w:space="0"/>
            </w:tcBorders>
            <w:vAlign w:val="center"/>
          </w:tcPr>
          <w:p w14:paraId="3904C925">
            <w:pPr>
              <w:pStyle w:val="235"/>
              <w:rPr>
                <w:color w:val="auto"/>
              </w:rPr>
            </w:pPr>
            <w:r>
              <w:rPr>
                <w:color w:val="auto"/>
              </w:rPr>
              <w:t>1</w:t>
            </w:r>
          </w:p>
        </w:tc>
        <w:tc>
          <w:tcPr>
            <w:tcW w:w="2107" w:type="dxa"/>
            <w:vAlign w:val="center"/>
          </w:tcPr>
          <w:p w14:paraId="07A560B2">
            <w:pPr>
              <w:pStyle w:val="235"/>
              <w:rPr>
                <w:color w:val="auto"/>
              </w:rPr>
            </w:pPr>
            <w:r>
              <w:rPr>
                <w:color w:val="auto"/>
              </w:rPr>
              <w:t>穿管敷设的绝缘导线</w:t>
            </w:r>
          </w:p>
        </w:tc>
        <w:tc>
          <w:tcPr>
            <w:tcW w:w="2118" w:type="dxa"/>
            <w:tcBorders>
              <w:right w:val="single" w:color="000000" w:sz="6" w:space="0"/>
            </w:tcBorders>
            <w:vAlign w:val="center"/>
          </w:tcPr>
          <w:p w14:paraId="6E7B2E61">
            <w:pPr>
              <w:pStyle w:val="235"/>
              <w:rPr>
                <w:color w:val="auto"/>
              </w:rPr>
            </w:pPr>
            <w:r>
              <w:rPr>
                <w:color w:val="auto"/>
              </w:rPr>
              <w:t>1.00</w:t>
            </w:r>
          </w:p>
        </w:tc>
      </w:tr>
      <w:tr w14:paraId="61A92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7" w:hRule="atLeast"/>
          <w:jc w:val="center"/>
        </w:trPr>
        <w:tc>
          <w:tcPr>
            <w:tcW w:w="2115" w:type="dxa"/>
            <w:tcBorders>
              <w:left w:val="single" w:color="000000" w:sz="6" w:space="0"/>
            </w:tcBorders>
            <w:vAlign w:val="center"/>
          </w:tcPr>
          <w:p w14:paraId="0AA07521">
            <w:pPr>
              <w:pStyle w:val="235"/>
              <w:rPr>
                <w:color w:val="auto"/>
              </w:rPr>
            </w:pPr>
            <w:r>
              <w:rPr>
                <w:color w:val="auto"/>
              </w:rPr>
              <w:t>2</w:t>
            </w:r>
          </w:p>
        </w:tc>
        <w:tc>
          <w:tcPr>
            <w:tcW w:w="2107" w:type="dxa"/>
            <w:vAlign w:val="center"/>
          </w:tcPr>
          <w:p w14:paraId="48BA3C1E">
            <w:pPr>
              <w:pStyle w:val="235"/>
              <w:rPr>
                <w:color w:val="auto"/>
              </w:rPr>
            </w:pPr>
            <w:r>
              <w:rPr>
                <w:color w:val="auto"/>
              </w:rPr>
              <w:t>线槽内敷设的绝缘导线</w:t>
            </w:r>
          </w:p>
        </w:tc>
        <w:tc>
          <w:tcPr>
            <w:tcW w:w="2118" w:type="dxa"/>
            <w:tcBorders>
              <w:right w:val="single" w:color="000000" w:sz="6" w:space="0"/>
            </w:tcBorders>
            <w:vAlign w:val="center"/>
          </w:tcPr>
          <w:p w14:paraId="2BA12F87">
            <w:pPr>
              <w:pStyle w:val="235"/>
              <w:rPr>
                <w:color w:val="auto"/>
              </w:rPr>
            </w:pPr>
            <w:r>
              <w:rPr>
                <w:color w:val="auto"/>
              </w:rPr>
              <w:t>0.75</w:t>
            </w:r>
          </w:p>
        </w:tc>
      </w:tr>
      <w:tr w14:paraId="47816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2" w:hRule="atLeast"/>
          <w:jc w:val="center"/>
        </w:trPr>
        <w:tc>
          <w:tcPr>
            <w:tcW w:w="2115" w:type="dxa"/>
            <w:tcBorders>
              <w:left w:val="single" w:color="000000" w:sz="6" w:space="0"/>
            </w:tcBorders>
            <w:vAlign w:val="center"/>
          </w:tcPr>
          <w:p w14:paraId="31187E86">
            <w:pPr>
              <w:pStyle w:val="235"/>
              <w:rPr>
                <w:color w:val="auto"/>
              </w:rPr>
            </w:pPr>
            <w:r>
              <w:rPr>
                <w:color w:val="auto"/>
              </w:rPr>
              <w:t>3</w:t>
            </w:r>
          </w:p>
        </w:tc>
        <w:tc>
          <w:tcPr>
            <w:tcW w:w="2107" w:type="dxa"/>
            <w:vAlign w:val="center"/>
          </w:tcPr>
          <w:p w14:paraId="13BAB87E">
            <w:pPr>
              <w:pStyle w:val="235"/>
              <w:rPr>
                <w:color w:val="auto"/>
              </w:rPr>
            </w:pPr>
            <w:r>
              <w:rPr>
                <w:color w:val="auto"/>
              </w:rPr>
              <w:t>多芯电缆</w:t>
            </w:r>
          </w:p>
        </w:tc>
        <w:tc>
          <w:tcPr>
            <w:tcW w:w="2118" w:type="dxa"/>
            <w:tcBorders>
              <w:right w:val="single" w:color="000000" w:sz="6" w:space="0"/>
            </w:tcBorders>
            <w:vAlign w:val="center"/>
          </w:tcPr>
          <w:p w14:paraId="7D447D21">
            <w:pPr>
              <w:pStyle w:val="235"/>
              <w:rPr>
                <w:color w:val="auto"/>
              </w:rPr>
            </w:pPr>
            <w:r>
              <w:rPr>
                <w:color w:val="auto"/>
              </w:rPr>
              <w:t>0.50</w:t>
            </w:r>
          </w:p>
        </w:tc>
      </w:tr>
    </w:tbl>
    <w:p w14:paraId="4A464518">
      <w:pPr>
        <w:numPr>
          <w:ilvl w:val="2"/>
          <w:numId w:val="1"/>
        </w:numPr>
        <w:tabs>
          <w:tab w:val="left" w:pos="709"/>
          <w:tab w:val="left" w:pos="794"/>
        </w:tabs>
        <w:jc w:val="left"/>
        <w:outlineLvl w:val="2"/>
        <w:rPr>
          <w:bCs/>
          <w:szCs w:val="28"/>
        </w:rPr>
      </w:pPr>
      <w:r>
        <w:rPr>
          <w:bCs/>
          <w:szCs w:val="28"/>
        </w:rPr>
        <w:t>火灾自动报警系统传输线路应采用穿金属管或封闭式线槽保护方式布线。</w:t>
      </w:r>
    </w:p>
    <w:p w14:paraId="04D58895">
      <w:pPr>
        <w:numPr>
          <w:ilvl w:val="2"/>
          <w:numId w:val="1"/>
        </w:numPr>
        <w:tabs>
          <w:tab w:val="left" w:pos="709"/>
          <w:tab w:val="left" w:pos="794"/>
        </w:tabs>
        <w:jc w:val="left"/>
        <w:outlineLvl w:val="2"/>
        <w:rPr>
          <w:bCs/>
          <w:szCs w:val="28"/>
        </w:rPr>
      </w:pPr>
      <w:r>
        <w:rPr>
          <w:bCs/>
          <w:szCs w:val="28"/>
        </w:rPr>
        <w:t>火灾自动报警系统应单独布线，不同电压等级、不同电流等级类别的线路应敷设在不同线管或同一线槽的不同槽孔内。</w:t>
      </w:r>
    </w:p>
    <w:p w14:paraId="0EE56DF6">
      <w:pPr>
        <w:numPr>
          <w:ilvl w:val="2"/>
          <w:numId w:val="1"/>
        </w:numPr>
        <w:tabs>
          <w:tab w:val="left" w:pos="709"/>
          <w:tab w:val="left" w:pos="794"/>
        </w:tabs>
        <w:jc w:val="left"/>
        <w:outlineLvl w:val="2"/>
        <w:rPr>
          <w:bCs/>
          <w:szCs w:val="28"/>
        </w:rPr>
      </w:pPr>
      <w:r>
        <w:rPr>
          <w:bCs/>
          <w:szCs w:val="28"/>
        </w:rPr>
        <w:t>水平敷设火灾自动报警系统传输线路当采用穿管布线时，不同防火分区的线路不应穿入同一根管内。</w:t>
      </w:r>
    </w:p>
    <w:p w14:paraId="12B821D4">
      <w:pPr>
        <w:numPr>
          <w:ilvl w:val="2"/>
          <w:numId w:val="1"/>
        </w:numPr>
        <w:tabs>
          <w:tab w:val="left" w:pos="709"/>
          <w:tab w:val="left" w:pos="794"/>
        </w:tabs>
        <w:outlineLvl w:val="2"/>
      </w:pPr>
      <w:r>
        <w:rPr>
          <w:rFonts w:hint="eastAsia"/>
        </w:rPr>
        <w:t>火灾自动报警系统的供电线路、消防联动控制线路应采用具有阻燃性能的耐火铜芯电线电缆，报警总线、消防应急广播和消防专用电话等传输线路应采用阻燃电线电缆或具有阻燃性能的耐火电线电缆</w:t>
      </w:r>
      <w:r>
        <w:t>。</w:t>
      </w:r>
    </w:p>
    <w:p w14:paraId="3CF682FB">
      <w:pPr>
        <w:numPr>
          <w:ilvl w:val="2"/>
          <w:numId w:val="1"/>
        </w:numPr>
        <w:tabs>
          <w:tab w:val="left" w:pos="709"/>
          <w:tab w:val="left" w:pos="794"/>
        </w:tabs>
        <w:jc w:val="left"/>
        <w:outlineLvl w:val="2"/>
        <w:rPr>
          <w:bCs/>
          <w:szCs w:val="28"/>
        </w:rPr>
      </w:pPr>
      <w:r>
        <w:rPr>
          <w:bCs/>
          <w:szCs w:val="28"/>
        </w:rPr>
        <w:t>火灾自动报警系统采用的电线电缆，还应符合现行国家标准《电缆及光缆燃烧性能分级》GB31247的规定，燃烧性能等级应为B1级。</w:t>
      </w:r>
    </w:p>
    <w:p w14:paraId="580B9D2A">
      <w:pPr>
        <w:numPr>
          <w:ilvl w:val="2"/>
          <w:numId w:val="1"/>
        </w:numPr>
        <w:tabs>
          <w:tab w:val="left" w:pos="709"/>
          <w:tab w:val="left" w:pos="794"/>
        </w:tabs>
        <w:jc w:val="left"/>
        <w:outlineLvl w:val="2"/>
        <w:rPr>
          <w:bCs/>
          <w:szCs w:val="28"/>
        </w:rPr>
      </w:pPr>
      <w:r>
        <w:rPr>
          <w:bCs/>
          <w:szCs w:val="28"/>
        </w:rPr>
        <w:t>管路采样吸气式感烟火灾探测器的采样管路应采用燃烧性能不低于B1级的难燃型PC管、ABS管或其他金属管材。</w:t>
      </w:r>
    </w:p>
    <w:p w14:paraId="5099471F">
      <w:pPr>
        <w:tabs>
          <w:tab w:val="left" w:pos="709"/>
          <w:tab w:val="left" w:pos="794"/>
          <w:tab w:val="left" w:pos="851"/>
        </w:tabs>
        <w:jc w:val="left"/>
        <w:outlineLvl w:val="2"/>
        <w:rPr>
          <w:bCs/>
          <w:szCs w:val="28"/>
        </w:rPr>
      </w:pPr>
    </w:p>
    <w:p w14:paraId="234A5B90">
      <w:pPr>
        <w:pStyle w:val="3"/>
      </w:pPr>
      <w:r>
        <w:br w:type="page"/>
      </w:r>
      <w:bookmarkEnd w:id="1414"/>
      <w:bookmarkEnd w:id="1415"/>
      <w:bookmarkEnd w:id="1416"/>
      <w:bookmarkStart w:id="1636" w:name="_Toc183888250"/>
      <w:bookmarkStart w:id="1637" w:name="_Toc183699881"/>
      <w:bookmarkStart w:id="1638" w:name="_Toc183882560"/>
      <w:bookmarkStart w:id="1639" w:name="_Toc183888612"/>
      <w:bookmarkStart w:id="1640" w:name="_Toc183683603"/>
      <w:bookmarkStart w:id="1641" w:name="_Toc183882198"/>
      <w:bookmarkStart w:id="1642" w:name="_Toc183735425"/>
      <w:bookmarkStart w:id="1643" w:name="_Toc183790637"/>
      <w:bookmarkStart w:id="1644" w:name="_Toc183765207"/>
      <w:bookmarkStart w:id="1645" w:name="_Toc168061310"/>
      <w:bookmarkStart w:id="1646" w:name="_Toc168059502"/>
      <w:bookmarkStart w:id="1647" w:name="_Toc168061757"/>
      <w:bookmarkStart w:id="1648" w:name="_Toc168061926"/>
      <w:bookmarkStart w:id="1649" w:name="_Toc168415300"/>
      <w:r>
        <w:rPr>
          <w:rFonts w:hint="eastAsia"/>
        </w:rPr>
        <w:t>乘客信息</w:t>
      </w:r>
      <w:bookmarkEnd w:id="1636"/>
      <w:bookmarkEnd w:id="1637"/>
      <w:bookmarkEnd w:id="1638"/>
      <w:bookmarkEnd w:id="1639"/>
      <w:bookmarkEnd w:id="1640"/>
      <w:bookmarkEnd w:id="1641"/>
      <w:bookmarkEnd w:id="1642"/>
      <w:bookmarkEnd w:id="1643"/>
      <w:bookmarkEnd w:id="1644"/>
    </w:p>
    <w:p w14:paraId="76A75AFB">
      <w:pPr>
        <w:numPr>
          <w:ilvl w:val="1"/>
          <w:numId w:val="1"/>
        </w:numPr>
        <w:snapToGrid w:val="0"/>
        <w:spacing w:before="156" w:after="156" w:line="240" w:lineRule="auto"/>
        <w:jc w:val="center"/>
        <w:outlineLvl w:val="1"/>
        <w:rPr>
          <w:rFonts w:eastAsia="黑体"/>
          <w:bCs/>
          <w:szCs w:val="28"/>
        </w:rPr>
      </w:pPr>
      <w:bookmarkStart w:id="1650" w:name="_Toc168415280"/>
      <w:bookmarkStart w:id="1651" w:name="_Toc183765208"/>
      <w:bookmarkStart w:id="1652" w:name="_Toc183683604"/>
      <w:bookmarkStart w:id="1653" w:name="_Toc183888613"/>
      <w:bookmarkStart w:id="1654" w:name="_Toc156948954"/>
      <w:bookmarkStart w:id="1655" w:name="_Toc183790638"/>
      <w:bookmarkStart w:id="1656" w:name="_Toc183882199"/>
      <w:bookmarkStart w:id="1657" w:name="_Toc183888251"/>
      <w:bookmarkStart w:id="1658" w:name="_Toc183882561"/>
      <w:r>
        <w:rPr>
          <w:rFonts w:hint="eastAsia" w:eastAsia="黑体"/>
          <w:bCs/>
          <w:szCs w:val="28"/>
        </w:rPr>
        <w:t>一般规定</w:t>
      </w:r>
      <w:bookmarkEnd w:id="1650"/>
      <w:bookmarkEnd w:id="1651"/>
      <w:bookmarkEnd w:id="1652"/>
      <w:bookmarkEnd w:id="1653"/>
      <w:bookmarkEnd w:id="1654"/>
      <w:bookmarkEnd w:id="1655"/>
      <w:bookmarkEnd w:id="1656"/>
      <w:bookmarkEnd w:id="1657"/>
      <w:bookmarkEnd w:id="1658"/>
    </w:p>
    <w:p w14:paraId="0D5A4DD1">
      <w:pPr>
        <w:numPr>
          <w:ilvl w:val="2"/>
          <w:numId w:val="41"/>
        </w:numPr>
        <w:tabs>
          <w:tab w:val="left" w:pos="709"/>
          <w:tab w:val="left" w:pos="794"/>
          <w:tab w:val="left" w:pos="1701"/>
        </w:tabs>
        <w:jc w:val="left"/>
        <w:outlineLvl w:val="2"/>
        <w:rPr>
          <w:bCs/>
        </w:rPr>
      </w:pPr>
      <w:r>
        <w:rPr>
          <w:rFonts w:hint="eastAsia"/>
        </w:rPr>
        <w:t>轨道交通工程应设置乘客信息系统，应为乘客提供列车到达预告、换乘信息及时间等与乘车有关的信息，还应能播放重要新闻、天气预报、公益广告等资讯信息。</w:t>
      </w:r>
    </w:p>
    <w:p w14:paraId="5C67FD80">
      <w:pPr>
        <w:numPr>
          <w:ilvl w:val="2"/>
          <w:numId w:val="41"/>
        </w:numPr>
        <w:tabs>
          <w:tab w:val="left" w:pos="709"/>
          <w:tab w:val="left" w:pos="794"/>
          <w:tab w:val="left" w:pos="1701"/>
        </w:tabs>
        <w:jc w:val="left"/>
        <w:outlineLvl w:val="2"/>
        <w:rPr>
          <w:bCs/>
          <w:spacing w:val="-1"/>
        </w:rPr>
      </w:pPr>
      <w:r>
        <w:rPr>
          <w:rFonts w:hint="eastAsia"/>
          <w:bCs/>
          <w:spacing w:val="4"/>
        </w:rPr>
        <w:t>乘客信息系统</w:t>
      </w:r>
      <w:r>
        <w:rPr>
          <w:rFonts w:hint="eastAsia"/>
          <w:bCs/>
          <w:spacing w:val="3"/>
        </w:rPr>
        <w:t>应</w:t>
      </w:r>
      <w:r>
        <w:rPr>
          <w:rFonts w:hint="eastAsia"/>
          <w:bCs/>
        </w:rPr>
        <w:t>具有安全性、可靠性、可扩充性和使用灵活性，并应做到技术先进、经济合理、</w:t>
      </w:r>
      <w:r>
        <w:rPr>
          <w:rFonts w:hint="eastAsia"/>
          <w:bCs/>
          <w:spacing w:val="-2"/>
        </w:rPr>
        <w:t>简洁</w:t>
      </w:r>
      <w:r>
        <w:rPr>
          <w:rFonts w:hint="eastAsia"/>
          <w:bCs/>
          <w:spacing w:val="-1"/>
        </w:rPr>
        <w:t>实用。</w:t>
      </w:r>
    </w:p>
    <w:p w14:paraId="1C7508A5">
      <w:pPr>
        <w:numPr>
          <w:ilvl w:val="2"/>
          <w:numId w:val="41"/>
        </w:numPr>
        <w:tabs>
          <w:tab w:val="left" w:pos="709"/>
          <w:tab w:val="left" w:pos="794"/>
          <w:tab w:val="left" w:pos="1701"/>
        </w:tabs>
        <w:jc w:val="left"/>
        <w:outlineLvl w:val="2"/>
        <w:rPr>
          <w:bCs/>
          <w:spacing w:val="4"/>
        </w:rPr>
      </w:pPr>
      <w:r>
        <w:rPr>
          <w:rFonts w:hint="eastAsia"/>
          <w:bCs/>
        </w:rPr>
        <w:t>乘客信息系统应具有完备的信息处理能力。通过系统外部接口进行数据交换，并将获得的数据</w:t>
      </w:r>
      <w:r>
        <w:rPr>
          <w:rFonts w:hint="eastAsia"/>
          <w:bCs/>
          <w:spacing w:val="5"/>
        </w:rPr>
        <w:t>经系统处理后，向乘客提供信息服务</w:t>
      </w:r>
      <w:r>
        <w:rPr>
          <w:rFonts w:hint="eastAsia"/>
          <w:bCs/>
          <w:spacing w:val="4"/>
        </w:rPr>
        <w:t>。</w:t>
      </w:r>
    </w:p>
    <w:p w14:paraId="50D9600E">
      <w:pPr>
        <w:numPr>
          <w:ilvl w:val="2"/>
          <w:numId w:val="41"/>
        </w:numPr>
        <w:tabs>
          <w:tab w:val="left" w:pos="709"/>
          <w:tab w:val="left" w:pos="794"/>
          <w:tab w:val="left" w:pos="1701"/>
        </w:tabs>
        <w:jc w:val="left"/>
        <w:outlineLvl w:val="2"/>
        <w:rPr>
          <w:bCs/>
          <w:lang w:bidi="ar"/>
        </w:rPr>
      </w:pPr>
      <w:r>
        <w:rPr>
          <w:rFonts w:hint="eastAsia"/>
          <w:bCs/>
          <w:lang w:bidi="ar"/>
        </w:rPr>
        <w:t>乘客信息系统宜采用多样化终端显示设备向乘客提供信息服务。</w:t>
      </w:r>
    </w:p>
    <w:p w14:paraId="3E46E92E">
      <w:pPr>
        <w:numPr>
          <w:ilvl w:val="2"/>
          <w:numId w:val="41"/>
        </w:numPr>
        <w:tabs>
          <w:tab w:val="left" w:pos="709"/>
          <w:tab w:val="left" w:pos="794"/>
          <w:tab w:val="left" w:pos="1701"/>
        </w:tabs>
        <w:jc w:val="left"/>
        <w:outlineLvl w:val="2"/>
        <w:rPr>
          <w:bCs/>
        </w:rPr>
      </w:pPr>
      <w:r>
        <w:rPr>
          <w:rFonts w:hint="eastAsia"/>
          <w:bCs/>
          <w:spacing w:val="5"/>
        </w:rPr>
        <w:t>换乘车站乘客信息系统根据车站换乘方式，宜按系统共享原则设置相应的系统。</w:t>
      </w:r>
    </w:p>
    <w:p w14:paraId="416C595C">
      <w:pPr>
        <w:numPr>
          <w:ilvl w:val="2"/>
          <w:numId w:val="41"/>
        </w:numPr>
        <w:tabs>
          <w:tab w:val="left" w:pos="709"/>
          <w:tab w:val="left" w:pos="794"/>
          <w:tab w:val="left" w:pos="1701"/>
        </w:tabs>
        <w:jc w:val="left"/>
        <w:outlineLvl w:val="2"/>
        <w:rPr>
          <w:bCs/>
          <w:spacing w:val="3"/>
        </w:rPr>
      </w:pPr>
      <w:r>
        <w:rPr>
          <w:rFonts w:hint="eastAsia"/>
          <w:bCs/>
          <w:spacing w:val="5"/>
        </w:rPr>
        <w:t>乘客信息系统应接受北京轨道交通指挥中心下发有关信息的要求</w:t>
      </w:r>
      <w:r>
        <w:rPr>
          <w:rFonts w:hint="eastAsia"/>
          <w:bCs/>
          <w:spacing w:val="3"/>
        </w:rPr>
        <w:t>。</w:t>
      </w:r>
    </w:p>
    <w:p w14:paraId="74ACFB7B">
      <w:pPr>
        <w:numPr>
          <w:ilvl w:val="2"/>
          <w:numId w:val="41"/>
        </w:numPr>
        <w:tabs>
          <w:tab w:val="left" w:pos="709"/>
          <w:tab w:val="left" w:pos="794"/>
          <w:tab w:val="left" w:pos="1701"/>
        </w:tabs>
        <w:jc w:val="left"/>
        <w:outlineLvl w:val="2"/>
        <w:rPr>
          <w:bCs/>
        </w:rPr>
      </w:pPr>
      <w:r>
        <w:rPr>
          <w:rFonts w:hint="eastAsia"/>
          <w:bCs/>
        </w:rPr>
        <w:t>乘客信息系统宜根据系统架构部署在云平台上。</w:t>
      </w:r>
    </w:p>
    <w:p w14:paraId="2B388E74">
      <w:pPr>
        <w:numPr>
          <w:ilvl w:val="2"/>
          <w:numId w:val="41"/>
        </w:numPr>
        <w:tabs>
          <w:tab w:val="left" w:pos="709"/>
          <w:tab w:val="left" w:pos="794"/>
          <w:tab w:val="left" w:pos="1701"/>
        </w:tabs>
        <w:jc w:val="left"/>
        <w:outlineLvl w:val="2"/>
        <w:rPr>
          <w:bCs/>
        </w:rPr>
      </w:pPr>
      <w:r>
        <w:rPr>
          <w:rFonts w:hint="eastAsia"/>
          <w:bCs/>
        </w:rPr>
        <w:t>乘客信息系统信息安全等级保护不应低于</w:t>
      </w:r>
      <w:r>
        <w:rPr>
          <w:bCs/>
        </w:rPr>
        <w:t>二级。</w:t>
      </w:r>
    </w:p>
    <w:p w14:paraId="33BDB9DB">
      <w:pPr>
        <w:numPr>
          <w:ilvl w:val="2"/>
          <w:numId w:val="41"/>
        </w:numPr>
        <w:tabs>
          <w:tab w:val="left" w:pos="709"/>
          <w:tab w:val="left" w:pos="794"/>
          <w:tab w:val="left" w:pos="1701"/>
        </w:tabs>
        <w:outlineLvl w:val="2"/>
        <w:rPr>
          <w:bCs/>
        </w:rPr>
      </w:pPr>
      <w:r>
        <w:rPr>
          <w:rFonts w:hint="eastAsia"/>
          <w:bCs/>
        </w:rPr>
        <w:t>乘客信息系统各类线缆</w:t>
      </w:r>
      <w:r>
        <w:rPr>
          <w:bCs/>
        </w:rPr>
        <w:t>的</w:t>
      </w:r>
      <w:r>
        <w:rPr>
          <w:rFonts w:hint="eastAsia"/>
          <w:bCs/>
        </w:rPr>
        <w:t>燃烧性能应符合</w:t>
      </w:r>
      <w:r>
        <w:rPr>
          <w:bCs/>
        </w:rPr>
        <w:t>现行国家标准《电缆及光缆燃烧性能分级》GB31247的规定，燃烧性能等级应为B1级。</w:t>
      </w:r>
    </w:p>
    <w:p w14:paraId="108FC580">
      <w:pPr>
        <w:numPr>
          <w:ilvl w:val="1"/>
          <w:numId w:val="1"/>
        </w:numPr>
        <w:snapToGrid w:val="0"/>
        <w:spacing w:before="156" w:after="156" w:line="240" w:lineRule="auto"/>
        <w:jc w:val="center"/>
        <w:outlineLvl w:val="1"/>
        <w:rPr>
          <w:rFonts w:eastAsia="黑体"/>
          <w:bCs/>
          <w:szCs w:val="28"/>
        </w:rPr>
      </w:pPr>
      <w:bookmarkStart w:id="1659" w:name="_Toc183683605"/>
      <w:bookmarkStart w:id="1660" w:name="_Toc183765209"/>
      <w:bookmarkStart w:id="1661" w:name="_Toc183882562"/>
      <w:bookmarkStart w:id="1662" w:name="_Toc183888252"/>
      <w:bookmarkStart w:id="1663" w:name="_Toc183882200"/>
      <w:bookmarkStart w:id="1664" w:name="_Toc183888614"/>
      <w:bookmarkStart w:id="1665" w:name="_Toc156948955"/>
      <w:bookmarkStart w:id="1666" w:name="_Toc168415281"/>
      <w:bookmarkStart w:id="1667" w:name="_Toc183790639"/>
      <w:r>
        <w:rPr>
          <w:rFonts w:hint="eastAsia" w:eastAsia="黑体"/>
          <w:bCs/>
          <w:szCs w:val="28"/>
        </w:rPr>
        <w:t>系统构成</w:t>
      </w:r>
      <w:bookmarkEnd w:id="1659"/>
      <w:bookmarkEnd w:id="1660"/>
      <w:bookmarkEnd w:id="1661"/>
      <w:bookmarkEnd w:id="1662"/>
      <w:bookmarkEnd w:id="1663"/>
      <w:bookmarkEnd w:id="1664"/>
      <w:bookmarkEnd w:id="1665"/>
      <w:bookmarkEnd w:id="1666"/>
      <w:bookmarkEnd w:id="1667"/>
    </w:p>
    <w:p w14:paraId="76988927">
      <w:pPr>
        <w:numPr>
          <w:ilvl w:val="2"/>
          <w:numId w:val="41"/>
        </w:numPr>
        <w:tabs>
          <w:tab w:val="left" w:pos="709"/>
          <w:tab w:val="left" w:pos="794"/>
          <w:tab w:val="left" w:pos="1701"/>
        </w:tabs>
        <w:jc w:val="left"/>
        <w:outlineLvl w:val="2"/>
        <w:rPr>
          <w:bCs/>
          <w:spacing w:val="-3"/>
        </w:rPr>
      </w:pPr>
      <w:r>
        <w:rPr>
          <w:rFonts w:hint="eastAsia"/>
        </w:rPr>
        <w:t>乘客信息系统结构宜包含路网层、线路中心层、车站层。</w:t>
      </w:r>
    </w:p>
    <w:p w14:paraId="54D28C36">
      <w:pPr>
        <w:numPr>
          <w:ilvl w:val="2"/>
          <w:numId w:val="41"/>
        </w:numPr>
        <w:tabs>
          <w:tab w:val="left" w:pos="709"/>
          <w:tab w:val="left" w:pos="794"/>
          <w:tab w:val="left" w:pos="1701"/>
        </w:tabs>
        <w:jc w:val="left"/>
        <w:outlineLvl w:val="2"/>
        <w:rPr>
          <w:bCs/>
        </w:rPr>
      </w:pPr>
      <w:r>
        <w:rPr>
          <w:rFonts w:hint="eastAsia"/>
          <w:bCs/>
        </w:rPr>
        <w:t>乘客信息系统车站终端应考虑设置在站厅付费区、站厅非付费区、上行站台、下行站台以及车辆客室内，宜在出入口及通道、换乘通道内设置。</w:t>
      </w:r>
    </w:p>
    <w:p w14:paraId="2C59D4F3">
      <w:pPr>
        <w:numPr>
          <w:ilvl w:val="2"/>
          <w:numId w:val="41"/>
        </w:numPr>
        <w:tabs>
          <w:tab w:val="left" w:pos="709"/>
          <w:tab w:val="left" w:pos="794"/>
          <w:tab w:val="left" w:pos="1701"/>
        </w:tabs>
        <w:jc w:val="left"/>
        <w:outlineLvl w:val="2"/>
        <w:rPr>
          <w:bCs/>
        </w:rPr>
      </w:pPr>
      <w:r>
        <w:rPr>
          <w:rFonts w:hint="eastAsia"/>
          <w:bCs/>
        </w:rPr>
        <w:t>乘客信息系统车地无线网络宜由通信系统构建。</w:t>
      </w:r>
    </w:p>
    <w:p w14:paraId="0D4B463F">
      <w:pPr>
        <w:numPr>
          <w:ilvl w:val="1"/>
          <w:numId w:val="1"/>
        </w:numPr>
        <w:snapToGrid w:val="0"/>
        <w:spacing w:before="156" w:after="156" w:line="240" w:lineRule="auto"/>
        <w:jc w:val="center"/>
        <w:outlineLvl w:val="1"/>
        <w:rPr>
          <w:rFonts w:eastAsia="黑体"/>
          <w:bCs/>
          <w:szCs w:val="28"/>
        </w:rPr>
      </w:pPr>
      <w:bookmarkStart w:id="1668" w:name="_Toc183888253"/>
      <w:bookmarkStart w:id="1669" w:name="_Toc156948956"/>
      <w:bookmarkStart w:id="1670" w:name="_Toc168415282"/>
      <w:bookmarkStart w:id="1671" w:name="_Toc183683606"/>
      <w:bookmarkStart w:id="1672" w:name="_Toc183765210"/>
      <w:bookmarkStart w:id="1673" w:name="_Toc183790640"/>
      <w:bookmarkStart w:id="1674" w:name="_Toc183882201"/>
      <w:bookmarkStart w:id="1675" w:name="_Toc183882563"/>
      <w:bookmarkStart w:id="1676" w:name="_Toc183888615"/>
      <w:r>
        <w:rPr>
          <w:rFonts w:hint="eastAsia" w:eastAsia="黑体"/>
          <w:bCs/>
          <w:szCs w:val="28"/>
        </w:rPr>
        <w:t>系统功能</w:t>
      </w:r>
      <w:bookmarkEnd w:id="1668"/>
      <w:bookmarkEnd w:id="1669"/>
      <w:bookmarkEnd w:id="1670"/>
      <w:bookmarkEnd w:id="1671"/>
      <w:bookmarkEnd w:id="1672"/>
      <w:bookmarkEnd w:id="1673"/>
      <w:bookmarkEnd w:id="1674"/>
      <w:bookmarkEnd w:id="1675"/>
      <w:bookmarkEnd w:id="1676"/>
    </w:p>
    <w:p w14:paraId="1BD29BCE">
      <w:pPr>
        <w:numPr>
          <w:ilvl w:val="2"/>
          <w:numId w:val="41"/>
        </w:numPr>
        <w:tabs>
          <w:tab w:val="left" w:pos="709"/>
          <w:tab w:val="left" w:pos="794"/>
          <w:tab w:val="left" w:pos="1701"/>
        </w:tabs>
        <w:jc w:val="left"/>
        <w:outlineLvl w:val="2"/>
        <w:rPr>
          <w:bCs/>
        </w:rPr>
      </w:pPr>
      <w:r>
        <w:rPr>
          <w:rFonts w:hint="eastAsia"/>
          <w:bCs/>
        </w:rPr>
        <w:t>乘客信息系统运行模式应包括正常服务、关闭、故障、维修、离线服务等模式。</w:t>
      </w:r>
    </w:p>
    <w:p w14:paraId="79AFFB29">
      <w:pPr>
        <w:numPr>
          <w:ilvl w:val="2"/>
          <w:numId w:val="41"/>
        </w:numPr>
        <w:tabs>
          <w:tab w:val="left" w:pos="709"/>
          <w:tab w:val="left" w:pos="794"/>
          <w:tab w:val="left" w:pos="1701"/>
        </w:tabs>
        <w:jc w:val="left"/>
        <w:outlineLvl w:val="2"/>
        <w:rPr>
          <w:bCs/>
        </w:rPr>
      </w:pPr>
      <w:r>
        <w:rPr>
          <w:rFonts w:hint="eastAsia"/>
          <w:bCs/>
          <w:spacing w:val="3"/>
        </w:rPr>
        <w:t>乘客信息系统应支持下列信息类型</w:t>
      </w:r>
      <w:r>
        <w:rPr>
          <w:rFonts w:hint="eastAsia"/>
          <w:bCs/>
          <w:spacing w:val="2"/>
        </w:rPr>
        <w:t>：</w:t>
      </w:r>
    </w:p>
    <w:p w14:paraId="6F433F1D">
      <w:pPr>
        <w:pStyle w:val="86"/>
        <w:ind w:firstLine="422"/>
        <w:rPr>
          <w:color w:val="auto"/>
        </w:rPr>
      </w:pPr>
      <w:r>
        <w:rPr>
          <w:b/>
          <w:color w:val="auto"/>
        </w:rPr>
        <w:t>1</w:t>
      </w:r>
      <w:r>
        <w:rPr>
          <w:color w:val="auto"/>
        </w:rPr>
        <w:t xml:space="preserve">  </w:t>
      </w:r>
      <w:r>
        <w:rPr>
          <w:rFonts w:hint="eastAsia"/>
          <w:color w:val="auto"/>
        </w:rPr>
        <w:t>列车时刻表、列车异常通告、下班列车到站等列车服务信息；</w:t>
      </w:r>
    </w:p>
    <w:p w14:paraId="01D9390B">
      <w:pPr>
        <w:pStyle w:val="86"/>
        <w:ind w:firstLine="422"/>
        <w:rPr>
          <w:color w:val="auto"/>
        </w:rPr>
      </w:pPr>
      <w:r>
        <w:rPr>
          <w:b/>
          <w:color w:val="auto"/>
        </w:rPr>
        <w:t>2</w:t>
      </w:r>
      <w:r>
        <w:rPr>
          <w:color w:val="auto"/>
        </w:rPr>
        <w:t xml:space="preserve">  </w:t>
      </w:r>
      <w:r>
        <w:rPr>
          <w:rFonts w:hint="eastAsia"/>
          <w:color w:val="auto"/>
        </w:rPr>
        <w:t>服务通告、换乘指示、疏散指示、动态指示、地面交通指示等乘客引导信息；</w:t>
      </w:r>
    </w:p>
    <w:p w14:paraId="056E1811">
      <w:pPr>
        <w:pStyle w:val="86"/>
        <w:ind w:firstLine="422"/>
        <w:rPr>
          <w:color w:val="auto"/>
        </w:rPr>
      </w:pPr>
      <w:r>
        <w:rPr>
          <w:b/>
          <w:color w:val="auto"/>
        </w:rPr>
        <w:t xml:space="preserve">3 </w:t>
      </w:r>
      <w:r>
        <w:rPr>
          <w:color w:val="auto"/>
        </w:rPr>
        <w:t xml:space="preserve"> </w:t>
      </w:r>
      <w:r>
        <w:rPr>
          <w:rFonts w:hint="eastAsia"/>
          <w:color w:val="auto"/>
        </w:rPr>
        <w:t>火灾、自然灾害、事故灾害、人身意外等紧急灾害辅助信息；</w:t>
      </w:r>
    </w:p>
    <w:p w14:paraId="6B9DF913">
      <w:pPr>
        <w:pStyle w:val="86"/>
        <w:ind w:firstLine="422"/>
        <w:rPr>
          <w:color w:val="auto"/>
        </w:rPr>
      </w:pPr>
      <w:r>
        <w:rPr>
          <w:b/>
          <w:color w:val="auto"/>
        </w:rPr>
        <w:t>4</w:t>
      </w:r>
      <w:r>
        <w:rPr>
          <w:color w:val="auto"/>
        </w:rPr>
        <w:t xml:space="preserve">  </w:t>
      </w:r>
      <w:r>
        <w:rPr>
          <w:rFonts w:hint="eastAsia"/>
          <w:color w:val="auto"/>
        </w:rPr>
        <w:t>日期时钟、安全防范提示、票务信息、天气预报、新闻、其他公共交通信息等站务及公共服务信息；</w:t>
      </w:r>
    </w:p>
    <w:p w14:paraId="266947E1">
      <w:pPr>
        <w:pStyle w:val="86"/>
        <w:ind w:firstLine="422"/>
        <w:rPr>
          <w:color w:val="auto"/>
        </w:rPr>
      </w:pPr>
      <w:r>
        <w:rPr>
          <w:b/>
          <w:color w:val="auto"/>
        </w:rPr>
        <w:t xml:space="preserve">5 </w:t>
      </w:r>
      <w:r>
        <w:rPr>
          <w:color w:val="auto"/>
        </w:rPr>
        <w:t xml:space="preserve"> </w:t>
      </w:r>
      <w:r>
        <w:rPr>
          <w:rFonts w:hint="eastAsia"/>
          <w:color w:val="auto"/>
        </w:rPr>
        <w:t>视频、图片、文字等公益信息。</w:t>
      </w:r>
    </w:p>
    <w:p w14:paraId="2FF7425B">
      <w:pPr>
        <w:numPr>
          <w:ilvl w:val="2"/>
          <w:numId w:val="41"/>
        </w:numPr>
        <w:tabs>
          <w:tab w:val="left" w:pos="709"/>
          <w:tab w:val="left" w:pos="794"/>
          <w:tab w:val="left" w:pos="1701"/>
        </w:tabs>
        <w:jc w:val="left"/>
        <w:outlineLvl w:val="2"/>
        <w:rPr>
          <w:bCs/>
        </w:rPr>
      </w:pPr>
      <w:r>
        <w:rPr>
          <w:rFonts w:hint="eastAsia"/>
          <w:bCs/>
        </w:rPr>
        <w:t>乘客信息系统信息显示的优先级应遵循下列规</w:t>
      </w:r>
      <w:r>
        <w:rPr>
          <w:rFonts w:hint="eastAsia"/>
          <w:bCs/>
          <w:spacing w:val="2"/>
        </w:rPr>
        <w:t>则</w:t>
      </w:r>
      <w:r>
        <w:rPr>
          <w:rFonts w:hint="eastAsia"/>
          <w:bCs/>
        </w:rPr>
        <w:t>：</w:t>
      </w:r>
    </w:p>
    <w:p w14:paraId="3BB958B4">
      <w:pPr>
        <w:pStyle w:val="86"/>
        <w:ind w:firstLine="422"/>
        <w:rPr>
          <w:color w:val="auto"/>
        </w:rPr>
      </w:pPr>
      <w:r>
        <w:rPr>
          <w:b/>
          <w:color w:val="auto"/>
        </w:rPr>
        <w:t>1</w:t>
      </w:r>
      <w:r>
        <w:rPr>
          <w:color w:val="auto"/>
        </w:rPr>
        <w:t xml:space="preserve">  </w:t>
      </w:r>
      <w:r>
        <w:rPr>
          <w:rFonts w:hint="eastAsia"/>
          <w:color w:val="auto"/>
        </w:rPr>
        <w:t>信息类型宜按紧急灾害辅助信息、列车服务信息、乘客引导信息、站务及公共信息、公益信息顺序递减，紧急灾害辅助信息应具有最高优先级别；</w:t>
      </w:r>
    </w:p>
    <w:p w14:paraId="508CBB58">
      <w:pPr>
        <w:pStyle w:val="86"/>
        <w:ind w:firstLine="422"/>
        <w:rPr>
          <w:color w:val="auto"/>
        </w:rPr>
      </w:pPr>
      <w:r>
        <w:rPr>
          <w:b/>
          <w:color w:val="auto"/>
        </w:rPr>
        <w:t xml:space="preserve">2 </w:t>
      </w:r>
      <w:r>
        <w:rPr>
          <w:color w:val="auto"/>
        </w:rPr>
        <w:t xml:space="preserve"> </w:t>
      </w:r>
      <w:r>
        <w:rPr>
          <w:rFonts w:hint="eastAsia"/>
          <w:color w:val="auto"/>
        </w:rPr>
        <w:t>信息级别应由高至低，高优先级别的信息应优先发送显示，同等优先级别的信息应采用先到先发的原则，高优先级别的信息可打断低优先级别的信息。</w:t>
      </w:r>
    </w:p>
    <w:p w14:paraId="41FC0386">
      <w:pPr>
        <w:numPr>
          <w:ilvl w:val="2"/>
          <w:numId w:val="41"/>
        </w:numPr>
        <w:tabs>
          <w:tab w:val="left" w:pos="709"/>
          <w:tab w:val="left" w:pos="794"/>
          <w:tab w:val="left" w:pos="1701"/>
        </w:tabs>
        <w:jc w:val="left"/>
        <w:outlineLvl w:val="2"/>
        <w:rPr>
          <w:bCs/>
        </w:rPr>
      </w:pPr>
      <w:r>
        <w:rPr>
          <w:rFonts w:hint="eastAsia"/>
          <w:bCs/>
          <w:spacing w:val="7"/>
        </w:rPr>
        <w:t>路网层能收集、编辑路网内外信息，</w:t>
      </w:r>
      <w:r>
        <w:rPr>
          <w:rFonts w:hint="eastAsia"/>
          <w:bCs/>
        </w:rPr>
        <w:t>实现对全路网信息的适时发布、解除，具备对全路网信息发布，并能监视路网级设备运行状态。</w:t>
      </w:r>
    </w:p>
    <w:p w14:paraId="7C1FFC60">
      <w:pPr>
        <w:numPr>
          <w:ilvl w:val="2"/>
          <w:numId w:val="41"/>
        </w:numPr>
        <w:tabs>
          <w:tab w:val="left" w:pos="709"/>
          <w:tab w:val="left" w:pos="794"/>
          <w:tab w:val="left" w:pos="1701"/>
        </w:tabs>
        <w:jc w:val="left"/>
        <w:outlineLvl w:val="2"/>
        <w:rPr>
          <w:bCs/>
          <w:spacing w:val="7"/>
        </w:rPr>
      </w:pPr>
      <w:r>
        <w:rPr>
          <w:rFonts w:hint="eastAsia"/>
          <w:bCs/>
          <w:spacing w:val="7"/>
        </w:rPr>
        <w:t>线路中心层应能接收路网层控制命令，具备对所辖线路管理</w:t>
      </w:r>
      <w:r>
        <w:rPr>
          <w:rFonts w:hint="eastAsia"/>
          <w:bCs/>
        </w:rPr>
        <w:t>权限，并能监视线路中心层设备运行状态。</w:t>
      </w:r>
    </w:p>
    <w:p w14:paraId="7221E0C3">
      <w:pPr>
        <w:numPr>
          <w:ilvl w:val="2"/>
          <w:numId w:val="41"/>
        </w:numPr>
        <w:tabs>
          <w:tab w:val="left" w:pos="709"/>
          <w:tab w:val="left" w:pos="794"/>
          <w:tab w:val="left" w:pos="1701"/>
        </w:tabs>
        <w:jc w:val="left"/>
        <w:outlineLvl w:val="2"/>
        <w:rPr>
          <w:bCs/>
          <w:spacing w:val="2"/>
        </w:rPr>
      </w:pPr>
      <w:r>
        <w:rPr>
          <w:rFonts w:hint="eastAsia"/>
          <w:bCs/>
          <w:spacing w:val="7"/>
        </w:rPr>
        <w:t>车站层应包括车站乘客信息系统和列车乘客信息系统。</w:t>
      </w:r>
    </w:p>
    <w:p w14:paraId="18B89CA4">
      <w:pPr>
        <w:pStyle w:val="86"/>
        <w:ind w:firstLine="422"/>
        <w:rPr>
          <w:color w:val="auto"/>
        </w:rPr>
      </w:pPr>
      <w:r>
        <w:rPr>
          <w:b/>
          <w:color w:val="auto"/>
        </w:rPr>
        <w:t xml:space="preserve">1  </w:t>
      </w:r>
      <w:r>
        <w:rPr>
          <w:rFonts w:hint="eastAsia"/>
          <w:color w:val="auto"/>
        </w:rPr>
        <w:t>车站乘客信息系统应能接收路网层、线路中心层的指令，完成信息发布，并可在接受信息基础上叠加车站个性化信息，并能监视车站设备运行状态。</w:t>
      </w:r>
    </w:p>
    <w:p w14:paraId="7D5E0688">
      <w:pPr>
        <w:pStyle w:val="86"/>
        <w:ind w:firstLine="422"/>
        <w:rPr>
          <w:color w:val="auto"/>
        </w:rPr>
      </w:pPr>
      <w:r>
        <w:rPr>
          <w:b/>
          <w:color w:val="auto"/>
        </w:rPr>
        <w:t xml:space="preserve">2 </w:t>
      </w:r>
      <w:r>
        <w:rPr>
          <w:color w:val="auto"/>
        </w:rPr>
        <w:t xml:space="preserve"> </w:t>
      </w:r>
      <w:r>
        <w:rPr>
          <w:rFonts w:hint="eastAsia"/>
          <w:color w:val="auto"/>
        </w:rPr>
        <w:t>列车乘客信息系统应能接收路网层、线路中心层的指令，完成信息发布，并能将设备状态信息上传至路网层和线路中心层。</w:t>
      </w:r>
    </w:p>
    <w:p w14:paraId="1B2D9023">
      <w:pPr>
        <w:numPr>
          <w:ilvl w:val="2"/>
          <w:numId w:val="41"/>
        </w:numPr>
        <w:tabs>
          <w:tab w:val="left" w:pos="709"/>
          <w:tab w:val="left" w:pos="794"/>
          <w:tab w:val="left" w:pos="1701"/>
        </w:tabs>
        <w:jc w:val="left"/>
        <w:outlineLvl w:val="2"/>
      </w:pPr>
      <w:r>
        <w:rPr>
          <w:rFonts w:hint="eastAsia"/>
          <w:bCs/>
          <w:spacing w:val="7"/>
        </w:rPr>
        <w:t>车站乘客信息控制终端可与其他系统终端集约化设置。</w:t>
      </w:r>
    </w:p>
    <w:p w14:paraId="3DFF4497">
      <w:pPr>
        <w:numPr>
          <w:ilvl w:val="2"/>
          <w:numId w:val="41"/>
        </w:numPr>
        <w:tabs>
          <w:tab w:val="left" w:pos="709"/>
          <w:tab w:val="left" w:pos="794"/>
          <w:tab w:val="left" w:pos="1701"/>
        </w:tabs>
        <w:jc w:val="left"/>
        <w:outlineLvl w:val="2"/>
        <w:rPr>
          <w:bCs/>
        </w:rPr>
      </w:pPr>
      <w:r>
        <w:rPr>
          <w:rFonts w:hint="eastAsia"/>
          <w:bCs/>
        </w:rPr>
        <w:t>乘客信息系统功能应满足</w:t>
      </w:r>
      <w:r>
        <w:rPr>
          <w:bCs/>
        </w:rPr>
        <w:t>DB11/T 1683</w:t>
      </w:r>
      <w:r>
        <w:rPr>
          <w:rFonts w:hint="eastAsia"/>
          <w:bCs/>
        </w:rPr>
        <w:t>相关要求。</w:t>
      </w:r>
    </w:p>
    <w:p w14:paraId="04F71F57">
      <w:pPr>
        <w:numPr>
          <w:ilvl w:val="1"/>
          <w:numId w:val="1"/>
        </w:numPr>
        <w:snapToGrid w:val="0"/>
        <w:spacing w:before="156" w:after="156" w:line="240" w:lineRule="auto"/>
        <w:jc w:val="center"/>
        <w:outlineLvl w:val="1"/>
        <w:rPr>
          <w:rFonts w:eastAsia="黑体"/>
          <w:bCs/>
          <w:szCs w:val="28"/>
        </w:rPr>
      </w:pPr>
      <w:bookmarkStart w:id="1677" w:name="_Toc183882564"/>
      <w:bookmarkStart w:id="1678" w:name="_Toc156948957"/>
      <w:bookmarkStart w:id="1679" w:name="_Toc183765211"/>
      <w:bookmarkStart w:id="1680" w:name="_Toc168415283"/>
      <w:bookmarkStart w:id="1681" w:name="_Toc183888254"/>
      <w:bookmarkStart w:id="1682" w:name="_Toc183790641"/>
      <w:bookmarkStart w:id="1683" w:name="_Toc183882202"/>
      <w:bookmarkStart w:id="1684" w:name="_Toc183888616"/>
      <w:r>
        <w:rPr>
          <w:rFonts w:hint="eastAsia" w:eastAsia="黑体"/>
          <w:bCs/>
          <w:szCs w:val="28"/>
        </w:rPr>
        <w:t>系统接口</w:t>
      </w:r>
      <w:bookmarkEnd w:id="1677"/>
      <w:bookmarkEnd w:id="1678"/>
      <w:bookmarkEnd w:id="1679"/>
      <w:bookmarkEnd w:id="1680"/>
      <w:bookmarkEnd w:id="1681"/>
      <w:bookmarkEnd w:id="1682"/>
      <w:bookmarkEnd w:id="1683"/>
      <w:bookmarkEnd w:id="1684"/>
    </w:p>
    <w:p w14:paraId="1779EEDA">
      <w:pPr>
        <w:numPr>
          <w:ilvl w:val="2"/>
          <w:numId w:val="41"/>
        </w:numPr>
        <w:tabs>
          <w:tab w:val="left" w:pos="709"/>
          <w:tab w:val="left" w:pos="794"/>
          <w:tab w:val="left" w:pos="1701"/>
        </w:tabs>
        <w:jc w:val="left"/>
        <w:outlineLvl w:val="2"/>
        <w:rPr>
          <w:bCs/>
        </w:rPr>
      </w:pPr>
      <w:bookmarkStart w:id="1685" w:name="_Toc306207423"/>
      <w:bookmarkStart w:id="1686" w:name="_Toc306207232"/>
      <w:r>
        <w:rPr>
          <w:rFonts w:hint="eastAsia"/>
        </w:rPr>
        <w:t>乘客信息系统宜设置与时钟、传输、电源、集中告警、</w:t>
      </w:r>
      <w:r>
        <w:t>ATS</w:t>
      </w:r>
      <w:r>
        <w:rPr>
          <w:rFonts w:hint="eastAsia"/>
        </w:rPr>
        <w:t>、综合监控等地铁内部系统接口，并宜设置与数字电视、有线电视等外部信息源接口。</w:t>
      </w:r>
      <w:bookmarkEnd w:id="1685"/>
      <w:bookmarkEnd w:id="1686"/>
    </w:p>
    <w:p w14:paraId="3BCCD50C">
      <w:pPr>
        <w:numPr>
          <w:ilvl w:val="2"/>
          <w:numId w:val="41"/>
        </w:numPr>
        <w:tabs>
          <w:tab w:val="left" w:pos="709"/>
          <w:tab w:val="left" w:pos="794"/>
          <w:tab w:val="left" w:pos="1701"/>
        </w:tabs>
        <w:jc w:val="left"/>
        <w:outlineLvl w:val="2"/>
        <w:rPr>
          <w:bCs/>
        </w:rPr>
      </w:pPr>
      <w:r>
        <w:rPr>
          <w:rFonts w:hint="eastAsia"/>
          <w:bCs/>
        </w:rPr>
        <w:t>乘客信息系统接口应满足</w:t>
      </w:r>
      <w:r>
        <w:rPr>
          <w:bCs/>
        </w:rPr>
        <w:t>DB11/T 1683</w:t>
      </w:r>
      <w:r>
        <w:rPr>
          <w:rFonts w:hint="eastAsia"/>
          <w:bCs/>
        </w:rPr>
        <w:t>相关要求。</w:t>
      </w:r>
    </w:p>
    <w:p w14:paraId="3C15FB83">
      <w:pPr>
        <w:numPr>
          <w:ilvl w:val="1"/>
          <w:numId w:val="1"/>
        </w:numPr>
        <w:snapToGrid w:val="0"/>
        <w:spacing w:before="156" w:after="156" w:line="240" w:lineRule="auto"/>
        <w:jc w:val="center"/>
        <w:outlineLvl w:val="1"/>
        <w:rPr>
          <w:rFonts w:eastAsia="黑体"/>
          <w:bCs/>
          <w:szCs w:val="28"/>
        </w:rPr>
      </w:pPr>
      <w:bookmarkStart w:id="1687" w:name="_Toc183882203"/>
      <w:bookmarkStart w:id="1688" w:name="_Toc183888255"/>
      <w:bookmarkStart w:id="1689" w:name="_Toc183790642"/>
      <w:bookmarkStart w:id="1690" w:name="_Toc183882565"/>
      <w:bookmarkStart w:id="1691" w:name="_Toc156948958"/>
      <w:bookmarkStart w:id="1692" w:name="_Toc183888617"/>
      <w:bookmarkStart w:id="1693" w:name="_Toc168415284"/>
      <w:bookmarkStart w:id="1694" w:name="_Toc183765212"/>
      <w:r>
        <w:rPr>
          <w:rFonts w:hint="eastAsia" w:eastAsia="黑体"/>
          <w:bCs/>
          <w:szCs w:val="28"/>
        </w:rPr>
        <w:t>供电、接地及防雷</w:t>
      </w:r>
      <w:bookmarkEnd w:id="1687"/>
      <w:bookmarkEnd w:id="1688"/>
      <w:bookmarkEnd w:id="1689"/>
      <w:bookmarkEnd w:id="1690"/>
      <w:bookmarkEnd w:id="1691"/>
      <w:bookmarkEnd w:id="1692"/>
      <w:bookmarkEnd w:id="1693"/>
      <w:bookmarkEnd w:id="1694"/>
    </w:p>
    <w:p w14:paraId="325E9560">
      <w:pPr>
        <w:numPr>
          <w:ilvl w:val="2"/>
          <w:numId w:val="41"/>
        </w:numPr>
        <w:tabs>
          <w:tab w:val="left" w:pos="709"/>
          <w:tab w:val="left" w:pos="794"/>
          <w:tab w:val="left" w:pos="1701"/>
        </w:tabs>
        <w:jc w:val="left"/>
        <w:outlineLvl w:val="2"/>
        <w:rPr>
          <w:bCs/>
        </w:rPr>
      </w:pPr>
      <w:bookmarkStart w:id="1695" w:name="_Toc306207238"/>
      <w:bookmarkStart w:id="1696" w:name="_Toc306207429"/>
      <w:r>
        <w:t>乘客信息系统</w:t>
      </w:r>
      <w:r>
        <w:rPr>
          <w:bCs/>
        </w:rPr>
        <w:t>负荷等级宜为</w:t>
      </w:r>
      <w:r>
        <w:rPr>
          <w:rFonts w:hint="eastAsia"/>
          <w:bCs/>
        </w:rPr>
        <w:t>二</w:t>
      </w:r>
      <w:r>
        <w:rPr>
          <w:bCs/>
        </w:rPr>
        <w:t>级</w:t>
      </w:r>
      <w:r>
        <w:rPr>
          <w:rFonts w:hint="eastAsia"/>
          <w:bCs/>
        </w:rPr>
        <w:t>，并应配置</w:t>
      </w:r>
      <w:r>
        <w:rPr>
          <w:bCs/>
        </w:rPr>
        <w:t>UPS</w:t>
      </w:r>
      <w:r>
        <w:rPr>
          <w:rFonts w:hint="eastAsia"/>
          <w:bCs/>
        </w:rPr>
        <w:t>电源，后备时间不应少于</w:t>
      </w:r>
      <w:r>
        <w:rPr>
          <w:bCs/>
        </w:rPr>
        <w:t>1</w:t>
      </w:r>
      <w:r>
        <w:rPr>
          <w:rFonts w:hint="eastAsia"/>
          <w:bCs/>
        </w:rPr>
        <w:t>h。</w:t>
      </w:r>
    </w:p>
    <w:bookmarkEnd w:id="1695"/>
    <w:bookmarkEnd w:id="1696"/>
    <w:p w14:paraId="719553F8">
      <w:pPr>
        <w:numPr>
          <w:ilvl w:val="2"/>
          <w:numId w:val="41"/>
        </w:numPr>
        <w:tabs>
          <w:tab w:val="left" w:pos="709"/>
          <w:tab w:val="left" w:pos="794"/>
          <w:tab w:val="left" w:pos="1701"/>
        </w:tabs>
        <w:jc w:val="left"/>
        <w:outlineLvl w:val="2"/>
        <w:rPr>
          <w:bCs/>
        </w:rPr>
      </w:pPr>
      <w:bookmarkStart w:id="1697" w:name="_Toc306207430"/>
      <w:bookmarkStart w:id="1698" w:name="_Toc306207239"/>
      <w:r>
        <w:rPr>
          <w:rFonts w:hint="eastAsia"/>
          <w:bCs/>
        </w:rPr>
        <w:t>乘客信息系统应采用综合接地，接地电阻不应大于</w:t>
      </w:r>
      <w:r>
        <w:rPr>
          <w:bCs/>
        </w:rPr>
        <w:t>1Ω</w:t>
      </w:r>
      <w:r>
        <w:rPr>
          <w:rFonts w:hint="eastAsia"/>
          <w:bCs/>
        </w:rPr>
        <w:t>。</w:t>
      </w:r>
      <w:bookmarkEnd w:id="1697"/>
      <w:bookmarkEnd w:id="1698"/>
    </w:p>
    <w:p w14:paraId="08C357F8">
      <w:pPr>
        <w:numPr>
          <w:ilvl w:val="2"/>
          <w:numId w:val="41"/>
        </w:numPr>
        <w:tabs>
          <w:tab w:val="left" w:pos="709"/>
          <w:tab w:val="left" w:pos="794"/>
          <w:tab w:val="left" w:pos="1701"/>
        </w:tabs>
        <w:jc w:val="left"/>
        <w:outlineLvl w:val="2"/>
      </w:pPr>
      <w:r>
        <w:rPr>
          <w:rFonts w:hint="eastAsia"/>
          <w:bCs/>
        </w:rPr>
        <w:t>乘客信息系统防雷应满足现行国家标准《建筑物电子信息系统防雷技术规范》</w:t>
      </w:r>
      <w:r>
        <w:rPr>
          <w:bCs/>
        </w:rPr>
        <w:t>GB</w:t>
      </w:r>
      <w:r>
        <w:t xml:space="preserve"> 50343</w:t>
      </w:r>
      <w:r>
        <w:rPr>
          <w:rFonts w:hint="eastAsia"/>
        </w:rPr>
        <w:t>的规定。</w:t>
      </w:r>
    </w:p>
    <w:p w14:paraId="491276C5">
      <w:pPr>
        <w:pStyle w:val="3"/>
      </w:pPr>
      <w:r>
        <w:br w:type="page"/>
      </w:r>
      <w:bookmarkStart w:id="1699" w:name="_Toc183765213"/>
      <w:bookmarkStart w:id="1700" w:name="_Toc183888618"/>
      <w:bookmarkStart w:id="1701" w:name="_Toc183882566"/>
      <w:bookmarkStart w:id="1702" w:name="_Toc183888256"/>
      <w:bookmarkStart w:id="1703" w:name="_Toc183699882"/>
      <w:bookmarkStart w:id="1704" w:name="_Toc183790643"/>
      <w:bookmarkStart w:id="1705" w:name="_Toc183882204"/>
      <w:bookmarkStart w:id="1706" w:name="_Toc183683607"/>
      <w:bookmarkStart w:id="1707" w:name="_Toc183735426"/>
      <w:r>
        <w:t>自动售检票</w:t>
      </w:r>
      <w:bookmarkEnd w:id="1699"/>
      <w:bookmarkEnd w:id="1700"/>
      <w:bookmarkEnd w:id="1701"/>
      <w:bookmarkEnd w:id="1702"/>
      <w:bookmarkEnd w:id="1703"/>
      <w:bookmarkEnd w:id="1704"/>
      <w:bookmarkEnd w:id="1705"/>
      <w:bookmarkEnd w:id="1706"/>
      <w:bookmarkEnd w:id="1707"/>
    </w:p>
    <w:p w14:paraId="64634DD0">
      <w:pPr>
        <w:pStyle w:val="4"/>
        <w:numPr>
          <w:ilvl w:val="1"/>
          <w:numId w:val="39"/>
        </w:numPr>
      </w:pPr>
      <w:bookmarkStart w:id="1708" w:name="_Toc183882205"/>
      <w:bookmarkStart w:id="1709" w:name="_Toc183683608"/>
      <w:bookmarkStart w:id="1710" w:name="_Toc183888257"/>
      <w:bookmarkStart w:id="1711" w:name="_Toc183888619"/>
      <w:bookmarkStart w:id="1712" w:name="_Toc183882567"/>
      <w:bookmarkStart w:id="1713" w:name="_Toc183790644"/>
      <w:bookmarkStart w:id="1714" w:name="_Toc183765214"/>
      <w:r>
        <w:rPr>
          <w:rFonts w:hint="eastAsia"/>
        </w:rPr>
        <w:t>一般规定</w:t>
      </w:r>
      <w:bookmarkEnd w:id="1708"/>
      <w:bookmarkEnd w:id="1709"/>
      <w:bookmarkEnd w:id="1710"/>
      <w:bookmarkEnd w:id="1711"/>
      <w:bookmarkEnd w:id="1712"/>
      <w:bookmarkEnd w:id="1713"/>
      <w:bookmarkEnd w:id="1714"/>
    </w:p>
    <w:p w14:paraId="50AD1421">
      <w:pPr>
        <w:numPr>
          <w:ilvl w:val="2"/>
          <w:numId w:val="41"/>
        </w:numPr>
        <w:tabs>
          <w:tab w:val="left" w:pos="709"/>
          <w:tab w:val="left" w:pos="794"/>
          <w:tab w:val="left" w:pos="1701"/>
        </w:tabs>
        <w:jc w:val="left"/>
        <w:outlineLvl w:val="2"/>
        <w:rPr>
          <w:bCs/>
        </w:rPr>
      </w:pPr>
      <w:r>
        <w:rPr>
          <w:rFonts w:hint="eastAsia"/>
        </w:rPr>
        <w:t>轨道交通</w:t>
      </w:r>
      <w:r>
        <w:rPr>
          <w:rFonts w:hint="eastAsia"/>
          <w:bCs/>
        </w:rPr>
        <w:t>应设置支持非接触式</w:t>
      </w:r>
      <w:r>
        <w:rPr>
          <w:bCs/>
        </w:rPr>
        <w:t>IC</w:t>
      </w:r>
      <w:r>
        <w:rPr>
          <w:rFonts w:hint="eastAsia"/>
          <w:bCs/>
        </w:rPr>
        <w:t>卡、二维码、银行卡等票证的多元化</w:t>
      </w:r>
      <w:r>
        <w:rPr>
          <w:bCs/>
        </w:rPr>
        <w:t>AFC</w:t>
      </w:r>
      <w:r>
        <w:rPr>
          <w:rFonts w:hint="eastAsia"/>
          <w:bCs/>
        </w:rPr>
        <w:t>系统，实现自动和半自动售票、检票、计费、收费、统计、结算全过程的自动化管理。</w:t>
      </w:r>
    </w:p>
    <w:p w14:paraId="1AEA2197">
      <w:pPr>
        <w:numPr>
          <w:ilvl w:val="2"/>
          <w:numId w:val="41"/>
        </w:numPr>
        <w:tabs>
          <w:tab w:val="left" w:pos="709"/>
          <w:tab w:val="left" w:pos="794"/>
          <w:tab w:val="left" w:pos="1701"/>
        </w:tabs>
        <w:jc w:val="left"/>
        <w:outlineLvl w:val="2"/>
        <w:rPr>
          <w:bCs/>
        </w:rPr>
      </w:pPr>
      <w:r>
        <w:rPr>
          <w:rFonts w:hint="eastAsia"/>
          <w:bCs/>
        </w:rPr>
        <w:t>各线路的</w:t>
      </w:r>
      <w:r>
        <w:rPr>
          <w:bCs/>
        </w:rPr>
        <w:t>AFC</w:t>
      </w:r>
      <w:r>
        <w:rPr>
          <w:rFonts w:hint="eastAsia"/>
          <w:bCs/>
        </w:rPr>
        <w:t>系统应联网运行，实现乘客在线网内无障碍一票换乘，满足一卡通在线网内各线路的统一使用，实现不同运营商经营线路间的互联互通。</w:t>
      </w:r>
    </w:p>
    <w:p w14:paraId="23174B0A">
      <w:pPr>
        <w:numPr>
          <w:ilvl w:val="2"/>
          <w:numId w:val="41"/>
        </w:numPr>
        <w:tabs>
          <w:tab w:val="left" w:pos="709"/>
          <w:tab w:val="left" w:pos="794"/>
          <w:tab w:val="left" w:pos="1701"/>
        </w:tabs>
        <w:jc w:val="left"/>
        <w:outlineLvl w:val="2"/>
        <w:rPr>
          <w:bCs/>
        </w:rPr>
      </w:pPr>
      <w:r>
        <w:rPr>
          <w:bCs/>
        </w:rPr>
        <w:t>AFC</w:t>
      </w:r>
      <w:r>
        <w:rPr>
          <w:rFonts w:hint="eastAsia"/>
          <w:bCs/>
        </w:rPr>
        <w:t>系统应统一线网内各线路的业务规则、业务流程和系统各业务层之间的接口。</w:t>
      </w:r>
    </w:p>
    <w:p w14:paraId="4FA6866A">
      <w:pPr>
        <w:numPr>
          <w:ilvl w:val="2"/>
          <w:numId w:val="41"/>
        </w:numPr>
        <w:tabs>
          <w:tab w:val="left" w:pos="709"/>
          <w:tab w:val="left" w:pos="794"/>
          <w:tab w:val="left" w:pos="1701"/>
        </w:tabs>
        <w:jc w:val="left"/>
        <w:outlineLvl w:val="2"/>
        <w:rPr>
          <w:bCs/>
        </w:rPr>
      </w:pPr>
      <w:r>
        <w:rPr>
          <w:rFonts w:hint="eastAsia"/>
          <w:bCs/>
        </w:rPr>
        <w:t>应采用多线路共享的方式设置</w:t>
      </w:r>
      <w:r>
        <w:rPr>
          <w:bCs/>
        </w:rPr>
        <w:t>AFC</w:t>
      </w:r>
      <w:r>
        <w:rPr>
          <w:rFonts w:hint="eastAsia"/>
          <w:bCs/>
        </w:rPr>
        <w:t>中心系统，实现轨道交通线网所有终端设备的管理、客流监视、参数管理、交易管理、二维码乘车、非现金支付等主要功能。</w:t>
      </w:r>
    </w:p>
    <w:p w14:paraId="427F6ACC">
      <w:pPr>
        <w:numPr>
          <w:ilvl w:val="2"/>
          <w:numId w:val="41"/>
        </w:numPr>
        <w:tabs>
          <w:tab w:val="left" w:pos="709"/>
          <w:tab w:val="left" w:pos="794"/>
          <w:tab w:val="left" w:pos="1701"/>
        </w:tabs>
        <w:jc w:val="left"/>
        <w:outlineLvl w:val="2"/>
        <w:rPr>
          <w:bCs/>
        </w:rPr>
      </w:pPr>
      <w:r>
        <w:rPr>
          <w:rFonts w:hint="eastAsia"/>
          <w:bCs/>
        </w:rPr>
        <w:t>不同线路间同站厅、同站台换乘站宜采用共享的方式设置车站计算机系统和设备，通道换乘站宜分别设置车站计算机系统和设备。同站厅、同站台换乘站紧急按钮应互联。</w:t>
      </w:r>
    </w:p>
    <w:p w14:paraId="2D30E93B">
      <w:pPr>
        <w:numPr>
          <w:ilvl w:val="2"/>
          <w:numId w:val="41"/>
        </w:numPr>
        <w:tabs>
          <w:tab w:val="left" w:pos="709"/>
          <w:tab w:val="left" w:pos="794"/>
          <w:tab w:val="left" w:pos="1701"/>
        </w:tabs>
        <w:jc w:val="left"/>
        <w:outlineLvl w:val="2"/>
        <w:rPr>
          <w:bCs/>
        </w:rPr>
      </w:pPr>
      <w:r>
        <w:rPr>
          <w:rFonts w:hint="eastAsia"/>
          <w:bCs/>
        </w:rPr>
        <w:t>系统设计能力应满足远期超高峰小时客流量的需要。系统设备应按近期超高峰小时客流量进行配置，并按远期超高峰小时客流量预留安装和接入条件。</w:t>
      </w:r>
    </w:p>
    <w:p w14:paraId="48703D19">
      <w:pPr>
        <w:numPr>
          <w:ilvl w:val="2"/>
          <w:numId w:val="41"/>
        </w:numPr>
        <w:tabs>
          <w:tab w:val="left" w:pos="709"/>
          <w:tab w:val="left" w:pos="794"/>
          <w:tab w:val="left" w:pos="1701"/>
        </w:tabs>
        <w:jc w:val="left"/>
        <w:outlineLvl w:val="2"/>
        <w:rPr>
          <w:bCs/>
        </w:rPr>
      </w:pPr>
      <w:r>
        <w:rPr>
          <w:rFonts w:hint="eastAsia"/>
          <w:bCs/>
        </w:rPr>
        <w:t>系统应满足轨道交通各种运营模式的要求。</w:t>
      </w:r>
    </w:p>
    <w:p w14:paraId="14E4B88F">
      <w:pPr>
        <w:numPr>
          <w:ilvl w:val="2"/>
          <w:numId w:val="41"/>
        </w:numPr>
        <w:tabs>
          <w:tab w:val="left" w:pos="709"/>
          <w:tab w:val="left" w:pos="794"/>
          <w:tab w:val="left" w:pos="1701"/>
        </w:tabs>
        <w:jc w:val="left"/>
        <w:outlineLvl w:val="2"/>
        <w:rPr>
          <w:bCs/>
        </w:rPr>
      </w:pPr>
      <w:r>
        <w:rPr>
          <w:rFonts w:hint="eastAsia"/>
          <w:bCs/>
        </w:rPr>
        <w:t>车站综合控制室应设置紧急控制按钮，并与火灾自动报警系统实现联动。</w:t>
      </w:r>
    </w:p>
    <w:p w14:paraId="2588FC93">
      <w:pPr>
        <w:numPr>
          <w:ilvl w:val="2"/>
          <w:numId w:val="41"/>
        </w:numPr>
        <w:tabs>
          <w:tab w:val="left" w:pos="709"/>
          <w:tab w:val="left" w:pos="794"/>
          <w:tab w:val="left" w:pos="1701"/>
        </w:tabs>
        <w:jc w:val="left"/>
        <w:outlineLvl w:val="2"/>
        <w:rPr>
          <w:bCs/>
        </w:rPr>
      </w:pPr>
      <w:r>
        <w:rPr>
          <w:rFonts w:hint="eastAsia"/>
          <w:bCs/>
        </w:rPr>
        <w:t>系统设计应满足安全性、可靠性、可扩展性和可维护性的设计原则。</w:t>
      </w:r>
    </w:p>
    <w:p w14:paraId="134E56D7">
      <w:pPr>
        <w:numPr>
          <w:ilvl w:val="2"/>
          <w:numId w:val="41"/>
        </w:numPr>
        <w:tabs>
          <w:tab w:val="left" w:pos="794"/>
          <w:tab w:val="left" w:pos="851"/>
          <w:tab w:val="left" w:pos="1701"/>
        </w:tabs>
        <w:jc w:val="left"/>
        <w:outlineLvl w:val="2"/>
      </w:pPr>
      <w:r>
        <w:rPr>
          <w:rFonts w:hint="eastAsia"/>
          <w:bCs/>
        </w:rPr>
        <w:t>各线路车站售</w:t>
      </w:r>
      <w:r>
        <w:rPr>
          <w:rFonts w:hint="eastAsia"/>
        </w:rPr>
        <w:t>检票终端设备应具有统一的乘客服务界面，工作站宜具有统一的工作界面。</w:t>
      </w:r>
    </w:p>
    <w:p w14:paraId="3F663BDD">
      <w:pPr>
        <w:numPr>
          <w:ilvl w:val="2"/>
          <w:numId w:val="41"/>
        </w:numPr>
        <w:tabs>
          <w:tab w:val="left" w:pos="709"/>
          <w:tab w:val="left" w:pos="794"/>
          <w:tab w:val="left" w:pos="1701"/>
        </w:tabs>
        <w:jc w:val="left"/>
        <w:outlineLvl w:val="2"/>
        <w:rPr>
          <w:bCs/>
        </w:rPr>
      </w:pPr>
      <w:r>
        <w:rPr>
          <w:rFonts w:hint="eastAsia"/>
        </w:rPr>
        <w:t>系统设备</w:t>
      </w:r>
      <w:r>
        <w:rPr>
          <w:rFonts w:hint="eastAsia"/>
          <w:bCs/>
        </w:rPr>
        <w:t>应能满足连续</w:t>
      </w:r>
      <w:r>
        <w:rPr>
          <w:bCs/>
        </w:rPr>
        <w:t>24</w:t>
      </w:r>
      <w:r>
        <w:rPr>
          <w:rFonts w:hint="eastAsia"/>
          <w:bCs/>
        </w:rPr>
        <w:t>小时不间断工作的要求。</w:t>
      </w:r>
    </w:p>
    <w:p w14:paraId="50136B3F">
      <w:pPr>
        <w:numPr>
          <w:ilvl w:val="2"/>
          <w:numId w:val="41"/>
        </w:numPr>
        <w:tabs>
          <w:tab w:val="left" w:pos="709"/>
          <w:tab w:val="left" w:pos="794"/>
          <w:tab w:val="left" w:pos="1701"/>
        </w:tabs>
        <w:jc w:val="left"/>
        <w:outlineLvl w:val="2"/>
        <w:rPr>
          <w:bCs/>
        </w:rPr>
      </w:pPr>
      <w:r>
        <w:rPr>
          <w:rFonts w:hint="eastAsia"/>
          <w:bCs/>
        </w:rPr>
        <w:t>系统平均故障修复时间应不大于</w:t>
      </w:r>
      <w:r>
        <w:rPr>
          <w:bCs/>
        </w:rPr>
        <w:t>30</w:t>
      </w:r>
      <w:r>
        <w:rPr>
          <w:rFonts w:hint="eastAsia"/>
          <w:bCs/>
        </w:rPr>
        <w:t>分钟。</w:t>
      </w:r>
    </w:p>
    <w:p w14:paraId="14062130">
      <w:pPr>
        <w:numPr>
          <w:ilvl w:val="2"/>
          <w:numId w:val="41"/>
        </w:numPr>
        <w:tabs>
          <w:tab w:val="left" w:pos="794"/>
          <w:tab w:val="left" w:pos="851"/>
          <w:tab w:val="left" w:pos="1701"/>
        </w:tabs>
        <w:jc w:val="left"/>
        <w:outlineLvl w:val="2"/>
        <w:rPr>
          <w:bCs/>
        </w:rPr>
      </w:pPr>
      <w:r>
        <w:rPr>
          <w:rFonts w:hint="eastAsia"/>
          <w:bCs/>
        </w:rPr>
        <w:t>系统设备应满足自然环境条件、车站环境条件和抗电磁干扰的要求。售检票终端设备应具备耐高低温特性，设置于地上车站的售检票终端设备还应具备耐阳光直射和防尘措施。</w:t>
      </w:r>
    </w:p>
    <w:p w14:paraId="4A33E4FC">
      <w:pPr>
        <w:numPr>
          <w:ilvl w:val="2"/>
          <w:numId w:val="41"/>
        </w:numPr>
        <w:tabs>
          <w:tab w:val="left" w:pos="794"/>
          <w:tab w:val="left" w:pos="851"/>
          <w:tab w:val="left" w:pos="1701"/>
        </w:tabs>
        <w:jc w:val="left"/>
        <w:outlineLvl w:val="2"/>
        <w:rPr>
          <w:bCs/>
        </w:rPr>
      </w:pPr>
      <w:r>
        <w:rPr>
          <w:rFonts w:hint="eastAsia"/>
          <w:bCs/>
        </w:rPr>
        <w:t>车站设备应按工业级标准设计。</w:t>
      </w:r>
    </w:p>
    <w:p w14:paraId="43E47A61">
      <w:pPr>
        <w:numPr>
          <w:ilvl w:val="2"/>
          <w:numId w:val="41"/>
        </w:numPr>
        <w:tabs>
          <w:tab w:val="left" w:pos="794"/>
          <w:tab w:val="left" w:pos="851"/>
          <w:tab w:val="left" w:pos="1701"/>
        </w:tabs>
        <w:jc w:val="left"/>
        <w:outlineLvl w:val="2"/>
        <w:rPr>
          <w:bCs/>
        </w:rPr>
      </w:pPr>
      <w:r>
        <w:rPr>
          <w:rFonts w:hint="eastAsia"/>
          <w:bCs/>
        </w:rPr>
        <w:t>系统设计除应符合本规范规定外，还应符合相关国家规范和北京市地方规范的要求。</w:t>
      </w:r>
    </w:p>
    <w:p w14:paraId="2F37A51E">
      <w:pPr>
        <w:numPr>
          <w:ilvl w:val="2"/>
          <w:numId w:val="41"/>
        </w:numPr>
        <w:tabs>
          <w:tab w:val="left" w:pos="794"/>
          <w:tab w:val="left" w:pos="851"/>
          <w:tab w:val="left" w:pos="1701"/>
        </w:tabs>
        <w:jc w:val="left"/>
        <w:outlineLvl w:val="2"/>
      </w:pPr>
      <w:r>
        <w:rPr>
          <w:rFonts w:hint="eastAsia"/>
          <w:bCs/>
        </w:rPr>
        <w:t>中心级</w:t>
      </w:r>
      <w:r>
        <w:rPr>
          <w:bCs/>
        </w:rPr>
        <w:t>AFC</w:t>
      </w:r>
      <w:r>
        <w:rPr>
          <w:rFonts w:hint="eastAsia"/>
          <w:bCs/>
        </w:rPr>
        <w:t>系统的信息安全等级保护宜为三级；车站级</w:t>
      </w:r>
      <w:r>
        <w:rPr>
          <w:bCs/>
        </w:rPr>
        <w:t>AFC</w:t>
      </w:r>
      <w:r>
        <w:rPr>
          <w:rFonts w:hint="eastAsia"/>
          <w:bCs/>
        </w:rPr>
        <w:t>系统的信息安</w:t>
      </w:r>
      <w:r>
        <w:rPr>
          <w:rFonts w:hint="eastAsia"/>
        </w:rPr>
        <w:t>全等级保护宜为二级。</w:t>
      </w:r>
    </w:p>
    <w:p w14:paraId="04C64D7D">
      <w:pPr>
        <w:numPr>
          <w:ilvl w:val="1"/>
          <w:numId w:val="1"/>
        </w:numPr>
        <w:snapToGrid w:val="0"/>
        <w:spacing w:before="156" w:after="156" w:line="240" w:lineRule="auto"/>
        <w:jc w:val="center"/>
        <w:outlineLvl w:val="1"/>
        <w:rPr>
          <w:rFonts w:eastAsia="黑体"/>
          <w:bCs/>
          <w:szCs w:val="28"/>
        </w:rPr>
      </w:pPr>
      <w:bookmarkStart w:id="1715" w:name="_Toc183683609"/>
      <w:bookmarkStart w:id="1716" w:name="_Toc183882568"/>
      <w:bookmarkStart w:id="1717" w:name="_Toc183765215"/>
      <w:bookmarkStart w:id="1718" w:name="_Toc183790645"/>
      <w:bookmarkStart w:id="1719" w:name="_Toc183882206"/>
      <w:bookmarkStart w:id="1720" w:name="_Toc183888258"/>
      <w:bookmarkStart w:id="1721" w:name="_Toc183888620"/>
      <w:r>
        <w:rPr>
          <w:rFonts w:hint="eastAsia" w:eastAsia="黑体"/>
          <w:bCs/>
          <w:szCs w:val="28"/>
        </w:rPr>
        <w:t>票务管理</w:t>
      </w:r>
      <w:bookmarkEnd w:id="1715"/>
      <w:bookmarkEnd w:id="1716"/>
      <w:bookmarkEnd w:id="1717"/>
      <w:bookmarkEnd w:id="1718"/>
      <w:bookmarkEnd w:id="1719"/>
      <w:bookmarkEnd w:id="1720"/>
      <w:bookmarkEnd w:id="1721"/>
    </w:p>
    <w:p w14:paraId="469762DE">
      <w:pPr>
        <w:numPr>
          <w:ilvl w:val="2"/>
          <w:numId w:val="41"/>
        </w:numPr>
        <w:tabs>
          <w:tab w:val="left" w:pos="709"/>
          <w:tab w:val="left" w:pos="794"/>
          <w:tab w:val="left" w:pos="1701"/>
        </w:tabs>
        <w:jc w:val="left"/>
        <w:outlineLvl w:val="2"/>
        <w:rPr>
          <w:bCs/>
        </w:rPr>
      </w:pPr>
      <w:r>
        <w:rPr>
          <w:rFonts w:hint="eastAsia"/>
        </w:rPr>
        <w:t>系统应</w:t>
      </w:r>
      <w:r>
        <w:rPr>
          <w:rFonts w:hint="eastAsia"/>
          <w:bCs/>
        </w:rPr>
        <w:t>采用计程计时制，全封闭式的票务收费管理模式，既能快速地处理客流信息，为运营管理提供有关数据，又具有严密的制票、售票和验票程序，以保证票务安全。</w:t>
      </w:r>
    </w:p>
    <w:p w14:paraId="38B8A9CD">
      <w:pPr>
        <w:numPr>
          <w:ilvl w:val="2"/>
          <w:numId w:val="41"/>
        </w:numPr>
        <w:tabs>
          <w:tab w:val="left" w:pos="709"/>
          <w:tab w:val="left" w:pos="794"/>
          <w:tab w:val="left" w:pos="1701"/>
        </w:tabs>
        <w:jc w:val="left"/>
        <w:outlineLvl w:val="2"/>
      </w:pPr>
      <w:r>
        <w:rPr>
          <w:rFonts w:hint="eastAsia"/>
          <w:bCs/>
        </w:rPr>
        <w:t>系统应能接受轨道交通专用实体车票、市政交通一卡通实体车票和多元化支付电子车票。专用实体车票主要包括单程票、往返票、一日票</w:t>
      </w:r>
      <w:r>
        <w:rPr>
          <w:rFonts w:hint="eastAsia"/>
        </w:rPr>
        <w:t>、福利票、出站票、区段票、纪念票、员工票、车站工作票、测试票和储值票等，并可根据运营需要设置其他票种。</w:t>
      </w:r>
    </w:p>
    <w:p w14:paraId="1F56FE6F">
      <w:pPr>
        <w:numPr>
          <w:ilvl w:val="2"/>
          <w:numId w:val="41"/>
        </w:numPr>
        <w:tabs>
          <w:tab w:val="left" w:pos="709"/>
          <w:tab w:val="left" w:pos="794"/>
          <w:tab w:val="left" w:pos="1701"/>
        </w:tabs>
        <w:jc w:val="left"/>
        <w:outlineLvl w:val="2"/>
        <w:rPr>
          <w:bCs/>
        </w:rPr>
      </w:pPr>
      <w:r>
        <w:rPr>
          <w:rFonts w:hint="eastAsia"/>
        </w:rPr>
        <w:t>线网票务</w:t>
      </w:r>
      <w:r>
        <w:rPr>
          <w:rFonts w:hint="eastAsia"/>
          <w:bCs/>
        </w:rPr>
        <w:t>管理应实现线网、线路、车站三级管理。</w:t>
      </w:r>
    </w:p>
    <w:p w14:paraId="676B9D72">
      <w:pPr>
        <w:numPr>
          <w:ilvl w:val="2"/>
          <w:numId w:val="41"/>
        </w:numPr>
        <w:tabs>
          <w:tab w:val="left" w:pos="709"/>
          <w:tab w:val="left" w:pos="794"/>
          <w:tab w:val="left" w:pos="1701"/>
        </w:tabs>
        <w:jc w:val="left"/>
        <w:outlineLvl w:val="2"/>
        <w:rPr>
          <w:bCs/>
        </w:rPr>
      </w:pPr>
      <w:r>
        <w:rPr>
          <w:rFonts w:hint="eastAsia"/>
          <w:bCs/>
        </w:rPr>
        <w:t>售票宜采用自动为主、半自动为辅的方式，检票应采用自动方式。</w:t>
      </w:r>
    </w:p>
    <w:p w14:paraId="2684164D">
      <w:pPr>
        <w:numPr>
          <w:ilvl w:val="2"/>
          <w:numId w:val="41"/>
        </w:numPr>
        <w:tabs>
          <w:tab w:val="left" w:pos="709"/>
          <w:tab w:val="left" w:pos="794"/>
          <w:tab w:val="left" w:pos="1701"/>
        </w:tabs>
        <w:jc w:val="left"/>
        <w:outlineLvl w:val="2"/>
        <w:rPr>
          <w:bCs/>
        </w:rPr>
      </w:pPr>
      <w:r>
        <w:rPr>
          <w:rFonts w:hint="eastAsia"/>
        </w:rPr>
        <w:t>所有实体车</w:t>
      </w:r>
      <w:r>
        <w:rPr>
          <w:rFonts w:hint="eastAsia"/>
          <w:bCs/>
        </w:rPr>
        <w:t>票均应进行车票初始化并赋值后方可在系统中流通使用。轨道交通专用车票应由清算管理中心进行初始化，市政交通一卡通车票应由市政交通一卡通系统进行初始化。</w:t>
      </w:r>
    </w:p>
    <w:p w14:paraId="3458536D">
      <w:pPr>
        <w:numPr>
          <w:ilvl w:val="2"/>
          <w:numId w:val="41"/>
        </w:numPr>
        <w:tabs>
          <w:tab w:val="left" w:pos="709"/>
          <w:tab w:val="left" w:pos="794"/>
          <w:tab w:val="left" w:pos="1701"/>
        </w:tabs>
        <w:jc w:val="left"/>
        <w:outlineLvl w:val="2"/>
      </w:pPr>
      <w:r>
        <w:rPr>
          <w:rFonts w:hint="eastAsia"/>
          <w:bCs/>
        </w:rPr>
        <w:t>单程类实体车票在自动售票机或半自动售票机上出售，储值类实体车票在半自</w:t>
      </w:r>
      <w:r>
        <w:rPr>
          <w:rFonts w:hint="eastAsia"/>
        </w:rPr>
        <w:t>动售票机或自动售票机或自助补票充值机上进行充值。</w:t>
      </w:r>
    </w:p>
    <w:p w14:paraId="3B855311">
      <w:pPr>
        <w:numPr>
          <w:ilvl w:val="2"/>
          <w:numId w:val="41"/>
        </w:numPr>
        <w:tabs>
          <w:tab w:val="left" w:pos="709"/>
          <w:tab w:val="left" w:pos="794"/>
          <w:tab w:val="left" w:pos="1701"/>
        </w:tabs>
        <w:jc w:val="left"/>
        <w:outlineLvl w:val="2"/>
        <w:rPr>
          <w:bCs/>
        </w:rPr>
      </w:pPr>
      <w:r>
        <w:rPr>
          <w:rFonts w:hint="eastAsia"/>
        </w:rPr>
        <w:t>除特殊</w:t>
      </w:r>
      <w:r>
        <w:rPr>
          <w:rFonts w:hint="eastAsia"/>
          <w:bCs/>
        </w:rPr>
        <w:t>设置的车票外，普通车票应匹配进出站次序。</w:t>
      </w:r>
    </w:p>
    <w:p w14:paraId="04D07E2F">
      <w:pPr>
        <w:numPr>
          <w:ilvl w:val="2"/>
          <w:numId w:val="41"/>
        </w:numPr>
        <w:tabs>
          <w:tab w:val="left" w:pos="709"/>
          <w:tab w:val="left" w:pos="794"/>
          <w:tab w:val="left" w:pos="1701"/>
        </w:tabs>
        <w:jc w:val="left"/>
        <w:outlineLvl w:val="2"/>
        <w:rPr>
          <w:bCs/>
        </w:rPr>
      </w:pPr>
      <w:r>
        <w:rPr>
          <w:rFonts w:hint="eastAsia"/>
          <w:bCs/>
        </w:rPr>
        <w:t>单程类实体车票应由出站检票机回收，回收的车票应在车站内循环使用。</w:t>
      </w:r>
    </w:p>
    <w:p w14:paraId="4D857DBB">
      <w:pPr>
        <w:numPr>
          <w:ilvl w:val="1"/>
          <w:numId w:val="1"/>
        </w:numPr>
        <w:snapToGrid w:val="0"/>
        <w:spacing w:before="156" w:after="156" w:line="240" w:lineRule="auto"/>
        <w:jc w:val="center"/>
        <w:outlineLvl w:val="1"/>
        <w:rPr>
          <w:rFonts w:eastAsia="黑体"/>
          <w:bCs/>
          <w:szCs w:val="28"/>
        </w:rPr>
      </w:pPr>
      <w:bookmarkStart w:id="1722" w:name="_Toc183683610"/>
      <w:bookmarkStart w:id="1723" w:name="_Toc183882569"/>
      <w:bookmarkStart w:id="1724" w:name="_Toc183765216"/>
      <w:bookmarkStart w:id="1725" w:name="_Toc183790646"/>
      <w:bookmarkStart w:id="1726" w:name="_Toc183888259"/>
      <w:bookmarkStart w:id="1727" w:name="_Toc183882207"/>
      <w:bookmarkStart w:id="1728" w:name="_Toc183888621"/>
      <w:r>
        <w:rPr>
          <w:rFonts w:hint="eastAsia" w:eastAsia="黑体"/>
          <w:bCs/>
          <w:szCs w:val="28"/>
        </w:rPr>
        <w:t>系统构成</w:t>
      </w:r>
      <w:bookmarkEnd w:id="1722"/>
      <w:bookmarkEnd w:id="1723"/>
      <w:bookmarkEnd w:id="1724"/>
      <w:bookmarkEnd w:id="1725"/>
      <w:bookmarkEnd w:id="1726"/>
      <w:bookmarkEnd w:id="1727"/>
      <w:bookmarkEnd w:id="1728"/>
    </w:p>
    <w:p w14:paraId="153552AB">
      <w:pPr>
        <w:numPr>
          <w:ilvl w:val="2"/>
          <w:numId w:val="41"/>
        </w:numPr>
        <w:tabs>
          <w:tab w:val="left" w:pos="709"/>
          <w:tab w:val="left" w:pos="794"/>
          <w:tab w:val="left" w:pos="1701"/>
        </w:tabs>
        <w:jc w:val="left"/>
        <w:outlineLvl w:val="2"/>
        <w:rPr>
          <w:bCs/>
        </w:rPr>
      </w:pPr>
      <w:r>
        <w:rPr>
          <w:rFonts w:hint="eastAsia"/>
        </w:rPr>
        <w:t>线网</w:t>
      </w:r>
      <w:r>
        <w:t>AF</w:t>
      </w:r>
      <w:r>
        <w:rPr>
          <w:bCs/>
        </w:rPr>
        <w:t>C</w:t>
      </w:r>
      <w:r>
        <w:rPr>
          <w:rFonts w:hint="eastAsia"/>
          <w:bCs/>
        </w:rPr>
        <w:t>系统主要由</w:t>
      </w:r>
      <w:r>
        <w:rPr>
          <w:bCs/>
        </w:rPr>
        <w:t>AFC</w:t>
      </w:r>
      <w:r>
        <w:rPr>
          <w:rFonts w:hint="eastAsia"/>
          <w:bCs/>
        </w:rPr>
        <w:t>中心系统、车站系统、维修系统、培训系统、车站售检票终端设备、车票处理单元和车票等构成。</w:t>
      </w:r>
    </w:p>
    <w:p w14:paraId="39B11488">
      <w:pPr>
        <w:numPr>
          <w:ilvl w:val="2"/>
          <w:numId w:val="41"/>
        </w:numPr>
        <w:tabs>
          <w:tab w:val="left" w:pos="709"/>
          <w:tab w:val="left" w:pos="794"/>
          <w:tab w:val="left" w:pos="1701"/>
        </w:tabs>
        <w:jc w:val="left"/>
        <w:outlineLvl w:val="2"/>
        <w:rPr>
          <w:bCs/>
        </w:rPr>
      </w:pPr>
      <w:r>
        <w:rPr>
          <w:bCs/>
        </w:rPr>
        <w:t>AFC</w:t>
      </w:r>
      <w:r>
        <w:rPr>
          <w:rFonts w:hint="eastAsia"/>
          <w:bCs/>
        </w:rPr>
        <w:t>中心系统部署于北京市轨道交通生产云平台上，由云平台为</w:t>
      </w:r>
      <w:r>
        <w:rPr>
          <w:bCs/>
        </w:rPr>
        <w:t>AFC</w:t>
      </w:r>
      <w:r>
        <w:rPr>
          <w:rFonts w:hint="eastAsia"/>
          <w:bCs/>
        </w:rPr>
        <w:t>中心系统提供</w:t>
      </w:r>
      <w:r>
        <w:rPr>
          <w:bCs/>
        </w:rPr>
        <w:t>IaaS</w:t>
      </w:r>
      <w:r>
        <w:rPr>
          <w:rFonts w:hint="eastAsia"/>
          <w:bCs/>
        </w:rPr>
        <w:t>、</w:t>
      </w:r>
      <w:r>
        <w:rPr>
          <w:bCs/>
        </w:rPr>
        <w:t>PaaS</w:t>
      </w:r>
      <w:r>
        <w:rPr>
          <w:rFonts w:hint="eastAsia"/>
          <w:bCs/>
        </w:rPr>
        <w:t>资源，包括计算、存储、网络、安全资源和中间件、数据库、操作系统等。</w:t>
      </w:r>
    </w:p>
    <w:p w14:paraId="596D77E7">
      <w:pPr>
        <w:numPr>
          <w:ilvl w:val="2"/>
          <w:numId w:val="41"/>
        </w:numPr>
        <w:tabs>
          <w:tab w:val="left" w:pos="709"/>
          <w:tab w:val="left" w:pos="794"/>
          <w:tab w:val="left" w:pos="1701"/>
        </w:tabs>
        <w:jc w:val="left"/>
        <w:outlineLvl w:val="2"/>
        <w:rPr>
          <w:bCs/>
        </w:rPr>
      </w:pPr>
      <w:r>
        <w:rPr>
          <w:rFonts w:hint="eastAsia"/>
          <w:bCs/>
        </w:rPr>
        <w:t>车站系统主要由服务器、工作站、打印机、网络设备、紧急按钮控制装置及运营辅助设备等构成，其中站区站应设置独立的站区票务工作站。</w:t>
      </w:r>
    </w:p>
    <w:p w14:paraId="579DB23B">
      <w:pPr>
        <w:numPr>
          <w:ilvl w:val="2"/>
          <w:numId w:val="41"/>
        </w:numPr>
        <w:tabs>
          <w:tab w:val="left" w:pos="709"/>
          <w:tab w:val="left" w:pos="794"/>
          <w:tab w:val="left" w:pos="1701"/>
        </w:tabs>
        <w:jc w:val="left"/>
        <w:outlineLvl w:val="2"/>
        <w:rPr>
          <w:bCs/>
        </w:rPr>
      </w:pPr>
      <w:r>
        <w:rPr>
          <w:rFonts w:hint="eastAsia"/>
          <w:bCs/>
        </w:rPr>
        <w:t>维修培训系统主要由服务器、工作站、车站售检票终端设备、打印设备、维修工具和仪器仪表等构成。</w:t>
      </w:r>
    </w:p>
    <w:p w14:paraId="57CB6F0D">
      <w:pPr>
        <w:numPr>
          <w:ilvl w:val="2"/>
          <w:numId w:val="41"/>
        </w:numPr>
        <w:tabs>
          <w:tab w:val="left" w:pos="709"/>
          <w:tab w:val="left" w:pos="794"/>
          <w:tab w:val="left" w:pos="1701"/>
        </w:tabs>
        <w:jc w:val="left"/>
        <w:outlineLvl w:val="2"/>
        <w:rPr>
          <w:bCs/>
        </w:rPr>
      </w:pPr>
      <w:r>
        <w:rPr>
          <w:rFonts w:hint="eastAsia"/>
          <w:bCs/>
        </w:rPr>
        <w:t>车站售检票终端设备宜由自动售票机、互联网自动售票机、半自动售票机、自动检票机、自助补票充值机和便携式检验票机等构成。</w:t>
      </w:r>
    </w:p>
    <w:p w14:paraId="32703BF6">
      <w:pPr>
        <w:numPr>
          <w:ilvl w:val="2"/>
          <w:numId w:val="41"/>
        </w:numPr>
        <w:tabs>
          <w:tab w:val="left" w:pos="709"/>
          <w:tab w:val="left" w:pos="794"/>
          <w:tab w:val="left" w:pos="1701"/>
        </w:tabs>
        <w:jc w:val="left"/>
        <w:outlineLvl w:val="2"/>
        <w:rPr>
          <w:bCs/>
        </w:rPr>
      </w:pPr>
      <w:r>
        <w:rPr>
          <w:rFonts w:hint="eastAsia"/>
          <w:bCs/>
        </w:rPr>
        <w:t>车票处理单元主要包括读写器和车票交易处理软件。</w:t>
      </w:r>
    </w:p>
    <w:p w14:paraId="16B917F9">
      <w:pPr>
        <w:numPr>
          <w:ilvl w:val="2"/>
          <w:numId w:val="41"/>
        </w:numPr>
        <w:tabs>
          <w:tab w:val="left" w:pos="709"/>
          <w:tab w:val="left" w:pos="794"/>
          <w:tab w:val="left" w:pos="1701"/>
        </w:tabs>
        <w:jc w:val="left"/>
        <w:outlineLvl w:val="2"/>
      </w:pPr>
      <w:r>
        <w:rPr>
          <w:rFonts w:hint="eastAsia"/>
          <w:bCs/>
        </w:rPr>
        <w:t>车票应包括非</w:t>
      </w:r>
      <w:r>
        <w:rPr>
          <w:rFonts w:hint="eastAsia"/>
        </w:rPr>
        <w:t>回收类车票和回收类车票等。</w:t>
      </w:r>
    </w:p>
    <w:p w14:paraId="55D9697F">
      <w:pPr>
        <w:numPr>
          <w:ilvl w:val="1"/>
          <w:numId w:val="1"/>
        </w:numPr>
        <w:snapToGrid w:val="0"/>
        <w:spacing w:before="156" w:after="156" w:line="240" w:lineRule="auto"/>
        <w:jc w:val="center"/>
        <w:outlineLvl w:val="1"/>
        <w:rPr>
          <w:rFonts w:eastAsia="黑体"/>
          <w:bCs/>
          <w:szCs w:val="28"/>
        </w:rPr>
      </w:pPr>
      <w:bookmarkStart w:id="1729" w:name="_Toc183765217"/>
      <w:bookmarkStart w:id="1730" w:name="_Toc183882570"/>
      <w:bookmarkStart w:id="1731" w:name="_Toc183888260"/>
      <w:bookmarkStart w:id="1732" w:name="_Toc183882208"/>
      <w:bookmarkStart w:id="1733" w:name="_Toc183683611"/>
      <w:bookmarkStart w:id="1734" w:name="_Toc183790647"/>
      <w:bookmarkStart w:id="1735" w:name="_Toc183888622"/>
      <w:r>
        <w:rPr>
          <w:rFonts w:hint="eastAsia" w:eastAsia="黑体"/>
          <w:bCs/>
          <w:szCs w:val="28"/>
        </w:rPr>
        <w:t>系统及设备主要功能</w:t>
      </w:r>
      <w:bookmarkEnd w:id="1729"/>
      <w:bookmarkEnd w:id="1730"/>
      <w:bookmarkEnd w:id="1731"/>
      <w:bookmarkEnd w:id="1732"/>
      <w:bookmarkEnd w:id="1733"/>
      <w:bookmarkEnd w:id="1734"/>
      <w:bookmarkEnd w:id="1735"/>
    </w:p>
    <w:p w14:paraId="10B11644">
      <w:pPr>
        <w:numPr>
          <w:ilvl w:val="2"/>
          <w:numId w:val="41"/>
        </w:numPr>
        <w:tabs>
          <w:tab w:val="left" w:pos="709"/>
          <w:tab w:val="left" w:pos="794"/>
          <w:tab w:val="left" w:pos="1701"/>
        </w:tabs>
        <w:jc w:val="left"/>
        <w:outlineLvl w:val="2"/>
        <w:rPr>
          <w:bCs/>
        </w:rPr>
      </w:pPr>
      <w:r>
        <w:rPr>
          <w:rFonts w:hint="eastAsia"/>
        </w:rPr>
        <w:t>初始化编码</w:t>
      </w:r>
      <w:r>
        <w:rPr>
          <w:bCs/>
        </w:rPr>
        <w:t>/</w:t>
      </w:r>
      <w:r>
        <w:rPr>
          <w:rFonts w:hint="eastAsia"/>
          <w:bCs/>
        </w:rPr>
        <w:t>分拣机应具备对轨道交通专用车票进行初始化编码、分拣、预赋值、再编码、变更、注销等功能。</w:t>
      </w:r>
    </w:p>
    <w:p w14:paraId="74AFDC1B">
      <w:pPr>
        <w:numPr>
          <w:ilvl w:val="2"/>
          <w:numId w:val="41"/>
        </w:numPr>
        <w:tabs>
          <w:tab w:val="left" w:pos="709"/>
          <w:tab w:val="left" w:pos="794"/>
          <w:tab w:val="left" w:pos="1701"/>
        </w:tabs>
        <w:jc w:val="left"/>
        <w:outlineLvl w:val="2"/>
      </w:pPr>
      <w:r>
        <w:rPr>
          <w:rFonts w:hint="eastAsia"/>
          <w:bCs/>
        </w:rPr>
        <w:t>车站系统应</w:t>
      </w:r>
      <w:r>
        <w:rPr>
          <w:rFonts w:hint="eastAsia"/>
        </w:rPr>
        <w:t>具备下列功能：</w:t>
      </w:r>
    </w:p>
    <w:p w14:paraId="199BFADC">
      <w:pPr>
        <w:pStyle w:val="86"/>
        <w:ind w:firstLine="422"/>
        <w:rPr>
          <w:color w:val="auto"/>
        </w:rPr>
      </w:pPr>
      <w:r>
        <w:rPr>
          <w:b/>
          <w:color w:val="auto"/>
        </w:rPr>
        <w:t xml:space="preserve">1 </w:t>
      </w:r>
      <w:r>
        <w:rPr>
          <w:color w:val="auto"/>
        </w:rPr>
        <w:t xml:space="preserve"> </w:t>
      </w:r>
      <w:r>
        <w:rPr>
          <w:rFonts w:hint="eastAsia"/>
          <w:color w:val="auto"/>
        </w:rPr>
        <w:t>实时监控车站设备、网络状态、数据传输情况，实现车站系统运营、票务、收益及维修的管理功能；</w:t>
      </w:r>
    </w:p>
    <w:p w14:paraId="0FF397ED">
      <w:pPr>
        <w:pStyle w:val="86"/>
        <w:ind w:firstLine="422"/>
        <w:rPr>
          <w:color w:val="auto"/>
        </w:rPr>
      </w:pPr>
      <w:r>
        <w:rPr>
          <w:b/>
          <w:color w:val="auto"/>
        </w:rPr>
        <w:t xml:space="preserve">2 </w:t>
      </w:r>
      <w:r>
        <w:rPr>
          <w:color w:val="auto"/>
        </w:rPr>
        <w:t xml:space="preserve"> </w:t>
      </w:r>
      <w:r>
        <w:rPr>
          <w:rFonts w:hint="eastAsia"/>
          <w:color w:val="auto"/>
        </w:rPr>
        <w:t>对</w:t>
      </w:r>
      <w:r>
        <w:rPr>
          <w:color w:val="auto"/>
        </w:rPr>
        <w:t>SAM</w:t>
      </w:r>
      <w:r>
        <w:rPr>
          <w:rFonts w:hint="eastAsia"/>
          <w:color w:val="auto"/>
        </w:rPr>
        <w:t>卡进行监控、管理；</w:t>
      </w:r>
    </w:p>
    <w:p w14:paraId="0F1815F3">
      <w:pPr>
        <w:pStyle w:val="86"/>
        <w:ind w:firstLine="422"/>
        <w:rPr>
          <w:color w:val="auto"/>
        </w:rPr>
      </w:pPr>
      <w:r>
        <w:rPr>
          <w:b/>
          <w:color w:val="auto"/>
        </w:rPr>
        <w:t>3</w:t>
      </w:r>
      <w:r>
        <w:rPr>
          <w:color w:val="auto"/>
        </w:rPr>
        <w:t xml:space="preserve">  </w:t>
      </w:r>
      <w:r>
        <w:rPr>
          <w:rFonts w:hint="eastAsia"/>
          <w:color w:val="auto"/>
        </w:rPr>
        <w:t>接受中心系统车票调配指令，管理车站内车票流通；</w:t>
      </w:r>
    </w:p>
    <w:p w14:paraId="2A0EBD42">
      <w:pPr>
        <w:pStyle w:val="86"/>
        <w:ind w:firstLine="422"/>
        <w:rPr>
          <w:color w:val="auto"/>
        </w:rPr>
      </w:pPr>
      <w:r>
        <w:rPr>
          <w:b/>
          <w:color w:val="auto"/>
        </w:rPr>
        <w:t xml:space="preserve">4 </w:t>
      </w:r>
      <w:r>
        <w:rPr>
          <w:color w:val="auto"/>
        </w:rPr>
        <w:t xml:space="preserve"> </w:t>
      </w:r>
      <w:r>
        <w:rPr>
          <w:rFonts w:hint="eastAsia"/>
          <w:color w:val="auto"/>
        </w:rPr>
        <w:t>接收时钟信号完成时钟同步；</w:t>
      </w:r>
    </w:p>
    <w:p w14:paraId="127F4660">
      <w:pPr>
        <w:pStyle w:val="86"/>
        <w:ind w:firstLine="422"/>
        <w:rPr>
          <w:color w:val="auto"/>
        </w:rPr>
      </w:pPr>
      <w:r>
        <w:rPr>
          <w:b/>
          <w:color w:val="auto"/>
        </w:rPr>
        <w:t xml:space="preserve">5 </w:t>
      </w:r>
      <w:r>
        <w:rPr>
          <w:color w:val="auto"/>
        </w:rPr>
        <w:t xml:space="preserve"> </w:t>
      </w:r>
      <w:r>
        <w:rPr>
          <w:rFonts w:hint="eastAsia"/>
          <w:color w:val="auto"/>
        </w:rPr>
        <w:t>应能保留至少</w:t>
      </w:r>
      <w:r>
        <w:rPr>
          <w:color w:val="auto"/>
        </w:rPr>
        <w:t>90</w:t>
      </w:r>
      <w:r>
        <w:rPr>
          <w:rFonts w:hint="eastAsia"/>
          <w:color w:val="auto"/>
        </w:rPr>
        <w:t>天的运营数据。应具备数据恢复功能，在恢复通信后上传或转发相应的数据；</w:t>
      </w:r>
    </w:p>
    <w:p w14:paraId="37BB8999">
      <w:pPr>
        <w:pStyle w:val="86"/>
        <w:ind w:firstLine="422"/>
        <w:rPr>
          <w:color w:val="auto"/>
        </w:rPr>
      </w:pPr>
      <w:r>
        <w:rPr>
          <w:b/>
          <w:color w:val="auto"/>
        </w:rPr>
        <w:t xml:space="preserve">6 </w:t>
      </w:r>
      <w:r>
        <w:rPr>
          <w:color w:val="auto"/>
        </w:rPr>
        <w:t xml:space="preserve"> </w:t>
      </w:r>
      <w:r>
        <w:rPr>
          <w:rFonts w:hint="eastAsia"/>
          <w:color w:val="auto"/>
        </w:rPr>
        <w:t>向车站售检票终端设备下达紧急模式等控制命令，并将操作信息上传中心系统；紧急模式的触发应采取抗干扰设计：设置测试紧急模式时，信息不上传；</w:t>
      </w:r>
    </w:p>
    <w:p w14:paraId="309A7951">
      <w:pPr>
        <w:pStyle w:val="86"/>
        <w:ind w:firstLine="422"/>
        <w:rPr>
          <w:color w:val="auto"/>
        </w:rPr>
      </w:pPr>
      <w:r>
        <w:rPr>
          <w:b/>
          <w:color w:val="auto"/>
        </w:rPr>
        <w:t xml:space="preserve">7 </w:t>
      </w:r>
      <w:r>
        <w:rPr>
          <w:color w:val="auto"/>
        </w:rPr>
        <w:t xml:space="preserve"> </w:t>
      </w:r>
      <w:r>
        <w:rPr>
          <w:rFonts w:hint="eastAsia"/>
          <w:color w:val="auto"/>
        </w:rPr>
        <w:t>当车站为站区站时，可监视所辖车站的客流、票务等与运营相关的数据并能根据统计生成相关报表；可接受中心系统的车票调配指令，并对站区内的车票做调配管理。</w:t>
      </w:r>
    </w:p>
    <w:p w14:paraId="312CDDE3">
      <w:pPr>
        <w:pStyle w:val="86"/>
        <w:ind w:firstLine="422"/>
        <w:rPr>
          <w:color w:val="auto"/>
        </w:rPr>
      </w:pPr>
      <w:r>
        <w:rPr>
          <w:b/>
          <w:color w:val="auto"/>
        </w:rPr>
        <w:t>8</w:t>
      </w:r>
      <w:r>
        <w:rPr>
          <w:color w:val="auto"/>
        </w:rPr>
        <w:t xml:space="preserve">  </w:t>
      </w:r>
      <w:r>
        <w:rPr>
          <w:rFonts w:hint="eastAsia"/>
          <w:color w:val="auto"/>
        </w:rPr>
        <w:t>车站系统应能将二维码、银行卡等需要联机验证的车票凭证合法性请求反馈给车站终端设备。</w:t>
      </w:r>
    </w:p>
    <w:p w14:paraId="21490F8E">
      <w:pPr>
        <w:numPr>
          <w:ilvl w:val="2"/>
          <w:numId w:val="41"/>
        </w:numPr>
        <w:tabs>
          <w:tab w:val="left" w:pos="709"/>
          <w:tab w:val="left" w:pos="794"/>
          <w:tab w:val="left" w:pos="1701"/>
        </w:tabs>
        <w:jc w:val="left"/>
        <w:outlineLvl w:val="2"/>
      </w:pPr>
      <w:r>
        <w:rPr>
          <w:rFonts w:hint="eastAsia"/>
        </w:rPr>
        <w:t>维修</w:t>
      </w:r>
      <w:r>
        <w:rPr>
          <w:rFonts w:hint="eastAsia"/>
          <w:bCs/>
        </w:rPr>
        <w:t>系统</w:t>
      </w:r>
      <w:r>
        <w:rPr>
          <w:rFonts w:hint="eastAsia"/>
        </w:rPr>
        <w:t>应具备下列功能：</w:t>
      </w:r>
    </w:p>
    <w:p w14:paraId="0AE67602">
      <w:pPr>
        <w:pStyle w:val="86"/>
        <w:ind w:firstLine="422"/>
        <w:rPr>
          <w:color w:val="auto"/>
        </w:rPr>
      </w:pPr>
      <w:r>
        <w:rPr>
          <w:b/>
          <w:color w:val="auto"/>
        </w:rPr>
        <w:t xml:space="preserve">1 </w:t>
      </w:r>
      <w:r>
        <w:rPr>
          <w:color w:val="auto"/>
        </w:rPr>
        <w:t xml:space="preserve"> </w:t>
      </w:r>
      <w:r>
        <w:rPr>
          <w:rFonts w:hint="eastAsia"/>
          <w:color w:val="auto"/>
        </w:rPr>
        <w:t>对系统设备的故障及运行状态进行监控，根据所收集的设备状态、故障记录及维修记录等信息，</w:t>
      </w:r>
    </w:p>
    <w:p w14:paraId="4649DFC7">
      <w:pPr>
        <w:pStyle w:val="86"/>
        <w:ind w:firstLine="420"/>
        <w:rPr>
          <w:color w:val="auto"/>
        </w:rPr>
      </w:pPr>
      <w:r>
        <w:rPr>
          <w:rFonts w:hint="eastAsia"/>
          <w:color w:val="auto"/>
        </w:rPr>
        <w:t>生成相应的维修报表；制定维修计划；进行维修调度；维修工区系统可监视所辖车站设备的故障及运行状态，并对相关维修信息进行管理；</w:t>
      </w:r>
    </w:p>
    <w:p w14:paraId="1B1A9FD9">
      <w:pPr>
        <w:pStyle w:val="86"/>
        <w:ind w:firstLine="422"/>
        <w:rPr>
          <w:color w:val="auto"/>
        </w:rPr>
      </w:pPr>
      <w:r>
        <w:rPr>
          <w:b/>
          <w:color w:val="auto"/>
        </w:rPr>
        <w:t xml:space="preserve">2 </w:t>
      </w:r>
      <w:r>
        <w:rPr>
          <w:color w:val="auto"/>
        </w:rPr>
        <w:t xml:space="preserve"> </w:t>
      </w:r>
      <w:r>
        <w:rPr>
          <w:rFonts w:hint="eastAsia"/>
          <w:color w:val="auto"/>
        </w:rPr>
        <w:t>通过每台设备的使用次数，计算设备部件的磨损情况，在部件寿命将结束时应提供必要提示；</w:t>
      </w:r>
    </w:p>
    <w:p w14:paraId="67731767">
      <w:pPr>
        <w:pStyle w:val="86"/>
        <w:ind w:firstLine="422"/>
        <w:rPr>
          <w:color w:val="auto"/>
        </w:rPr>
      </w:pPr>
      <w:r>
        <w:rPr>
          <w:b/>
          <w:color w:val="auto"/>
        </w:rPr>
        <w:t xml:space="preserve">3 </w:t>
      </w:r>
      <w:r>
        <w:rPr>
          <w:color w:val="auto"/>
        </w:rPr>
        <w:t xml:space="preserve"> </w:t>
      </w:r>
      <w:r>
        <w:rPr>
          <w:rFonts w:hint="eastAsia"/>
          <w:color w:val="auto"/>
        </w:rPr>
        <w:t>对设备部件及备品备件进行管理，跟踪设备内关键部件的使用情况及安装位置；跟踪设备部件的添加及替换等记录；</w:t>
      </w:r>
    </w:p>
    <w:p w14:paraId="4555C6E0">
      <w:pPr>
        <w:pStyle w:val="86"/>
        <w:ind w:firstLine="422"/>
        <w:rPr>
          <w:color w:val="auto"/>
        </w:rPr>
      </w:pPr>
      <w:r>
        <w:rPr>
          <w:b/>
          <w:color w:val="auto"/>
        </w:rPr>
        <w:t xml:space="preserve">4 </w:t>
      </w:r>
      <w:r>
        <w:rPr>
          <w:color w:val="auto"/>
        </w:rPr>
        <w:t xml:space="preserve"> </w:t>
      </w:r>
      <w:r>
        <w:rPr>
          <w:rFonts w:hint="eastAsia"/>
          <w:color w:val="auto"/>
        </w:rPr>
        <w:t>管理故障代码和维修代码，可将修改或新增的故障代码和维修代码下传到系统设备中；</w:t>
      </w:r>
    </w:p>
    <w:p w14:paraId="06BB4DE7">
      <w:pPr>
        <w:pStyle w:val="86"/>
        <w:ind w:firstLine="422"/>
        <w:rPr>
          <w:color w:val="auto"/>
        </w:rPr>
      </w:pPr>
      <w:r>
        <w:rPr>
          <w:b/>
          <w:color w:val="auto"/>
        </w:rPr>
        <w:t xml:space="preserve">5 </w:t>
      </w:r>
      <w:r>
        <w:rPr>
          <w:color w:val="auto"/>
        </w:rPr>
        <w:t xml:space="preserve"> </w:t>
      </w:r>
      <w:r>
        <w:rPr>
          <w:rFonts w:hint="eastAsia"/>
          <w:color w:val="auto"/>
        </w:rPr>
        <w:t>对设备进行维护、维修及测试。</w:t>
      </w:r>
    </w:p>
    <w:p w14:paraId="5AA8582E">
      <w:pPr>
        <w:numPr>
          <w:ilvl w:val="2"/>
          <w:numId w:val="41"/>
        </w:numPr>
        <w:tabs>
          <w:tab w:val="left" w:pos="709"/>
          <w:tab w:val="left" w:pos="794"/>
          <w:tab w:val="left" w:pos="1701"/>
        </w:tabs>
        <w:jc w:val="left"/>
        <w:outlineLvl w:val="2"/>
      </w:pPr>
      <w:r>
        <w:rPr>
          <w:rFonts w:hint="eastAsia"/>
        </w:rPr>
        <w:t>培训</w:t>
      </w:r>
      <w:r>
        <w:rPr>
          <w:rFonts w:hint="eastAsia"/>
          <w:bCs/>
        </w:rPr>
        <w:t>系统</w:t>
      </w:r>
      <w:r>
        <w:rPr>
          <w:rFonts w:hint="eastAsia"/>
        </w:rPr>
        <w:t>应具备下列功能：</w:t>
      </w:r>
    </w:p>
    <w:p w14:paraId="074BBE92">
      <w:pPr>
        <w:pStyle w:val="86"/>
        <w:ind w:firstLine="422"/>
        <w:rPr>
          <w:color w:val="auto"/>
        </w:rPr>
      </w:pPr>
      <w:r>
        <w:rPr>
          <w:b/>
          <w:color w:val="auto"/>
        </w:rPr>
        <w:t>1</w:t>
      </w:r>
      <w:r>
        <w:rPr>
          <w:color w:val="auto"/>
        </w:rPr>
        <w:t xml:space="preserve">  </w:t>
      </w:r>
      <w:r>
        <w:rPr>
          <w:rFonts w:hint="eastAsia"/>
          <w:color w:val="auto"/>
        </w:rPr>
        <w:t>实现系统对接、软件更新、系统重要参数的修改、新增设备的模拟测试和维修后设备的模拟测试；</w:t>
      </w:r>
    </w:p>
    <w:p w14:paraId="7FDAA30E">
      <w:pPr>
        <w:pStyle w:val="86"/>
        <w:ind w:firstLine="422"/>
        <w:rPr>
          <w:color w:val="auto"/>
        </w:rPr>
      </w:pPr>
      <w:r>
        <w:rPr>
          <w:b/>
          <w:color w:val="auto"/>
        </w:rPr>
        <w:t xml:space="preserve">2  </w:t>
      </w:r>
      <w:r>
        <w:rPr>
          <w:rFonts w:hint="eastAsia"/>
          <w:color w:val="auto"/>
        </w:rPr>
        <w:t>对员工进行业务培训。</w:t>
      </w:r>
    </w:p>
    <w:p w14:paraId="01AE3CE3">
      <w:pPr>
        <w:numPr>
          <w:ilvl w:val="2"/>
          <w:numId w:val="41"/>
        </w:numPr>
        <w:tabs>
          <w:tab w:val="left" w:pos="709"/>
          <w:tab w:val="left" w:pos="794"/>
          <w:tab w:val="left" w:pos="1701"/>
        </w:tabs>
        <w:jc w:val="left"/>
        <w:outlineLvl w:val="2"/>
      </w:pPr>
      <w:r>
        <w:rPr>
          <w:rFonts w:hint="eastAsia"/>
        </w:rPr>
        <w:t>车站售</w:t>
      </w:r>
      <w:r>
        <w:rPr>
          <w:rFonts w:hint="eastAsia"/>
          <w:bCs/>
        </w:rPr>
        <w:t>检票</w:t>
      </w:r>
      <w:r>
        <w:rPr>
          <w:rFonts w:hint="eastAsia"/>
        </w:rPr>
        <w:t>终端设备应具备下列基本功能：</w:t>
      </w:r>
    </w:p>
    <w:p w14:paraId="14627A0E">
      <w:pPr>
        <w:pStyle w:val="86"/>
        <w:ind w:firstLine="422"/>
        <w:rPr>
          <w:color w:val="auto"/>
        </w:rPr>
      </w:pPr>
      <w:r>
        <w:rPr>
          <w:b/>
          <w:color w:val="auto"/>
        </w:rPr>
        <w:t>1</w:t>
      </w:r>
      <w:r>
        <w:rPr>
          <w:color w:val="auto"/>
        </w:rPr>
        <w:t xml:space="preserve">  </w:t>
      </w:r>
      <w:r>
        <w:rPr>
          <w:rFonts w:hint="eastAsia"/>
          <w:color w:val="auto"/>
        </w:rPr>
        <w:t>接受系统参数及指令，完成规定操作及信息提示，生成并上传全部交易数据、状态数据、审计数据，生成中文日志数据；</w:t>
      </w:r>
    </w:p>
    <w:p w14:paraId="20F1174C">
      <w:pPr>
        <w:pStyle w:val="86"/>
        <w:ind w:firstLine="422"/>
        <w:rPr>
          <w:color w:val="auto"/>
        </w:rPr>
      </w:pPr>
      <w:r>
        <w:rPr>
          <w:b/>
          <w:color w:val="auto"/>
        </w:rPr>
        <w:t xml:space="preserve">2 </w:t>
      </w:r>
      <w:r>
        <w:rPr>
          <w:color w:val="auto"/>
        </w:rPr>
        <w:t xml:space="preserve"> </w:t>
      </w:r>
      <w:r>
        <w:rPr>
          <w:rFonts w:hint="eastAsia"/>
          <w:color w:val="auto"/>
        </w:rPr>
        <w:t>采用冗余存储介质，按要求存储数据；数据可导出及恢复；</w:t>
      </w:r>
    </w:p>
    <w:p w14:paraId="5C178F88">
      <w:pPr>
        <w:pStyle w:val="86"/>
        <w:ind w:firstLine="422"/>
        <w:rPr>
          <w:color w:val="auto"/>
        </w:rPr>
      </w:pPr>
      <w:r>
        <w:rPr>
          <w:b/>
          <w:color w:val="auto"/>
        </w:rPr>
        <w:t xml:space="preserve">3 </w:t>
      </w:r>
      <w:r>
        <w:rPr>
          <w:color w:val="auto"/>
        </w:rPr>
        <w:t xml:space="preserve"> </w:t>
      </w:r>
      <w:r>
        <w:rPr>
          <w:rFonts w:hint="eastAsia"/>
          <w:color w:val="auto"/>
        </w:rPr>
        <w:t>可实现设备故障自诊断，设备故障提示；</w:t>
      </w:r>
    </w:p>
    <w:p w14:paraId="0EEA34D8">
      <w:pPr>
        <w:pStyle w:val="86"/>
        <w:ind w:firstLine="422"/>
        <w:rPr>
          <w:color w:val="auto"/>
        </w:rPr>
      </w:pPr>
      <w:r>
        <w:rPr>
          <w:b/>
          <w:color w:val="auto"/>
        </w:rPr>
        <w:t xml:space="preserve">4 </w:t>
      </w:r>
      <w:r>
        <w:rPr>
          <w:color w:val="auto"/>
        </w:rPr>
        <w:t xml:space="preserve"> </w:t>
      </w:r>
      <w:r>
        <w:rPr>
          <w:rFonts w:hint="eastAsia"/>
          <w:color w:val="auto"/>
        </w:rPr>
        <w:t>可实现远程开关机功能；</w:t>
      </w:r>
    </w:p>
    <w:p w14:paraId="49F9ED2D">
      <w:pPr>
        <w:pStyle w:val="86"/>
        <w:ind w:firstLine="422"/>
        <w:rPr>
          <w:color w:val="auto"/>
        </w:rPr>
      </w:pPr>
      <w:r>
        <w:rPr>
          <w:b/>
          <w:color w:val="auto"/>
        </w:rPr>
        <w:t xml:space="preserve">5 </w:t>
      </w:r>
      <w:r>
        <w:rPr>
          <w:color w:val="auto"/>
        </w:rPr>
        <w:t xml:space="preserve"> </w:t>
      </w:r>
      <w:r>
        <w:rPr>
          <w:rFonts w:hint="eastAsia"/>
          <w:color w:val="auto"/>
        </w:rPr>
        <w:t>具备漏电和防雷保护措施；</w:t>
      </w:r>
    </w:p>
    <w:p w14:paraId="140CC5B8">
      <w:pPr>
        <w:pStyle w:val="86"/>
        <w:ind w:firstLine="422"/>
        <w:rPr>
          <w:color w:val="auto"/>
        </w:rPr>
      </w:pPr>
      <w:r>
        <w:rPr>
          <w:b/>
          <w:color w:val="auto"/>
        </w:rPr>
        <w:t>6</w:t>
      </w:r>
      <w:r>
        <w:rPr>
          <w:color w:val="auto"/>
        </w:rPr>
        <w:t xml:space="preserve">  </w:t>
      </w:r>
      <w:r>
        <w:rPr>
          <w:rFonts w:hint="eastAsia"/>
          <w:color w:val="auto"/>
        </w:rPr>
        <w:t>票箱、钱箱具备电子标识；具备特殊锁具，操作员登陆并锁闭票箱、钱箱后才可移出设备；钱箱设置于隔离的需使用钥匙开启的安全区域内；对钱箱的操作应在设备进行登录方可进行操作，并对操作进行记录。</w:t>
      </w:r>
    </w:p>
    <w:p w14:paraId="4909ECAC">
      <w:pPr>
        <w:pStyle w:val="86"/>
        <w:ind w:firstLine="422"/>
        <w:rPr>
          <w:color w:val="auto"/>
        </w:rPr>
      </w:pPr>
      <w:r>
        <w:rPr>
          <w:b/>
          <w:color w:val="auto"/>
        </w:rPr>
        <w:t>7</w:t>
      </w:r>
      <w:r>
        <w:rPr>
          <w:color w:val="auto"/>
        </w:rPr>
        <w:t xml:space="preserve">  </w:t>
      </w:r>
      <w:r>
        <w:rPr>
          <w:rFonts w:hint="eastAsia"/>
          <w:color w:val="auto"/>
        </w:rPr>
        <w:t>当通信故障等条件下独立运行时，可保存</w:t>
      </w:r>
      <w:r>
        <w:rPr>
          <w:color w:val="auto"/>
        </w:rPr>
        <w:t>7</w:t>
      </w:r>
      <w:r>
        <w:rPr>
          <w:rFonts w:hint="eastAsia"/>
          <w:color w:val="auto"/>
        </w:rPr>
        <w:t>天的运营数据，数据可通过外部数据载体导出，故障恢复后数据自动上传。</w:t>
      </w:r>
    </w:p>
    <w:p w14:paraId="1CC9719B">
      <w:pPr>
        <w:numPr>
          <w:ilvl w:val="2"/>
          <w:numId w:val="41"/>
        </w:numPr>
        <w:tabs>
          <w:tab w:val="left" w:pos="709"/>
          <w:tab w:val="left" w:pos="794"/>
          <w:tab w:val="left" w:pos="1701"/>
        </w:tabs>
        <w:jc w:val="left"/>
        <w:outlineLvl w:val="2"/>
      </w:pPr>
      <w:r>
        <w:rPr>
          <w:rFonts w:hint="eastAsia"/>
        </w:rPr>
        <w:t>自动</w:t>
      </w:r>
      <w:r>
        <w:rPr>
          <w:rFonts w:hint="eastAsia"/>
          <w:bCs/>
        </w:rPr>
        <w:t>售票机</w:t>
      </w:r>
      <w:r>
        <w:rPr>
          <w:rFonts w:hint="eastAsia"/>
        </w:rPr>
        <w:t>应具备下列功能：</w:t>
      </w:r>
    </w:p>
    <w:p w14:paraId="77180918">
      <w:pPr>
        <w:pStyle w:val="86"/>
        <w:ind w:firstLine="422"/>
        <w:rPr>
          <w:color w:val="auto"/>
        </w:rPr>
      </w:pPr>
      <w:r>
        <w:rPr>
          <w:b/>
          <w:color w:val="auto"/>
        </w:rPr>
        <w:t>1</w:t>
      </w:r>
      <w:r>
        <w:rPr>
          <w:color w:val="auto"/>
        </w:rPr>
        <w:t xml:space="preserve">  </w:t>
      </w:r>
      <w:r>
        <w:rPr>
          <w:rFonts w:hint="eastAsia"/>
          <w:color w:val="auto"/>
        </w:rPr>
        <w:t>可根据乘客的选择自动计费、收费、发售单程票类实体车票，可对储值票进行充值，可进行网络取票；</w:t>
      </w:r>
    </w:p>
    <w:p w14:paraId="7021C9FD">
      <w:pPr>
        <w:pStyle w:val="86"/>
        <w:ind w:firstLine="422"/>
        <w:rPr>
          <w:color w:val="auto"/>
        </w:rPr>
      </w:pPr>
      <w:r>
        <w:rPr>
          <w:b/>
          <w:color w:val="auto"/>
        </w:rPr>
        <w:t>2</w:t>
      </w:r>
      <w:r>
        <w:rPr>
          <w:color w:val="auto"/>
        </w:rPr>
        <w:t xml:space="preserve">  </w:t>
      </w:r>
      <w:r>
        <w:rPr>
          <w:rFonts w:hint="eastAsia"/>
          <w:color w:val="auto"/>
        </w:rPr>
        <w:t>可发售参数设置的两种车票。能一次发售多张车票。应具有对出售的单程类车票进行检测，对不符合要求的车票自动回收，重新发行的功能；</w:t>
      </w:r>
    </w:p>
    <w:p w14:paraId="5B4EDAE1">
      <w:pPr>
        <w:pStyle w:val="86"/>
        <w:ind w:firstLine="422"/>
        <w:rPr>
          <w:color w:val="auto"/>
        </w:rPr>
      </w:pPr>
      <w:r>
        <w:rPr>
          <w:b/>
          <w:color w:val="auto"/>
        </w:rPr>
        <w:t xml:space="preserve">3 </w:t>
      </w:r>
      <w:r>
        <w:rPr>
          <w:color w:val="auto"/>
        </w:rPr>
        <w:t xml:space="preserve"> </w:t>
      </w:r>
      <w:r>
        <w:rPr>
          <w:rFonts w:hint="eastAsia"/>
          <w:color w:val="auto"/>
        </w:rPr>
        <w:t>可接受硬币、纸币、二维码支付及银行卡等支付方式购买单程类实体车票，并具备纸币、硬币找零功能。应可接受纸币、二维码支付及银行卡等支付方式对储值票进行充值；</w:t>
      </w:r>
    </w:p>
    <w:p w14:paraId="7B2FE032">
      <w:pPr>
        <w:pStyle w:val="86"/>
        <w:ind w:firstLine="422"/>
        <w:rPr>
          <w:color w:val="auto"/>
        </w:rPr>
      </w:pPr>
      <w:r>
        <w:rPr>
          <w:b/>
          <w:color w:val="auto"/>
        </w:rPr>
        <w:t xml:space="preserve">4 </w:t>
      </w:r>
      <w:r>
        <w:rPr>
          <w:color w:val="auto"/>
        </w:rPr>
        <w:t xml:space="preserve"> </w:t>
      </w:r>
      <w:r>
        <w:rPr>
          <w:rFonts w:hint="eastAsia"/>
          <w:color w:val="auto"/>
        </w:rPr>
        <w:t>应具有故障和不规范操作的自动报警功能，并实时上传；</w:t>
      </w:r>
    </w:p>
    <w:p w14:paraId="76B8E508">
      <w:pPr>
        <w:pStyle w:val="86"/>
        <w:ind w:firstLine="422"/>
        <w:rPr>
          <w:color w:val="auto"/>
        </w:rPr>
      </w:pPr>
      <w:r>
        <w:rPr>
          <w:b/>
          <w:color w:val="auto"/>
        </w:rPr>
        <w:t xml:space="preserve">5 </w:t>
      </w:r>
      <w:r>
        <w:rPr>
          <w:color w:val="auto"/>
        </w:rPr>
        <w:t xml:space="preserve"> </w:t>
      </w:r>
      <w:r>
        <w:rPr>
          <w:rFonts w:hint="eastAsia"/>
          <w:color w:val="auto"/>
        </w:rPr>
        <w:t>应具备数据审计功能；</w:t>
      </w:r>
    </w:p>
    <w:p w14:paraId="2E376250">
      <w:pPr>
        <w:pStyle w:val="86"/>
        <w:ind w:firstLine="422"/>
        <w:rPr>
          <w:color w:val="auto"/>
        </w:rPr>
      </w:pPr>
      <w:r>
        <w:rPr>
          <w:b/>
          <w:color w:val="auto"/>
        </w:rPr>
        <w:t xml:space="preserve">6 </w:t>
      </w:r>
      <w:r>
        <w:rPr>
          <w:color w:val="auto"/>
        </w:rPr>
        <w:t xml:space="preserve"> </w:t>
      </w:r>
      <w:r>
        <w:rPr>
          <w:rFonts w:hint="eastAsia"/>
          <w:color w:val="auto"/>
        </w:rPr>
        <w:t>应具备不少于</w:t>
      </w:r>
      <w:r>
        <w:rPr>
          <w:color w:val="auto"/>
        </w:rPr>
        <w:t>800</w:t>
      </w:r>
      <w:r>
        <w:rPr>
          <w:rFonts w:hint="eastAsia"/>
          <w:color w:val="auto"/>
        </w:rPr>
        <w:t>张</w:t>
      </w:r>
      <w:r>
        <w:rPr>
          <w:color w:val="auto"/>
        </w:rPr>
        <w:t>/</w:t>
      </w:r>
      <w:r>
        <w:rPr>
          <w:rFonts w:hint="eastAsia"/>
          <w:color w:val="auto"/>
        </w:rPr>
        <w:t>票箱，</w:t>
      </w:r>
      <w:r>
        <w:rPr>
          <w:color w:val="auto"/>
        </w:rPr>
        <w:t>2</w:t>
      </w:r>
      <w:r>
        <w:rPr>
          <w:rFonts w:hint="eastAsia"/>
          <w:color w:val="auto"/>
        </w:rPr>
        <w:t>票箱</w:t>
      </w:r>
      <w:r>
        <w:rPr>
          <w:color w:val="auto"/>
        </w:rPr>
        <w:t>/</w:t>
      </w:r>
      <w:r>
        <w:rPr>
          <w:rFonts w:hint="eastAsia"/>
          <w:color w:val="auto"/>
        </w:rPr>
        <w:t>台的储票能力；</w:t>
      </w:r>
    </w:p>
    <w:p w14:paraId="1DC35B06">
      <w:pPr>
        <w:pStyle w:val="86"/>
        <w:ind w:firstLine="422"/>
        <w:rPr>
          <w:color w:val="auto"/>
        </w:rPr>
      </w:pPr>
      <w:r>
        <w:rPr>
          <w:b/>
          <w:color w:val="auto"/>
        </w:rPr>
        <w:t>7</w:t>
      </w:r>
      <w:r>
        <w:rPr>
          <w:color w:val="auto"/>
        </w:rPr>
        <w:t xml:space="preserve">  </w:t>
      </w:r>
      <w:r>
        <w:rPr>
          <w:rFonts w:hint="eastAsia"/>
          <w:color w:val="auto"/>
        </w:rPr>
        <w:t>应具备不少于</w:t>
      </w:r>
      <w:r>
        <w:rPr>
          <w:color w:val="auto"/>
        </w:rPr>
        <w:t>300</w:t>
      </w:r>
      <w:r>
        <w:rPr>
          <w:rFonts w:hint="eastAsia"/>
          <w:color w:val="auto"/>
        </w:rPr>
        <w:t>张</w:t>
      </w:r>
      <w:r>
        <w:rPr>
          <w:color w:val="auto"/>
        </w:rPr>
        <w:t>/</w:t>
      </w:r>
      <w:r>
        <w:rPr>
          <w:rFonts w:hint="eastAsia"/>
          <w:color w:val="auto"/>
        </w:rPr>
        <w:t>票箱的废票存储能力；</w:t>
      </w:r>
    </w:p>
    <w:p w14:paraId="6A87C55A">
      <w:pPr>
        <w:pStyle w:val="86"/>
        <w:ind w:firstLine="422"/>
        <w:rPr>
          <w:color w:val="auto"/>
        </w:rPr>
      </w:pPr>
      <w:r>
        <w:rPr>
          <w:b/>
          <w:color w:val="auto"/>
        </w:rPr>
        <w:t>8</w:t>
      </w:r>
      <w:r>
        <w:rPr>
          <w:color w:val="auto"/>
        </w:rPr>
        <w:t xml:space="preserve">  </w:t>
      </w:r>
      <w:r>
        <w:rPr>
          <w:rFonts w:hint="eastAsia"/>
          <w:color w:val="auto"/>
        </w:rPr>
        <w:t>设计通过能力：≮</w:t>
      </w:r>
      <w:r>
        <w:rPr>
          <w:color w:val="auto"/>
        </w:rPr>
        <w:t>5</w:t>
      </w:r>
      <w:r>
        <w:rPr>
          <w:rFonts w:hint="eastAsia"/>
          <w:color w:val="auto"/>
        </w:rPr>
        <w:t>人</w:t>
      </w:r>
      <w:r>
        <w:rPr>
          <w:color w:val="auto"/>
        </w:rPr>
        <w:t>/</w:t>
      </w:r>
      <w:r>
        <w:rPr>
          <w:rFonts w:hint="eastAsia"/>
          <w:color w:val="auto"/>
        </w:rPr>
        <w:t>分</w:t>
      </w:r>
      <w:r>
        <w:rPr>
          <w:color w:val="auto"/>
        </w:rPr>
        <w:t>·</w:t>
      </w:r>
      <w:r>
        <w:rPr>
          <w:rFonts w:hint="eastAsia"/>
          <w:color w:val="auto"/>
        </w:rPr>
        <w:t>台。</w:t>
      </w:r>
    </w:p>
    <w:p w14:paraId="75AAF52B">
      <w:pPr>
        <w:pStyle w:val="86"/>
        <w:ind w:firstLine="422"/>
        <w:rPr>
          <w:color w:val="auto"/>
        </w:rPr>
      </w:pPr>
      <w:r>
        <w:rPr>
          <w:b/>
          <w:color w:val="auto"/>
        </w:rPr>
        <w:t>9</w:t>
      </w:r>
      <w:r>
        <w:rPr>
          <w:color w:val="auto"/>
        </w:rPr>
        <w:t xml:space="preserve">  </w:t>
      </w:r>
      <w:r>
        <w:rPr>
          <w:rFonts w:hint="eastAsia"/>
          <w:color w:val="auto"/>
        </w:rPr>
        <w:t>应可读取身份证信息，具备解码身份证信息、验证身份证真伪的功能。</w:t>
      </w:r>
    </w:p>
    <w:p w14:paraId="3A8C6CE8">
      <w:pPr>
        <w:numPr>
          <w:ilvl w:val="2"/>
          <w:numId w:val="41"/>
        </w:numPr>
        <w:tabs>
          <w:tab w:val="left" w:pos="709"/>
          <w:tab w:val="left" w:pos="794"/>
          <w:tab w:val="left" w:pos="1701"/>
        </w:tabs>
        <w:jc w:val="left"/>
        <w:outlineLvl w:val="2"/>
      </w:pPr>
      <w:r>
        <w:rPr>
          <w:rFonts w:hint="eastAsia"/>
        </w:rPr>
        <w:t>半自动售票机应具备下列功能：</w:t>
      </w:r>
    </w:p>
    <w:p w14:paraId="383AC48B">
      <w:pPr>
        <w:pStyle w:val="86"/>
        <w:ind w:firstLine="422"/>
        <w:rPr>
          <w:color w:val="auto"/>
        </w:rPr>
      </w:pPr>
      <w:r>
        <w:rPr>
          <w:b/>
          <w:color w:val="auto"/>
        </w:rPr>
        <w:t xml:space="preserve">1 </w:t>
      </w:r>
      <w:r>
        <w:rPr>
          <w:color w:val="auto"/>
        </w:rPr>
        <w:t xml:space="preserve"> </w:t>
      </w:r>
      <w:r>
        <w:rPr>
          <w:rFonts w:hint="eastAsia"/>
          <w:color w:val="auto"/>
        </w:rPr>
        <w:t>售票、补票、充值、更新、替换、退款、挂失、记名车票申请、车票分析、车票查询等；</w:t>
      </w:r>
    </w:p>
    <w:p w14:paraId="4192CE2E">
      <w:pPr>
        <w:pStyle w:val="86"/>
        <w:ind w:firstLine="422"/>
        <w:rPr>
          <w:color w:val="auto"/>
        </w:rPr>
      </w:pPr>
      <w:r>
        <w:rPr>
          <w:b/>
          <w:color w:val="auto"/>
        </w:rPr>
        <w:t>2</w:t>
      </w:r>
      <w:r>
        <w:rPr>
          <w:color w:val="auto"/>
        </w:rPr>
        <w:t xml:space="preserve">  </w:t>
      </w:r>
      <w:r>
        <w:rPr>
          <w:rFonts w:hint="eastAsia"/>
          <w:color w:val="auto"/>
        </w:rPr>
        <w:t>自动出票；</w:t>
      </w:r>
    </w:p>
    <w:p w14:paraId="37FC91B4">
      <w:pPr>
        <w:pStyle w:val="86"/>
        <w:ind w:firstLine="422"/>
        <w:rPr>
          <w:color w:val="auto"/>
        </w:rPr>
      </w:pPr>
      <w:r>
        <w:rPr>
          <w:b/>
          <w:color w:val="auto"/>
        </w:rPr>
        <w:t>3</w:t>
      </w:r>
      <w:r>
        <w:rPr>
          <w:color w:val="auto"/>
        </w:rPr>
        <w:t xml:space="preserve">  </w:t>
      </w:r>
      <w:r>
        <w:rPr>
          <w:rFonts w:hint="eastAsia"/>
          <w:color w:val="auto"/>
        </w:rPr>
        <w:t>应具备数据审计功能；</w:t>
      </w:r>
    </w:p>
    <w:p w14:paraId="6F6E7BCE">
      <w:pPr>
        <w:pStyle w:val="86"/>
        <w:ind w:firstLine="422"/>
        <w:rPr>
          <w:color w:val="auto"/>
        </w:rPr>
      </w:pPr>
      <w:r>
        <w:rPr>
          <w:b/>
          <w:color w:val="auto"/>
        </w:rPr>
        <w:t xml:space="preserve">4 </w:t>
      </w:r>
      <w:r>
        <w:rPr>
          <w:color w:val="auto"/>
        </w:rPr>
        <w:t xml:space="preserve"> </w:t>
      </w:r>
      <w:r>
        <w:rPr>
          <w:rFonts w:hint="eastAsia"/>
          <w:color w:val="auto"/>
        </w:rPr>
        <w:t>应具备不少于</w:t>
      </w:r>
      <w:r>
        <w:rPr>
          <w:color w:val="auto"/>
        </w:rPr>
        <w:t>800</w:t>
      </w:r>
      <w:r>
        <w:rPr>
          <w:rFonts w:hint="eastAsia"/>
          <w:color w:val="auto"/>
        </w:rPr>
        <w:t>张</w:t>
      </w:r>
      <w:r>
        <w:rPr>
          <w:color w:val="auto"/>
        </w:rPr>
        <w:t>/</w:t>
      </w:r>
      <w:r>
        <w:rPr>
          <w:rFonts w:hint="eastAsia"/>
          <w:color w:val="auto"/>
        </w:rPr>
        <w:t>票箱，</w:t>
      </w:r>
      <w:r>
        <w:rPr>
          <w:color w:val="auto"/>
        </w:rPr>
        <w:t>2</w:t>
      </w:r>
      <w:r>
        <w:rPr>
          <w:rFonts w:hint="eastAsia"/>
          <w:color w:val="auto"/>
        </w:rPr>
        <w:t>票箱</w:t>
      </w:r>
      <w:r>
        <w:rPr>
          <w:color w:val="auto"/>
        </w:rPr>
        <w:t>/</w:t>
      </w:r>
      <w:r>
        <w:rPr>
          <w:rFonts w:hint="eastAsia"/>
          <w:color w:val="auto"/>
        </w:rPr>
        <w:t>台的储票能力；</w:t>
      </w:r>
    </w:p>
    <w:p w14:paraId="7C9090BB">
      <w:pPr>
        <w:pStyle w:val="86"/>
        <w:ind w:firstLine="422"/>
        <w:rPr>
          <w:color w:val="auto"/>
        </w:rPr>
      </w:pPr>
      <w:r>
        <w:rPr>
          <w:b/>
          <w:color w:val="auto"/>
        </w:rPr>
        <w:t>5</w:t>
      </w:r>
      <w:r>
        <w:rPr>
          <w:color w:val="auto"/>
        </w:rPr>
        <w:t xml:space="preserve">  </w:t>
      </w:r>
      <w:r>
        <w:rPr>
          <w:rFonts w:hint="eastAsia"/>
          <w:color w:val="auto"/>
        </w:rPr>
        <w:t>应具备不少于</w:t>
      </w:r>
      <w:r>
        <w:rPr>
          <w:color w:val="auto"/>
        </w:rPr>
        <w:t>300</w:t>
      </w:r>
      <w:r>
        <w:rPr>
          <w:rFonts w:hint="eastAsia"/>
          <w:color w:val="auto"/>
        </w:rPr>
        <w:t>张</w:t>
      </w:r>
      <w:r>
        <w:rPr>
          <w:color w:val="auto"/>
        </w:rPr>
        <w:t>/</w:t>
      </w:r>
      <w:r>
        <w:rPr>
          <w:rFonts w:hint="eastAsia"/>
          <w:color w:val="auto"/>
        </w:rPr>
        <w:t>票箱的废票存储能力；</w:t>
      </w:r>
    </w:p>
    <w:p w14:paraId="510D62B9">
      <w:pPr>
        <w:pStyle w:val="86"/>
        <w:ind w:firstLine="422"/>
        <w:rPr>
          <w:color w:val="auto"/>
        </w:rPr>
      </w:pPr>
      <w:r>
        <w:rPr>
          <w:b/>
          <w:color w:val="auto"/>
        </w:rPr>
        <w:t xml:space="preserve">6 </w:t>
      </w:r>
      <w:r>
        <w:rPr>
          <w:color w:val="auto"/>
        </w:rPr>
        <w:t xml:space="preserve"> </w:t>
      </w:r>
      <w:r>
        <w:rPr>
          <w:rFonts w:hint="eastAsia"/>
          <w:color w:val="auto"/>
        </w:rPr>
        <w:t>设计通过能力：≮</w:t>
      </w:r>
      <w:r>
        <w:rPr>
          <w:color w:val="auto"/>
        </w:rPr>
        <w:t>10</w:t>
      </w:r>
      <w:r>
        <w:rPr>
          <w:rFonts w:hint="eastAsia"/>
          <w:color w:val="auto"/>
        </w:rPr>
        <w:t>人</w:t>
      </w:r>
      <w:r>
        <w:rPr>
          <w:color w:val="auto"/>
        </w:rPr>
        <w:t>/</w:t>
      </w:r>
      <w:r>
        <w:rPr>
          <w:rFonts w:hint="eastAsia"/>
          <w:color w:val="auto"/>
        </w:rPr>
        <w:t>分</w:t>
      </w:r>
      <w:r>
        <w:rPr>
          <w:color w:val="auto"/>
        </w:rPr>
        <w:t>·</w:t>
      </w:r>
      <w:r>
        <w:rPr>
          <w:rFonts w:hint="eastAsia"/>
          <w:color w:val="auto"/>
        </w:rPr>
        <w:t>台。</w:t>
      </w:r>
    </w:p>
    <w:p w14:paraId="099138BD">
      <w:pPr>
        <w:numPr>
          <w:ilvl w:val="2"/>
          <w:numId w:val="41"/>
        </w:numPr>
        <w:tabs>
          <w:tab w:val="left" w:pos="709"/>
          <w:tab w:val="left" w:pos="794"/>
          <w:tab w:val="left" w:pos="1701"/>
        </w:tabs>
        <w:jc w:val="left"/>
        <w:outlineLvl w:val="2"/>
      </w:pPr>
      <w:r>
        <w:rPr>
          <w:rFonts w:hint="eastAsia"/>
        </w:rPr>
        <w:t>自动</w:t>
      </w:r>
      <w:r>
        <w:rPr>
          <w:rFonts w:hint="eastAsia"/>
          <w:bCs/>
        </w:rPr>
        <w:t>检票</w:t>
      </w:r>
      <w:r>
        <w:rPr>
          <w:rFonts w:hint="eastAsia"/>
        </w:rPr>
        <w:t>机应具备下列功能：</w:t>
      </w:r>
    </w:p>
    <w:p w14:paraId="233A62DC">
      <w:pPr>
        <w:pStyle w:val="86"/>
        <w:ind w:firstLine="422"/>
        <w:rPr>
          <w:color w:val="auto"/>
        </w:rPr>
      </w:pPr>
      <w:r>
        <w:rPr>
          <w:b/>
          <w:color w:val="auto"/>
        </w:rPr>
        <w:t xml:space="preserve">1 </w:t>
      </w:r>
      <w:r>
        <w:rPr>
          <w:color w:val="auto"/>
        </w:rPr>
        <w:t xml:space="preserve"> </w:t>
      </w:r>
      <w:r>
        <w:rPr>
          <w:rFonts w:hint="eastAsia"/>
          <w:color w:val="auto"/>
        </w:rPr>
        <w:t>检验车票的有效性，控制阻挡装置的动作，引导乘客进出站；</w:t>
      </w:r>
    </w:p>
    <w:p w14:paraId="11EF4E3E">
      <w:pPr>
        <w:pStyle w:val="86"/>
        <w:ind w:firstLine="422"/>
        <w:rPr>
          <w:color w:val="auto"/>
        </w:rPr>
      </w:pPr>
      <w:r>
        <w:rPr>
          <w:b/>
          <w:color w:val="auto"/>
        </w:rPr>
        <w:t xml:space="preserve">2 </w:t>
      </w:r>
      <w:r>
        <w:rPr>
          <w:color w:val="auto"/>
        </w:rPr>
        <w:t xml:space="preserve"> </w:t>
      </w:r>
      <w:r>
        <w:rPr>
          <w:rFonts w:hint="eastAsia"/>
          <w:color w:val="auto"/>
        </w:rPr>
        <w:t>出站检票机应根据票价表扣除车费并回收单程类实体车票；</w:t>
      </w:r>
    </w:p>
    <w:p w14:paraId="24995C78">
      <w:pPr>
        <w:pStyle w:val="86"/>
        <w:ind w:firstLine="422"/>
        <w:rPr>
          <w:color w:val="auto"/>
        </w:rPr>
      </w:pPr>
      <w:r>
        <w:rPr>
          <w:b/>
          <w:color w:val="auto"/>
        </w:rPr>
        <w:t xml:space="preserve">3 </w:t>
      </w:r>
      <w:r>
        <w:rPr>
          <w:color w:val="auto"/>
        </w:rPr>
        <w:t xml:space="preserve"> </w:t>
      </w:r>
      <w:r>
        <w:rPr>
          <w:rFonts w:hint="eastAsia"/>
          <w:color w:val="auto"/>
        </w:rPr>
        <w:t>当车站处于紧急情况或设备供电中断时，自动检票机应能自动或手动控制，使闸门处于开放状态。</w:t>
      </w:r>
    </w:p>
    <w:p w14:paraId="2A7D270F">
      <w:pPr>
        <w:pStyle w:val="86"/>
        <w:ind w:firstLine="422"/>
        <w:rPr>
          <w:color w:val="auto"/>
        </w:rPr>
      </w:pPr>
      <w:r>
        <w:rPr>
          <w:b/>
          <w:color w:val="auto"/>
        </w:rPr>
        <w:t>4</w:t>
      </w:r>
      <w:r>
        <w:rPr>
          <w:color w:val="auto"/>
        </w:rPr>
        <w:t xml:space="preserve">  </w:t>
      </w:r>
      <w:r>
        <w:rPr>
          <w:rFonts w:hint="eastAsia"/>
          <w:color w:val="auto"/>
        </w:rPr>
        <w:t>应具备数据审计功能；</w:t>
      </w:r>
    </w:p>
    <w:p w14:paraId="1E503E85">
      <w:pPr>
        <w:pStyle w:val="86"/>
        <w:ind w:firstLine="422"/>
        <w:rPr>
          <w:color w:val="auto"/>
        </w:rPr>
      </w:pPr>
      <w:r>
        <w:rPr>
          <w:b/>
          <w:color w:val="auto"/>
        </w:rPr>
        <w:t>5</w:t>
      </w:r>
      <w:r>
        <w:rPr>
          <w:color w:val="auto"/>
        </w:rPr>
        <w:t xml:space="preserve">  </w:t>
      </w:r>
      <w:r>
        <w:rPr>
          <w:rFonts w:hint="eastAsia"/>
          <w:color w:val="auto"/>
        </w:rPr>
        <w:t>应具备不少于</w:t>
      </w:r>
      <w:r>
        <w:rPr>
          <w:color w:val="auto"/>
        </w:rPr>
        <w:t>800</w:t>
      </w:r>
      <w:r>
        <w:rPr>
          <w:rFonts w:hint="eastAsia"/>
          <w:color w:val="auto"/>
        </w:rPr>
        <w:t>张</w:t>
      </w:r>
      <w:r>
        <w:rPr>
          <w:color w:val="auto"/>
        </w:rPr>
        <w:t>/</w:t>
      </w:r>
      <w:r>
        <w:rPr>
          <w:rFonts w:hint="eastAsia"/>
          <w:color w:val="auto"/>
        </w:rPr>
        <w:t>票箱，</w:t>
      </w:r>
      <w:r>
        <w:rPr>
          <w:color w:val="auto"/>
        </w:rPr>
        <w:t>2</w:t>
      </w:r>
      <w:r>
        <w:rPr>
          <w:rFonts w:hint="eastAsia"/>
          <w:color w:val="auto"/>
        </w:rPr>
        <w:t>票箱</w:t>
      </w:r>
      <w:r>
        <w:rPr>
          <w:color w:val="auto"/>
        </w:rPr>
        <w:t>/</w:t>
      </w:r>
      <w:r>
        <w:rPr>
          <w:rFonts w:hint="eastAsia"/>
          <w:color w:val="auto"/>
        </w:rPr>
        <w:t>台的储票能力；</w:t>
      </w:r>
    </w:p>
    <w:p w14:paraId="077B4684">
      <w:pPr>
        <w:pStyle w:val="86"/>
        <w:ind w:firstLine="422"/>
        <w:rPr>
          <w:color w:val="auto"/>
        </w:rPr>
      </w:pPr>
      <w:r>
        <w:rPr>
          <w:b/>
          <w:color w:val="auto"/>
        </w:rPr>
        <w:t>6</w:t>
      </w:r>
      <w:r>
        <w:rPr>
          <w:color w:val="auto"/>
        </w:rPr>
        <w:t xml:space="preserve">  </w:t>
      </w:r>
      <w:r>
        <w:rPr>
          <w:rFonts w:hint="eastAsia"/>
          <w:color w:val="auto"/>
        </w:rPr>
        <w:t>应具备不少于</w:t>
      </w:r>
      <w:r>
        <w:rPr>
          <w:color w:val="auto"/>
        </w:rPr>
        <w:t>300</w:t>
      </w:r>
      <w:r>
        <w:rPr>
          <w:rFonts w:hint="eastAsia"/>
          <w:color w:val="auto"/>
        </w:rPr>
        <w:t>张</w:t>
      </w:r>
      <w:r>
        <w:rPr>
          <w:color w:val="auto"/>
        </w:rPr>
        <w:t>/</w:t>
      </w:r>
      <w:r>
        <w:rPr>
          <w:rFonts w:hint="eastAsia"/>
          <w:color w:val="auto"/>
        </w:rPr>
        <w:t>票箱的废票存储能力；</w:t>
      </w:r>
    </w:p>
    <w:p w14:paraId="1F4CF366">
      <w:pPr>
        <w:pStyle w:val="86"/>
        <w:ind w:firstLine="422"/>
        <w:rPr>
          <w:color w:val="auto"/>
        </w:rPr>
      </w:pPr>
      <w:r>
        <w:rPr>
          <w:b/>
          <w:color w:val="auto"/>
        </w:rPr>
        <w:t>7</w:t>
      </w:r>
      <w:r>
        <w:rPr>
          <w:color w:val="auto"/>
        </w:rPr>
        <w:t xml:space="preserve">  </w:t>
      </w:r>
      <w:r>
        <w:rPr>
          <w:rFonts w:hint="eastAsia"/>
          <w:color w:val="auto"/>
        </w:rPr>
        <w:t>设计通过能力：≮</w:t>
      </w:r>
      <w:r>
        <w:rPr>
          <w:color w:val="auto"/>
        </w:rPr>
        <w:t>25</w:t>
      </w:r>
      <w:r>
        <w:rPr>
          <w:rFonts w:hint="eastAsia"/>
          <w:color w:val="auto"/>
        </w:rPr>
        <w:t>人</w:t>
      </w:r>
      <w:r>
        <w:rPr>
          <w:color w:val="auto"/>
        </w:rPr>
        <w:t>/</w:t>
      </w:r>
      <w:r>
        <w:rPr>
          <w:rFonts w:hint="eastAsia"/>
          <w:color w:val="auto"/>
        </w:rPr>
        <w:t>分</w:t>
      </w:r>
      <w:r>
        <w:rPr>
          <w:color w:val="auto"/>
        </w:rPr>
        <w:t>·</w:t>
      </w:r>
      <w:r>
        <w:rPr>
          <w:rFonts w:hint="eastAsia"/>
          <w:color w:val="auto"/>
        </w:rPr>
        <w:t>通道。</w:t>
      </w:r>
    </w:p>
    <w:p w14:paraId="6622416E">
      <w:pPr>
        <w:numPr>
          <w:ilvl w:val="2"/>
          <w:numId w:val="41"/>
        </w:numPr>
        <w:tabs>
          <w:tab w:val="left" w:pos="709"/>
          <w:tab w:val="left" w:pos="794"/>
          <w:tab w:val="left" w:pos="1701"/>
        </w:tabs>
        <w:jc w:val="left"/>
        <w:outlineLvl w:val="2"/>
      </w:pPr>
      <w:r>
        <w:rPr>
          <w:rFonts w:hint="eastAsia"/>
        </w:rPr>
        <w:t>自助补票充值机应具备下列功能：</w:t>
      </w:r>
    </w:p>
    <w:p w14:paraId="4B350DB3">
      <w:pPr>
        <w:pStyle w:val="86"/>
        <w:ind w:firstLine="422"/>
        <w:rPr>
          <w:color w:val="auto"/>
        </w:rPr>
      </w:pPr>
      <w:r>
        <w:rPr>
          <w:b/>
          <w:color w:val="auto"/>
        </w:rPr>
        <w:t>1</w:t>
      </w:r>
      <w:r>
        <w:rPr>
          <w:color w:val="auto"/>
        </w:rPr>
        <w:t xml:space="preserve">  </w:t>
      </w:r>
      <w:r>
        <w:rPr>
          <w:rFonts w:hint="eastAsia"/>
          <w:color w:val="auto"/>
        </w:rPr>
        <w:t>票卡查询、补票、发售出站票、充值等；</w:t>
      </w:r>
    </w:p>
    <w:p w14:paraId="4D5B65B7">
      <w:pPr>
        <w:pStyle w:val="86"/>
        <w:ind w:firstLine="422"/>
        <w:rPr>
          <w:color w:val="auto"/>
        </w:rPr>
      </w:pPr>
      <w:r>
        <w:rPr>
          <w:b/>
          <w:color w:val="auto"/>
        </w:rPr>
        <w:t xml:space="preserve">2 </w:t>
      </w:r>
      <w:r>
        <w:rPr>
          <w:color w:val="auto"/>
        </w:rPr>
        <w:t xml:space="preserve"> </w:t>
      </w:r>
      <w:r>
        <w:rPr>
          <w:rFonts w:hint="eastAsia"/>
          <w:color w:val="auto"/>
        </w:rPr>
        <w:t>自动出票；</w:t>
      </w:r>
    </w:p>
    <w:p w14:paraId="465A0794">
      <w:pPr>
        <w:pStyle w:val="86"/>
        <w:ind w:firstLine="422"/>
        <w:rPr>
          <w:color w:val="auto"/>
        </w:rPr>
      </w:pPr>
      <w:r>
        <w:rPr>
          <w:b/>
          <w:color w:val="auto"/>
        </w:rPr>
        <w:t>3</w:t>
      </w:r>
      <w:r>
        <w:rPr>
          <w:color w:val="auto"/>
        </w:rPr>
        <w:t xml:space="preserve">  </w:t>
      </w:r>
      <w:r>
        <w:rPr>
          <w:rFonts w:hint="eastAsia"/>
          <w:color w:val="auto"/>
        </w:rPr>
        <w:t>应具备数据审计功能；</w:t>
      </w:r>
    </w:p>
    <w:p w14:paraId="06E19A67">
      <w:pPr>
        <w:numPr>
          <w:ilvl w:val="2"/>
          <w:numId w:val="41"/>
        </w:numPr>
        <w:tabs>
          <w:tab w:val="left" w:pos="794"/>
          <w:tab w:val="left" w:pos="851"/>
          <w:tab w:val="left" w:pos="1701"/>
        </w:tabs>
        <w:jc w:val="left"/>
        <w:outlineLvl w:val="2"/>
        <w:rPr>
          <w:bCs/>
        </w:rPr>
      </w:pPr>
      <w:r>
        <w:rPr>
          <w:rFonts w:hint="eastAsia"/>
        </w:rPr>
        <w:t>便携</w:t>
      </w:r>
      <w:r>
        <w:rPr>
          <w:rFonts w:hint="eastAsia"/>
          <w:bCs/>
        </w:rPr>
        <w:t>式检验票机应具备对乘客使用的车票进行检票和验票功能。</w:t>
      </w:r>
    </w:p>
    <w:p w14:paraId="17ED0889">
      <w:pPr>
        <w:numPr>
          <w:ilvl w:val="2"/>
          <w:numId w:val="41"/>
        </w:numPr>
        <w:tabs>
          <w:tab w:val="left" w:pos="794"/>
          <w:tab w:val="left" w:pos="851"/>
          <w:tab w:val="left" w:pos="1701"/>
        </w:tabs>
        <w:jc w:val="left"/>
        <w:outlineLvl w:val="2"/>
      </w:pPr>
      <w:r>
        <w:rPr>
          <w:rFonts w:hint="eastAsia"/>
          <w:bCs/>
        </w:rPr>
        <w:t>车票处理单元应对车票进行读写，处理车票交易；应支持多安全存取模</w:t>
      </w:r>
      <w:r>
        <w:rPr>
          <w:rFonts w:hint="eastAsia"/>
        </w:rPr>
        <w:t>块</w:t>
      </w:r>
      <w:r>
        <w:t>(SAM)</w:t>
      </w:r>
      <w:r>
        <w:rPr>
          <w:rFonts w:hint="eastAsia"/>
        </w:rPr>
        <w:t>同时工作，具备</w:t>
      </w:r>
      <w:r>
        <w:t>4</w:t>
      </w:r>
      <w:r>
        <w:rPr>
          <w:rFonts w:hint="eastAsia"/>
        </w:rPr>
        <w:t>个</w:t>
      </w:r>
      <w:r>
        <w:t>ISO7816—1/2/3</w:t>
      </w:r>
      <w:r>
        <w:rPr>
          <w:rFonts w:hint="eastAsia"/>
        </w:rPr>
        <w:t>标准的安全存取模块</w:t>
      </w:r>
      <w:r>
        <w:t>(SAM)</w:t>
      </w:r>
      <w:r>
        <w:rPr>
          <w:rFonts w:hint="eastAsia"/>
        </w:rPr>
        <w:t>插槽；应满足互联互通要求。</w:t>
      </w:r>
    </w:p>
    <w:p w14:paraId="7B6D1C33">
      <w:pPr>
        <w:numPr>
          <w:ilvl w:val="2"/>
          <w:numId w:val="41"/>
        </w:numPr>
        <w:tabs>
          <w:tab w:val="left" w:pos="794"/>
          <w:tab w:val="left" w:pos="851"/>
          <w:tab w:val="left" w:pos="1701"/>
        </w:tabs>
        <w:jc w:val="left"/>
        <w:outlineLvl w:val="2"/>
      </w:pPr>
      <w:r>
        <w:rPr>
          <w:rFonts w:hint="eastAsia"/>
        </w:rPr>
        <w:t>顶棚导向标志应设置于自动检票机上方，为双面显示。显示内容应与自动检票机两端方向指示器同步。</w:t>
      </w:r>
    </w:p>
    <w:p w14:paraId="23DFC5B8">
      <w:pPr>
        <w:numPr>
          <w:ilvl w:val="2"/>
          <w:numId w:val="41"/>
        </w:numPr>
        <w:tabs>
          <w:tab w:val="left" w:pos="794"/>
          <w:tab w:val="left" w:pos="851"/>
          <w:tab w:val="left" w:pos="1701"/>
        </w:tabs>
        <w:jc w:val="left"/>
        <w:outlineLvl w:val="2"/>
      </w:pPr>
      <w:r>
        <w:rPr>
          <w:rFonts w:hint="eastAsia"/>
        </w:rPr>
        <w:t>电子票价牌应设置于自动售票机及半自动售票机上方或附近，显示内容应遵循《北京市轨道交通车站票价标识统一设计规定》有关规定。</w:t>
      </w:r>
    </w:p>
    <w:p w14:paraId="5AB0DA9D">
      <w:pPr>
        <w:numPr>
          <w:ilvl w:val="1"/>
          <w:numId w:val="1"/>
        </w:numPr>
        <w:snapToGrid w:val="0"/>
        <w:spacing w:before="156" w:after="156" w:line="240" w:lineRule="auto"/>
        <w:jc w:val="center"/>
        <w:outlineLvl w:val="1"/>
        <w:rPr>
          <w:rFonts w:eastAsia="黑体"/>
          <w:bCs/>
          <w:szCs w:val="28"/>
        </w:rPr>
      </w:pPr>
      <w:bookmarkStart w:id="1736" w:name="_Toc183882209"/>
      <w:bookmarkStart w:id="1737" w:name="_Toc183888261"/>
      <w:bookmarkStart w:id="1738" w:name="_Toc183790648"/>
      <w:bookmarkStart w:id="1739" w:name="_Toc183882571"/>
      <w:bookmarkStart w:id="1740" w:name="_Toc183683612"/>
      <w:bookmarkStart w:id="1741" w:name="_Toc183888623"/>
      <w:bookmarkStart w:id="1742" w:name="_Toc183765218"/>
      <w:r>
        <w:rPr>
          <w:rFonts w:hint="eastAsia" w:eastAsia="黑体"/>
          <w:bCs/>
          <w:szCs w:val="28"/>
        </w:rPr>
        <w:t>电源及接地</w:t>
      </w:r>
      <w:bookmarkEnd w:id="1736"/>
      <w:bookmarkEnd w:id="1737"/>
      <w:bookmarkEnd w:id="1738"/>
      <w:bookmarkEnd w:id="1739"/>
      <w:bookmarkEnd w:id="1740"/>
      <w:bookmarkEnd w:id="1741"/>
      <w:bookmarkEnd w:id="1742"/>
    </w:p>
    <w:p w14:paraId="4DBFB0C5">
      <w:pPr>
        <w:numPr>
          <w:ilvl w:val="2"/>
          <w:numId w:val="41"/>
        </w:numPr>
        <w:tabs>
          <w:tab w:val="left" w:pos="709"/>
          <w:tab w:val="left" w:pos="794"/>
          <w:tab w:val="left" w:pos="1701"/>
        </w:tabs>
        <w:jc w:val="left"/>
        <w:outlineLvl w:val="2"/>
      </w:pPr>
      <w:r>
        <w:t>AFC</w:t>
      </w:r>
      <w:r>
        <w:rPr>
          <w:rFonts w:hint="eastAsia"/>
        </w:rPr>
        <w:t>系统应为一级负荷，备用电源宜采用不间断电源。线路中心不间断电源供电时间应为</w:t>
      </w:r>
      <w:r>
        <w:t>120min</w:t>
      </w:r>
      <w:r>
        <w:rPr>
          <w:rFonts w:hint="eastAsia"/>
        </w:rPr>
        <w:t>，车站不间断电源供电时间应为</w:t>
      </w:r>
      <w:r>
        <w:t>60min</w:t>
      </w:r>
      <w:r>
        <w:rPr>
          <w:rFonts w:hint="eastAsia"/>
        </w:rPr>
        <w:t>。</w:t>
      </w:r>
    </w:p>
    <w:p w14:paraId="4DED5972">
      <w:pPr>
        <w:numPr>
          <w:ilvl w:val="2"/>
          <w:numId w:val="41"/>
        </w:numPr>
        <w:tabs>
          <w:tab w:val="left" w:pos="709"/>
          <w:tab w:val="left" w:pos="794"/>
          <w:tab w:val="left" w:pos="1701"/>
        </w:tabs>
        <w:jc w:val="left"/>
        <w:outlineLvl w:val="2"/>
      </w:pPr>
      <w:r>
        <w:rPr>
          <w:rFonts w:hint="eastAsia"/>
        </w:rPr>
        <w:t>配电设计应符合现行国家标准《低压配电设计规范》</w:t>
      </w:r>
      <w:r>
        <w:t>GB50054</w:t>
      </w:r>
      <w:r>
        <w:rPr>
          <w:rFonts w:hint="eastAsia"/>
        </w:rPr>
        <w:t>的规定；应保证各相负载均衡，并应考虑设备在开机、关机时对电源的冲击；应方便维修。</w:t>
      </w:r>
    </w:p>
    <w:p w14:paraId="258D4920">
      <w:pPr>
        <w:numPr>
          <w:ilvl w:val="2"/>
          <w:numId w:val="41"/>
        </w:numPr>
        <w:tabs>
          <w:tab w:val="left" w:pos="709"/>
          <w:tab w:val="left" w:pos="794"/>
          <w:tab w:val="left" w:pos="1701"/>
        </w:tabs>
        <w:jc w:val="left"/>
        <w:outlineLvl w:val="2"/>
      </w:pPr>
      <w:r>
        <w:t>AFC</w:t>
      </w:r>
      <w:r>
        <w:rPr>
          <w:rFonts w:hint="eastAsia"/>
        </w:rPr>
        <w:t>配电箱宜单独设置，地上车站配电箱应设置防雷保护模块。</w:t>
      </w:r>
    </w:p>
    <w:p w14:paraId="383B1AE1">
      <w:pPr>
        <w:numPr>
          <w:ilvl w:val="2"/>
          <w:numId w:val="41"/>
        </w:numPr>
        <w:tabs>
          <w:tab w:val="left" w:pos="709"/>
          <w:tab w:val="left" w:pos="794"/>
          <w:tab w:val="left" w:pos="1701"/>
        </w:tabs>
        <w:jc w:val="left"/>
        <w:outlineLvl w:val="2"/>
      </w:pPr>
      <w:r>
        <w:rPr>
          <w:rFonts w:hint="eastAsia"/>
        </w:rPr>
        <w:t>地上车站设备应设置加热回路。</w:t>
      </w:r>
    </w:p>
    <w:p w14:paraId="4E8303CD">
      <w:pPr>
        <w:numPr>
          <w:ilvl w:val="2"/>
          <w:numId w:val="41"/>
        </w:numPr>
        <w:tabs>
          <w:tab w:val="left" w:pos="709"/>
          <w:tab w:val="left" w:pos="794"/>
          <w:tab w:val="left" w:pos="1701"/>
        </w:tabs>
        <w:jc w:val="left"/>
        <w:outlineLvl w:val="2"/>
      </w:pPr>
      <w:r>
        <w:rPr>
          <w:rFonts w:hint="eastAsia"/>
        </w:rPr>
        <w:t>不间断电源宜与相关专业整合设置。</w:t>
      </w:r>
    </w:p>
    <w:p w14:paraId="1335B60D">
      <w:pPr>
        <w:numPr>
          <w:ilvl w:val="2"/>
          <w:numId w:val="41"/>
        </w:numPr>
        <w:tabs>
          <w:tab w:val="left" w:pos="709"/>
          <w:tab w:val="left" w:pos="794"/>
          <w:tab w:val="left" w:pos="1701"/>
        </w:tabs>
        <w:jc w:val="left"/>
        <w:outlineLvl w:val="2"/>
      </w:pPr>
      <w:r>
        <w:rPr>
          <w:rFonts w:hint="eastAsia"/>
        </w:rPr>
        <w:t>单独配置的不间断电源应具备电源网络管理功能。</w:t>
      </w:r>
    </w:p>
    <w:p w14:paraId="0E95DDC1">
      <w:pPr>
        <w:numPr>
          <w:ilvl w:val="2"/>
          <w:numId w:val="41"/>
        </w:numPr>
        <w:tabs>
          <w:tab w:val="left" w:pos="709"/>
          <w:tab w:val="left" w:pos="794"/>
          <w:tab w:val="left" w:pos="1701"/>
        </w:tabs>
        <w:jc w:val="left"/>
        <w:outlineLvl w:val="2"/>
      </w:pPr>
      <w:r>
        <w:rPr>
          <w:rFonts w:hint="eastAsia"/>
        </w:rPr>
        <w:t>系统应与其他系统共用接地装置，接地电阻不大于</w:t>
      </w:r>
      <w:r>
        <w:t>1Ω</w:t>
      </w:r>
      <w:r>
        <w:rPr>
          <w:rFonts w:hint="eastAsia"/>
        </w:rPr>
        <w:t>。</w:t>
      </w:r>
    </w:p>
    <w:p w14:paraId="2668DE1A">
      <w:pPr>
        <w:numPr>
          <w:ilvl w:val="2"/>
          <w:numId w:val="41"/>
        </w:numPr>
        <w:tabs>
          <w:tab w:val="left" w:pos="709"/>
          <w:tab w:val="left" w:pos="794"/>
          <w:tab w:val="left" w:pos="1701"/>
        </w:tabs>
        <w:jc w:val="left"/>
        <w:outlineLvl w:val="2"/>
      </w:pPr>
      <w:r>
        <w:rPr>
          <w:rFonts w:hint="eastAsia"/>
        </w:rPr>
        <w:t>车站终端设备、金属管、槽、盒等应进行电气连接，并可靠接地。</w:t>
      </w:r>
    </w:p>
    <w:p w14:paraId="201D4CA3">
      <w:pPr>
        <w:numPr>
          <w:ilvl w:val="2"/>
          <w:numId w:val="41"/>
        </w:numPr>
        <w:tabs>
          <w:tab w:val="left" w:pos="709"/>
          <w:tab w:val="left" w:pos="794"/>
          <w:tab w:val="left" w:pos="1701"/>
        </w:tabs>
        <w:jc w:val="left"/>
        <w:outlineLvl w:val="2"/>
      </w:pPr>
      <w:r>
        <w:rPr>
          <w:rFonts w:hint="eastAsia"/>
        </w:rPr>
        <w:t>不间断电源宜与相关专业整合设置。</w:t>
      </w:r>
    </w:p>
    <w:p w14:paraId="1F11BDBE">
      <w:pPr>
        <w:numPr>
          <w:ilvl w:val="1"/>
          <w:numId w:val="1"/>
        </w:numPr>
        <w:snapToGrid w:val="0"/>
        <w:spacing w:before="156" w:after="156" w:line="240" w:lineRule="auto"/>
        <w:jc w:val="center"/>
        <w:outlineLvl w:val="1"/>
        <w:rPr>
          <w:rFonts w:eastAsia="黑体"/>
          <w:bCs/>
          <w:szCs w:val="28"/>
        </w:rPr>
      </w:pPr>
      <w:bookmarkStart w:id="1743" w:name="_Toc183882572"/>
      <w:bookmarkStart w:id="1744" w:name="_Toc183888262"/>
      <w:bookmarkStart w:id="1745" w:name="_Toc183790649"/>
      <w:bookmarkStart w:id="1746" w:name="_Toc183765219"/>
      <w:bookmarkStart w:id="1747" w:name="_Toc183888624"/>
      <w:bookmarkStart w:id="1748" w:name="_Toc183882210"/>
      <w:bookmarkStart w:id="1749" w:name="_Toc183683613"/>
      <w:r>
        <w:rPr>
          <w:rFonts w:hint="eastAsia" w:eastAsia="黑体"/>
          <w:bCs/>
          <w:szCs w:val="28"/>
        </w:rPr>
        <w:t>电缆电线</w:t>
      </w:r>
      <w:bookmarkEnd w:id="1743"/>
      <w:bookmarkEnd w:id="1744"/>
      <w:bookmarkEnd w:id="1745"/>
      <w:bookmarkEnd w:id="1746"/>
      <w:bookmarkEnd w:id="1747"/>
      <w:bookmarkEnd w:id="1748"/>
      <w:bookmarkEnd w:id="1749"/>
    </w:p>
    <w:p w14:paraId="06A8E22A">
      <w:pPr>
        <w:numPr>
          <w:ilvl w:val="2"/>
          <w:numId w:val="41"/>
        </w:numPr>
        <w:tabs>
          <w:tab w:val="left" w:pos="709"/>
          <w:tab w:val="left" w:pos="794"/>
          <w:tab w:val="left" w:pos="1701"/>
        </w:tabs>
        <w:jc w:val="left"/>
        <w:outlineLvl w:val="2"/>
      </w:pPr>
      <w:r>
        <w:rPr>
          <w:rFonts w:hint="eastAsia"/>
        </w:rPr>
        <w:t>电力电缆、电线和网络电缆、光缆的敷设应分别符合现行国家标准《低压配电设计规范》</w:t>
      </w:r>
      <w:r>
        <w:t>GB50054</w:t>
      </w:r>
      <w:r>
        <w:rPr>
          <w:rFonts w:hint="eastAsia"/>
        </w:rPr>
        <w:t>和《综合布线系统工程设计规范》</w:t>
      </w:r>
      <w:r>
        <w:t>GB50311</w:t>
      </w:r>
      <w:r>
        <w:rPr>
          <w:rFonts w:hint="eastAsia"/>
        </w:rPr>
        <w:t>的有关规定。</w:t>
      </w:r>
    </w:p>
    <w:p w14:paraId="17F92B52">
      <w:pPr>
        <w:numPr>
          <w:ilvl w:val="2"/>
          <w:numId w:val="41"/>
        </w:numPr>
        <w:tabs>
          <w:tab w:val="left" w:pos="709"/>
          <w:tab w:val="left" w:pos="794"/>
          <w:tab w:val="left" w:pos="1701"/>
        </w:tabs>
        <w:jc w:val="left"/>
        <w:outlineLvl w:val="2"/>
      </w:pPr>
      <w:r>
        <w:rPr>
          <w:rFonts w:hint="eastAsia"/>
        </w:rPr>
        <w:t>各类线缆的燃烧性能应符合现行国家标准《电缆及光缆燃烧性能分级》</w:t>
      </w:r>
      <w:r>
        <w:t>GB31247</w:t>
      </w:r>
      <w:r>
        <w:rPr>
          <w:rFonts w:hint="eastAsia"/>
        </w:rPr>
        <w:t>的规定，燃烧性能等级应为</w:t>
      </w:r>
      <w:r>
        <w:t>B1</w:t>
      </w:r>
      <w:r>
        <w:rPr>
          <w:rFonts w:hint="eastAsia"/>
        </w:rPr>
        <w:t>级。</w:t>
      </w:r>
    </w:p>
    <w:p w14:paraId="4CFF95E5">
      <w:pPr>
        <w:numPr>
          <w:ilvl w:val="2"/>
          <w:numId w:val="41"/>
        </w:numPr>
        <w:tabs>
          <w:tab w:val="left" w:pos="709"/>
          <w:tab w:val="left" w:pos="794"/>
          <w:tab w:val="left" w:pos="1701"/>
        </w:tabs>
        <w:jc w:val="left"/>
        <w:outlineLvl w:val="2"/>
      </w:pPr>
      <w:r>
        <w:rPr>
          <w:rFonts w:hint="eastAsia"/>
        </w:rPr>
        <w:t>车站网络的铜芯电缆应采用屏蔽型。</w:t>
      </w:r>
    </w:p>
    <w:p w14:paraId="0426595F">
      <w:pPr>
        <w:numPr>
          <w:ilvl w:val="2"/>
          <w:numId w:val="41"/>
        </w:numPr>
        <w:tabs>
          <w:tab w:val="left" w:pos="709"/>
          <w:tab w:val="left" w:pos="794"/>
          <w:tab w:val="left" w:pos="1701"/>
        </w:tabs>
        <w:jc w:val="left"/>
        <w:outlineLvl w:val="2"/>
      </w:pPr>
      <w:r>
        <w:rPr>
          <w:rFonts w:hint="eastAsia"/>
        </w:rPr>
        <w:t>电力电缆、电线和网络电缆、光缆应分管或分槽敷设，预埋管、槽、盒应防腐、防水。</w:t>
      </w:r>
    </w:p>
    <w:p w14:paraId="4E3F498F">
      <w:pPr>
        <w:numPr>
          <w:ilvl w:val="2"/>
          <w:numId w:val="41"/>
        </w:numPr>
        <w:tabs>
          <w:tab w:val="left" w:pos="709"/>
          <w:tab w:val="left" w:pos="794"/>
          <w:tab w:val="left" w:pos="1701"/>
        </w:tabs>
        <w:jc w:val="left"/>
        <w:outlineLvl w:val="2"/>
      </w:pPr>
      <w:r>
        <w:rPr>
          <w:rFonts w:hint="eastAsia"/>
        </w:rPr>
        <w:t>埋设于地面装修层内的线槽尺寸应结合所敷电力电缆、电线或网络电缆、光缆截面积、占空比、装修层厚度、结构正误差等数据计算确定。</w:t>
      </w:r>
    </w:p>
    <w:p w14:paraId="6CF5C7B1">
      <w:pPr>
        <w:numPr>
          <w:ilvl w:val="1"/>
          <w:numId w:val="1"/>
        </w:numPr>
        <w:snapToGrid w:val="0"/>
        <w:spacing w:before="156" w:after="156" w:line="240" w:lineRule="auto"/>
        <w:jc w:val="center"/>
        <w:outlineLvl w:val="1"/>
        <w:rPr>
          <w:rFonts w:eastAsia="黑体"/>
          <w:bCs/>
          <w:szCs w:val="28"/>
        </w:rPr>
      </w:pPr>
      <w:bookmarkStart w:id="1750" w:name="_Toc183888625"/>
      <w:bookmarkStart w:id="1751" w:name="_Toc183882573"/>
      <w:bookmarkStart w:id="1752" w:name="_Toc183790650"/>
      <w:bookmarkStart w:id="1753" w:name="_Toc183683614"/>
      <w:bookmarkStart w:id="1754" w:name="_Toc183765220"/>
      <w:bookmarkStart w:id="1755" w:name="_Toc183882211"/>
      <w:bookmarkStart w:id="1756" w:name="_Toc183888263"/>
      <w:r>
        <w:rPr>
          <w:rFonts w:hint="eastAsia" w:eastAsia="黑体"/>
          <w:bCs/>
          <w:szCs w:val="28"/>
        </w:rPr>
        <w:t>软件</w:t>
      </w:r>
      <w:bookmarkEnd w:id="1750"/>
      <w:bookmarkEnd w:id="1751"/>
      <w:bookmarkEnd w:id="1752"/>
      <w:bookmarkEnd w:id="1753"/>
      <w:bookmarkEnd w:id="1754"/>
      <w:bookmarkEnd w:id="1755"/>
      <w:bookmarkEnd w:id="1756"/>
    </w:p>
    <w:p w14:paraId="2BFABBDA">
      <w:pPr>
        <w:numPr>
          <w:ilvl w:val="2"/>
          <w:numId w:val="41"/>
        </w:numPr>
        <w:tabs>
          <w:tab w:val="left" w:pos="709"/>
          <w:tab w:val="left" w:pos="794"/>
          <w:tab w:val="left" w:pos="1701"/>
        </w:tabs>
        <w:jc w:val="left"/>
        <w:outlineLvl w:val="2"/>
      </w:pPr>
      <w:r>
        <w:rPr>
          <w:rFonts w:hint="eastAsia"/>
        </w:rPr>
        <w:t>软件应包括操作系统、数据库系统、网络管理软件、防病毒软件和系统应用软件等。</w:t>
      </w:r>
    </w:p>
    <w:p w14:paraId="4D05590F">
      <w:pPr>
        <w:numPr>
          <w:ilvl w:val="1"/>
          <w:numId w:val="1"/>
        </w:numPr>
        <w:snapToGrid w:val="0"/>
        <w:spacing w:before="156" w:after="156" w:line="240" w:lineRule="auto"/>
        <w:jc w:val="center"/>
        <w:outlineLvl w:val="1"/>
        <w:rPr>
          <w:rFonts w:eastAsia="黑体"/>
          <w:bCs/>
          <w:szCs w:val="28"/>
        </w:rPr>
      </w:pPr>
      <w:bookmarkStart w:id="1757" w:name="_Toc183888626"/>
      <w:bookmarkStart w:id="1758" w:name="_Toc183765221"/>
      <w:bookmarkStart w:id="1759" w:name="_Toc183888264"/>
      <w:bookmarkStart w:id="1760" w:name="_Toc183882574"/>
      <w:bookmarkStart w:id="1761" w:name="_Toc183882212"/>
      <w:bookmarkStart w:id="1762" w:name="_Toc183790651"/>
      <w:bookmarkStart w:id="1763" w:name="_Toc183683615"/>
      <w:r>
        <w:rPr>
          <w:rFonts w:hint="eastAsia" w:eastAsia="黑体"/>
          <w:bCs/>
          <w:szCs w:val="28"/>
        </w:rPr>
        <w:t>时钟</w:t>
      </w:r>
      <w:bookmarkEnd w:id="1757"/>
      <w:bookmarkEnd w:id="1758"/>
      <w:bookmarkEnd w:id="1759"/>
      <w:bookmarkEnd w:id="1760"/>
      <w:bookmarkEnd w:id="1761"/>
      <w:bookmarkEnd w:id="1762"/>
      <w:bookmarkEnd w:id="1763"/>
    </w:p>
    <w:p w14:paraId="61367D7F">
      <w:pPr>
        <w:numPr>
          <w:ilvl w:val="2"/>
          <w:numId w:val="41"/>
        </w:numPr>
        <w:tabs>
          <w:tab w:val="left" w:pos="709"/>
          <w:tab w:val="left" w:pos="794"/>
          <w:tab w:val="left" w:pos="1701"/>
        </w:tabs>
        <w:jc w:val="left"/>
        <w:outlineLvl w:val="2"/>
      </w:pPr>
      <w:r>
        <w:t>AFC</w:t>
      </w:r>
      <w:r>
        <w:rPr>
          <w:rFonts w:hint="eastAsia"/>
        </w:rPr>
        <w:t>时钟应取自自动售检票中心系统，并下传到各线路。</w:t>
      </w:r>
    </w:p>
    <w:p w14:paraId="0279644E">
      <w:pPr>
        <w:numPr>
          <w:ilvl w:val="2"/>
          <w:numId w:val="41"/>
        </w:numPr>
        <w:tabs>
          <w:tab w:val="left" w:pos="709"/>
          <w:tab w:val="left" w:pos="794"/>
          <w:tab w:val="left" w:pos="1701"/>
        </w:tabs>
        <w:jc w:val="left"/>
        <w:outlineLvl w:val="2"/>
      </w:pPr>
      <w:r>
        <w:t>AFC</w:t>
      </w:r>
      <w:r>
        <w:rPr>
          <w:rFonts w:hint="eastAsia"/>
        </w:rPr>
        <w:t>系统应具备时钟同步功能，超过参数设置的差异应修正并记录。</w:t>
      </w:r>
    </w:p>
    <w:p w14:paraId="0609BEC9">
      <w:pPr>
        <w:numPr>
          <w:ilvl w:val="1"/>
          <w:numId w:val="1"/>
        </w:numPr>
        <w:snapToGrid w:val="0"/>
        <w:spacing w:before="156" w:after="156" w:line="240" w:lineRule="auto"/>
        <w:jc w:val="center"/>
        <w:outlineLvl w:val="1"/>
        <w:rPr>
          <w:rFonts w:eastAsia="黑体"/>
          <w:bCs/>
          <w:szCs w:val="28"/>
        </w:rPr>
      </w:pPr>
      <w:bookmarkStart w:id="1764" w:name="_Toc183882213"/>
      <w:bookmarkStart w:id="1765" w:name="_Toc183888627"/>
      <w:bookmarkStart w:id="1766" w:name="_Toc183790652"/>
      <w:bookmarkStart w:id="1767" w:name="_Toc183882575"/>
      <w:bookmarkStart w:id="1768" w:name="_Toc183765222"/>
      <w:bookmarkStart w:id="1769" w:name="_Toc183888265"/>
      <w:bookmarkStart w:id="1770" w:name="_Toc183683616"/>
      <w:r>
        <w:rPr>
          <w:rFonts w:hint="eastAsia" w:eastAsia="黑体"/>
          <w:bCs/>
          <w:szCs w:val="28"/>
        </w:rPr>
        <w:t>车站售检票终端设备</w:t>
      </w:r>
      <w:bookmarkEnd w:id="1764"/>
      <w:bookmarkEnd w:id="1765"/>
      <w:bookmarkEnd w:id="1766"/>
      <w:bookmarkEnd w:id="1767"/>
      <w:bookmarkEnd w:id="1768"/>
      <w:bookmarkEnd w:id="1769"/>
      <w:bookmarkEnd w:id="1770"/>
    </w:p>
    <w:p w14:paraId="3EE8CC36">
      <w:pPr>
        <w:numPr>
          <w:ilvl w:val="2"/>
          <w:numId w:val="41"/>
        </w:numPr>
        <w:tabs>
          <w:tab w:val="left" w:pos="709"/>
          <w:tab w:val="left" w:pos="794"/>
          <w:tab w:val="left" w:pos="1701"/>
        </w:tabs>
        <w:jc w:val="left"/>
        <w:outlineLvl w:val="2"/>
      </w:pPr>
      <w:r>
        <w:rPr>
          <w:rFonts w:hint="eastAsia"/>
        </w:rPr>
        <w:t>设备配置应符合下列规定：</w:t>
      </w:r>
    </w:p>
    <w:p w14:paraId="03EEFE04">
      <w:pPr>
        <w:pStyle w:val="86"/>
        <w:ind w:firstLine="422"/>
        <w:rPr>
          <w:color w:val="auto"/>
        </w:rPr>
      </w:pPr>
      <w:r>
        <w:rPr>
          <w:b/>
          <w:color w:val="auto"/>
        </w:rPr>
        <w:t>1</w:t>
      </w:r>
      <w:r>
        <w:rPr>
          <w:color w:val="auto"/>
        </w:rPr>
        <w:t xml:space="preserve">  </w:t>
      </w:r>
      <w:r>
        <w:rPr>
          <w:rFonts w:hint="eastAsia"/>
          <w:color w:val="auto"/>
        </w:rPr>
        <w:t>在付费区与非付费区交界处应至少设置</w:t>
      </w:r>
      <w:r>
        <w:rPr>
          <w:color w:val="auto"/>
        </w:rPr>
        <w:t>1</w:t>
      </w:r>
      <w:r>
        <w:rPr>
          <w:rFonts w:hint="eastAsia"/>
          <w:color w:val="auto"/>
        </w:rPr>
        <w:t>台半自动售票机用于补票；</w:t>
      </w:r>
    </w:p>
    <w:p w14:paraId="029391CF">
      <w:pPr>
        <w:pStyle w:val="86"/>
        <w:ind w:firstLine="422"/>
        <w:rPr>
          <w:color w:val="auto"/>
        </w:rPr>
      </w:pPr>
      <w:r>
        <w:rPr>
          <w:b/>
          <w:color w:val="auto"/>
        </w:rPr>
        <w:t>2</w:t>
      </w:r>
      <w:r>
        <w:rPr>
          <w:color w:val="auto"/>
        </w:rPr>
        <w:t xml:space="preserve">  </w:t>
      </w:r>
      <w:r>
        <w:rPr>
          <w:rFonts w:hint="eastAsia"/>
          <w:color w:val="auto"/>
        </w:rPr>
        <w:t>每组自动售票机和每组自动检票机，其数量不应少于</w:t>
      </w:r>
      <w:r>
        <w:rPr>
          <w:color w:val="auto"/>
        </w:rPr>
        <w:t>2</w:t>
      </w:r>
      <w:r>
        <w:rPr>
          <w:rFonts w:hint="eastAsia"/>
          <w:color w:val="auto"/>
        </w:rPr>
        <w:t>台和</w:t>
      </w:r>
      <w:r>
        <w:rPr>
          <w:color w:val="auto"/>
        </w:rPr>
        <w:t>3</w:t>
      </w:r>
      <w:r>
        <w:rPr>
          <w:rFonts w:hint="eastAsia"/>
          <w:color w:val="auto"/>
        </w:rPr>
        <w:t>通道；</w:t>
      </w:r>
    </w:p>
    <w:p w14:paraId="724D6812">
      <w:pPr>
        <w:pStyle w:val="86"/>
        <w:ind w:firstLine="422"/>
        <w:rPr>
          <w:color w:val="auto"/>
        </w:rPr>
      </w:pPr>
      <w:r>
        <w:rPr>
          <w:b/>
          <w:color w:val="auto"/>
        </w:rPr>
        <w:t xml:space="preserve">3 </w:t>
      </w:r>
      <w:r>
        <w:rPr>
          <w:color w:val="auto"/>
        </w:rPr>
        <w:t xml:space="preserve"> </w:t>
      </w:r>
      <w:r>
        <w:rPr>
          <w:rFonts w:hint="eastAsia"/>
          <w:color w:val="auto"/>
        </w:rPr>
        <w:t>在每组自动检票机中应设置有双向检票机；应根据客流数据及车站周边环境特点综合确定双向检票机数量；</w:t>
      </w:r>
    </w:p>
    <w:p w14:paraId="1E9E6B63">
      <w:pPr>
        <w:pStyle w:val="86"/>
        <w:ind w:firstLine="422"/>
        <w:rPr>
          <w:color w:val="auto"/>
        </w:rPr>
      </w:pPr>
      <w:r>
        <w:rPr>
          <w:b/>
          <w:color w:val="auto"/>
        </w:rPr>
        <w:t>4</w:t>
      </w:r>
      <w:r>
        <w:rPr>
          <w:color w:val="auto"/>
        </w:rPr>
        <w:t xml:space="preserve">  </w:t>
      </w:r>
      <w:r>
        <w:rPr>
          <w:rFonts w:hint="eastAsia"/>
          <w:color w:val="auto"/>
        </w:rPr>
        <w:t>在每组自动检票机中应设置有宽通道检票机；当车站周边与交通枢纽、大型场馆、大型商业区邻近时，应结合客流特点确定宽通道检票机数量；</w:t>
      </w:r>
    </w:p>
    <w:p w14:paraId="3E8A6E49">
      <w:pPr>
        <w:pStyle w:val="86"/>
        <w:ind w:firstLine="422"/>
        <w:rPr>
          <w:color w:val="auto"/>
        </w:rPr>
      </w:pPr>
      <w:r>
        <w:rPr>
          <w:b/>
          <w:color w:val="auto"/>
        </w:rPr>
        <w:t xml:space="preserve">5 </w:t>
      </w:r>
      <w:r>
        <w:rPr>
          <w:color w:val="auto"/>
        </w:rPr>
        <w:t xml:space="preserve"> </w:t>
      </w:r>
      <w:r>
        <w:rPr>
          <w:rFonts w:hint="eastAsia"/>
          <w:color w:val="auto"/>
        </w:rPr>
        <w:t>半自动售票机的设置应结合客流数据和车站售补票区域的分布综合确定，每售补票区域内的半自动售票机应考虑备用。</w:t>
      </w:r>
    </w:p>
    <w:p w14:paraId="5FB5BEA2">
      <w:pPr>
        <w:pStyle w:val="86"/>
        <w:ind w:firstLine="422"/>
        <w:rPr>
          <w:color w:val="auto"/>
        </w:rPr>
      </w:pPr>
      <w:r>
        <w:rPr>
          <w:b/>
          <w:color w:val="auto"/>
        </w:rPr>
        <w:t>6</w:t>
      </w:r>
      <w:r>
        <w:rPr>
          <w:color w:val="auto"/>
        </w:rPr>
        <w:t xml:space="preserve">  </w:t>
      </w:r>
      <w:r>
        <w:rPr>
          <w:rFonts w:hint="eastAsia"/>
          <w:color w:val="auto"/>
        </w:rPr>
        <w:t>便携式验票机宜按每站不少于自动检票机组数量及</w:t>
      </w:r>
      <w:r>
        <w:rPr>
          <w:color w:val="auto"/>
        </w:rPr>
        <w:t>5</w:t>
      </w:r>
      <w:r>
        <w:rPr>
          <w:rFonts w:hint="eastAsia"/>
          <w:color w:val="auto"/>
        </w:rPr>
        <w:t>台配置；</w:t>
      </w:r>
    </w:p>
    <w:p w14:paraId="5A5F3E11">
      <w:pPr>
        <w:pStyle w:val="86"/>
        <w:ind w:firstLine="422"/>
        <w:rPr>
          <w:color w:val="auto"/>
        </w:rPr>
      </w:pPr>
      <w:r>
        <w:rPr>
          <w:b/>
          <w:color w:val="auto"/>
        </w:rPr>
        <w:t>7</w:t>
      </w:r>
      <w:r>
        <w:rPr>
          <w:color w:val="auto"/>
        </w:rPr>
        <w:t xml:space="preserve">  </w:t>
      </w:r>
      <w:r>
        <w:rPr>
          <w:rFonts w:hint="eastAsia"/>
          <w:color w:val="auto"/>
        </w:rPr>
        <w:t>在指挥中心设置</w:t>
      </w:r>
      <w:r>
        <w:rPr>
          <w:color w:val="auto"/>
        </w:rPr>
        <w:t>1</w:t>
      </w:r>
      <w:r>
        <w:rPr>
          <w:rFonts w:hint="eastAsia"/>
          <w:color w:val="auto"/>
        </w:rPr>
        <w:t>套车站系统和设备。</w:t>
      </w:r>
    </w:p>
    <w:p w14:paraId="12DCFDA0">
      <w:pPr>
        <w:pStyle w:val="86"/>
        <w:ind w:firstLine="422"/>
        <w:rPr>
          <w:color w:val="auto"/>
        </w:rPr>
      </w:pPr>
      <w:r>
        <w:rPr>
          <w:b/>
          <w:color w:val="auto"/>
        </w:rPr>
        <w:t>8</w:t>
      </w:r>
      <w:r>
        <w:rPr>
          <w:color w:val="auto"/>
        </w:rPr>
        <w:t xml:space="preserve">  </w:t>
      </w:r>
      <w:r>
        <w:rPr>
          <w:rFonts w:hint="eastAsia"/>
          <w:color w:val="auto"/>
        </w:rPr>
        <w:t>在付费区与非付费区交界处应至少设置</w:t>
      </w:r>
      <w:r>
        <w:rPr>
          <w:color w:val="auto"/>
        </w:rPr>
        <w:t>1</w:t>
      </w:r>
      <w:r>
        <w:rPr>
          <w:rFonts w:hint="eastAsia"/>
          <w:color w:val="auto"/>
        </w:rPr>
        <w:t>台半自动售票机或在付费区设置自助补票充值机用于补票；</w:t>
      </w:r>
    </w:p>
    <w:p w14:paraId="42FAA8BC">
      <w:pPr>
        <w:numPr>
          <w:ilvl w:val="2"/>
          <w:numId w:val="41"/>
        </w:numPr>
        <w:tabs>
          <w:tab w:val="left" w:pos="709"/>
          <w:tab w:val="left" w:pos="794"/>
          <w:tab w:val="left" w:pos="1701"/>
        </w:tabs>
        <w:jc w:val="left"/>
        <w:outlineLvl w:val="2"/>
      </w:pPr>
      <w:r>
        <w:rPr>
          <w:rFonts w:hint="eastAsia"/>
        </w:rPr>
        <w:t>设备布置应符合本规范第</w:t>
      </w:r>
      <w:r>
        <w:t>9.5</w:t>
      </w:r>
      <w:r>
        <w:rPr>
          <w:rFonts w:hint="eastAsia"/>
        </w:rPr>
        <w:t>节的有关规定，并应避免阳光直射。</w:t>
      </w:r>
    </w:p>
    <w:p w14:paraId="25280452">
      <w:pPr>
        <w:numPr>
          <w:ilvl w:val="2"/>
          <w:numId w:val="41"/>
        </w:numPr>
        <w:tabs>
          <w:tab w:val="left" w:pos="709"/>
          <w:tab w:val="left" w:pos="794"/>
          <w:tab w:val="left" w:pos="1701"/>
        </w:tabs>
        <w:jc w:val="left"/>
        <w:outlineLvl w:val="2"/>
      </w:pPr>
      <w:r>
        <w:rPr>
          <w:rFonts w:hint="eastAsia"/>
        </w:rPr>
        <w:t>设备与周边墙、柱的距离应考虑设备使用要求、维修要求和土建施工误差。</w:t>
      </w:r>
    </w:p>
    <w:p w14:paraId="0B3A9755">
      <w:pPr>
        <w:numPr>
          <w:ilvl w:val="2"/>
          <w:numId w:val="41"/>
        </w:numPr>
        <w:tabs>
          <w:tab w:val="left" w:pos="709"/>
          <w:tab w:val="left" w:pos="794"/>
          <w:tab w:val="left" w:pos="1701"/>
        </w:tabs>
        <w:jc w:val="left"/>
        <w:outlineLvl w:val="2"/>
      </w:pPr>
      <w:r>
        <w:rPr>
          <w:rFonts w:hint="eastAsia"/>
        </w:rPr>
        <w:t>宜增加智能问询终端与票卡自助处理终端，宜设置智能语音购票机，宜通过增加相关智能客服终端，打造无人值守客服中心。</w:t>
      </w:r>
    </w:p>
    <w:p w14:paraId="61CC4DAD">
      <w:pPr>
        <w:numPr>
          <w:ilvl w:val="1"/>
          <w:numId w:val="1"/>
        </w:numPr>
        <w:tabs>
          <w:tab w:val="left" w:pos="709"/>
          <w:tab w:val="clear" w:pos="567"/>
        </w:tabs>
        <w:snapToGrid w:val="0"/>
        <w:spacing w:before="156" w:after="156" w:line="240" w:lineRule="auto"/>
        <w:jc w:val="center"/>
        <w:outlineLvl w:val="1"/>
        <w:rPr>
          <w:rFonts w:eastAsia="黑体"/>
          <w:bCs/>
          <w:szCs w:val="28"/>
        </w:rPr>
      </w:pPr>
      <w:bookmarkStart w:id="1771" w:name="_Toc183790653"/>
      <w:bookmarkStart w:id="1772" w:name="_Toc183888266"/>
      <w:bookmarkStart w:id="1773" w:name="_Toc183765223"/>
      <w:bookmarkStart w:id="1774" w:name="_Toc183888628"/>
      <w:bookmarkStart w:id="1775" w:name="_Toc183882576"/>
      <w:bookmarkStart w:id="1776" w:name="_Toc183683617"/>
      <w:bookmarkStart w:id="1777" w:name="_Toc183882214"/>
      <w:r>
        <w:rPr>
          <w:rFonts w:hint="eastAsia" w:eastAsia="黑体"/>
          <w:bCs/>
          <w:szCs w:val="28"/>
        </w:rPr>
        <w:t>线路设备用房</w:t>
      </w:r>
      <w:bookmarkEnd w:id="1771"/>
      <w:bookmarkEnd w:id="1772"/>
      <w:bookmarkEnd w:id="1773"/>
      <w:bookmarkEnd w:id="1774"/>
      <w:bookmarkEnd w:id="1775"/>
      <w:bookmarkEnd w:id="1776"/>
      <w:bookmarkEnd w:id="1777"/>
    </w:p>
    <w:p w14:paraId="75CCCFB8">
      <w:pPr>
        <w:numPr>
          <w:ilvl w:val="2"/>
          <w:numId w:val="41"/>
        </w:numPr>
        <w:tabs>
          <w:tab w:val="left" w:pos="851"/>
          <w:tab w:val="left" w:pos="1701"/>
        </w:tabs>
        <w:jc w:val="left"/>
        <w:outlineLvl w:val="2"/>
      </w:pPr>
      <w:r>
        <w:rPr>
          <w:rFonts w:hint="eastAsia"/>
        </w:rPr>
        <w:t>线路</w:t>
      </w:r>
      <w:r>
        <w:t>AFC</w:t>
      </w:r>
      <w:r>
        <w:rPr>
          <w:rFonts w:hint="eastAsia"/>
        </w:rPr>
        <w:t>系统设备用房包括线路中心用房、车站用房和综合维修基地用房等。</w:t>
      </w:r>
    </w:p>
    <w:p w14:paraId="4D49B8EF">
      <w:pPr>
        <w:numPr>
          <w:ilvl w:val="2"/>
          <w:numId w:val="41"/>
        </w:numPr>
        <w:tabs>
          <w:tab w:val="left" w:pos="851"/>
          <w:tab w:val="left" w:pos="1701"/>
        </w:tabs>
        <w:jc w:val="left"/>
        <w:outlineLvl w:val="2"/>
      </w:pPr>
      <w:r>
        <w:rPr>
          <w:rFonts w:hint="eastAsia"/>
        </w:rPr>
        <w:t>车站用房主要包括</w:t>
      </w:r>
      <w:r>
        <w:t>AFC</w:t>
      </w:r>
      <w:r>
        <w:rPr>
          <w:rFonts w:hint="eastAsia"/>
        </w:rPr>
        <w:t>设备室、</w:t>
      </w:r>
      <w:r>
        <w:t>AFC</w:t>
      </w:r>
      <w:r>
        <w:rPr>
          <w:rFonts w:hint="eastAsia"/>
        </w:rPr>
        <w:t>票务室、</w:t>
      </w:r>
      <w:r>
        <w:t>AFC</w:t>
      </w:r>
      <w:r>
        <w:rPr>
          <w:rFonts w:hint="eastAsia"/>
        </w:rPr>
        <w:t>配线间、</w:t>
      </w:r>
      <w:r>
        <w:t>AFC</w:t>
      </w:r>
      <w:r>
        <w:rPr>
          <w:rFonts w:hint="eastAsia"/>
        </w:rPr>
        <w:t>工区用房、</w:t>
      </w:r>
      <w:r>
        <w:t>AFC</w:t>
      </w:r>
      <w:r>
        <w:rPr>
          <w:rFonts w:hint="eastAsia"/>
        </w:rPr>
        <w:t>票务分中心用房、售票亭等，</w:t>
      </w:r>
      <w:r>
        <w:t>AFC</w:t>
      </w:r>
      <w:r>
        <w:rPr>
          <w:rFonts w:hint="eastAsia"/>
        </w:rPr>
        <w:t>工区用房包括</w:t>
      </w:r>
      <w:r>
        <w:t>AFC</w:t>
      </w:r>
      <w:r>
        <w:rPr>
          <w:rFonts w:hint="eastAsia"/>
        </w:rPr>
        <w:t>维修工区及</w:t>
      </w:r>
      <w:r>
        <w:t>AFC</w:t>
      </w:r>
      <w:r>
        <w:rPr>
          <w:rFonts w:hint="eastAsia"/>
        </w:rPr>
        <w:t>工区材料间，</w:t>
      </w:r>
      <w:r>
        <w:t>AFC</w:t>
      </w:r>
      <w:r>
        <w:rPr>
          <w:rFonts w:hint="eastAsia"/>
        </w:rPr>
        <w:t>票务分中心用房包括编码分拣室、储票室、票务办公室。其中</w:t>
      </w:r>
      <w:r>
        <w:t>AFC</w:t>
      </w:r>
      <w:r>
        <w:rPr>
          <w:rFonts w:hint="eastAsia"/>
        </w:rPr>
        <w:t>设备室、</w:t>
      </w:r>
      <w:r>
        <w:t>AFC</w:t>
      </w:r>
      <w:r>
        <w:rPr>
          <w:rFonts w:hint="eastAsia"/>
        </w:rPr>
        <w:t>配线间、</w:t>
      </w:r>
      <w:r>
        <w:t>AFC</w:t>
      </w:r>
      <w:r>
        <w:rPr>
          <w:rFonts w:hint="eastAsia"/>
        </w:rPr>
        <w:t>维修工区用房可与其他弱电专业统一设置。</w:t>
      </w:r>
      <w:r>
        <w:t>AFC</w:t>
      </w:r>
      <w:r>
        <w:rPr>
          <w:rFonts w:hint="eastAsia"/>
        </w:rPr>
        <w:t>设备室、</w:t>
      </w:r>
      <w:r>
        <w:t>AFC</w:t>
      </w:r>
      <w:r>
        <w:rPr>
          <w:rFonts w:hint="eastAsia"/>
        </w:rPr>
        <w:t>配线间的用房面积应考虑系统升级改造期间，新旧设备同时运行所需的安装空间。</w:t>
      </w:r>
    </w:p>
    <w:p w14:paraId="204882AA">
      <w:pPr>
        <w:numPr>
          <w:ilvl w:val="2"/>
          <w:numId w:val="41"/>
        </w:numPr>
        <w:tabs>
          <w:tab w:val="left" w:pos="851"/>
          <w:tab w:val="left" w:pos="1701"/>
        </w:tabs>
        <w:jc w:val="left"/>
        <w:outlineLvl w:val="2"/>
      </w:pPr>
      <w:r>
        <w:t>AFC</w:t>
      </w:r>
      <w:r>
        <w:rPr>
          <w:rFonts w:hint="eastAsia"/>
        </w:rPr>
        <w:t>设备室应设置在站厅，并靠近公共区。</w:t>
      </w:r>
      <w:r>
        <w:t>AFC</w:t>
      </w:r>
      <w:r>
        <w:rPr>
          <w:rFonts w:hint="eastAsia"/>
        </w:rPr>
        <w:t>票务室应与车站控制室相邻近，并位于同一走廊。</w:t>
      </w:r>
      <w:r>
        <w:t>AFC</w:t>
      </w:r>
      <w:r>
        <w:rPr>
          <w:rFonts w:hint="eastAsia"/>
        </w:rPr>
        <w:t>配线间应设置在站厅非车站综合控制室端，并应靠近公共区。</w:t>
      </w:r>
    </w:p>
    <w:p w14:paraId="18C9856F">
      <w:pPr>
        <w:numPr>
          <w:ilvl w:val="2"/>
          <w:numId w:val="41"/>
        </w:numPr>
        <w:tabs>
          <w:tab w:val="left" w:pos="851"/>
          <w:tab w:val="left" w:pos="1701"/>
        </w:tabs>
        <w:jc w:val="left"/>
        <w:outlineLvl w:val="2"/>
      </w:pPr>
      <w:r>
        <w:t>AFC</w:t>
      </w:r>
      <w:r>
        <w:rPr>
          <w:rFonts w:hint="eastAsia"/>
        </w:rPr>
        <w:t>车票分拣室应根据线路车站数量和车票调配量在</w:t>
      </w:r>
      <w:r>
        <w:t>1</w:t>
      </w:r>
      <w:r>
        <w:rPr>
          <w:rFonts w:hint="eastAsia"/>
        </w:rPr>
        <w:t>座</w:t>
      </w:r>
      <w:r>
        <w:t>~2</w:t>
      </w:r>
      <w:r>
        <w:rPr>
          <w:rFonts w:hint="eastAsia"/>
        </w:rPr>
        <w:t>座车站设置。</w:t>
      </w:r>
      <w:r>
        <w:t>AFC</w:t>
      </w:r>
      <w:r>
        <w:rPr>
          <w:rFonts w:hint="eastAsia"/>
        </w:rPr>
        <w:t>维修工区宜每</w:t>
      </w:r>
      <w:r>
        <w:t>6</w:t>
      </w:r>
      <w:r>
        <w:rPr>
          <w:rFonts w:hint="eastAsia"/>
        </w:rPr>
        <w:t>座车站设置</w:t>
      </w:r>
      <w:r>
        <w:t>1</w:t>
      </w:r>
      <w:r>
        <w:rPr>
          <w:rFonts w:hint="eastAsia"/>
        </w:rPr>
        <w:t>处。</w:t>
      </w:r>
    </w:p>
    <w:p w14:paraId="0610A65B">
      <w:pPr>
        <w:numPr>
          <w:ilvl w:val="2"/>
          <w:numId w:val="41"/>
        </w:numPr>
        <w:tabs>
          <w:tab w:val="left" w:pos="851"/>
          <w:tab w:val="left" w:pos="1701"/>
        </w:tabs>
        <w:jc w:val="left"/>
        <w:outlineLvl w:val="2"/>
      </w:pPr>
      <w:r>
        <w:rPr>
          <w:rFonts w:hint="eastAsia"/>
        </w:rPr>
        <w:t>售票亭应兼顾售票和补票。售票亭的净深不宜小于</w:t>
      </w:r>
      <w:r>
        <w:t>1800mm</w:t>
      </w:r>
      <w:r>
        <w:rPr>
          <w:rFonts w:hint="eastAsia"/>
        </w:rPr>
        <w:t>，操作面宽不宜小于</w:t>
      </w:r>
      <w:r>
        <w:t>2000mm/</w:t>
      </w:r>
      <w:r>
        <w:rPr>
          <w:rFonts w:hint="eastAsia"/>
        </w:rPr>
        <w:t>售票工位，售票窗台高度宜不高于</w:t>
      </w:r>
      <w:r>
        <w:t>1100mm</w:t>
      </w:r>
      <w:r>
        <w:rPr>
          <w:rFonts w:hint="eastAsia"/>
        </w:rPr>
        <w:t>，低位售票窗台高度宜不高于</w:t>
      </w:r>
      <w:r>
        <w:t>800mm</w:t>
      </w:r>
      <w:r>
        <w:rPr>
          <w:rFonts w:hint="eastAsia"/>
        </w:rPr>
        <w:t>。售票亭每个售票窗口宜设置语音对讲设施。</w:t>
      </w:r>
    </w:p>
    <w:p w14:paraId="47CA98EC">
      <w:pPr>
        <w:numPr>
          <w:ilvl w:val="2"/>
          <w:numId w:val="41"/>
        </w:numPr>
        <w:tabs>
          <w:tab w:val="left" w:pos="851"/>
          <w:tab w:val="left" w:pos="1701"/>
        </w:tabs>
        <w:jc w:val="left"/>
        <w:outlineLvl w:val="2"/>
      </w:pPr>
      <w:r>
        <w:rPr>
          <w:rFonts w:hint="eastAsia"/>
        </w:rPr>
        <w:t>同站台换乘站设备用房宜合设，同站厅换乘站</w:t>
      </w:r>
      <w:r>
        <w:t>AFC</w:t>
      </w:r>
      <w:r>
        <w:rPr>
          <w:rFonts w:hint="eastAsia"/>
        </w:rPr>
        <w:t>票务室应根据具体车站类型确定。通道换乘站设备用房应分设。</w:t>
      </w:r>
    </w:p>
    <w:p w14:paraId="4259617D">
      <w:pPr>
        <w:numPr>
          <w:ilvl w:val="2"/>
          <w:numId w:val="41"/>
        </w:numPr>
        <w:tabs>
          <w:tab w:val="left" w:pos="851"/>
          <w:tab w:val="left" w:pos="1701"/>
        </w:tabs>
        <w:jc w:val="left"/>
        <w:outlineLvl w:val="2"/>
      </w:pPr>
      <w:r>
        <w:rPr>
          <w:rFonts w:hint="eastAsia"/>
        </w:rPr>
        <w:t>综合维修基地用房主要包括维修管理室、电子维修间、机械维修间、仪器间、备品间、技术室、班组用房、资料室、模拟测试室、培训室、电源室等。其中电子维修间、机械维修间、备品间应设置在首层。</w:t>
      </w:r>
    </w:p>
    <w:p w14:paraId="79FDC462">
      <w:pPr>
        <w:pStyle w:val="3"/>
        <w:numPr>
          <w:ilvl w:val="0"/>
          <w:numId w:val="42"/>
        </w:numPr>
      </w:pPr>
      <w:r>
        <w:br w:type="page"/>
      </w:r>
      <w:bookmarkEnd w:id="1645"/>
      <w:bookmarkEnd w:id="1646"/>
      <w:bookmarkEnd w:id="1647"/>
      <w:bookmarkEnd w:id="1648"/>
      <w:bookmarkStart w:id="1778" w:name="_Toc183882215"/>
      <w:bookmarkStart w:id="1779" w:name="_Toc183882577"/>
      <w:bookmarkStart w:id="1780" w:name="_Toc183683618"/>
      <w:bookmarkStart w:id="1781" w:name="_Toc183765224"/>
      <w:bookmarkStart w:id="1782" w:name="_Toc183888629"/>
      <w:bookmarkStart w:id="1783" w:name="_Toc183735427"/>
      <w:bookmarkStart w:id="1784" w:name="_Toc183790654"/>
      <w:bookmarkStart w:id="1785" w:name="_Toc183888267"/>
      <w:bookmarkStart w:id="1786" w:name="_Toc183699883"/>
      <w:r>
        <w:rPr>
          <w:rFonts w:hint="eastAsia"/>
        </w:rPr>
        <w:t>安全防范</w:t>
      </w:r>
      <w:bookmarkEnd w:id="1778"/>
      <w:bookmarkEnd w:id="1779"/>
      <w:bookmarkEnd w:id="1780"/>
      <w:bookmarkEnd w:id="1781"/>
      <w:bookmarkEnd w:id="1782"/>
      <w:bookmarkEnd w:id="1783"/>
      <w:bookmarkEnd w:id="1784"/>
      <w:bookmarkEnd w:id="1785"/>
      <w:bookmarkEnd w:id="1786"/>
    </w:p>
    <w:p w14:paraId="1763EADA">
      <w:pPr>
        <w:numPr>
          <w:ilvl w:val="1"/>
          <w:numId w:val="1"/>
        </w:numPr>
        <w:snapToGrid w:val="0"/>
        <w:spacing w:before="156" w:after="156" w:line="240" w:lineRule="auto"/>
        <w:jc w:val="center"/>
        <w:outlineLvl w:val="1"/>
        <w:rPr>
          <w:rFonts w:eastAsia="黑体"/>
          <w:bCs/>
          <w:szCs w:val="28"/>
        </w:rPr>
      </w:pPr>
      <w:bookmarkStart w:id="1787" w:name="_Toc183888630"/>
      <w:bookmarkStart w:id="1788" w:name="_Toc183765225"/>
      <w:bookmarkStart w:id="1789" w:name="_Toc183683619"/>
      <w:bookmarkStart w:id="1790" w:name="_Toc183882216"/>
      <w:bookmarkStart w:id="1791" w:name="_Toc183882578"/>
      <w:bookmarkStart w:id="1792" w:name="_Toc183888268"/>
      <w:bookmarkStart w:id="1793" w:name="_Toc183790655"/>
      <w:r>
        <w:rPr>
          <w:rFonts w:hint="eastAsia" w:eastAsia="黑体"/>
          <w:bCs/>
          <w:szCs w:val="28"/>
        </w:rPr>
        <w:t>一般规定</w:t>
      </w:r>
      <w:bookmarkEnd w:id="1787"/>
      <w:bookmarkEnd w:id="1788"/>
      <w:bookmarkEnd w:id="1789"/>
      <w:bookmarkEnd w:id="1790"/>
      <w:bookmarkEnd w:id="1791"/>
      <w:bookmarkEnd w:id="1792"/>
      <w:bookmarkEnd w:id="1793"/>
    </w:p>
    <w:p w14:paraId="6F355B6C">
      <w:pPr>
        <w:numPr>
          <w:ilvl w:val="2"/>
          <w:numId w:val="41"/>
        </w:numPr>
        <w:tabs>
          <w:tab w:val="left" w:pos="709"/>
          <w:tab w:val="left" w:pos="794"/>
          <w:tab w:val="left" w:pos="1701"/>
        </w:tabs>
        <w:jc w:val="left"/>
        <w:outlineLvl w:val="2"/>
        <w:rPr>
          <w:bCs/>
        </w:rPr>
      </w:pPr>
      <w:r>
        <w:rPr>
          <w:rFonts w:hint="eastAsia"/>
          <w:bCs/>
        </w:rPr>
        <w:t>轨道交通工程应运用人力、物理、技术等防范措施，构建满足轨道交通的运营安全管理要求、具备相应风险防范能力的综合防控体系。</w:t>
      </w:r>
    </w:p>
    <w:p w14:paraId="6D014135">
      <w:pPr>
        <w:numPr>
          <w:ilvl w:val="2"/>
          <w:numId w:val="41"/>
        </w:numPr>
        <w:tabs>
          <w:tab w:val="left" w:pos="709"/>
          <w:tab w:val="left" w:pos="794"/>
          <w:tab w:val="left" w:pos="1701"/>
        </w:tabs>
        <w:jc w:val="left"/>
        <w:outlineLvl w:val="2"/>
        <w:rPr>
          <w:bCs/>
        </w:rPr>
      </w:pPr>
      <w:r>
        <w:rPr>
          <w:rFonts w:hint="eastAsia"/>
        </w:rPr>
        <w:t>轨道交通各业务系统应依据现行国家标准《信息安全技术网络安全等级保护基本要求》</w:t>
      </w:r>
      <w:r>
        <w:t>GB∕T 22239、《信息安全技术网络安全等级保护测评要求</w:t>
      </w:r>
      <w:r>
        <w:rPr>
          <w:rFonts w:hint="eastAsia"/>
        </w:rPr>
        <w:t>》</w:t>
      </w:r>
      <w:r>
        <w:t>GB</w:t>
      </w:r>
      <w:r>
        <w:rPr>
          <w:rFonts w:hint="eastAsia"/>
        </w:rPr>
        <w:t>/</w:t>
      </w:r>
      <w:r>
        <w:t>T 28448、《信息安全技术网络安全等级保护安全设计技术要求</w:t>
      </w:r>
      <w:r>
        <w:rPr>
          <w:rFonts w:hint="eastAsia"/>
        </w:rPr>
        <w:t>》</w:t>
      </w:r>
      <w:r>
        <w:t>GB∕T 25070</w:t>
      </w:r>
      <w:r>
        <w:rPr>
          <w:rFonts w:hint="eastAsia"/>
        </w:rPr>
        <w:t>等的要求确定系统网络安全等级，并应实现对应等级的安全配置。</w:t>
      </w:r>
    </w:p>
    <w:p w14:paraId="642F7B93">
      <w:pPr>
        <w:numPr>
          <w:ilvl w:val="2"/>
          <w:numId w:val="41"/>
        </w:numPr>
        <w:tabs>
          <w:tab w:val="left" w:pos="709"/>
          <w:tab w:val="left" w:pos="794"/>
          <w:tab w:val="left" w:pos="1701"/>
        </w:tabs>
        <w:jc w:val="left"/>
        <w:outlineLvl w:val="2"/>
        <w:rPr>
          <w:bCs/>
        </w:rPr>
      </w:pPr>
      <w:r>
        <w:rPr>
          <w:rFonts w:hint="eastAsia"/>
          <w:bCs/>
        </w:rPr>
        <w:t>安全防范应结合运营管理的安全要求，合理设置技术防范措施，宜设置门禁、周界防范、安全检查及探测等系统。</w:t>
      </w:r>
    </w:p>
    <w:p w14:paraId="0CA490D8">
      <w:pPr>
        <w:numPr>
          <w:ilvl w:val="1"/>
          <w:numId w:val="1"/>
        </w:numPr>
        <w:snapToGrid w:val="0"/>
        <w:spacing w:before="156" w:after="156" w:line="240" w:lineRule="auto"/>
        <w:jc w:val="center"/>
        <w:outlineLvl w:val="1"/>
        <w:rPr>
          <w:rFonts w:eastAsia="黑体"/>
          <w:bCs/>
          <w:szCs w:val="28"/>
        </w:rPr>
      </w:pPr>
      <w:bookmarkStart w:id="1794" w:name="_Toc183888631"/>
      <w:bookmarkStart w:id="1795" w:name="_Toc183790656"/>
      <w:bookmarkStart w:id="1796" w:name="_Toc183765226"/>
      <w:bookmarkStart w:id="1797" w:name="_Toc183882217"/>
      <w:bookmarkStart w:id="1798" w:name="_Toc183882579"/>
      <w:bookmarkStart w:id="1799" w:name="_Toc183888269"/>
      <w:bookmarkStart w:id="1800" w:name="_Toc183683620"/>
      <w:r>
        <w:rPr>
          <w:rFonts w:hint="eastAsia" w:eastAsia="黑体"/>
          <w:bCs/>
          <w:szCs w:val="28"/>
        </w:rPr>
        <w:t>门禁系统</w:t>
      </w:r>
      <w:bookmarkEnd w:id="1794"/>
      <w:bookmarkEnd w:id="1795"/>
      <w:bookmarkEnd w:id="1796"/>
      <w:bookmarkEnd w:id="1797"/>
      <w:bookmarkEnd w:id="1798"/>
      <w:bookmarkEnd w:id="1799"/>
      <w:bookmarkEnd w:id="1800"/>
    </w:p>
    <w:p w14:paraId="20556B2A">
      <w:pPr>
        <w:numPr>
          <w:ilvl w:val="2"/>
          <w:numId w:val="41"/>
        </w:numPr>
        <w:tabs>
          <w:tab w:val="left" w:pos="709"/>
          <w:tab w:val="left" w:pos="794"/>
          <w:tab w:val="left" w:pos="1701"/>
        </w:tabs>
        <w:jc w:val="left"/>
        <w:outlineLvl w:val="2"/>
        <w:rPr>
          <w:bCs/>
        </w:rPr>
      </w:pPr>
      <w:r>
        <w:rPr>
          <w:rFonts w:hint="eastAsia"/>
        </w:rPr>
        <w:t>轨道</w:t>
      </w:r>
      <w:r>
        <w:rPr>
          <w:rFonts w:hint="eastAsia"/>
          <w:bCs/>
        </w:rPr>
        <w:t>交通工程应设置门禁系统，应具备出入口监控和安全管理等功能，宜根据运营管理需要设置其他功能。</w:t>
      </w:r>
    </w:p>
    <w:p w14:paraId="07FCE2AF">
      <w:pPr>
        <w:numPr>
          <w:ilvl w:val="2"/>
          <w:numId w:val="41"/>
        </w:numPr>
        <w:tabs>
          <w:tab w:val="left" w:pos="709"/>
          <w:tab w:val="left" w:pos="794"/>
          <w:tab w:val="left" w:pos="1701"/>
        </w:tabs>
        <w:jc w:val="left"/>
        <w:outlineLvl w:val="2"/>
        <w:rPr>
          <w:bCs/>
        </w:rPr>
      </w:pPr>
      <w:r>
        <w:rPr>
          <w:rFonts w:hint="eastAsia"/>
          <w:bCs/>
        </w:rPr>
        <w:t>门禁系统应按集中管理，分级控制的方式设计。</w:t>
      </w:r>
    </w:p>
    <w:p w14:paraId="0B90FE70">
      <w:pPr>
        <w:numPr>
          <w:ilvl w:val="2"/>
          <w:numId w:val="41"/>
        </w:numPr>
        <w:tabs>
          <w:tab w:val="left" w:pos="709"/>
          <w:tab w:val="left" w:pos="794"/>
          <w:tab w:val="left" w:pos="1701"/>
        </w:tabs>
        <w:jc w:val="left"/>
        <w:outlineLvl w:val="2"/>
        <w:rPr>
          <w:bCs/>
        </w:rPr>
      </w:pPr>
      <w:r>
        <w:rPr>
          <w:rFonts w:hint="eastAsia"/>
          <w:bCs/>
        </w:rPr>
        <w:t>设有门禁装置的通道门、系统设备用房门、管理用房门应满足消防疏散和防冲撞的要求。</w:t>
      </w:r>
    </w:p>
    <w:p w14:paraId="547DBE44">
      <w:pPr>
        <w:numPr>
          <w:ilvl w:val="2"/>
          <w:numId w:val="41"/>
        </w:numPr>
        <w:tabs>
          <w:tab w:val="left" w:pos="709"/>
          <w:tab w:val="left" w:pos="794"/>
          <w:tab w:val="left" w:pos="1701"/>
        </w:tabs>
        <w:jc w:val="left"/>
        <w:outlineLvl w:val="2"/>
        <w:rPr>
          <w:bCs/>
        </w:rPr>
      </w:pPr>
      <w:r>
        <w:rPr>
          <w:rFonts w:hint="eastAsia"/>
          <w:bCs/>
        </w:rPr>
        <w:t>门禁系统应实现与火灾自动报警系统的联动功能，车站控制室综合后备盘上应设紧急释放控制按钮。</w:t>
      </w:r>
    </w:p>
    <w:p w14:paraId="76F91DA7">
      <w:pPr>
        <w:numPr>
          <w:ilvl w:val="2"/>
          <w:numId w:val="41"/>
        </w:numPr>
        <w:tabs>
          <w:tab w:val="left" w:pos="709"/>
          <w:tab w:val="left" w:pos="794"/>
          <w:tab w:val="left" w:pos="1701"/>
        </w:tabs>
        <w:jc w:val="left"/>
        <w:outlineLvl w:val="2"/>
        <w:rPr>
          <w:bCs/>
        </w:rPr>
      </w:pPr>
      <w:r>
        <w:rPr>
          <w:rFonts w:hint="eastAsia"/>
          <w:bCs/>
        </w:rPr>
        <w:t>门禁系统</w:t>
      </w:r>
      <w:r>
        <w:rPr>
          <w:rFonts w:hint="eastAsia"/>
        </w:rPr>
        <w:t>设备宜按工业级标准进行设计，满足轨道交通环境的使用要求。</w:t>
      </w:r>
    </w:p>
    <w:p w14:paraId="4DF37F89">
      <w:pPr>
        <w:numPr>
          <w:ilvl w:val="2"/>
          <w:numId w:val="41"/>
        </w:numPr>
        <w:tabs>
          <w:tab w:val="left" w:pos="709"/>
          <w:tab w:val="left" w:pos="794"/>
          <w:tab w:val="left" w:pos="1701"/>
        </w:tabs>
        <w:jc w:val="left"/>
        <w:outlineLvl w:val="2"/>
        <w:rPr>
          <w:bCs/>
        </w:rPr>
      </w:pPr>
      <w:r>
        <w:rPr>
          <w:rFonts w:hint="eastAsia"/>
          <w:bCs/>
        </w:rPr>
        <w:t>门禁系统宜采用轨道交通员工卡作为授权卡。</w:t>
      </w:r>
    </w:p>
    <w:p w14:paraId="11708BF4">
      <w:pPr>
        <w:numPr>
          <w:ilvl w:val="2"/>
          <w:numId w:val="41"/>
        </w:numPr>
        <w:tabs>
          <w:tab w:val="left" w:pos="709"/>
          <w:tab w:val="left" w:pos="794"/>
          <w:tab w:val="left" w:pos="1701"/>
        </w:tabs>
        <w:jc w:val="left"/>
        <w:outlineLvl w:val="2"/>
      </w:pPr>
      <w:r>
        <w:rPr>
          <w:rFonts w:hint="eastAsia"/>
          <w:bCs/>
        </w:rPr>
        <w:t>换乘车站门</w:t>
      </w:r>
      <w:r>
        <w:rPr>
          <w:rFonts w:hint="eastAsia"/>
        </w:rPr>
        <w:t>禁系统根据车站换乘方式，宜按系统共享原则设置。</w:t>
      </w:r>
    </w:p>
    <w:p w14:paraId="25B5D9AC">
      <w:pPr>
        <w:numPr>
          <w:ilvl w:val="2"/>
          <w:numId w:val="41"/>
        </w:numPr>
        <w:tabs>
          <w:tab w:val="left" w:pos="709"/>
          <w:tab w:val="left" w:pos="794"/>
          <w:tab w:val="left" w:pos="1701"/>
        </w:tabs>
        <w:jc w:val="left"/>
        <w:outlineLvl w:val="2"/>
        <w:rPr>
          <w:bCs/>
        </w:rPr>
      </w:pPr>
      <w:r>
        <w:rPr>
          <w:rFonts w:hint="eastAsia"/>
        </w:rPr>
        <w:t>门禁系统</w:t>
      </w:r>
      <w:r>
        <w:rPr>
          <w:rFonts w:hint="eastAsia"/>
          <w:bCs/>
        </w:rPr>
        <w:t>与火灾自动报警、传输、综合监控等系统接口应标准、</w:t>
      </w:r>
    </w:p>
    <w:p w14:paraId="4C6C60A5">
      <w:pPr>
        <w:numPr>
          <w:ilvl w:val="2"/>
          <w:numId w:val="41"/>
        </w:numPr>
        <w:tabs>
          <w:tab w:val="left" w:pos="709"/>
          <w:tab w:val="left" w:pos="794"/>
          <w:tab w:val="left" w:pos="1701"/>
        </w:tabs>
        <w:jc w:val="left"/>
        <w:outlineLvl w:val="2"/>
        <w:rPr>
          <w:bCs/>
        </w:rPr>
      </w:pPr>
      <w:r>
        <w:rPr>
          <w:rFonts w:hint="eastAsia"/>
          <w:bCs/>
        </w:rPr>
        <w:t>门禁系统应由中心级系统、车站级系统、现场级系统和终端设备、传输网络、电源及门禁卡等组成。</w:t>
      </w:r>
    </w:p>
    <w:p w14:paraId="74C46684">
      <w:pPr>
        <w:numPr>
          <w:ilvl w:val="2"/>
          <w:numId w:val="41"/>
        </w:numPr>
        <w:tabs>
          <w:tab w:val="left" w:pos="794"/>
          <w:tab w:val="left" w:pos="851"/>
          <w:tab w:val="left" w:pos="1701"/>
        </w:tabs>
        <w:jc w:val="left"/>
        <w:outlineLvl w:val="2"/>
        <w:rPr>
          <w:bCs/>
        </w:rPr>
      </w:pPr>
      <w:r>
        <w:rPr>
          <w:rFonts w:hint="eastAsia"/>
          <w:bCs/>
        </w:rPr>
        <w:t>门禁系统传输网络监控管理层系统宜自成系统或与其他系统合用。</w:t>
      </w:r>
    </w:p>
    <w:p w14:paraId="2D9DC838">
      <w:pPr>
        <w:numPr>
          <w:ilvl w:val="2"/>
          <w:numId w:val="41"/>
        </w:numPr>
        <w:tabs>
          <w:tab w:val="left" w:pos="794"/>
          <w:tab w:val="left" w:pos="851"/>
          <w:tab w:val="left" w:pos="1701"/>
        </w:tabs>
        <w:jc w:val="left"/>
        <w:outlineLvl w:val="2"/>
      </w:pPr>
      <w:r>
        <w:rPr>
          <w:rFonts w:hint="eastAsia"/>
          <w:bCs/>
        </w:rPr>
        <w:t>中心级系</w:t>
      </w:r>
      <w:r>
        <w:rPr>
          <w:rFonts w:hint="eastAsia"/>
        </w:rPr>
        <w:t>统应具备下列功能：</w:t>
      </w:r>
    </w:p>
    <w:p w14:paraId="1916E656">
      <w:pPr>
        <w:pStyle w:val="210"/>
        <w:ind w:firstLine="422"/>
        <w:rPr>
          <w:rStyle w:val="233"/>
          <w:color w:val="auto"/>
        </w:rPr>
      </w:pPr>
      <w:r>
        <w:rPr>
          <w:b/>
          <w:color w:val="auto"/>
        </w:rPr>
        <w:t xml:space="preserve">1 </w:t>
      </w:r>
      <w:r>
        <w:rPr>
          <w:color w:val="auto"/>
        </w:rPr>
        <w:t xml:space="preserve"> </w:t>
      </w:r>
      <w:r>
        <w:rPr>
          <w:rFonts w:hint="eastAsia"/>
          <w:color w:val="auto"/>
        </w:rPr>
        <w:t>门禁授</w:t>
      </w:r>
      <w:r>
        <w:rPr>
          <w:rStyle w:val="233"/>
          <w:rFonts w:hint="eastAsia"/>
          <w:color w:val="auto"/>
        </w:rPr>
        <w:t>权管理、数据库管理、设备监视与控制功能；</w:t>
      </w:r>
    </w:p>
    <w:p w14:paraId="1E8F2A7D">
      <w:pPr>
        <w:pStyle w:val="210"/>
        <w:ind w:firstLine="422"/>
        <w:rPr>
          <w:rStyle w:val="233"/>
          <w:color w:val="auto"/>
        </w:rPr>
      </w:pPr>
      <w:r>
        <w:rPr>
          <w:rStyle w:val="233"/>
          <w:b/>
          <w:color w:val="auto"/>
        </w:rPr>
        <w:t xml:space="preserve">2 </w:t>
      </w:r>
      <w:r>
        <w:rPr>
          <w:rStyle w:val="233"/>
          <w:color w:val="auto"/>
        </w:rPr>
        <w:t xml:space="preserve"> </w:t>
      </w:r>
      <w:r>
        <w:rPr>
          <w:rStyle w:val="233"/>
          <w:rFonts w:hint="eastAsia"/>
          <w:color w:val="auto"/>
        </w:rPr>
        <w:t>向车站级系统下达系统工作参数、授权参数、黑名单等信息功能；</w:t>
      </w:r>
    </w:p>
    <w:p w14:paraId="755DCE8E">
      <w:pPr>
        <w:pStyle w:val="210"/>
        <w:ind w:firstLine="422"/>
        <w:rPr>
          <w:rStyle w:val="233"/>
          <w:color w:val="auto"/>
        </w:rPr>
      </w:pPr>
      <w:r>
        <w:rPr>
          <w:rStyle w:val="233"/>
          <w:b/>
          <w:color w:val="auto"/>
        </w:rPr>
        <w:t>3</w:t>
      </w:r>
      <w:r>
        <w:rPr>
          <w:rStyle w:val="233"/>
          <w:color w:val="auto"/>
        </w:rPr>
        <w:t xml:space="preserve">  </w:t>
      </w:r>
      <w:r>
        <w:rPr>
          <w:rStyle w:val="233"/>
          <w:rFonts w:hint="eastAsia"/>
          <w:color w:val="auto"/>
        </w:rPr>
        <w:t>系统设备数据统计、报表、分类存储和打印功能；</w:t>
      </w:r>
    </w:p>
    <w:p w14:paraId="2ACA12ED">
      <w:pPr>
        <w:pStyle w:val="210"/>
        <w:ind w:firstLine="422"/>
        <w:rPr>
          <w:rStyle w:val="233"/>
          <w:color w:val="auto"/>
        </w:rPr>
      </w:pPr>
      <w:r>
        <w:rPr>
          <w:rStyle w:val="233"/>
          <w:b/>
          <w:color w:val="auto"/>
        </w:rPr>
        <w:t>4</w:t>
      </w:r>
      <w:r>
        <w:rPr>
          <w:rStyle w:val="233"/>
          <w:color w:val="auto"/>
        </w:rPr>
        <w:t xml:space="preserve">  </w:t>
      </w:r>
      <w:r>
        <w:rPr>
          <w:rStyle w:val="233"/>
          <w:rFonts w:hint="eastAsia"/>
          <w:color w:val="auto"/>
        </w:rPr>
        <w:t>查询系统设备信息功能；</w:t>
      </w:r>
    </w:p>
    <w:p w14:paraId="2544D2F5">
      <w:pPr>
        <w:pStyle w:val="210"/>
        <w:ind w:firstLine="422"/>
        <w:rPr>
          <w:rStyle w:val="233"/>
          <w:color w:val="auto"/>
        </w:rPr>
      </w:pPr>
      <w:r>
        <w:rPr>
          <w:rStyle w:val="233"/>
          <w:b/>
          <w:color w:val="auto"/>
        </w:rPr>
        <w:t>5</w:t>
      </w:r>
      <w:r>
        <w:rPr>
          <w:rStyle w:val="233"/>
          <w:color w:val="auto"/>
        </w:rPr>
        <w:t xml:space="preserve">  </w:t>
      </w:r>
      <w:r>
        <w:rPr>
          <w:rStyle w:val="233"/>
          <w:rFonts w:hint="eastAsia"/>
          <w:color w:val="auto"/>
        </w:rPr>
        <w:t>统一管理合法持卡人的访问权限功能；</w:t>
      </w:r>
    </w:p>
    <w:p w14:paraId="5C5DD812">
      <w:pPr>
        <w:pStyle w:val="210"/>
        <w:ind w:firstLine="422"/>
        <w:rPr>
          <w:color w:val="auto"/>
        </w:rPr>
      </w:pPr>
      <w:r>
        <w:rPr>
          <w:rStyle w:val="233"/>
          <w:b/>
          <w:color w:val="auto"/>
        </w:rPr>
        <w:t>6</w:t>
      </w:r>
      <w:r>
        <w:rPr>
          <w:rStyle w:val="233"/>
          <w:color w:val="auto"/>
        </w:rPr>
        <w:t xml:space="preserve">  </w:t>
      </w:r>
      <w:r>
        <w:rPr>
          <w:rStyle w:val="233"/>
          <w:rFonts w:hint="eastAsia"/>
          <w:color w:val="auto"/>
        </w:rPr>
        <w:t>登</w:t>
      </w:r>
      <w:r>
        <w:rPr>
          <w:rFonts w:hint="eastAsia"/>
          <w:color w:val="auto"/>
        </w:rPr>
        <w:t>录、修改、操作、报警等信息的系统日志功能。</w:t>
      </w:r>
    </w:p>
    <w:p w14:paraId="173706EE">
      <w:pPr>
        <w:numPr>
          <w:ilvl w:val="2"/>
          <w:numId w:val="41"/>
        </w:numPr>
        <w:tabs>
          <w:tab w:val="left" w:pos="794"/>
          <w:tab w:val="left" w:pos="851"/>
          <w:tab w:val="left" w:pos="1701"/>
        </w:tabs>
        <w:jc w:val="left"/>
        <w:outlineLvl w:val="2"/>
      </w:pPr>
      <w:r>
        <w:rPr>
          <w:rFonts w:hint="eastAsia"/>
        </w:rPr>
        <w:t>车站级</w:t>
      </w:r>
      <w:r>
        <w:rPr>
          <w:rFonts w:hint="eastAsia"/>
          <w:bCs/>
        </w:rPr>
        <w:t>系统</w:t>
      </w:r>
      <w:r>
        <w:rPr>
          <w:rFonts w:hint="eastAsia"/>
        </w:rPr>
        <w:t>应具备下列功能：</w:t>
      </w:r>
    </w:p>
    <w:p w14:paraId="35118A84">
      <w:pPr>
        <w:pStyle w:val="210"/>
        <w:ind w:firstLine="422"/>
        <w:rPr>
          <w:rStyle w:val="233"/>
          <w:color w:val="auto"/>
        </w:rPr>
      </w:pPr>
      <w:r>
        <w:rPr>
          <w:rStyle w:val="233"/>
          <w:b/>
          <w:color w:val="auto"/>
        </w:rPr>
        <w:t xml:space="preserve">1 </w:t>
      </w:r>
      <w:r>
        <w:rPr>
          <w:rStyle w:val="233"/>
          <w:color w:val="auto"/>
        </w:rPr>
        <w:t xml:space="preserve"> </w:t>
      </w:r>
      <w:r>
        <w:rPr>
          <w:rStyle w:val="233"/>
          <w:rFonts w:hint="eastAsia"/>
          <w:color w:val="auto"/>
        </w:rPr>
        <w:t>接收中心级系统下载的系统参数、授权参数、黑名单等信息，下传至现场级系统和终端设备功能；</w:t>
      </w:r>
    </w:p>
    <w:p w14:paraId="7CFBAA50">
      <w:pPr>
        <w:pStyle w:val="210"/>
        <w:ind w:firstLine="422"/>
        <w:rPr>
          <w:rStyle w:val="233"/>
          <w:color w:val="auto"/>
        </w:rPr>
      </w:pPr>
      <w:r>
        <w:rPr>
          <w:rStyle w:val="233"/>
          <w:b/>
          <w:color w:val="auto"/>
        </w:rPr>
        <w:t xml:space="preserve">2 </w:t>
      </w:r>
      <w:r>
        <w:rPr>
          <w:rStyle w:val="233"/>
          <w:color w:val="auto"/>
        </w:rPr>
        <w:t xml:space="preserve"> </w:t>
      </w:r>
      <w:r>
        <w:rPr>
          <w:rStyle w:val="233"/>
          <w:rFonts w:hint="eastAsia"/>
          <w:color w:val="auto"/>
        </w:rPr>
        <w:t>监控现场级系统和终端设备的运行状态，并将数据上传至中央级系统功能；</w:t>
      </w:r>
    </w:p>
    <w:p w14:paraId="5DC1C063">
      <w:pPr>
        <w:pStyle w:val="210"/>
        <w:ind w:firstLine="422"/>
        <w:rPr>
          <w:rStyle w:val="233"/>
          <w:color w:val="auto"/>
        </w:rPr>
      </w:pPr>
      <w:r>
        <w:rPr>
          <w:rStyle w:val="233"/>
          <w:b/>
          <w:color w:val="auto"/>
        </w:rPr>
        <w:t xml:space="preserve">3 </w:t>
      </w:r>
      <w:r>
        <w:rPr>
          <w:rStyle w:val="233"/>
          <w:color w:val="auto"/>
        </w:rPr>
        <w:t xml:space="preserve"> </w:t>
      </w:r>
      <w:r>
        <w:rPr>
          <w:rStyle w:val="233"/>
          <w:rFonts w:hint="eastAsia"/>
          <w:color w:val="auto"/>
        </w:rPr>
        <w:t>设备终端实时状态监控、报警及打印功能；</w:t>
      </w:r>
    </w:p>
    <w:p w14:paraId="6CFE8395">
      <w:pPr>
        <w:pStyle w:val="210"/>
        <w:ind w:firstLine="422"/>
        <w:rPr>
          <w:rStyle w:val="233"/>
          <w:color w:val="auto"/>
        </w:rPr>
      </w:pPr>
      <w:r>
        <w:rPr>
          <w:rStyle w:val="233"/>
          <w:b/>
          <w:color w:val="auto"/>
        </w:rPr>
        <w:t>4</w:t>
      </w:r>
      <w:r>
        <w:rPr>
          <w:rStyle w:val="233"/>
          <w:color w:val="auto"/>
        </w:rPr>
        <w:t xml:space="preserve">  </w:t>
      </w:r>
      <w:r>
        <w:rPr>
          <w:rStyle w:val="233"/>
          <w:rFonts w:hint="eastAsia"/>
          <w:color w:val="auto"/>
        </w:rPr>
        <w:t>中心级系统发生故障或传输网络中断时，车站级系统应能独立运行的功能。</w:t>
      </w:r>
    </w:p>
    <w:p w14:paraId="7B0AE15D">
      <w:pPr>
        <w:pStyle w:val="210"/>
        <w:ind w:firstLine="420"/>
        <w:rPr>
          <w:rStyle w:val="233"/>
          <w:color w:val="auto"/>
        </w:rPr>
      </w:pPr>
      <w:r>
        <w:rPr>
          <w:rStyle w:val="233"/>
          <w:rFonts w:hint="eastAsia"/>
          <w:color w:val="auto"/>
        </w:rPr>
        <w:t>现场级系统和终端设备应具备下列功能：</w:t>
      </w:r>
    </w:p>
    <w:p w14:paraId="6B749EE6">
      <w:pPr>
        <w:pStyle w:val="210"/>
        <w:ind w:firstLine="422"/>
        <w:rPr>
          <w:rStyle w:val="233"/>
          <w:color w:val="auto"/>
        </w:rPr>
      </w:pPr>
      <w:r>
        <w:rPr>
          <w:rStyle w:val="233"/>
          <w:b/>
          <w:color w:val="auto"/>
        </w:rPr>
        <w:t>1</w:t>
      </w:r>
      <w:r>
        <w:rPr>
          <w:rStyle w:val="233"/>
          <w:color w:val="auto"/>
        </w:rPr>
        <w:t xml:space="preserve">  </w:t>
      </w:r>
      <w:r>
        <w:rPr>
          <w:rStyle w:val="233"/>
          <w:rFonts w:hint="eastAsia"/>
          <w:color w:val="auto"/>
        </w:rPr>
        <w:t>车站控制器接收车站级系统下载的系统参数、授权参数、黑名单等信息，并下传至本地控制器的功能；</w:t>
      </w:r>
    </w:p>
    <w:p w14:paraId="7400CFF8">
      <w:pPr>
        <w:pStyle w:val="210"/>
        <w:ind w:firstLine="422"/>
        <w:rPr>
          <w:rStyle w:val="233"/>
          <w:color w:val="auto"/>
        </w:rPr>
      </w:pPr>
      <w:r>
        <w:rPr>
          <w:rStyle w:val="233"/>
          <w:b/>
          <w:color w:val="auto"/>
        </w:rPr>
        <w:t xml:space="preserve">2 </w:t>
      </w:r>
      <w:r>
        <w:rPr>
          <w:rStyle w:val="233"/>
          <w:color w:val="auto"/>
        </w:rPr>
        <w:t xml:space="preserve"> </w:t>
      </w:r>
      <w:r>
        <w:rPr>
          <w:rStyle w:val="233"/>
          <w:rFonts w:hint="eastAsia"/>
          <w:color w:val="auto"/>
        </w:rPr>
        <w:t>车站控制器监控本地控制器、读卡器等的运行状态，向车站级系统上传卡识别、控制动作、设备运行及门开闭状态等信息功能；</w:t>
      </w:r>
    </w:p>
    <w:p w14:paraId="5E374505">
      <w:pPr>
        <w:pStyle w:val="210"/>
        <w:ind w:firstLine="422"/>
        <w:rPr>
          <w:rStyle w:val="233"/>
          <w:color w:val="auto"/>
        </w:rPr>
      </w:pPr>
      <w:r>
        <w:rPr>
          <w:rStyle w:val="233"/>
          <w:b/>
          <w:color w:val="auto"/>
        </w:rPr>
        <w:t xml:space="preserve">3 </w:t>
      </w:r>
      <w:r>
        <w:rPr>
          <w:rStyle w:val="233"/>
          <w:color w:val="auto"/>
        </w:rPr>
        <w:t xml:space="preserve"> </w:t>
      </w:r>
      <w:r>
        <w:rPr>
          <w:rStyle w:val="233"/>
          <w:rFonts w:hint="eastAsia"/>
          <w:color w:val="auto"/>
        </w:rPr>
        <w:t>车站控制器应具备在线、离线、灾害及维修等运行模式功能；</w:t>
      </w:r>
    </w:p>
    <w:p w14:paraId="095FA843">
      <w:pPr>
        <w:pStyle w:val="210"/>
        <w:ind w:firstLine="422"/>
        <w:rPr>
          <w:rStyle w:val="233"/>
          <w:color w:val="auto"/>
        </w:rPr>
      </w:pPr>
      <w:r>
        <w:rPr>
          <w:rStyle w:val="233"/>
          <w:b/>
          <w:color w:val="auto"/>
        </w:rPr>
        <w:t xml:space="preserve">4 </w:t>
      </w:r>
      <w:r>
        <w:rPr>
          <w:rStyle w:val="233"/>
          <w:color w:val="auto"/>
        </w:rPr>
        <w:t xml:space="preserve"> </w:t>
      </w:r>
      <w:r>
        <w:rPr>
          <w:rStyle w:val="233"/>
          <w:rFonts w:hint="eastAsia"/>
          <w:color w:val="auto"/>
        </w:rPr>
        <w:t>车站控制器应具有本地数据存储和保护功能；</w:t>
      </w:r>
    </w:p>
    <w:p w14:paraId="35C6C4D8">
      <w:pPr>
        <w:pStyle w:val="210"/>
        <w:ind w:firstLine="422"/>
        <w:rPr>
          <w:rStyle w:val="233"/>
          <w:color w:val="auto"/>
        </w:rPr>
      </w:pPr>
      <w:r>
        <w:rPr>
          <w:rStyle w:val="233"/>
          <w:b/>
          <w:color w:val="auto"/>
        </w:rPr>
        <w:t>5</w:t>
      </w:r>
      <w:r>
        <w:rPr>
          <w:rStyle w:val="233"/>
          <w:color w:val="auto"/>
        </w:rPr>
        <w:t xml:space="preserve">  </w:t>
      </w:r>
      <w:r>
        <w:rPr>
          <w:rStyle w:val="233"/>
          <w:rFonts w:hint="eastAsia"/>
          <w:color w:val="auto"/>
        </w:rPr>
        <w:t>本地控制器接收车站控制器下载的系统参数、授权参数、黑名单等信息，下传至读卡器功能；</w:t>
      </w:r>
    </w:p>
    <w:p w14:paraId="257A5648">
      <w:pPr>
        <w:pStyle w:val="210"/>
        <w:ind w:firstLine="422"/>
        <w:rPr>
          <w:rStyle w:val="233"/>
          <w:color w:val="auto"/>
        </w:rPr>
      </w:pPr>
      <w:r>
        <w:rPr>
          <w:rStyle w:val="233"/>
          <w:b/>
          <w:color w:val="auto"/>
        </w:rPr>
        <w:t>6</w:t>
      </w:r>
      <w:r>
        <w:rPr>
          <w:rStyle w:val="233"/>
          <w:color w:val="auto"/>
        </w:rPr>
        <w:t xml:space="preserve">  </w:t>
      </w:r>
      <w:r>
        <w:rPr>
          <w:rStyle w:val="233"/>
          <w:rFonts w:hint="eastAsia"/>
          <w:color w:val="auto"/>
        </w:rPr>
        <w:t>本地控制器监控读卡器等的运行状态，向车站控制器上传卡识别、控制动作、设备运行及门开闭状态等信息功能；</w:t>
      </w:r>
    </w:p>
    <w:p w14:paraId="614CCA64">
      <w:pPr>
        <w:pStyle w:val="210"/>
        <w:ind w:firstLine="422"/>
        <w:rPr>
          <w:rStyle w:val="233"/>
          <w:color w:val="auto"/>
        </w:rPr>
      </w:pPr>
      <w:r>
        <w:rPr>
          <w:rStyle w:val="233"/>
          <w:b/>
          <w:color w:val="auto"/>
        </w:rPr>
        <w:t xml:space="preserve">7 </w:t>
      </w:r>
      <w:r>
        <w:rPr>
          <w:rStyle w:val="233"/>
          <w:color w:val="auto"/>
        </w:rPr>
        <w:t xml:space="preserve"> </w:t>
      </w:r>
      <w:r>
        <w:rPr>
          <w:rStyle w:val="233"/>
          <w:rFonts w:hint="eastAsia"/>
          <w:color w:val="auto"/>
        </w:rPr>
        <w:t>本地控制器根据指令或权限向读卡器发出动作信号，读卡器向电子锁发出动作信号，控制电子锁执行门的开启和锁闭操作功能；</w:t>
      </w:r>
    </w:p>
    <w:p w14:paraId="59FD4E0C">
      <w:pPr>
        <w:pStyle w:val="210"/>
        <w:ind w:firstLine="422"/>
        <w:rPr>
          <w:rStyle w:val="233"/>
          <w:color w:val="auto"/>
        </w:rPr>
      </w:pPr>
      <w:r>
        <w:rPr>
          <w:rStyle w:val="233"/>
          <w:b/>
          <w:color w:val="auto"/>
        </w:rPr>
        <w:t xml:space="preserve">8  </w:t>
      </w:r>
      <w:r>
        <w:rPr>
          <w:rStyle w:val="233"/>
          <w:rFonts w:hint="eastAsia"/>
          <w:color w:val="auto"/>
        </w:rPr>
        <w:t>本地控制器应具备在线、离线、灾害及维修等运行模式功能；</w:t>
      </w:r>
    </w:p>
    <w:p w14:paraId="65A7F587">
      <w:pPr>
        <w:pStyle w:val="210"/>
        <w:ind w:firstLine="422"/>
        <w:rPr>
          <w:rStyle w:val="233"/>
          <w:color w:val="auto"/>
        </w:rPr>
      </w:pPr>
      <w:r>
        <w:rPr>
          <w:rStyle w:val="233"/>
          <w:b/>
          <w:color w:val="auto"/>
        </w:rPr>
        <w:t>9</w:t>
      </w:r>
      <w:bookmarkStart w:id="1801" w:name="_Hlk181276401"/>
      <w:r>
        <w:rPr>
          <w:rStyle w:val="233"/>
          <w:b/>
          <w:color w:val="auto"/>
        </w:rPr>
        <w:t xml:space="preserve"> </w:t>
      </w:r>
      <w:r>
        <w:rPr>
          <w:rStyle w:val="233"/>
          <w:color w:val="auto"/>
        </w:rPr>
        <w:t xml:space="preserve"> </w:t>
      </w:r>
      <w:bookmarkEnd w:id="1801"/>
      <w:r>
        <w:rPr>
          <w:rStyle w:val="233"/>
          <w:rFonts w:hint="eastAsia"/>
          <w:color w:val="auto"/>
        </w:rPr>
        <w:t>本地控制器应具有本地数据存储和保护功能。</w:t>
      </w:r>
    </w:p>
    <w:p w14:paraId="77832DB5">
      <w:pPr>
        <w:numPr>
          <w:ilvl w:val="2"/>
          <w:numId w:val="41"/>
        </w:numPr>
        <w:tabs>
          <w:tab w:val="left" w:pos="794"/>
          <w:tab w:val="left" w:pos="851"/>
          <w:tab w:val="left" w:pos="1701"/>
        </w:tabs>
        <w:jc w:val="left"/>
        <w:outlineLvl w:val="2"/>
        <w:rPr>
          <w:bCs/>
        </w:rPr>
      </w:pPr>
      <w:r>
        <w:rPr>
          <w:rFonts w:hint="eastAsia"/>
        </w:rPr>
        <w:t>设置门</w:t>
      </w:r>
      <w:r>
        <w:rPr>
          <w:rFonts w:hint="eastAsia"/>
          <w:bCs/>
        </w:rPr>
        <w:t>禁的房门应在出门侧设置出门按钮。</w:t>
      </w:r>
    </w:p>
    <w:p w14:paraId="7E7D67A5">
      <w:pPr>
        <w:numPr>
          <w:ilvl w:val="2"/>
          <w:numId w:val="41"/>
        </w:numPr>
        <w:tabs>
          <w:tab w:val="left" w:pos="794"/>
          <w:tab w:val="left" w:pos="851"/>
          <w:tab w:val="left" w:pos="1701"/>
        </w:tabs>
        <w:jc w:val="left"/>
        <w:outlineLvl w:val="2"/>
        <w:rPr>
          <w:bCs/>
        </w:rPr>
      </w:pPr>
      <w:r>
        <w:rPr>
          <w:rFonts w:hint="eastAsia"/>
          <w:bCs/>
        </w:rPr>
        <w:t>电子锁应具有断电释放的功能。</w:t>
      </w:r>
    </w:p>
    <w:p w14:paraId="2BFE1E8D">
      <w:pPr>
        <w:numPr>
          <w:ilvl w:val="2"/>
          <w:numId w:val="41"/>
        </w:numPr>
        <w:tabs>
          <w:tab w:val="left" w:pos="794"/>
          <w:tab w:val="left" w:pos="851"/>
          <w:tab w:val="left" w:pos="1701"/>
        </w:tabs>
        <w:jc w:val="left"/>
        <w:outlineLvl w:val="2"/>
        <w:rPr>
          <w:bCs/>
        </w:rPr>
      </w:pPr>
      <w:r>
        <w:rPr>
          <w:rFonts w:hint="eastAsia"/>
          <w:bCs/>
        </w:rPr>
        <w:t>应根据安全防范管理要求，确定门禁安全等级和监控对象。</w:t>
      </w:r>
    </w:p>
    <w:p w14:paraId="4EE6D991">
      <w:pPr>
        <w:numPr>
          <w:ilvl w:val="2"/>
          <w:numId w:val="41"/>
        </w:numPr>
        <w:tabs>
          <w:tab w:val="left" w:pos="794"/>
          <w:tab w:val="left" w:pos="851"/>
          <w:tab w:val="left" w:pos="1701"/>
        </w:tabs>
        <w:jc w:val="left"/>
        <w:outlineLvl w:val="2"/>
      </w:pPr>
      <w:r>
        <w:rPr>
          <w:rFonts w:hint="eastAsia"/>
          <w:bCs/>
        </w:rPr>
        <w:t>安全等</w:t>
      </w:r>
      <w:r>
        <w:rPr>
          <w:rFonts w:hint="eastAsia"/>
        </w:rPr>
        <w:t>级应分为四级，各安全等级的配置应符合下列规定：</w:t>
      </w:r>
    </w:p>
    <w:p w14:paraId="0935816C">
      <w:pPr>
        <w:pStyle w:val="86"/>
        <w:ind w:firstLine="422"/>
        <w:rPr>
          <w:color w:val="auto"/>
        </w:rPr>
      </w:pPr>
      <w:r>
        <w:rPr>
          <w:b/>
          <w:color w:val="auto"/>
        </w:rPr>
        <w:t xml:space="preserve">1 </w:t>
      </w:r>
      <w:r>
        <w:rPr>
          <w:color w:val="auto"/>
        </w:rPr>
        <w:t xml:space="preserve"> </w:t>
      </w:r>
      <w:r>
        <w:rPr>
          <w:rFonts w:hint="eastAsia"/>
          <w:color w:val="auto"/>
        </w:rPr>
        <w:t>一级应设双向读卡器，进门侧设密码键盘或其他识别装置，并与视频监控系统相互配合，实现安全联动监控；</w:t>
      </w:r>
    </w:p>
    <w:p w14:paraId="64B2B55E">
      <w:pPr>
        <w:pStyle w:val="86"/>
        <w:ind w:firstLine="422"/>
        <w:rPr>
          <w:color w:val="auto"/>
        </w:rPr>
      </w:pPr>
      <w:r>
        <w:rPr>
          <w:b/>
          <w:color w:val="auto"/>
        </w:rPr>
        <w:t>2</w:t>
      </w:r>
      <w:r>
        <w:rPr>
          <w:color w:val="auto"/>
        </w:rPr>
        <w:t xml:space="preserve">  </w:t>
      </w:r>
      <w:r>
        <w:rPr>
          <w:rFonts w:hint="eastAsia"/>
          <w:color w:val="auto"/>
        </w:rPr>
        <w:t>二级应设双向读卡器，进门侧设密码键盘或其他识别装置；</w:t>
      </w:r>
    </w:p>
    <w:p w14:paraId="36E4CCA3">
      <w:pPr>
        <w:pStyle w:val="86"/>
        <w:ind w:firstLine="422"/>
        <w:rPr>
          <w:color w:val="auto"/>
        </w:rPr>
      </w:pPr>
      <w:r>
        <w:rPr>
          <w:b/>
          <w:color w:val="auto"/>
        </w:rPr>
        <w:t>3</w:t>
      </w:r>
      <w:r>
        <w:rPr>
          <w:color w:val="auto"/>
        </w:rPr>
        <w:t xml:space="preserve">  </w:t>
      </w:r>
      <w:r>
        <w:rPr>
          <w:rFonts w:hint="eastAsia"/>
          <w:color w:val="auto"/>
        </w:rPr>
        <w:t>三级应设双向读卡器；</w:t>
      </w:r>
    </w:p>
    <w:p w14:paraId="028B5BDD">
      <w:pPr>
        <w:pStyle w:val="86"/>
        <w:ind w:firstLine="422"/>
        <w:rPr>
          <w:color w:val="auto"/>
        </w:rPr>
      </w:pPr>
      <w:r>
        <w:rPr>
          <w:b/>
          <w:color w:val="auto"/>
        </w:rPr>
        <w:t>4</w:t>
      </w:r>
      <w:r>
        <w:rPr>
          <w:color w:val="auto"/>
        </w:rPr>
        <w:t xml:space="preserve">  </w:t>
      </w:r>
      <w:r>
        <w:rPr>
          <w:rFonts w:hint="eastAsia"/>
          <w:color w:val="auto"/>
        </w:rPr>
        <w:t>四级只设单向读卡器。</w:t>
      </w:r>
    </w:p>
    <w:p w14:paraId="374FEE2D">
      <w:pPr>
        <w:numPr>
          <w:ilvl w:val="2"/>
          <w:numId w:val="41"/>
        </w:numPr>
        <w:tabs>
          <w:tab w:val="left" w:pos="794"/>
          <w:tab w:val="left" w:pos="851"/>
          <w:tab w:val="left" w:pos="1701"/>
        </w:tabs>
        <w:jc w:val="left"/>
        <w:outlineLvl w:val="2"/>
      </w:pPr>
      <w:r>
        <w:rPr>
          <w:rFonts w:hint="eastAsia"/>
          <w:bCs/>
        </w:rPr>
        <w:t>控制中心</w:t>
      </w:r>
      <w:r>
        <w:rPr>
          <w:rFonts w:hint="eastAsia"/>
        </w:rPr>
        <w:t>监控对象：</w:t>
      </w:r>
    </w:p>
    <w:p w14:paraId="1070F35E">
      <w:pPr>
        <w:pStyle w:val="86"/>
        <w:ind w:firstLine="422"/>
        <w:rPr>
          <w:color w:val="auto"/>
        </w:rPr>
      </w:pPr>
      <w:r>
        <w:rPr>
          <w:b/>
          <w:color w:val="auto"/>
        </w:rPr>
        <w:t xml:space="preserve">1 </w:t>
      </w:r>
      <w:r>
        <w:rPr>
          <w:color w:val="auto"/>
        </w:rPr>
        <w:t xml:space="preserve"> </w:t>
      </w:r>
      <w:r>
        <w:rPr>
          <w:rFonts w:hint="eastAsia"/>
          <w:color w:val="auto"/>
        </w:rPr>
        <w:t>调度大厅，设置安全等级不应低于一级；</w:t>
      </w:r>
    </w:p>
    <w:p w14:paraId="58351E69">
      <w:pPr>
        <w:pStyle w:val="86"/>
        <w:ind w:firstLine="422"/>
        <w:rPr>
          <w:color w:val="auto"/>
        </w:rPr>
      </w:pPr>
      <w:r>
        <w:rPr>
          <w:b/>
          <w:color w:val="auto"/>
        </w:rPr>
        <w:t>2</w:t>
      </w:r>
      <w:r>
        <w:rPr>
          <w:color w:val="auto"/>
        </w:rPr>
        <w:t xml:space="preserve">  </w:t>
      </w:r>
      <w:r>
        <w:rPr>
          <w:rFonts w:hint="eastAsia"/>
          <w:color w:val="auto"/>
        </w:rPr>
        <w:t>重要设备用房，设置安全等级不应低于四级；</w:t>
      </w:r>
    </w:p>
    <w:p w14:paraId="08DC8401">
      <w:pPr>
        <w:pStyle w:val="86"/>
        <w:ind w:firstLine="422"/>
        <w:rPr>
          <w:color w:val="auto"/>
        </w:rPr>
      </w:pPr>
      <w:r>
        <w:rPr>
          <w:b/>
          <w:color w:val="auto"/>
        </w:rPr>
        <w:t xml:space="preserve">3 </w:t>
      </w:r>
      <w:r>
        <w:rPr>
          <w:color w:val="auto"/>
        </w:rPr>
        <w:t xml:space="preserve"> </w:t>
      </w:r>
      <w:r>
        <w:rPr>
          <w:rFonts w:hint="eastAsia"/>
          <w:color w:val="auto"/>
        </w:rPr>
        <w:t>管理用房及内部通道的门，设置安全等级不应低于四级。</w:t>
      </w:r>
    </w:p>
    <w:p w14:paraId="0EC0D662">
      <w:pPr>
        <w:numPr>
          <w:ilvl w:val="2"/>
          <w:numId w:val="41"/>
        </w:numPr>
        <w:tabs>
          <w:tab w:val="left" w:pos="794"/>
          <w:tab w:val="left" w:pos="851"/>
          <w:tab w:val="left" w:pos="1701"/>
        </w:tabs>
        <w:jc w:val="left"/>
        <w:outlineLvl w:val="2"/>
      </w:pPr>
      <w:r>
        <w:rPr>
          <w:rFonts w:hint="eastAsia"/>
        </w:rPr>
        <w:t>车站</w:t>
      </w:r>
      <w:r>
        <w:rPr>
          <w:rFonts w:hint="eastAsia"/>
          <w:bCs/>
        </w:rPr>
        <w:t>监控</w:t>
      </w:r>
      <w:r>
        <w:rPr>
          <w:rFonts w:hint="eastAsia"/>
        </w:rPr>
        <w:t>对象：</w:t>
      </w:r>
    </w:p>
    <w:p w14:paraId="16ED3409">
      <w:pPr>
        <w:pStyle w:val="86"/>
        <w:ind w:firstLine="422"/>
        <w:rPr>
          <w:color w:val="auto"/>
          <w:lang w:bidi="ar"/>
        </w:rPr>
      </w:pPr>
      <w:r>
        <w:rPr>
          <w:b/>
          <w:color w:val="auto"/>
        </w:rPr>
        <w:t>1</w:t>
      </w:r>
      <w:r>
        <w:rPr>
          <w:color w:val="auto"/>
        </w:rPr>
        <w:t xml:space="preserve">  </w:t>
      </w:r>
      <w:r>
        <w:rPr>
          <w:rFonts w:hint="eastAsia"/>
          <w:color w:val="auto"/>
        </w:rPr>
        <w:t>设备用房：弱电设备室、公安通信设备室、民用通信设备室、</w:t>
      </w:r>
      <w:r>
        <w:rPr>
          <w:color w:val="auto"/>
        </w:rPr>
        <w:t>UPS</w:t>
      </w:r>
      <w:r>
        <w:rPr>
          <w:rFonts w:hint="eastAsia"/>
          <w:color w:val="auto"/>
        </w:rPr>
        <w:t>配电室、</w:t>
      </w:r>
      <w:r>
        <w:rPr>
          <w:color w:val="auto"/>
        </w:rPr>
        <w:t>UPS</w:t>
      </w:r>
      <w:r>
        <w:rPr>
          <w:rFonts w:hint="eastAsia"/>
          <w:color w:val="auto"/>
        </w:rPr>
        <w:t>蓄电池室、变电所控制室及设备室、站台屏蔽门设备室、照明配电室、气瓶间、环控电控室、通风空调机房、消防泵房、防烟机房、排烟机房等，设置安全等级</w:t>
      </w:r>
      <w:r>
        <w:rPr>
          <w:rFonts w:hint="eastAsia"/>
          <w:color w:val="auto"/>
          <w:lang w:bidi="ar"/>
        </w:rPr>
        <w:t>不宜低于四级。</w:t>
      </w:r>
    </w:p>
    <w:p w14:paraId="24F20D38">
      <w:pPr>
        <w:pStyle w:val="86"/>
        <w:ind w:firstLine="422"/>
        <w:rPr>
          <w:color w:val="auto"/>
        </w:rPr>
      </w:pPr>
      <w:r>
        <w:rPr>
          <w:b/>
          <w:color w:val="auto"/>
        </w:rPr>
        <w:t>2</w:t>
      </w:r>
      <w:r>
        <w:rPr>
          <w:color w:val="auto"/>
        </w:rPr>
        <w:t xml:space="preserve">  </w:t>
      </w:r>
      <w:r>
        <w:rPr>
          <w:rFonts w:hint="eastAsia"/>
          <w:color w:val="auto"/>
        </w:rPr>
        <w:t>通道门：设备管理区直通地面的紧急疏散通道门、设备管理区直通公共区的通道门等，设置安全等级宜为四级。</w:t>
      </w:r>
    </w:p>
    <w:p w14:paraId="74F1EFE9">
      <w:pPr>
        <w:pStyle w:val="86"/>
        <w:ind w:firstLine="422"/>
        <w:rPr>
          <w:color w:val="auto"/>
          <w:lang w:bidi="ar"/>
        </w:rPr>
      </w:pPr>
      <w:r>
        <w:rPr>
          <w:b/>
          <w:color w:val="auto"/>
        </w:rPr>
        <w:t>3</w:t>
      </w:r>
      <w:r>
        <w:rPr>
          <w:color w:val="auto"/>
        </w:rPr>
        <w:t xml:space="preserve">  </w:t>
      </w:r>
      <w:r>
        <w:rPr>
          <w:rFonts w:hint="eastAsia"/>
          <w:color w:val="auto"/>
        </w:rPr>
        <w:t>管理用房：车站控制室、站长室、站务室、设备维修工区等，设置等级不宜低于四级安全等级，票务管理室设置安全等级</w:t>
      </w:r>
      <w:r>
        <w:rPr>
          <w:rFonts w:hint="eastAsia"/>
          <w:color w:val="auto"/>
          <w:lang w:bidi="ar"/>
        </w:rPr>
        <w:t>不宜低于二级。</w:t>
      </w:r>
    </w:p>
    <w:p w14:paraId="008DC44B">
      <w:pPr>
        <w:numPr>
          <w:ilvl w:val="2"/>
          <w:numId w:val="41"/>
        </w:numPr>
        <w:tabs>
          <w:tab w:val="left" w:pos="794"/>
          <w:tab w:val="left" w:pos="851"/>
          <w:tab w:val="left" w:pos="1701"/>
        </w:tabs>
        <w:jc w:val="left"/>
        <w:outlineLvl w:val="2"/>
      </w:pPr>
      <w:r>
        <w:rPr>
          <w:rFonts w:hint="eastAsia"/>
        </w:rPr>
        <w:t>车辆</w:t>
      </w:r>
      <w:r>
        <w:rPr>
          <w:rFonts w:hint="eastAsia"/>
          <w:bCs/>
        </w:rPr>
        <w:t>基地</w:t>
      </w:r>
      <w:r>
        <w:rPr>
          <w:rFonts w:hint="eastAsia"/>
        </w:rPr>
        <w:t>监控对象：</w:t>
      </w:r>
    </w:p>
    <w:p w14:paraId="59B03475">
      <w:pPr>
        <w:ind w:firstLine="422" w:firstLineChars="200"/>
        <w:rPr>
          <w:lang w:bidi="ar"/>
        </w:rPr>
      </w:pPr>
      <w:r>
        <w:rPr>
          <w:b/>
        </w:rPr>
        <w:t>1</w:t>
      </w:r>
      <w:r>
        <w:t xml:space="preserve">  </w:t>
      </w:r>
      <w:r>
        <w:rPr>
          <w:rFonts w:hint="eastAsia"/>
        </w:rPr>
        <w:t>设备用房：通信设备室、信号设备室、变电所控制室及设备室、综合监控设备室、消防控制室、自动售检票维修及重要管理用房等，设置安全等级</w:t>
      </w:r>
      <w:r>
        <w:rPr>
          <w:rFonts w:hint="eastAsia"/>
          <w:lang w:bidi="ar"/>
        </w:rPr>
        <w:t>不宜低于四级。</w:t>
      </w:r>
    </w:p>
    <w:p w14:paraId="57D943B8">
      <w:pPr>
        <w:ind w:firstLine="422" w:firstLineChars="200"/>
      </w:pPr>
      <w:r>
        <w:rPr>
          <w:b/>
        </w:rPr>
        <w:t xml:space="preserve">2 </w:t>
      </w:r>
      <w:r>
        <w:t xml:space="preserve"> </w:t>
      </w:r>
      <w:r>
        <w:rPr>
          <w:rFonts w:hint="eastAsia"/>
        </w:rPr>
        <w:t>管理用房：档案库房、财务室</w:t>
      </w:r>
      <w:r>
        <w:t>(</w:t>
      </w:r>
      <w:r>
        <w:rPr>
          <w:rFonts w:hint="eastAsia"/>
        </w:rPr>
        <w:t>库房</w:t>
      </w:r>
      <w:r>
        <w:t>)</w:t>
      </w:r>
      <w:r>
        <w:rPr>
          <w:rFonts w:hint="eastAsia"/>
        </w:rPr>
        <w:t>、材料库房、培训设备室、重要维修和测试设备用房，设置安全等级宜为四级；</w:t>
      </w:r>
    </w:p>
    <w:p w14:paraId="4507DFA2">
      <w:pPr>
        <w:ind w:firstLine="422" w:firstLineChars="200"/>
      </w:pPr>
      <w:r>
        <w:rPr>
          <w:b/>
        </w:rPr>
        <w:t>3</w:t>
      </w:r>
      <w:r>
        <w:t xml:space="preserve">  </w:t>
      </w:r>
      <w:r>
        <w:rPr>
          <w:rFonts w:hint="eastAsia"/>
        </w:rPr>
        <w:t>主变电所监控对象：通道门、设备房和控制室等，设置安全等级不宜低于三级；无人值班的主变电所的通道门宜设二级安全等级的门禁。</w:t>
      </w:r>
    </w:p>
    <w:p w14:paraId="5A1B1202">
      <w:pPr>
        <w:numPr>
          <w:ilvl w:val="2"/>
          <w:numId w:val="41"/>
        </w:numPr>
        <w:tabs>
          <w:tab w:val="left" w:pos="794"/>
          <w:tab w:val="left" w:pos="851"/>
          <w:tab w:val="left" w:pos="1701"/>
        </w:tabs>
        <w:jc w:val="left"/>
        <w:outlineLvl w:val="2"/>
        <w:rPr>
          <w:bCs/>
        </w:rPr>
      </w:pPr>
      <w:r>
        <w:rPr>
          <w:rFonts w:hint="eastAsia"/>
        </w:rPr>
        <w:t>设套间的</w:t>
      </w:r>
      <w:r>
        <w:rPr>
          <w:rFonts w:hint="eastAsia"/>
          <w:bCs/>
        </w:rPr>
        <w:t>房间宜在通向走道的门上设置门禁；当一个房间有多个门时，宜只在一个常用门处设置门禁。</w:t>
      </w:r>
    </w:p>
    <w:p w14:paraId="5B8EAD7E">
      <w:pPr>
        <w:numPr>
          <w:ilvl w:val="2"/>
          <w:numId w:val="41"/>
        </w:numPr>
        <w:tabs>
          <w:tab w:val="left" w:pos="794"/>
          <w:tab w:val="left" w:pos="851"/>
          <w:tab w:val="left" w:pos="1701"/>
        </w:tabs>
        <w:jc w:val="left"/>
        <w:outlineLvl w:val="2"/>
        <w:rPr>
          <w:bCs/>
        </w:rPr>
      </w:pPr>
      <w:r>
        <w:rPr>
          <w:rFonts w:hint="eastAsia"/>
          <w:bCs/>
        </w:rPr>
        <w:t>门禁系统的负荷等级应为一级负荷；宜设置不间断电源系统，后备供电时间为1h。</w:t>
      </w:r>
    </w:p>
    <w:p w14:paraId="0BA2A1A7">
      <w:pPr>
        <w:numPr>
          <w:ilvl w:val="2"/>
          <w:numId w:val="41"/>
        </w:numPr>
        <w:tabs>
          <w:tab w:val="left" w:pos="794"/>
          <w:tab w:val="left" w:pos="851"/>
          <w:tab w:val="left" w:pos="1701"/>
        </w:tabs>
        <w:jc w:val="left"/>
        <w:outlineLvl w:val="2"/>
        <w:rPr>
          <w:bCs/>
        </w:rPr>
      </w:pPr>
      <w:r>
        <w:rPr>
          <w:rFonts w:hint="eastAsia"/>
          <w:bCs/>
        </w:rPr>
        <w:t>门禁系统接地应与其他系统共用接地装置，接地电阻应不大于</w:t>
      </w:r>
      <w:r>
        <w:rPr>
          <w:bCs/>
        </w:rPr>
        <w:t>1Ω</w:t>
      </w:r>
      <w:r>
        <w:rPr>
          <w:rFonts w:hint="eastAsia"/>
          <w:bCs/>
        </w:rPr>
        <w:t>。所有门禁系统现场机柜及设备均应接地。</w:t>
      </w:r>
    </w:p>
    <w:p w14:paraId="79204633">
      <w:pPr>
        <w:numPr>
          <w:ilvl w:val="2"/>
          <w:numId w:val="41"/>
        </w:numPr>
        <w:tabs>
          <w:tab w:val="left" w:pos="794"/>
          <w:tab w:val="left" w:pos="851"/>
          <w:tab w:val="left" w:pos="1701"/>
        </w:tabs>
        <w:jc w:val="left"/>
        <w:outlineLvl w:val="2"/>
        <w:rPr>
          <w:bCs/>
        </w:rPr>
      </w:pPr>
      <w:r>
        <w:rPr>
          <w:rFonts w:hint="eastAsia"/>
          <w:bCs/>
        </w:rPr>
        <w:t>门禁系统防雷应符合现行国家标准《建筑物电子信息系统防雷设计规范》</w:t>
      </w:r>
      <w:r>
        <w:rPr>
          <w:bCs/>
        </w:rPr>
        <w:t>GB50343</w:t>
      </w:r>
      <w:r>
        <w:rPr>
          <w:rFonts w:hint="eastAsia"/>
          <w:bCs/>
        </w:rPr>
        <w:t>及其他国家相关标准、规范的有关规定。</w:t>
      </w:r>
    </w:p>
    <w:p w14:paraId="66321E1E">
      <w:pPr>
        <w:numPr>
          <w:ilvl w:val="2"/>
          <w:numId w:val="41"/>
        </w:numPr>
        <w:tabs>
          <w:tab w:val="left" w:pos="794"/>
          <w:tab w:val="left" w:pos="851"/>
          <w:tab w:val="left" w:pos="1701"/>
        </w:tabs>
        <w:jc w:val="left"/>
        <w:outlineLvl w:val="2"/>
        <w:rPr>
          <w:bCs/>
        </w:rPr>
      </w:pPr>
      <w:r>
        <w:rPr>
          <w:rFonts w:hint="eastAsia"/>
          <w:bCs/>
        </w:rPr>
        <w:t>门禁系统的数据线与电源线不应共用同一导管或电缆桥架布线。</w:t>
      </w:r>
    </w:p>
    <w:p w14:paraId="2BBA4E06">
      <w:pPr>
        <w:numPr>
          <w:ilvl w:val="2"/>
          <w:numId w:val="41"/>
        </w:numPr>
        <w:tabs>
          <w:tab w:val="left" w:pos="794"/>
          <w:tab w:val="left" w:pos="851"/>
          <w:tab w:val="left" w:pos="1701"/>
        </w:tabs>
        <w:jc w:val="left"/>
        <w:outlineLvl w:val="2"/>
        <w:rPr>
          <w:bCs/>
        </w:rPr>
      </w:pPr>
      <w:r>
        <w:rPr>
          <w:rFonts w:hint="eastAsia"/>
          <w:bCs/>
        </w:rPr>
        <w:t>门禁系统布线应考虑对周围环境电磁干扰的影响。采用屏蔽布线系统时，应保持系统中屏蔽层的连续性，以满足系统接地的可靠性，其电缆屏蔽层宜采用一点接地。</w:t>
      </w:r>
    </w:p>
    <w:p w14:paraId="25500FF4">
      <w:pPr>
        <w:numPr>
          <w:ilvl w:val="2"/>
          <w:numId w:val="41"/>
        </w:numPr>
        <w:tabs>
          <w:tab w:val="left" w:pos="794"/>
          <w:tab w:val="left" w:pos="851"/>
          <w:tab w:val="left" w:pos="1701"/>
        </w:tabs>
        <w:jc w:val="left"/>
        <w:outlineLvl w:val="2"/>
        <w:rPr>
          <w:lang w:bidi="ar"/>
        </w:rPr>
      </w:pPr>
      <w:r>
        <w:rPr>
          <w:rFonts w:hint="eastAsia"/>
          <w:bCs/>
        </w:rPr>
        <w:t>数据线宜采用</w:t>
      </w:r>
      <w:r>
        <w:rPr>
          <w:rFonts w:hint="eastAsia"/>
        </w:rPr>
        <w:t>低烟、无卤、阻燃、屏蔽电缆，宜采用燃烧性能不低于</w:t>
      </w:r>
      <w:r>
        <w:t>B1</w:t>
      </w:r>
      <w:r>
        <w:rPr>
          <w:rFonts w:hint="eastAsia"/>
        </w:rPr>
        <w:t>级的电缆或阻燃型电线</w:t>
      </w:r>
      <w:r>
        <w:rPr>
          <w:rFonts w:hint="eastAsia"/>
          <w:lang w:bidi="ar"/>
        </w:rPr>
        <w:t>。</w:t>
      </w:r>
    </w:p>
    <w:p w14:paraId="0B80B9F8">
      <w:pPr>
        <w:numPr>
          <w:ilvl w:val="2"/>
          <w:numId w:val="41"/>
        </w:numPr>
        <w:tabs>
          <w:tab w:val="left" w:pos="794"/>
          <w:tab w:val="left" w:pos="851"/>
          <w:tab w:val="left" w:pos="1701"/>
        </w:tabs>
        <w:jc w:val="left"/>
        <w:outlineLvl w:val="2"/>
      </w:pPr>
      <w:r>
        <w:rPr>
          <w:rFonts w:hint="eastAsia"/>
        </w:rPr>
        <w:t>设备用房宜</w:t>
      </w:r>
      <w:r>
        <w:rPr>
          <w:rFonts w:hint="eastAsia"/>
          <w:bCs/>
        </w:rPr>
        <w:t>与其他弱电系统设备合并设置，并宜靠近其他弱电设备房。设备</w:t>
      </w:r>
      <w:r>
        <w:rPr>
          <w:rFonts w:hint="eastAsia"/>
        </w:rPr>
        <w:t>用房环境应达到防尘、防潮、隔音，并应采取防静电措施。温度和湿度不应低于现行国家标准《数据中心设计规范》中标准。</w:t>
      </w:r>
    </w:p>
    <w:p w14:paraId="646B06A7">
      <w:pPr>
        <w:numPr>
          <w:ilvl w:val="1"/>
          <w:numId w:val="1"/>
        </w:numPr>
        <w:snapToGrid w:val="0"/>
        <w:spacing w:before="156" w:after="156" w:line="240" w:lineRule="auto"/>
        <w:jc w:val="center"/>
        <w:outlineLvl w:val="1"/>
        <w:rPr>
          <w:rFonts w:eastAsia="黑体"/>
          <w:bCs/>
          <w:szCs w:val="28"/>
        </w:rPr>
      </w:pPr>
      <w:bookmarkStart w:id="1802" w:name="_Toc183790657"/>
      <w:bookmarkStart w:id="1803" w:name="_Toc183882580"/>
      <w:bookmarkStart w:id="1804" w:name="_Toc183888270"/>
      <w:bookmarkStart w:id="1805" w:name="_Toc183882218"/>
      <w:bookmarkStart w:id="1806" w:name="_Toc183765227"/>
      <w:bookmarkStart w:id="1807" w:name="_Toc183888632"/>
      <w:bookmarkStart w:id="1808" w:name="_Toc183683621"/>
      <w:r>
        <w:rPr>
          <w:rFonts w:hint="eastAsia" w:eastAsia="黑体"/>
          <w:bCs/>
          <w:szCs w:val="28"/>
        </w:rPr>
        <w:t>周界防范</w:t>
      </w:r>
      <w:bookmarkEnd w:id="1802"/>
      <w:bookmarkEnd w:id="1803"/>
      <w:bookmarkEnd w:id="1804"/>
      <w:bookmarkEnd w:id="1805"/>
      <w:bookmarkEnd w:id="1806"/>
      <w:bookmarkEnd w:id="1807"/>
      <w:bookmarkEnd w:id="1808"/>
    </w:p>
    <w:p w14:paraId="78EB3145">
      <w:pPr>
        <w:numPr>
          <w:ilvl w:val="2"/>
          <w:numId w:val="41"/>
        </w:numPr>
        <w:tabs>
          <w:tab w:val="left" w:pos="794"/>
          <w:tab w:val="left" w:pos="851"/>
          <w:tab w:val="left" w:pos="1701"/>
        </w:tabs>
        <w:jc w:val="left"/>
        <w:outlineLvl w:val="2"/>
        <w:rPr>
          <w:bCs/>
        </w:rPr>
      </w:pPr>
      <w:r>
        <w:rPr>
          <w:rFonts w:hint="eastAsia"/>
        </w:rPr>
        <w:t>周界防范应</w:t>
      </w:r>
      <w:r>
        <w:rPr>
          <w:rFonts w:hint="eastAsia"/>
          <w:bCs/>
        </w:rPr>
        <w:t>实现对场段周界范围内进行监视预警，预防蓄意破坏、盗窃物资或恐怖犯罪活动的发生。</w:t>
      </w:r>
    </w:p>
    <w:p w14:paraId="71CE26E3">
      <w:pPr>
        <w:numPr>
          <w:ilvl w:val="2"/>
          <w:numId w:val="41"/>
        </w:numPr>
        <w:tabs>
          <w:tab w:val="left" w:pos="794"/>
          <w:tab w:val="left" w:pos="851"/>
          <w:tab w:val="left" w:pos="1701"/>
        </w:tabs>
        <w:jc w:val="left"/>
        <w:outlineLvl w:val="2"/>
        <w:rPr>
          <w:bCs/>
        </w:rPr>
      </w:pPr>
      <w:r>
        <w:rPr>
          <w:rFonts w:hint="eastAsia"/>
          <w:bCs/>
        </w:rPr>
        <w:t>周界防范宜包括入侵报警系统和车辆基地安防视频监控系统。车辆基地安防监控系统与车辆基地运营视频监控系统应分别独立设置。</w:t>
      </w:r>
    </w:p>
    <w:p w14:paraId="0CB6D85D">
      <w:pPr>
        <w:numPr>
          <w:ilvl w:val="2"/>
          <w:numId w:val="41"/>
        </w:numPr>
        <w:tabs>
          <w:tab w:val="left" w:pos="794"/>
          <w:tab w:val="left" w:pos="851"/>
          <w:tab w:val="left" w:pos="1701"/>
        </w:tabs>
        <w:jc w:val="left"/>
        <w:outlineLvl w:val="2"/>
        <w:rPr>
          <w:bCs/>
        </w:rPr>
      </w:pPr>
      <w:r>
        <w:rPr>
          <w:rFonts w:hint="eastAsia"/>
          <w:bCs/>
        </w:rPr>
        <w:t>周界防护应根据现场环境和安全防范管理要求，选择设置实体防护、入侵探测、视频监控等设施，有效覆盖需要防护的区域。</w:t>
      </w:r>
    </w:p>
    <w:p w14:paraId="5D97320A">
      <w:pPr>
        <w:numPr>
          <w:ilvl w:val="2"/>
          <w:numId w:val="41"/>
        </w:numPr>
        <w:tabs>
          <w:tab w:val="left" w:pos="794"/>
          <w:tab w:val="left" w:pos="851"/>
          <w:tab w:val="left" w:pos="1701"/>
        </w:tabs>
        <w:jc w:val="left"/>
        <w:outlineLvl w:val="2"/>
        <w:rPr>
          <w:bCs/>
        </w:rPr>
      </w:pPr>
      <w:r>
        <w:rPr>
          <w:rFonts w:hint="eastAsia"/>
          <w:bCs/>
        </w:rPr>
        <w:t>周界防护应具有使用灵活性，并应能按管理要求灵活制定操作流程、符合用户管理安全要求。</w:t>
      </w:r>
    </w:p>
    <w:p w14:paraId="0C6783B3">
      <w:pPr>
        <w:numPr>
          <w:ilvl w:val="2"/>
          <w:numId w:val="41"/>
        </w:numPr>
        <w:tabs>
          <w:tab w:val="left" w:pos="794"/>
          <w:tab w:val="left" w:pos="851"/>
          <w:tab w:val="left" w:pos="1701"/>
        </w:tabs>
        <w:jc w:val="left"/>
        <w:outlineLvl w:val="2"/>
        <w:rPr>
          <w:bCs/>
        </w:rPr>
      </w:pPr>
      <w:r>
        <w:rPr>
          <w:rFonts w:hint="eastAsia"/>
          <w:bCs/>
        </w:rPr>
        <w:t>周界防范覆盖范围应为车辆基地周界围墙、敞开区围墙。</w:t>
      </w:r>
    </w:p>
    <w:p w14:paraId="7A342A3D">
      <w:pPr>
        <w:numPr>
          <w:ilvl w:val="2"/>
          <w:numId w:val="41"/>
        </w:numPr>
        <w:tabs>
          <w:tab w:val="left" w:pos="794"/>
          <w:tab w:val="left" w:pos="851"/>
          <w:tab w:val="left" w:pos="1701"/>
        </w:tabs>
        <w:jc w:val="left"/>
        <w:outlineLvl w:val="2"/>
        <w:rPr>
          <w:bCs/>
        </w:rPr>
      </w:pPr>
      <w:r>
        <w:rPr>
          <w:rFonts w:hint="eastAsia"/>
          <w:bCs/>
        </w:rPr>
        <w:t>入侵报警系统应由前端设备、传输设备、控制、显示、处理和记录设备组成。</w:t>
      </w:r>
    </w:p>
    <w:p w14:paraId="3E45598D">
      <w:pPr>
        <w:numPr>
          <w:ilvl w:val="2"/>
          <w:numId w:val="41"/>
        </w:numPr>
        <w:tabs>
          <w:tab w:val="left" w:pos="794"/>
          <w:tab w:val="left" w:pos="851"/>
          <w:tab w:val="left" w:pos="1701"/>
        </w:tabs>
        <w:jc w:val="left"/>
        <w:outlineLvl w:val="2"/>
      </w:pPr>
      <w:r>
        <w:rPr>
          <w:rFonts w:hint="eastAsia"/>
          <w:bCs/>
        </w:rPr>
        <w:t>视频监控系统</w:t>
      </w:r>
      <w:r>
        <w:rPr>
          <w:rFonts w:hint="eastAsia"/>
        </w:rPr>
        <w:t>应由摄像机、视频处理设备、存储设备、监视及操作终端、管理软件、传输网络和附属设备组成。</w:t>
      </w:r>
    </w:p>
    <w:p w14:paraId="05894593">
      <w:pPr>
        <w:numPr>
          <w:ilvl w:val="2"/>
          <w:numId w:val="41"/>
        </w:numPr>
        <w:tabs>
          <w:tab w:val="left" w:pos="794"/>
          <w:tab w:val="left" w:pos="851"/>
          <w:tab w:val="left" w:pos="1701"/>
        </w:tabs>
        <w:jc w:val="left"/>
        <w:outlineLvl w:val="2"/>
      </w:pPr>
      <w:r>
        <w:rPr>
          <w:rFonts w:hint="eastAsia"/>
        </w:rPr>
        <w:t>周界的每一个独立防区长度不宜大于</w:t>
      </w:r>
      <w:r>
        <w:t>200m</w:t>
      </w:r>
      <w:r>
        <w:rPr>
          <w:rFonts w:hint="eastAsia"/>
        </w:rPr>
        <w:t>，每个防区单元可配置摄像机。</w:t>
      </w:r>
    </w:p>
    <w:p w14:paraId="7E3ED996">
      <w:pPr>
        <w:numPr>
          <w:ilvl w:val="2"/>
          <w:numId w:val="41"/>
        </w:numPr>
        <w:tabs>
          <w:tab w:val="left" w:pos="794"/>
          <w:tab w:val="left" w:pos="851"/>
          <w:tab w:val="left" w:pos="1701"/>
        </w:tabs>
        <w:jc w:val="left"/>
        <w:outlineLvl w:val="2"/>
      </w:pPr>
      <w:r>
        <w:rPr>
          <w:rFonts w:hint="eastAsia"/>
        </w:rPr>
        <w:t>入侵报警系统应具备以下功能：</w:t>
      </w:r>
    </w:p>
    <w:p w14:paraId="4C2E50BE">
      <w:pPr>
        <w:pStyle w:val="86"/>
        <w:ind w:firstLine="422"/>
        <w:rPr>
          <w:color w:val="auto"/>
        </w:rPr>
      </w:pPr>
      <w:r>
        <w:rPr>
          <w:b/>
          <w:color w:val="auto"/>
        </w:rPr>
        <w:t>1</w:t>
      </w:r>
      <w:r>
        <w:rPr>
          <w:color w:val="auto"/>
        </w:rPr>
        <w:t xml:space="preserve">  </w:t>
      </w:r>
      <w:r>
        <w:rPr>
          <w:rFonts w:hint="eastAsia"/>
          <w:color w:val="auto"/>
        </w:rPr>
        <w:t>系统应准确、及时地探测入侵行为和紧急报警装置触发状态</w:t>
      </w:r>
      <w:r>
        <w:rPr>
          <w:color w:val="auto"/>
        </w:rPr>
        <w:t>,</w:t>
      </w:r>
      <w:r>
        <w:rPr>
          <w:rFonts w:hint="eastAsia"/>
          <w:color w:val="auto"/>
        </w:rPr>
        <w:t>发出报警信号；</w:t>
      </w:r>
    </w:p>
    <w:p w14:paraId="27DC6F9A">
      <w:pPr>
        <w:pStyle w:val="86"/>
        <w:ind w:firstLine="422"/>
        <w:rPr>
          <w:color w:val="auto"/>
        </w:rPr>
      </w:pPr>
      <w:r>
        <w:rPr>
          <w:b/>
          <w:color w:val="auto"/>
        </w:rPr>
        <w:t xml:space="preserve">2 </w:t>
      </w:r>
      <w:r>
        <w:rPr>
          <w:color w:val="auto"/>
        </w:rPr>
        <w:t xml:space="preserve"> </w:t>
      </w:r>
      <w:r>
        <w:rPr>
          <w:rFonts w:hint="eastAsia"/>
          <w:color w:val="auto"/>
        </w:rPr>
        <w:t>入侵探测器和控制指示设备应具有防拆报警功能；</w:t>
      </w:r>
    </w:p>
    <w:p w14:paraId="4EB233F9">
      <w:pPr>
        <w:pStyle w:val="86"/>
        <w:ind w:firstLine="422"/>
        <w:rPr>
          <w:color w:val="auto"/>
        </w:rPr>
      </w:pPr>
      <w:r>
        <w:rPr>
          <w:b/>
          <w:color w:val="auto"/>
        </w:rPr>
        <w:t xml:space="preserve">3 </w:t>
      </w:r>
      <w:r>
        <w:rPr>
          <w:color w:val="auto"/>
        </w:rPr>
        <w:t xml:space="preserve"> </w:t>
      </w:r>
      <w:r>
        <w:rPr>
          <w:rFonts w:hint="eastAsia"/>
          <w:color w:val="auto"/>
        </w:rPr>
        <w:t>当报警信号传输线缆断路或短路、探测器电源线被切断时</w:t>
      </w:r>
      <w:r>
        <w:rPr>
          <w:color w:val="auto"/>
        </w:rPr>
        <w:t>,</w:t>
      </w:r>
      <w:r>
        <w:rPr>
          <w:rFonts w:hint="eastAsia"/>
          <w:color w:val="auto"/>
        </w:rPr>
        <w:t>控制指示设备应能发出报警信号；</w:t>
      </w:r>
    </w:p>
    <w:p w14:paraId="2580A6CF">
      <w:pPr>
        <w:pStyle w:val="86"/>
        <w:ind w:firstLine="422"/>
        <w:rPr>
          <w:color w:val="auto"/>
        </w:rPr>
      </w:pPr>
      <w:r>
        <w:rPr>
          <w:b/>
          <w:color w:val="auto"/>
        </w:rPr>
        <w:t>4</w:t>
      </w:r>
      <w:r>
        <w:rPr>
          <w:color w:val="auto"/>
        </w:rPr>
        <w:t xml:space="preserve">  </w:t>
      </w:r>
      <w:r>
        <w:rPr>
          <w:rFonts w:hint="eastAsia"/>
          <w:color w:val="auto"/>
        </w:rPr>
        <w:t>系统应具有参数设置和用户权限设置功能；</w:t>
      </w:r>
    </w:p>
    <w:p w14:paraId="538C1463">
      <w:pPr>
        <w:pStyle w:val="86"/>
        <w:ind w:firstLine="422"/>
        <w:rPr>
          <w:color w:val="auto"/>
        </w:rPr>
      </w:pPr>
      <w:r>
        <w:rPr>
          <w:b/>
          <w:color w:val="auto"/>
        </w:rPr>
        <w:t xml:space="preserve">5 </w:t>
      </w:r>
      <w:r>
        <w:rPr>
          <w:color w:val="auto"/>
        </w:rPr>
        <w:t xml:space="preserve"> </w:t>
      </w:r>
      <w:r>
        <w:rPr>
          <w:rFonts w:hint="eastAsia"/>
          <w:color w:val="auto"/>
        </w:rPr>
        <w:t>系统应具有设防、撤防、旁路、胁迫报警等功能；</w:t>
      </w:r>
    </w:p>
    <w:p w14:paraId="3FF6F4DA">
      <w:pPr>
        <w:pStyle w:val="86"/>
        <w:ind w:firstLine="422"/>
        <w:rPr>
          <w:color w:val="auto"/>
        </w:rPr>
      </w:pPr>
      <w:r>
        <w:rPr>
          <w:b/>
          <w:color w:val="auto"/>
        </w:rPr>
        <w:t>6</w:t>
      </w:r>
      <w:r>
        <w:rPr>
          <w:color w:val="auto"/>
        </w:rPr>
        <w:t xml:space="preserve">  </w:t>
      </w:r>
      <w:r>
        <w:rPr>
          <w:rFonts w:hint="eastAsia"/>
          <w:color w:val="auto"/>
        </w:rPr>
        <w:t>系统应能对入侵、紧急、防拆、故障等报警信号准确指示；</w:t>
      </w:r>
    </w:p>
    <w:p w14:paraId="001C35B4">
      <w:pPr>
        <w:pStyle w:val="86"/>
        <w:ind w:firstLine="422"/>
        <w:rPr>
          <w:color w:val="auto"/>
        </w:rPr>
      </w:pPr>
      <w:r>
        <w:rPr>
          <w:b/>
          <w:color w:val="auto"/>
        </w:rPr>
        <w:t>7</w:t>
      </w:r>
      <w:r>
        <w:rPr>
          <w:color w:val="auto"/>
        </w:rPr>
        <w:t xml:space="preserve">  </w:t>
      </w:r>
      <w:r>
        <w:rPr>
          <w:rFonts w:hint="eastAsia"/>
          <w:color w:val="auto"/>
        </w:rPr>
        <w:t>系统应能对操作、报警和警情处理等事件进行记录，且不可更改；</w:t>
      </w:r>
    </w:p>
    <w:p w14:paraId="5544DA16">
      <w:pPr>
        <w:pStyle w:val="86"/>
        <w:ind w:firstLine="422"/>
        <w:rPr>
          <w:color w:val="auto"/>
        </w:rPr>
      </w:pPr>
      <w:r>
        <w:rPr>
          <w:b/>
          <w:color w:val="auto"/>
        </w:rPr>
        <w:t xml:space="preserve">8 </w:t>
      </w:r>
      <w:r>
        <w:rPr>
          <w:color w:val="auto"/>
        </w:rPr>
        <w:t xml:space="preserve"> </w:t>
      </w:r>
      <w:r>
        <w:rPr>
          <w:rFonts w:hint="eastAsia"/>
          <w:color w:val="auto"/>
        </w:rPr>
        <w:t>单控制器系统报警响应时间不应超过</w:t>
      </w:r>
      <w:r>
        <w:rPr>
          <w:color w:val="auto"/>
        </w:rPr>
        <w:t>2s</w:t>
      </w:r>
      <w:r>
        <w:rPr>
          <w:rFonts w:hint="eastAsia"/>
          <w:color w:val="auto"/>
        </w:rPr>
        <w:t>；</w:t>
      </w:r>
    </w:p>
    <w:p w14:paraId="4D6F5177">
      <w:pPr>
        <w:numPr>
          <w:ilvl w:val="2"/>
          <w:numId w:val="41"/>
        </w:numPr>
        <w:tabs>
          <w:tab w:val="left" w:pos="794"/>
          <w:tab w:val="left" w:pos="851"/>
          <w:tab w:val="left" w:pos="1701"/>
        </w:tabs>
        <w:jc w:val="left"/>
        <w:outlineLvl w:val="2"/>
      </w:pPr>
      <w:r>
        <w:rPr>
          <w:rFonts w:hint="eastAsia"/>
        </w:rPr>
        <w:t>车辆基地视频监控系统应具备以下功能：</w:t>
      </w:r>
    </w:p>
    <w:p w14:paraId="4295116E">
      <w:pPr>
        <w:pStyle w:val="86"/>
        <w:ind w:firstLine="422"/>
        <w:rPr>
          <w:color w:val="auto"/>
        </w:rPr>
      </w:pPr>
      <w:r>
        <w:rPr>
          <w:b/>
          <w:color w:val="auto"/>
        </w:rPr>
        <w:t>1</w:t>
      </w:r>
      <w:r>
        <w:rPr>
          <w:color w:val="auto"/>
        </w:rPr>
        <w:t xml:space="preserve">  </w:t>
      </w:r>
      <w:r>
        <w:rPr>
          <w:rFonts w:hint="eastAsia"/>
          <w:color w:val="auto"/>
        </w:rPr>
        <w:t>系统的监控区域应有效覆盖保护区域、部位和目标，监视效果应满足场景监控或目标特征识别的需求；</w:t>
      </w:r>
    </w:p>
    <w:p w14:paraId="6BCA8293">
      <w:pPr>
        <w:pStyle w:val="86"/>
        <w:ind w:firstLine="422"/>
        <w:rPr>
          <w:color w:val="auto"/>
        </w:rPr>
      </w:pPr>
      <w:r>
        <w:rPr>
          <w:b/>
          <w:color w:val="auto"/>
        </w:rPr>
        <w:t>2</w:t>
      </w:r>
      <w:r>
        <w:rPr>
          <w:color w:val="auto"/>
        </w:rPr>
        <w:t xml:space="preserve">  </w:t>
      </w:r>
      <w:r>
        <w:rPr>
          <w:rFonts w:hint="eastAsia"/>
          <w:color w:val="auto"/>
        </w:rPr>
        <w:t>系统应具备按照授权对前端视频采集设备进行实时控制，或进行工作状态调整的能力；</w:t>
      </w:r>
    </w:p>
    <w:p w14:paraId="53002488">
      <w:pPr>
        <w:pStyle w:val="86"/>
        <w:ind w:firstLine="422"/>
        <w:rPr>
          <w:color w:val="auto"/>
        </w:rPr>
      </w:pPr>
      <w:r>
        <w:rPr>
          <w:b/>
          <w:color w:val="auto"/>
        </w:rPr>
        <w:t xml:space="preserve">3 </w:t>
      </w:r>
      <w:r>
        <w:rPr>
          <w:color w:val="auto"/>
        </w:rPr>
        <w:t xml:space="preserve"> </w:t>
      </w:r>
      <w:r>
        <w:rPr>
          <w:rFonts w:hint="eastAsia"/>
          <w:color w:val="auto"/>
        </w:rPr>
        <w:t>系统应具备按照授权实时调度指定视频信号到指定终端的能力；</w:t>
      </w:r>
    </w:p>
    <w:p w14:paraId="47865B3C">
      <w:pPr>
        <w:pStyle w:val="86"/>
        <w:ind w:firstLine="422"/>
        <w:rPr>
          <w:color w:val="auto"/>
        </w:rPr>
      </w:pPr>
      <w:r>
        <w:rPr>
          <w:b/>
          <w:color w:val="auto"/>
        </w:rPr>
        <w:t>4</w:t>
      </w:r>
      <w:r>
        <w:rPr>
          <w:color w:val="auto"/>
        </w:rPr>
        <w:t xml:space="preserve">  </w:t>
      </w:r>
      <w:r>
        <w:rPr>
          <w:rFonts w:hint="eastAsia"/>
          <w:color w:val="auto"/>
        </w:rPr>
        <w:t>系统应能实时显示系统内的所有视频图像；视频图像信息存储的时间不应少于</w:t>
      </w:r>
      <w:r>
        <w:rPr>
          <w:color w:val="auto"/>
        </w:rPr>
        <w:t>30d</w:t>
      </w:r>
      <w:r>
        <w:rPr>
          <w:rFonts w:hint="eastAsia"/>
          <w:color w:val="auto"/>
        </w:rPr>
        <w:t>；</w:t>
      </w:r>
    </w:p>
    <w:p w14:paraId="0866E0DF">
      <w:pPr>
        <w:pStyle w:val="86"/>
        <w:ind w:firstLine="422"/>
        <w:rPr>
          <w:color w:val="auto"/>
        </w:rPr>
      </w:pPr>
      <w:r>
        <w:rPr>
          <w:b/>
          <w:color w:val="auto"/>
        </w:rPr>
        <w:t>5</w:t>
      </w:r>
      <w:r>
        <w:rPr>
          <w:color w:val="auto"/>
        </w:rPr>
        <w:t xml:space="preserve">  </w:t>
      </w:r>
      <w:r>
        <w:rPr>
          <w:rFonts w:hint="eastAsia"/>
          <w:color w:val="auto"/>
        </w:rPr>
        <w:t>系统应具备设备管理、用户管理及日志管理等功能。</w:t>
      </w:r>
    </w:p>
    <w:p w14:paraId="6DCD76D8">
      <w:pPr>
        <w:numPr>
          <w:ilvl w:val="2"/>
          <w:numId w:val="41"/>
        </w:numPr>
        <w:tabs>
          <w:tab w:val="left" w:pos="794"/>
          <w:tab w:val="left" w:pos="851"/>
          <w:tab w:val="left" w:pos="1701"/>
        </w:tabs>
        <w:jc w:val="left"/>
        <w:outlineLvl w:val="2"/>
      </w:pPr>
      <w:r>
        <w:rPr>
          <w:rFonts w:hint="eastAsia"/>
        </w:rPr>
        <w:t>周界</w:t>
      </w:r>
      <w:r>
        <w:rPr>
          <w:rFonts w:hint="eastAsia"/>
          <w:bCs/>
        </w:rPr>
        <w:t>防范</w:t>
      </w:r>
      <w:r>
        <w:rPr>
          <w:rFonts w:hint="eastAsia"/>
        </w:rPr>
        <w:t>供电设计应符合现行国家标准《安全防范工程技术标准》GB50384的规定,并应符合下列规定:</w:t>
      </w:r>
    </w:p>
    <w:p w14:paraId="7E552045">
      <w:pPr>
        <w:pStyle w:val="86"/>
        <w:ind w:firstLine="422"/>
        <w:rPr>
          <w:color w:val="auto"/>
        </w:rPr>
      </w:pPr>
      <w:r>
        <w:rPr>
          <w:b/>
          <w:color w:val="auto"/>
        </w:rPr>
        <w:t>1</w:t>
      </w:r>
      <w:r>
        <w:rPr>
          <w:color w:val="auto"/>
        </w:rPr>
        <w:t xml:space="preserve">  </w:t>
      </w:r>
      <w:r>
        <w:rPr>
          <w:rFonts w:hint="eastAsia"/>
          <w:color w:val="auto"/>
        </w:rPr>
        <w:t>系统电源应保证对设备不间断、无瞬变供电；</w:t>
      </w:r>
    </w:p>
    <w:p w14:paraId="22C3F52C">
      <w:pPr>
        <w:pStyle w:val="86"/>
        <w:ind w:firstLine="422"/>
        <w:rPr>
          <w:color w:val="auto"/>
        </w:rPr>
      </w:pPr>
      <w:r>
        <w:rPr>
          <w:b/>
          <w:color w:val="auto"/>
        </w:rPr>
        <w:t>2</w:t>
      </w:r>
      <w:r>
        <w:rPr>
          <w:color w:val="auto"/>
        </w:rPr>
        <w:t xml:space="preserve">  </w:t>
      </w:r>
      <w:r>
        <w:rPr>
          <w:rFonts w:hint="eastAsia"/>
          <w:color w:val="auto"/>
        </w:rPr>
        <w:t>车辆基地视频监控系统的供电设计应符合现行国家标准《视频安防监控系统工程设计规范》</w:t>
      </w:r>
      <w:r>
        <w:rPr>
          <w:color w:val="auto"/>
        </w:rPr>
        <w:t>GB50395</w:t>
      </w:r>
      <w:r>
        <w:rPr>
          <w:rFonts w:hint="eastAsia"/>
          <w:color w:val="auto"/>
        </w:rPr>
        <w:t>的规定；</w:t>
      </w:r>
    </w:p>
    <w:p w14:paraId="52A1676F">
      <w:pPr>
        <w:pStyle w:val="86"/>
        <w:ind w:firstLine="422"/>
        <w:rPr>
          <w:color w:val="auto"/>
        </w:rPr>
      </w:pPr>
      <w:r>
        <w:rPr>
          <w:b/>
          <w:color w:val="auto"/>
        </w:rPr>
        <w:t xml:space="preserve">3 </w:t>
      </w:r>
      <w:r>
        <w:rPr>
          <w:color w:val="auto"/>
        </w:rPr>
        <w:t xml:space="preserve"> </w:t>
      </w:r>
      <w:r>
        <w:rPr>
          <w:rFonts w:hint="eastAsia"/>
          <w:color w:val="auto"/>
        </w:rPr>
        <w:t>人侵报警系统的供电设计应符合现行国家标准《入侵报警系统工程设计规范》</w:t>
      </w:r>
      <w:r>
        <w:rPr>
          <w:color w:val="auto"/>
        </w:rPr>
        <w:t>GB50394</w:t>
      </w:r>
      <w:r>
        <w:rPr>
          <w:rFonts w:hint="eastAsia"/>
          <w:color w:val="auto"/>
        </w:rPr>
        <w:t>的规定。</w:t>
      </w:r>
    </w:p>
    <w:p w14:paraId="1509EDFC">
      <w:pPr>
        <w:numPr>
          <w:ilvl w:val="2"/>
          <w:numId w:val="41"/>
        </w:numPr>
        <w:tabs>
          <w:tab w:val="left" w:pos="794"/>
          <w:tab w:val="left" w:pos="851"/>
          <w:tab w:val="left" w:pos="1701"/>
        </w:tabs>
        <w:jc w:val="left"/>
        <w:outlineLvl w:val="2"/>
      </w:pPr>
      <w:r>
        <w:rPr>
          <w:rFonts w:hint="eastAsia"/>
        </w:rPr>
        <w:t>周界防范防雷与接地设计应符合现行国家标准《安全防范工程技术标准》</w:t>
      </w:r>
      <w:r>
        <w:rPr>
          <w:rFonts w:hint="eastAsia"/>
          <w:bCs/>
        </w:rPr>
        <w:t>GB50384</w:t>
      </w:r>
      <w:r>
        <w:rPr>
          <w:rFonts w:hint="eastAsia"/>
        </w:rPr>
        <w:t>的规定,并应符合下列规定:</w:t>
      </w:r>
    </w:p>
    <w:p w14:paraId="38FB9C29">
      <w:pPr>
        <w:pStyle w:val="86"/>
        <w:ind w:firstLine="422"/>
        <w:rPr>
          <w:color w:val="auto"/>
        </w:rPr>
      </w:pPr>
      <w:r>
        <w:rPr>
          <w:b/>
          <w:color w:val="auto"/>
        </w:rPr>
        <w:t>1</w:t>
      </w:r>
      <w:r>
        <w:rPr>
          <w:color w:val="auto"/>
        </w:rPr>
        <w:t xml:space="preserve">  </w:t>
      </w:r>
      <w:r>
        <w:rPr>
          <w:rFonts w:hint="eastAsia"/>
          <w:color w:val="auto"/>
        </w:rPr>
        <w:t>系统采用联合接地，接地电阻应不大于</w:t>
      </w:r>
      <w:r>
        <w:rPr>
          <w:color w:val="auto"/>
        </w:rPr>
        <w:t>1Ω</w:t>
      </w:r>
      <w:r>
        <w:rPr>
          <w:rFonts w:hint="eastAsia"/>
          <w:color w:val="auto"/>
        </w:rPr>
        <w:t>。</w:t>
      </w:r>
    </w:p>
    <w:p w14:paraId="27A2B2E7">
      <w:pPr>
        <w:pStyle w:val="86"/>
        <w:ind w:firstLine="422"/>
        <w:rPr>
          <w:color w:val="auto"/>
        </w:rPr>
      </w:pPr>
      <w:r>
        <w:rPr>
          <w:b/>
          <w:color w:val="auto"/>
        </w:rPr>
        <w:t xml:space="preserve">2 </w:t>
      </w:r>
      <w:r>
        <w:rPr>
          <w:color w:val="auto"/>
        </w:rPr>
        <w:t xml:space="preserve"> </w:t>
      </w:r>
      <w:r>
        <w:rPr>
          <w:rFonts w:hint="eastAsia"/>
          <w:color w:val="auto"/>
        </w:rPr>
        <w:t>车辆基地视频监控系统的供电设计应符合现行国家标准《视频安防监控系统工程设计规范》</w:t>
      </w:r>
      <w:r>
        <w:rPr>
          <w:color w:val="auto"/>
        </w:rPr>
        <w:t>GB50395</w:t>
      </w:r>
      <w:r>
        <w:rPr>
          <w:rFonts w:hint="eastAsia"/>
          <w:color w:val="auto"/>
        </w:rPr>
        <w:t>的规定；</w:t>
      </w:r>
    </w:p>
    <w:p w14:paraId="27B611E0">
      <w:pPr>
        <w:pStyle w:val="86"/>
        <w:ind w:firstLine="422"/>
        <w:rPr>
          <w:color w:val="auto"/>
        </w:rPr>
      </w:pPr>
      <w:r>
        <w:rPr>
          <w:b/>
          <w:color w:val="auto"/>
        </w:rPr>
        <w:t>3</w:t>
      </w:r>
      <w:r>
        <w:rPr>
          <w:color w:val="auto"/>
        </w:rPr>
        <w:t xml:space="preserve">  </w:t>
      </w:r>
      <w:r>
        <w:rPr>
          <w:rFonts w:hint="eastAsia"/>
          <w:color w:val="auto"/>
        </w:rPr>
        <w:t>人侵报警系统的供电设计应符合现行国家标准《入侵报警系统工程设计规范》</w:t>
      </w:r>
      <w:r>
        <w:rPr>
          <w:color w:val="auto"/>
        </w:rPr>
        <w:t>GB50394</w:t>
      </w:r>
      <w:r>
        <w:rPr>
          <w:rFonts w:hint="eastAsia"/>
          <w:color w:val="auto"/>
        </w:rPr>
        <w:t>的规定。</w:t>
      </w:r>
    </w:p>
    <w:p w14:paraId="0ED87C92">
      <w:pPr>
        <w:numPr>
          <w:ilvl w:val="1"/>
          <w:numId w:val="1"/>
        </w:numPr>
        <w:snapToGrid w:val="0"/>
        <w:spacing w:before="156" w:after="156" w:line="240" w:lineRule="auto"/>
        <w:jc w:val="center"/>
        <w:outlineLvl w:val="1"/>
        <w:rPr>
          <w:rFonts w:eastAsia="黑体"/>
          <w:bCs/>
          <w:szCs w:val="28"/>
        </w:rPr>
      </w:pPr>
      <w:bookmarkStart w:id="1809" w:name="_bookmark171"/>
      <w:bookmarkEnd w:id="1809"/>
      <w:bookmarkStart w:id="1810" w:name="_bookmark170"/>
      <w:bookmarkEnd w:id="1810"/>
      <w:bookmarkStart w:id="1811" w:name="_bookmark168"/>
      <w:bookmarkEnd w:id="1811"/>
      <w:bookmarkStart w:id="1812" w:name="_bookmark306"/>
      <w:bookmarkEnd w:id="1812"/>
      <w:bookmarkStart w:id="1813" w:name="_bookmark305"/>
      <w:bookmarkEnd w:id="1813"/>
      <w:bookmarkStart w:id="1814" w:name="_bookmark304"/>
      <w:bookmarkEnd w:id="1814"/>
      <w:bookmarkStart w:id="1815" w:name="_bookmark303"/>
      <w:bookmarkEnd w:id="1815"/>
      <w:bookmarkStart w:id="1816" w:name="_bookmark169"/>
      <w:bookmarkEnd w:id="1816"/>
      <w:bookmarkStart w:id="1817" w:name="_bookmark167"/>
      <w:bookmarkEnd w:id="1817"/>
      <w:bookmarkStart w:id="1818" w:name="_Toc183882219"/>
      <w:bookmarkStart w:id="1819" w:name="_Toc183790658"/>
      <w:bookmarkStart w:id="1820" w:name="_Toc183765228"/>
      <w:bookmarkStart w:id="1821" w:name="_Toc183882581"/>
      <w:bookmarkStart w:id="1822" w:name="_Toc183683622"/>
      <w:bookmarkStart w:id="1823" w:name="_Toc183888271"/>
      <w:bookmarkStart w:id="1824" w:name="_Toc183888633"/>
      <w:r>
        <w:rPr>
          <w:rFonts w:hint="eastAsia" w:eastAsia="黑体"/>
          <w:bCs/>
          <w:szCs w:val="28"/>
        </w:rPr>
        <w:t>安全检查及探测系统</w:t>
      </w:r>
      <w:bookmarkEnd w:id="1818"/>
      <w:bookmarkEnd w:id="1819"/>
      <w:bookmarkEnd w:id="1820"/>
      <w:bookmarkEnd w:id="1821"/>
      <w:bookmarkEnd w:id="1822"/>
      <w:bookmarkEnd w:id="1823"/>
      <w:bookmarkEnd w:id="1824"/>
    </w:p>
    <w:p w14:paraId="222F9760">
      <w:pPr>
        <w:numPr>
          <w:ilvl w:val="2"/>
          <w:numId w:val="1"/>
        </w:numPr>
        <w:tabs>
          <w:tab w:val="left" w:pos="709"/>
        </w:tabs>
        <w:jc w:val="left"/>
        <w:outlineLvl w:val="2"/>
        <w:rPr>
          <w:bCs/>
        </w:rPr>
      </w:pPr>
      <w:r>
        <w:rPr>
          <w:rFonts w:hint="eastAsia"/>
          <w:bCs/>
        </w:rPr>
        <w:t>轨道交通工程应设置安全检测及探测系统。</w:t>
      </w:r>
    </w:p>
    <w:p w14:paraId="16CF0968">
      <w:pPr>
        <w:numPr>
          <w:ilvl w:val="2"/>
          <w:numId w:val="1"/>
        </w:numPr>
        <w:tabs>
          <w:tab w:val="left" w:pos="709"/>
          <w:tab w:val="left" w:pos="794"/>
        </w:tabs>
        <w:jc w:val="left"/>
        <w:outlineLvl w:val="2"/>
        <w:rPr>
          <w:bCs/>
        </w:rPr>
      </w:pPr>
      <w:r>
        <w:rPr>
          <w:rFonts w:hint="eastAsia"/>
          <w:bCs/>
        </w:rPr>
        <w:t>系统设备应根据初期超高峰小时客流量进行配置，并按远期超高峰小时客流量预留相关条件。</w:t>
      </w:r>
    </w:p>
    <w:p w14:paraId="1FA891DB">
      <w:pPr>
        <w:numPr>
          <w:ilvl w:val="2"/>
          <w:numId w:val="1"/>
        </w:numPr>
        <w:tabs>
          <w:tab w:val="left" w:pos="709"/>
          <w:tab w:val="left" w:pos="794"/>
        </w:tabs>
        <w:jc w:val="left"/>
        <w:outlineLvl w:val="2"/>
        <w:rPr>
          <w:bCs/>
        </w:rPr>
      </w:pPr>
      <w:r>
        <w:rPr>
          <w:rFonts w:hint="eastAsia"/>
          <w:bCs/>
        </w:rPr>
        <w:t>大型交通枢纽站安检设备设施宜采用安检互信的方式，当条件不具备时，应预留远期安检互信实施条件。</w:t>
      </w:r>
    </w:p>
    <w:p w14:paraId="20F04571">
      <w:pPr>
        <w:numPr>
          <w:ilvl w:val="2"/>
          <w:numId w:val="1"/>
        </w:numPr>
        <w:tabs>
          <w:tab w:val="left" w:pos="709"/>
          <w:tab w:val="left" w:pos="794"/>
        </w:tabs>
        <w:jc w:val="left"/>
        <w:outlineLvl w:val="2"/>
        <w:rPr>
          <w:bCs/>
        </w:rPr>
      </w:pPr>
      <w:r>
        <w:rPr>
          <w:rFonts w:hint="eastAsia"/>
          <w:bCs/>
        </w:rPr>
        <w:t>系统设备应具有组网功能，采用标准开放的网络协议，预留实现相关联动功能。</w:t>
      </w:r>
    </w:p>
    <w:p w14:paraId="3CA4D372">
      <w:pPr>
        <w:numPr>
          <w:ilvl w:val="2"/>
          <w:numId w:val="1"/>
        </w:numPr>
        <w:tabs>
          <w:tab w:val="left" w:pos="709"/>
          <w:tab w:val="left" w:pos="794"/>
        </w:tabs>
        <w:jc w:val="left"/>
        <w:outlineLvl w:val="2"/>
        <w:rPr>
          <w:bCs/>
        </w:rPr>
      </w:pPr>
      <w:r>
        <w:rPr>
          <w:rFonts w:hint="eastAsia"/>
          <w:bCs/>
        </w:rPr>
        <w:t>在轨道交通车站内设置的安全检测及探测系统设备应符合公安部门的有关规定，并应通过国家法定检测机构的检测认证。</w:t>
      </w:r>
    </w:p>
    <w:p w14:paraId="1A509CA0">
      <w:pPr>
        <w:numPr>
          <w:ilvl w:val="2"/>
          <w:numId w:val="1"/>
        </w:numPr>
        <w:tabs>
          <w:tab w:val="left" w:pos="709"/>
          <w:tab w:val="left" w:pos="794"/>
        </w:tabs>
        <w:jc w:val="left"/>
        <w:outlineLvl w:val="2"/>
        <w:rPr>
          <w:bCs/>
        </w:rPr>
      </w:pPr>
      <w:r>
        <w:rPr>
          <w:rFonts w:hint="eastAsia"/>
          <w:bCs/>
        </w:rPr>
        <w:t>系统设备应满足自然环境条件、车站环境条件和抗电磁干扰的要求，系统设备应当满足有关电磁兼容规范的相关要求；在使用、维护、报废处理时均不应对周围环境和人体健康产生不良影响。</w:t>
      </w:r>
    </w:p>
    <w:p w14:paraId="2195624B">
      <w:pPr>
        <w:numPr>
          <w:ilvl w:val="2"/>
          <w:numId w:val="1"/>
        </w:numPr>
        <w:tabs>
          <w:tab w:val="left" w:pos="709"/>
          <w:tab w:val="left" w:pos="794"/>
        </w:tabs>
        <w:jc w:val="left"/>
        <w:outlineLvl w:val="2"/>
        <w:rPr>
          <w:bCs/>
        </w:rPr>
      </w:pPr>
      <w:r>
        <w:rPr>
          <w:rFonts w:hint="eastAsia"/>
          <w:bCs/>
        </w:rPr>
        <w:t>系统设计应满足安全性、可靠性、可扩展性和可维护性的设计原则。</w:t>
      </w:r>
    </w:p>
    <w:p w14:paraId="7AE8AB9D">
      <w:pPr>
        <w:numPr>
          <w:ilvl w:val="2"/>
          <w:numId w:val="1"/>
        </w:numPr>
        <w:tabs>
          <w:tab w:val="left" w:pos="709"/>
          <w:tab w:val="left" w:pos="794"/>
        </w:tabs>
        <w:jc w:val="left"/>
        <w:outlineLvl w:val="2"/>
        <w:rPr>
          <w:bCs/>
        </w:rPr>
      </w:pPr>
      <w:r>
        <w:rPr>
          <w:rFonts w:hint="eastAsia"/>
          <w:bCs/>
        </w:rPr>
        <w:t>安检设备应按工业级标准设计，应能满足连续24小时不间断工作的要求。</w:t>
      </w:r>
    </w:p>
    <w:p w14:paraId="4B0C941B">
      <w:pPr>
        <w:numPr>
          <w:ilvl w:val="2"/>
          <w:numId w:val="1"/>
        </w:numPr>
        <w:tabs>
          <w:tab w:val="left" w:pos="709"/>
          <w:tab w:val="left" w:pos="794"/>
        </w:tabs>
        <w:jc w:val="left"/>
        <w:outlineLvl w:val="2"/>
        <w:rPr>
          <w:bCs/>
        </w:rPr>
      </w:pPr>
      <w:r>
        <w:rPr>
          <w:rFonts w:hint="eastAsia"/>
          <w:bCs/>
        </w:rPr>
        <w:t>系统设计除应符合本规范规定外，还应符合相关国家规范和北京市地方规范的要求。</w:t>
      </w:r>
    </w:p>
    <w:p w14:paraId="3C9AA334">
      <w:pPr>
        <w:numPr>
          <w:ilvl w:val="2"/>
          <w:numId w:val="41"/>
        </w:numPr>
        <w:tabs>
          <w:tab w:val="left" w:pos="794"/>
          <w:tab w:val="left" w:pos="851"/>
          <w:tab w:val="left" w:pos="1701"/>
        </w:tabs>
        <w:jc w:val="left"/>
        <w:outlineLvl w:val="2"/>
        <w:rPr>
          <w:bCs/>
        </w:rPr>
      </w:pPr>
      <w:r>
        <w:rPr>
          <w:rFonts w:hint="eastAsia"/>
          <w:bCs/>
        </w:rPr>
        <w:t>安全检测及探测系统宜由安检信息化系统及车站安检设备等组成。安检信息化系统宜根据公共安全管理的要求由站点级和中心级构成。</w:t>
      </w:r>
    </w:p>
    <w:p w14:paraId="1373E21A">
      <w:pPr>
        <w:numPr>
          <w:ilvl w:val="2"/>
          <w:numId w:val="41"/>
        </w:numPr>
        <w:tabs>
          <w:tab w:val="left" w:pos="794"/>
          <w:tab w:val="left" w:pos="851"/>
          <w:tab w:val="left" w:pos="1701"/>
        </w:tabs>
        <w:jc w:val="left"/>
        <w:outlineLvl w:val="2"/>
        <w:rPr>
          <w:bCs/>
        </w:rPr>
      </w:pPr>
      <w:r>
        <w:rPr>
          <w:rFonts w:hint="eastAsia"/>
          <w:bCs/>
        </w:rPr>
        <w:t>车站安检设备宜由X射线安全检查设备、禁带品智能识别机（物理独立设备或软件配套设备）、通过式金属探测门或成像式人体检查仪、痕量检测装置、台式危险液体检查装置、便携式危险液体检查装置、便携式金属探测仪、安检信息管理设备、防爆球（罐）、防爆毯、危险品存储罐及辅助设施等构成。</w:t>
      </w:r>
    </w:p>
    <w:p w14:paraId="5FB5BB9C">
      <w:pPr>
        <w:numPr>
          <w:ilvl w:val="2"/>
          <w:numId w:val="41"/>
        </w:numPr>
        <w:tabs>
          <w:tab w:val="left" w:pos="794"/>
          <w:tab w:val="left" w:pos="851"/>
          <w:tab w:val="left" w:pos="1701"/>
        </w:tabs>
        <w:jc w:val="left"/>
        <w:outlineLvl w:val="2"/>
        <w:rPr>
          <w:bCs/>
        </w:rPr>
      </w:pPr>
      <w:r>
        <w:rPr>
          <w:rFonts w:hint="eastAsia"/>
          <w:bCs/>
        </w:rPr>
        <w:t>车站安检点配置的辅助设施应包括安检设备柜、开包工作台、软质客流引导带、硬质客流引导带、安检物品放置筐、安检标识牌、腰挂式扩音器、插排等。</w:t>
      </w:r>
    </w:p>
    <w:p w14:paraId="59EB4A67">
      <w:pPr>
        <w:numPr>
          <w:ilvl w:val="2"/>
          <w:numId w:val="41"/>
        </w:numPr>
        <w:tabs>
          <w:tab w:val="left" w:pos="794"/>
          <w:tab w:val="left" w:pos="851"/>
          <w:tab w:val="left" w:pos="1701"/>
        </w:tabs>
        <w:jc w:val="left"/>
        <w:outlineLvl w:val="2"/>
        <w:rPr>
          <w:bCs/>
        </w:rPr>
      </w:pPr>
      <w:r>
        <w:rPr>
          <w:rFonts w:hint="eastAsia"/>
          <w:bCs/>
        </w:rPr>
        <w:t>X射线安全检查设备、通过式金属探测门、危险液体检查装置、痕量检测装置等安检设备应符合现行北京市地方标准《城市轨道交通安全防范系统技术要求 第6部分：武器与爆炸危险品检测及处置》</w:t>
      </w:r>
      <w:r>
        <w:rPr>
          <w:bCs/>
        </w:rPr>
        <w:t>DB11</w:t>
      </w:r>
      <w:r>
        <w:rPr>
          <w:rFonts w:hint="eastAsia"/>
          <w:bCs/>
        </w:rPr>
        <w:t>/</w:t>
      </w:r>
      <w:r>
        <w:rPr>
          <w:bCs/>
        </w:rPr>
        <w:t>T</w:t>
      </w:r>
      <w:r>
        <w:rPr>
          <w:rFonts w:hint="eastAsia"/>
          <w:bCs/>
        </w:rPr>
        <w:t xml:space="preserve"> </w:t>
      </w:r>
      <w:r>
        <w:rPr>
          <w:bCs/>
        </w:rPr>
        <w:t>646.6</w:t>
      </w:r>
      <w:r>
        <w:rPr>
          <w:rFonts w:hint="eastAsia"/>
          <w:bCs/>
        </w:rPr>
        <w:t>的有关规定。</w:t>
      </w:r>
    </w:p>
    <w:p w14:paraId="32923F7D">
      <w:pPr>
        <w:numPr>
          <w:ilvl w:val="2"/>
          <w:numId w:val="41"/>
        </w:numPr>
        <w:tabs>
          <w:tab w:val="left" w:pos="794"/>
          <w:tab w:val="left" w:pos="851"/>
          <w:tab w:val="left" w:pos="1701"/>
        </w:tabs>
        <w:jc w:val="left"/>
        <w:outlineLvl w:val="2"/>
        <w:rPr>
          <w:bCs/>
        </w:rPr>
      </w:pPr>
      <w:r>
        <w:rPr>
          <w:rFonts w:hint="eastAsia"/>
          <w:bCs/>
        </w:rPr>
        <w:t>禁带品智能识别机应具备下列功能：</w:t>
      </w:r>
    </w:p>
    <w:p w14:paraId="2F9A71BB">
      <w:pPr>
        <w:ind w:firstLine="422" w:firstLineChars="200"/>
        <w:rPr>
          <w:rFonts w:cs="Arial"/>
          <w:szCs w:val="18"/>
        </w:rPr>
      </w:pPr>
      <w:r>
        <w:rPr>
          <w:rFonts w:hint="eastAsia" w:cs="Arial"/>
          <w:b/>
          <w:szCs w:val="18"/>
        </w:rPr>
        <w:t xml:space="preserve">1 </w:t>
      </w:r>
      <w:r>
        <w:rPr>
          <w:rFonts w:hint="eastAsia" w:cs="Arial"/>
          <w:szCs w:val="18"/>
        </w:rPr>
        <w:t xml:space="preserve"> 可辨识典型禁带品种类，包括但不限于DB11/T 646.6中要求的危险物品种类；</w:t>
      </w:r>
    </w:p>
    <w:p w14:paraId="5309EC2C">
      <w:pPr>
        <w:ind w:firstLine="422" w:firstLineChars="200"/>
        <w:rPr>
          <w:rFonts w:cs="Arial"/>
          <w:szCs w:val="18"/>
        </w:rPr>
      </w:pPr>
      <w:r>
        <w:rPr>
          <w:rFonts w:hint="eastAsia" w:cs="Arial"/>
          <w:b/>
          <w:szCs w:val="18"/>
        </w:rPr>
        <w:t xml:space="preserve">2 </w:t>
      </w:r>
      <w:r>
        <w:rPr>
          <w:rFonts w:hint="eastAsia" w:cs="Arial"/>
          <w:szCs w:val="18"/>
        </w:rPr>
        <w:t xml:space="preserve"> 具备禁带品识别自学习功能，智能检测物品种类可根据学习结果扩展，并可升级禁带品数据库；</w:t>
      </w:r>
    </w:p>
    <w:p w14:paraId="3EB63AA3">
      <w:pPr>
        <w:ind w:firstLine="422" w:firstLineChars="200"/>
        <w:rPr>
          <w:rFonts w:cs="Arial"/>
          <w:szCs w:val="18"/>
        </w:rPr>
      </w:pPr>
      <w:r>
        <w:rPr>
          <w:rFonts w:hint="eastAsia" w:cs="Arial"/>
          <w:b/>
          <w:szCs w:val="18"/>
        </w:rPr>
        <w:t xml:space="preserve">3 </w:t>
      </w:r>
      <w:r>
        <w:rPr>
          <w:rFonts w:hint="eastAsia" w:cs="Arial"/>
          <w:szCs w:val="18"/>
        </w:rPr>
        <w:t xml:space="preserve"> 具备独立的图像处理单元，辅助识别时间应小于行包传送时间，在包裹连续时，可自动切图识别；</w:t>
      </w:r>
    </w:p>
    <w:p w14:paraId="6FF45335">
      <w:pPr>
        <w:ind w:firstLine="422" w:firstLineChars="200"/>
        <w:rPr>
          <w:rFonts w:cs="Arial"/>
          <w:szCs w:val="18"/>
        </w:rPr>
      </w:pPr>
      <w:r>
        <w:rPr>
          <w:rFonts w:hint="eastAsia" w:cs="Arial"/>
          <w:b/>
          <w:szCs w:val="18"/>
        </w:rPr>
        <w:t xml:space="preserve">4 </w:t>
      </w:r>
      <w:r>
        <w:rPr>
          <w:rFonts w:hint="eastAsia" w:cs="Arial"/>
          <w:szCs w:val="18"/>
        </w:rPr>
        <w:t xml:space="preserve"> 可实时接收并判别X射线安全检查设备输出图片，并将识别结果返回至X射线安全检查设备显示。</w:t>
      </w:r>
    </w:p>
    <w:p w14:paraId="0B2909D9">
      <w:pPr>
        <w:numPr>
          <w:ilvl w:val="2"/>
          <w:numId w:val="41"/>
        </w:numPr>
        <w:tabs>
          <w:tab w:val="left" w:pos="794"/>
          <w:tab w:val="left" w:pos="851"/>
          <w:tab w:val="left" w:pos="1701"/>
        </w:tabs>
        <w:jc w:val="left"/>
        <w:outlineLvl w:val="2"/>
        <w:rPr>
          <w:bCs/>
        </w:rPr>
      </w:pPr>
      <w:r>
        <w:rPr>
          <w:rFonts w:hint="eastAsia"/>
          <w:bCs/>
        </w:rPr>
        <w:t>安检信息化系统宜具备安检设备数据查看、设备状态查询、报警信息联动推送及显示、数据分析统计等功能。</w:t>
      </w:r>
    </w:p>
    <w:p w14:paraId="406B8B65">
      <w:pPr>
        <w:numPr>
          <w:ilvl w:val="2"/>
          <w:numId w:val="41"/>
        </w:numPr>
        <w:tabs>
          <w:tab w:val="left" w:pos="794"/>
          <w:tab w:val="left" w:pos="851"/>
          <w:tab w:val="left" w:pos="1701"/>
        </w:tabs>
        <w:jc w:val="left"/>
        <w:outlineLvl w:val="2"/>
        <w:rPr>
          <w:bCs/>
        </w:rPr>
      </w:pPr>
      <w:r>
        <w:rPr>
          <w:rFonts w:hint="eastAsia"/>
          <w:bCs/>
        </w:rPr>
        <w:t>安检设备电源应为三级负荷。</w:t>
      </w:r>
    </w:p>
    <w:p w14:paraId="78CF790E">
      <w:pPr>
        <w:numPr>
          <w:ilvl w:val="2"/>
          <w:numId w:val="41"/>
        </w:numPr>
        <w:tabs>
          <w:tab w:val="left" w:pos="794"/>
          <w:tab w:val="left" w:pos="851"/>
          <w:tab w:val="left" w:pos="1701"/>
        </w:tabs>
        <w:jc w:val="left"/>
        <w:outlineLvl w:val="2"/>
        <w:rPr>
          <w:bCs/>
        </w:rPr>
      </w:pPr>
      <w:r>
        <w:rPr>
          <w:rFonts w:hint="eastAsia"/>
          <w:bCs/>
        </w:rPr>
        <w:t>每处安检点均应设置带漏电保护功能的电源插座箱。</w:t>
      </w:r>
    </w:p>
    <w:p w14:paraId="4A640658">
      <w:pPr>
        <w:numPr>
          <w:ilvl w:val="2"/>
          <w:numId w:val="41"/>
        </w:numPr>
        <w:tabs>
          <w:tab w:val="left" w:pos="794"/>
          <w:tab w:val="left" w:pos="851"/>
          <w:tab w:val="left" w:pos="1701"/>
        </w:tabs>
        <w:jc w:val="left"/>
        <w:outlineLvl w:val="2"/>
        <w:rPr>
          <w:bCs/>
        </w:rPr>
      </w:pPr>
      <w:r>
        <w:rPr>
          <w:rFonts w:hint="eastAsia"/>
          <w:bCs/>
        </w:rPr>
        <w:t>当车站周边与交通枢纽、大型场馆、大型商业区邻近时，应结合客流特点综合考虑设置大型X射线安全检查设备。</w:t>
      </w:r>
    </w:p>
    <w:p w14:paraId="7A544C56">
      <w:pPr>
        <w:numPr>
          <w:ilvl w:val="2"/>
          <w:numId w:val="41"/>
        </w:numPr>
        <w:tabs>
          <w:tab w:val="left" w:pos="794"/>
          <w:tab w:val="left" w:pos="851"/>
          <w:tab w:val="left" w:pos="1701"/>
        </w:tabs>
        <w:jc w:val="left"/>
        <w:outlineLvl w:val="2"/>
        <w:rPr>
          <w:bCs/>
        </w:rPr>
      </w:pPr>
      <w:r>
        <w:rPr>
          <w:rFonts w:hint="eastAsia"/>
          <w:bCs/>
        </w:rPr>
        <w:t>设备布置应充分考虑车站客流组织，避让站内消防设施。</w:t>
      </w:r>
    </w:p>
    <w:p w14:paraId="0F016E70">
      <w:pPr>
        <w:numPr>
          <w:ilvl w:val="2"/>
          <w:numId w:val="41"/>
        </w:numPr>
        <w:tabs>
          <w:tab w:val="left" w:pos="794"/>
          <w:tab w:val="left" w:pos="851"/>
          <w:tab w:val="left" w:pos="1701"/>
        </w:tabs>
        <w:jc w:val="left"/>
        <w:outlineLvl w:val="2"/>
      </w:pPr>
      <w:r>
        <w:rPr>
          <w:rFonts w:hint="eastAsia"/>
          <w:bCs/>
        </w:rPr>
        <w:t>设备用房宜与其他弱电系统合并设置。</w:t>
      </w:r>
    </w:p>
    <w:p w14:paraId="44F68771">
      <w:pPr>
        <w:pStyle w:val="3"/>
      </w:pPr>
      <w:r>
        <w:br w:type="page"/>
      </w:r>
      <w:bookmarkStart w:id="1825" w:name="_Toc183699884"/>
      <w:bookmarkStart w:id="1826" w:name="_Toc183683623"/>
      <w:bookmarkStart w:id="1827" w:name="_Toc183888634"/>
      <w:bookmarkStart w:id="1828" w:name="_Toc183882582"/>
      <w:bookmarkStart w:id="1829" w:name="_Toc183790659"/>
      <w:bookmarkStart w:id="1830" w:name="_Toc183888272"/>
      <w:bookmarkStart w:id="1831" w:name="_Toc183735428"/>
      <w:bookmarkStart w:id="1832" w:name="_Toc183765229"/>
      <w:bookmarkStart w:id="1833" w:name="_Toc183882220"/>
      <w:r>
        <w:rPr>
          <w:rFonts w:hint="eastAsia"/>
        </w:rPr>
        <w:t>云平台</w:t>
      </w:r>
      <w:bookmarkEnd w:id="1825"/>
      <w:bookmarkEnd w:id="1826"/>
      <w:bookmarkEnd w:id="1827"/>
      <w:bookmarkEnd w:id="1828"/>
      <w:bookmarkEnd w:id="1829"/>
      <w:bookmarkEnd w:id="1830"/>
      <w:bookmarkEnd w:id="1831"/>
      <w:bookmarkEnd w:id="1832"/>
      <w:bookmarkEnd w:id="1833"/>
    </w:p>
    <w:p w14:paraId="40B6E234">
      <w:pPr>
        <w:numPr>
          <w:ilvl w:val="1"/>
          <w:numId w:val="1"/>
        </w:numPr>
        <w:snapToGrid w:val="0"/>
        <w:spacing w:before="156" w:after="156" w:line="240" w:lineRule="auto"/>
        <w:jc w:val="center"/>
        <w:outlineLvl w:val="1"/>
        <w:rPr>
          <w:rFonts w:eastAsia="黑体"/>
          <w:bCs/>
          <w:szCs w:val="28"/>
        </w:rPr>
      </w:pPr>
      <w:bookmarkStart w:id="1834" w:name="_Toc183790660"/>
      <w:bookmarkStart w:id="1835" w:name="_Toc183888635"/>
      <w:bookmarkStart w:id="1836" w:name="_Toc158023890"/>
      <w:bookmarkStart w:id="1837" w:name="_Toc183888273"/>
      <w:bookmarkStart w:id="1838" w:name="_Toc183683624"/>
      <w:bookmarkStart w:id="1839" w:name="_Toc183765230"/>
      <w:bookmarkStart w:id="1840" w:name="_Toc183882221"/>
      <w:bookmarkStart w:id="1841" w:name="_Toc183882583"/>
      <w:r>
        <w:rPr>
          <w:rFonts w:eastAsia="黑体"/>
          <w:bCs/>
          <w:szCs w:val="28"/>
        </w:rPr>
        <w:t>一般规定</w:t>
      </w:r>
      <w:bookmarkEnd w:id="1834"/>
      <w:bookmarkEnd w:id="1835"/>
      <w:bookmarkEnd w:id="1836"/>
      <w:bookmarkEnd w:id="1837"/>
      <w:bookmarkEnd w:id="1838"/>
      <w:bookmarkEnd w:id="1839"/>
      <w:bookmarkEnd w:id="1840"/>
      <w:bookmarkEnd w:id="1841"/>
    </w:p>
    <w:p w14:paraId="4310AACD">
      <w:pPr>
        <w:pStyle w:val="5"/>
        <w:tabs>
          <w:tab w:val="left" w:pos="709"/>
          <w:tab w:val="clear" w:pos="630"/>
        </w:tabs>
      </w:pPr>
      <w:r>
        <w:rPr>
          <w:rFonts w:hint="eastAsia"/>
        </w:rPr>
        <w:t>轨道交通宜设置云平台，满足地铁运营生产、企业管理以及乘客服务等信息系统的整体需求。</w:t>
      </w:r>
    </w:p>
    <w:p w14:paraId="71754001">
      <w:pPr>
        <w:pStyle w:val="5"/>
        <w:tabs>
          <w:tab w:val="left" w:pos="709"/>
          <w:tab w:val="clear" w:pos="630"/>
        </w:tabs>
      </w:pPr>
      <w:r>
        <w:rPr>
          <w:rFonts w:hint="eastAsia"/>
        </w:rPr>
        <w:t>云平台宜结合运营主体的管理模式、自身运营需求等特点，提供针对性的设计方案。</w:t>
      </w:r>
    </w:p>
    <w:p w14:paraId="3A2555C8">
      <w:pPr>
        <w:pStyle w:val="5"/>
        <w:tabs>
          <w:tab w:val="left" w:pos="709"/>
          <w:tab w:val="clear" w:pos="630"/>
        </w:tabs>
      </w:pPr>
      <w:r>
        <w:rPr>
          <w:rFonts w:hint="eastAsia"/>
        </w:rPr>
        <w:t>云平台设计宜采用标准、开放的架构设计及接口设计，并应预留未来系统的升级扩展条件。</w:t>
      </w:r>
    </w:p>
    <w:p w14:paraId="4558B764">
      <w:pPr>
        <w:pStyle w:val="5"/>
        <w:tabs>
          <w:tab w:val="left" w:pos="709"/>
          <w:tab w:val="clear" w:pos="630"/>
        </w:tabs>
      </w:pPr>
      <w:r>
        <w:rPr>
          <w:rFonts w:hint="eastAsia"/>
        </w:rPr>
        <w:t>云平台应按照网络安全等级保护三级建设，应具备最高支持应用系统达到网络安全等级保护第三级的能力。</w:t>
      </w:r>
    </w:p>
    <w:p w14:paraId="77805A15">
      <w:pPr>
        <w:numPr>
          <w:ilvl w:val="1"/>
          <w:numId w:val="1"/>
        </w:numPr>
        <w:snapToGrid w:val="0"/>
        <w:spacing w:before="156" w:after="156" w:line="240" w:lineRule="auto"/>
        <w:jc w:val="center"/>
        <w:outlineLvl w:val="1"/>
        <w:rPr>
          <w:rFonts w:eastAsia="黑体"/>
          <w:bCs/>
          <w:szCs w:val="28"/>
        </w:rPr>
      </w:pPr>
      <w:bookmarkStart w:id="1842" w:name="_Toc183882584"/>
      <w:bookmarkStart w:id="1843" w:name="_Toc183882222"/>
      <w:bookmarkStart w:id="1844" w:name="_Toc183765231"/>
      <w:bookmarkStart w:id="1845" w:name="_Toc183790661"/>
      <w:bookmarkStart w:id="1846" w:name="_Toc183888636"/>
      <w:bookmarkStart w:id="1847" w:name="_Toc183683625"/>
      <w:bookmarkStart w:id="1848" w:name="_Toc183888274"/>
      <w:r>
        <w:rPr>
          <w:rFonts w:hint="eastAsia" w:eastAsia="黑体"/>
          <w:bCs/>
          <w:szCs w:val="28"/>
        </w:rPr>
        <w:t>系统架构及功能</w:t>
      </w:r>
      <w:bookmarkEnd w:id="1842"/>
      <w:bookmarkEnd w:id="1843"/>
      <w:bookmarkEnd w:id="1844"/>
      <w:bookmarkEnd w:id="1845"/>
      <w:bookmarkEnd w:id="1846"/>
      <w:bookmarkEnd w:id="1847"/>
      <w:bookmarkEnd w:id="1848"/>
    </w:p>
    <w:p w14:paraId="120CC0E8">
      <w:pPr>
        <w:pStyle w:val="5"/>
        <w:tabs>
          <w:tab w:val="left" w:pos="709"/>
          <w:tab w:val="clear" w:pos="630"/>
        </w:tabs>
      </w:pPr>
      <w:r>
        <w:rPr>
          <w:rFonts w:hint="eastAsia"/>
        </w:rPr>
        <w:t>云平台宜按基础平台、数据平台以及应用平台三个核心功能部分进行构建，宜结合系统的业务特点采用中心云、边缘云等多种部署方式。</w:t>
      </w:r>
    </w:p>
    <w:p w14:paraId="0E513FB4">
      <w:pPr>
        <w:pStyle w:val="5"/>
        <w:tabs>
          <w:tab w:val="left" w:pos="709"/>
          <w:tab w:val="clear" w:pos="630"/>
        </w:tabs>
      </w:pPr>
      <w:r>
        <w:rPr>
          <w:rFonts w:hint="eastAsia"/>
        </w:rPr>
        <w:t>基础平台宜采用云平台技术构建，为各入云系统提供计算、存储、网络、安全等基础环境及平台服务。</w:t>
      </w:r>
    </w:p>
    <w:p w14:paraId="5E059170">
      <w:pPr>
        <w:pStyle w:val="5"/>
        <w:tabs>
          <w:tab w:val="left" w:pos="709"/>
          <w:tab w:val="clear" w:pos="630"/>
        </w:tabs>
      </w:pPr>
      <w:r>
        <w:rPr>
          <w:rFonts w:hint="eastAsia"/>
        </w:rPr>
        <w:t>数据平台宜基于基础平台进行构建，包括数据采集、数据存储、数据应用支撑、数据应用等逻辑层次，实现面向应用系统的统一数据采集、数据共享以及数据服务支撑。</w:t>
      </w:r>
    </w:p>
    <w:p w14:paraId="16A9669B">
      <w:pPr>
        <w:pStyle w:val="5"/>
        <w:tabs>
          <w:tab w:val="left" w:pos="709"/>
          <w:tab w:val="clear" w:pos="630"/>
        </w:tabs>
      </w:pPr>
      <w:r>
        <w:rPr>
          <w:rFonts w:hint="eastAsia"/>
        </w:rPr>
        <w:t>应用平台宜基于业务系统、基础平台、数据平台获取的运营生产系统数据采集后进行分析应用，不应影响运营生产系统的独立运作。</w:t>
      </w:r>
    </w:p>
    <w:p w14:paraId="7BD217E1">
      <w:pPr>
        <w:pStyle w:val="5"/>
        <w:tabs>
          <w:tab w:val="left" w:pos="709"/>
          <w:tab w:val="clear" w:pos="630"/>
        </w:tabs>
      </w:pPr>
      <w:r>
        <w:rPr>
          <w:rFonts w:hint="eastAsia"/>
        </w:rPr>
        <w:t>云平台逻辑域、虚拟资源划分应满足各业务系统的业务需求及安全性要求。</w:t>
      </w:r>
    </w:p>
    <w:p w14:paraId="45EB0F32">
      <w:pPr>
        <w:pStyle w:val="5"/>
        <w:tabs>
          <w:tab w:val="left" w:pos="709"/>
          <w:tab w:val="clear" w:pos="630"/>
        </w:tabs>
      </w:pPr>
      <w:r>
        <w:rPr>
          <w:rFonts w:hint="eastAsia"/>
        </w:rPr>
        <w:t>云平台</w:t>
      </w:r>
      <w:r>
        <w:t>宜提供统一数据</w:t>
      </w:r>
      <w:r>
        <w:rPr>
          <w:rFonts w:hint="eastAsia"/>
        </w:rPr>
        <w:t>平台</w:t>
      </w:r>
      <w:r>
        <w:t>实现与各地铁</w:t>
      </w:r>
      <w:r>
        <w:rPr>
          <w:rFonts w:hint="eastAsia"/>
        </w:rPr>
        <w:t>内部系统</w:t>
      </w:r>
      <w:r>
        <w:t>、外部系统的数据交换功能。</w:t>
      </w:r>
    </w:p>
    <w:p w14:paraId="65B2BFC3">
      <w:pPr>
        <w:pStyle w:val="4"/>
      </w:pPr>
      <w:bookmarkStart w:id="1849" w:name="_Toc183882585"/>
      <w:bookmarkStart w:id="1850" w:name="_Toc183765232"/>
      <w:bookmarkStart w:id="1851" w:name="_Toc183882223"/>
      <w:bookmarkStart w:id="1852" w:name="_Toc183683626"/>
      <w:bookmarkStart w:id="1853" w:name="_Toc183790662"/>
      <w:bookmarkStart w:id="1854" w:name="_Toc183888637"/>
      <w:bookmarkStart w:id="1855" w:name="_Toc183888275"/>
      <w:r>
        <w:rPr>
          <w:rFonts w:hint="eastAsia"/>
        </w:rPr>
        <w:t>设备用房及环境要求</w:t>
      </w:r>
      <w:bookmarkEnd w:id="1849"/>
      <w:bookmarkEnd w:id="1850"/>
      <w:bookmarkEnd w:id="1851"/>
      <w:bookmarkEnd w:id="1852"/>
      <w:bookmarkEnd w:id="1853"/>
      <w:bookmarkEnd w:id="1854"/>
      <w:bookmarkEnd w:id="1855"/>
    </w:p>
    <w:p w14:paraId="15738A70">
      <w:pPr>
        <w:pStyle w:val="5"/>
        <w:tabs>
          <w:tab w:val="left" w:pos="709"/>
          <w:tab w:val="clear" w:pos="630"/>
        </w:tabs>
      </w:pPr>
      <w:r>
        <w:rPr>
          <w:rFonts w:hint="eastAsia"/>
        </w:rPr>
        <w:t>云平台机房的规模应与整体远期线网规划相匹配。</w:t>
      </w:r>
    </w:p>
    <w:p w14:paraId="0C92A210">
      <w:pPr>
        <w:pStyle w:val="5"/>
        <w:tabs>
          <w:tab w:val="left" w:pos="709"/>
          <w:tab w:val="clear" w:pos="630"/>
        </w:tabs>
      </w:pPr>
      <w:r>
        <w:rPr>
          <w:rFonts w:hint="eastAsia"/>
        </w:rPr>
        <w:t>云平台机房设计应以绿色环保、节能降耗为设计原则，云平台独立机房</w:t>
      </w:r>
      <w:r>
        <w:t>能耗效率(PUE)值</w:t>
      </w:r>
      <w:r>
        <w:rPr>
          <w:rFonts w:hint="eastAsia"/>
        </w:rPr>
        <w:t>宜低于</w:t>
      </w:r>
      <w:r>
        <w:t>1.4。</w:t>
      </w:r>
    </w:p>
    <w:p w14:paraId="705FFC34">
      <w:pPr>
        <w:pStyle w:val="5"/>
        <w:tabs>
          <w:tab w:val="left" w:pos="709"/>
          <w:tab w:val="clear" w:pos="630"/>
        </w:tabs>
      </w:pPr>
      <w:r>
        <w:rPr>
          <w:rFonts w:hint="eastAsia"/>
        </w:rPr>
        <w:t>云平台</w:t>
      </w:r>
      <w:r>
        <w:t>负荷等级宜为</w:t>
      </w:r>
      <w:r>
        <w:rPr>
          <w:rFonts w:hint="eastAsia"/>
        </w:rPr>
        <w:t>一</w:t>
      </w:r>
      <w:r>
        <w:t>级</w:t>
      </w:r>
      <w:r>
        <w:rPr>
          <w:rFonts w:hint="eastAsia"/>
        </w:rPr>
        <w:t>，并应配置</w:t>
      </w:r>
      <w:r>
        <w:t>UPS</w:t>
      </w:r>
      <w:r>
        <w:rPr>
          <w:rFonts w:hint="eastAsia"/>
        </w:rPr>
        <w:t>电源，后备时间不应少于2h。</w:t>
      </w:r>
    </w:p>
    <w:p w14:paraId="2D5B402B">
      <w:pPr>
        <w:pStyle w:val="5"/>
        <w:tabs>
          <w:tab w:val="left" w:pos="709"/>
          <w:tab w:val="clear" w:pos="630"/>
        </w:tabs>
      </w:pPr>
      <w:r>
        <w:rPr>
          <w:rFonts w:hint="eastAsia"/>
        </w:rPr>
        <w:t>云平台</w:t>
      </w:r>
      <w:r>
        <w:t>用房环境应满足设备运用的要求，并应符合</w:t>
      </w:r>
      <w:r>
        <w:rPr>
          <w:rFonts w:hint="eastAsia"/>
        </w:rPr>
        <w:t>国家</w:t>
      </w:r>
      <w:r>
        <w:t>标准《</w:t>
      </w:r>
      <w:r>
        <w:rPr>
          <w:rFonts w:hint="eastAsia"/>
        </w:rPr>
        <w:t>数据中心设计规范</w:t>
      </w:r>
      <w:r>
        <w:t>》GB 50174 的规定。</w:t>
      </w:r>
    </w:p>
    <w:p w14:paraId="20B96D0B">
      <w:pPr>
        <w:pStyle w:val="5"/>
        <w:tabs>
          <w:tab w:val="left" w:pos="709"/>
          <w:tab w:val="clear" w:pos="630"/>
        </w:tabs>
      </w:pPr>
      <w:r>
        <w:rPr>
          <w:rFonts w:hint="eastAsia"/>
        </w:rPr>
        <w:t>云平台机房供电系统、防雷和接地系统、消防系统应按国家</w:t>
      </w:r>
      <w:r>
        <w:t>标准</w:t>
      </w:r>
      <w:r>
        <w:rPr>
          <w:rFonts w:hint="eastAsia"/>
        </w:rPr>
        <w:t>《数据中心设计规范》G</w:t>
      </w:r>
      <w:r>
        <w:t>B 50174</w:t>
      </w:r>
      <w:r>
        <w:rPr>
          <w:rFonts w:hint="eastAsia"/>
        </w:rPr>
        <w:t>规定执行。</w:t>
      </w:r>
    </w:p>
    <w:p w14:paraId="0498F40D">
      <w:pPr>
        <w:pStyle w:val="3"/>
      </w:pPr>
      <w:r>
        <w:br w:type="page"/>
      </w:r>
      <w:bookmarkEnd w:id="1649"/>
      <w:bookmarkStart w:id="1856" w:name="_Toc183790663"/>
      <w:bookmarkStart w:id="1857" w:name="_Toc183735429"/>
      <w:bookmarkStart w:id="1858" w:name="_Toc183765233"/>
      <w:bookmarkStart w:id="1859" w:name="_Toc183888638"/>
      <w:bookmarkStart w:id="1860" w:name="_Toc183882224"/>
      <w:bookmarkStart w:id="1861" w:name="_Toc183699885"/>
      <w:bookmarkStart w:id="1862" w:name="_Toc183888276"/>
      <w:bookmarkStart w:id="1863" w:name="_Toc183683627"/>
      <w:bookmarkStart w:id="1864" w:name="_Toc183882586"/>
      <w:r>
        <w:t>车辆基地</w:t>
      </w:r>
      <w:bookmarkEnd w:id="1856"/>
      <w:bookmarkEnd w:id="1857"/>
      <w:bookmarkEnd w:id="1858"/>
      <w:bookmarkEnd w:id="1859"/>
      <w:bookmarkEnd w:id="1860"/>
      <w:bookmarkEnd w:id="1861"/>
      <w:bookmarkEnd w:id="1862"/>
      <w:bookmarkEnd w:id="1863"/>
      <w:bookmarkEnd w:id="1864"/>
    </w:p>
    <w:p w14:paraId="7AD73AE9">
      <w:pPr>
        <w:numPr>
          <w:ilvl w:val="1"/>
          <w:numId w:val="1"/>
        </w:numPr>
        <w:snapToGrid w:val="0"/>
        <w:spacing w:before="156" w:after="156" w:line="240" w:lineRule="auto"/>
        <w:jc w:val="center"/>
        <w:outlineLvl w:val="1"/>
        <w:rPr>
          <w:rFonts w:eastAsia="黑体"/>
          <w:bCs/>
          <w:szCs w:val="28"/>
        </w:rPr>
      </w:pPr>
      <w:bookmarkStart w:id="1865" w:name="_Toc183790664"/>
      <w:bookmarkStart w:id="1866" w:name="_Toc183683628"/>
      <w:bookmarkStart w:id="1867" w:name="_Toc183888277"/>
      <w:bookmarkStart w:id="1868" w:name="_Toc183882587"/>
      <w:bookmarkStart w:id="1869" w:name="_Toc168415301"/>
      <w:bookmarkStart w:id="1870" w:name="_Toc183882225"/>
      <w:bookmarkStart w:id="1871" w:name="_Toc183888639"/>
      <w:bookmarkStart w:id="1872" w:name="_Toc183765234"/>
      <w:r>
        <w:rPr>
          <w:rFonts w:eastAsia="黑体"/>
          <w:bCs/>
          <w:szCs w:val="28"/>
        </w:rPr>
        <w:t>一般规定</w:t>
      </w:r>
      <w:bookmarkEnd w:id="1865"/>
      <w:bookmarkEnd w:id="1866"/>
      <w:bookmarkEnd w:id="1867"/>
      <w:bookmarkEnd w:id="1868"/>
      <w:bookmarkEnd w:id="1869"/>
      <w:bookmarkEnd w:id="1870"/>
      <w:bookmarkEnd w:id="1871"/>
      <w:bookmarkEnd w:id="1872"/>
    </w:p>
    <w:p w14:paraId="2DFBF295">
      <w:pPr>
        <w:pStyle w:val="5"/>
        <w:tabs>
          <w:tab w:val="left" w:pos="709"/>
          <w:tab w:val="clear" w:pos="630"/>
        </w:tabs>
      </w:pPr>
      <w:r>
        <w:rPr>
          <w:rFonts w:hint="eastAsia"/>
        </w:rPr>
        <w:t>车辆基地</w:t>
      </w:r>
      <w:r>
        <w:t>应包括车辆运用、检修、综合维修和必要的办公、生活等设施；根据需要可设置物资总库、培训设施。</w:t>
      </w:r>
    </w:p>
    <w:p w14:paraId="3596145F">
      <w:pPr>
        <w:pStyle w:val="5"/>
        <w:tabs>
          <w:tab w:val="left" w:pos="709"/>
          <w:tab w:val="clear" w:pos="630"/>
        </w:tabs>
      </w:pPr>
      <w:r>
        <w:rPr>
          <w:rFonts w:hint="eastAsia"/>
        </w:rPr>
        <w:t>车辆基地</w:t>
      </w:r>
      <w:r>
        <w:t>的功能和各项设施的配置，应根据北京市轨道交通线网规划、线网</w:t>
      </w:r>
      <w:r>
        <w:rPr>
          <w:rFonts w:hint="eastAsia"/>
        </w:rPr>
        <w:t>车辆基地</w:t>
      </w:r>
      <w:r>
        <w:t>布局规划、既有轨道交通</w:t>
      </w:r>
      <w:r>
        <w:rPr>
          <w:rFonts w:hint="eastAsia"/>
        </w:rPr>
        <w:t>车辆基地</w:t>
      </w:r>
      <w:r>
        <w:t>的配置状况，以及选址条件、车辆和运营条件等因素综合确定。</w:t>
      </w:r>
    </w:p>
    <w:p w14:paraId="59985CF9">
      <w:pPr>
        <w:pStyle w:val="5"/>
        <w:tabs>
          <w:tab w:val="left" w:pos="709"/>
          <w:tab w:val="clear" w:pos="630"/>
        </w:tabs>
      </w:pPr>
      <w:r>
        <w:t>根据承担的功能、任务范围不同，</w:t>
      </w:r>
      <w:r>
        <w:rPr>
          <w:rFonts w:hint="eastAsia"/>
        </w:rPr>
        <w:t>车辆基地</w:t>
      </w:r>
      <w:r>
        <w:t>应划分为</w:t>
      </w:r>
      <w:r>
        <w:rPr>
          <w:rFonts w:hint="eastAsia"/>
        </w:rPr>
        <w:t>车辆厂</w:t>
      </w:r>
      <w:r>
        <w:t>、车辆段和停车场。</w:t>
      </w:r>
      <w:r>
        <w:rPr>
          <w:rFonts w:hint="eastAsia"/>
        </w:rPr>
        <w:t>车辆段、停车场</w:t>
      </w:r>
      <w:r>
        <w:t>是车辆</w:t>
      </w:r>
      <w:r>
        <w:rPr>
          <w:rFonts w:hint="eastAsia"/>
        </w:rPr>
        <w:t>运用</w:t>
      </w:r>
      <w:r>
        <w:t>检修的基本单位</w:t>
      </w:r>
      <w:r>
        <w:rPr>
          <w:rFonts w:hint="eastAsia"/>
        </w:rPr>
        <w:t>。</w:t>
      </w:r>
    </w:p>
    <w:p w14:paraId="45339BD7">
      <w:pPr>
        <w:pStyle w:val="5"/>
        <w:tabs>
          <w:tab w:val="left" w:pos="709"/>
          <w:tab w:val="clear" w:pos="630"/>
        </w:tabs>
      </w:pPr>
      <w:r>
        <w:rPr>
          <w:rFonts w:hint="eastAsia"/>
        </w:rPr>
        <w:t>车辆基地</w:t>
      </w:r>
      <w:r>
        <w:t>的设计应初、近、远期相结合。其站场线路、房屋建筑和机电设备等设施应按近期需要设计；用地范围应按远期最大运营规模控制。</w:t>
      </w:r>
    </w:p>
    <w:p w14:paraId="67EE69B6">
      <w:pPr>
        <w:pStyle w:val="5"/>
        <w:tabs>
          <w:tab w:val="left" w:pos="709"/>
          <w:tab w:val="clear" w:pos="630"/>
        </w:tabs>
      </w:pPr>
      <w:r>
        <w:rPr>
          <w:rFonts w:hint="eastAsia"/>
        </w:rPr>
        <w:t>车辆基地</w:t>
      </w:r>
      <w:r>
        <w:t>建筑的</w:t>
      </w:r>
      <w:r>
        <w:rPr>
          <w:rFonts w:hint="eastAsia"/>
        </w:rPr>
        <w:t>节能</w:t>
      </w:r>
      <w:r>
        <w:t>设计应符合本规范第</w:t>
      </w:r>
      <w:r>
        <w:rPr>
          <w:rFonts w:hint="eastAsia"/>
        </w:rPr>
        <w:t>31</w:t>
      </w:r>
      <w:r>
        <w:t>.</w:t>
      </w:r>
      <w:r>
        <w:rPr>
          <w:rFonts w:hint="eastAsia"/>
        </w:rPr>
        <w:t>3</w:t>
      </w:r>
      <w:r>
        <w:t>.</w:t>
      </w:r>
      <w:r>
        <w:rPr>
          <w:rFonts w:hint="eastAsia"/>
        </w:rPr>
        <w:t>5</w:t>
      </w:r>
      <w:r>
        <w:t>条的有关规定。</w:t>
      </w:r>
    </w:p>
    <w:p w14:paraId="405A4675">
      <w:pPr>
        <w:pStyle w:val="5"/>
        <w:tabs>
          <w:tab w:val="left" w:pos="709"/>
          <w:tab w:val="clear" w:pos="630"/>
        </w:tabs>
      </w:pPr>
      <w:r>
        <w:rPr>
          <w:rFonts w:hint="eastAsia"/>
        </w:rPr>
        <w:t>车辆基地应有</w:t>
      </w:r>
      <w:r>
        <w:t>完善的消防设施。建筑防火设计应符合本规范第</w:t>
      </w:r>
      <w:r>
        <w:rPr>
          <w:rFonts w:hint="eastAsia"/>
        </w:rPr>
        <w:t>30</w:t>
      </w:r>
      <w:r>
        <w:t>章的有关规定。</w:t>
      </w:r>
    </w:p>
    <w:p w14:paraId="624DBA16">
      <w:pPr>
        <w:pStyle w:val="5"/>
        <w:tabs>
          <w:tab w:val="left" w:pos="709"/>
          <w:tab w:val="clear" w:pos="630"/>
        </w:tabs>
      </w:pPr>
      <w:r>
        <w:rPr>
          <w:rFonts w:hint="eastAsia"/>
        </w:rPr>
        <w:t>车辆基地</w:t>
      </w:r>
      <w:r>
        <w:t>的设计应积极推广新技术、新工艺、新材料和新设备；机具、设备应采用国家(或行业)的标准系列产品；部分专业设备无标准产品时，宜选用成熟的非标准设备。</w:t>
      </w:r>
    </w:p>
    <w:p w14:paraId="5AE8D80D">
      <w:pPr>
        <w:pStyle w:val="5"/>
        <w:tabs>
          <w:tab w:val="left" w:pos="709"/>
          <w:tab w:val="clear" w:pos="630"/>
        </w:tabs>
      </w:pPr>
      <w:r>
        <w:rPr>
          <w:rFonts w:hint="eastAsia"/>
        </w:rPr>
        <w:t>车辆基地</w:t>
      </w:r>
      <w:r>
        <w:t>的设计应对所产生的废气、废液、废渣和噪声</w:t>
      </w:r>
      <w:r>
        <w:rPr>
          <w:rFonts w:hint="eastAsia"/>
        </w:rPr>
        <w:t>、振动</w:t>
      </w:r>
      <w:r>
        <w:t>等进行综合治理，并符合国家有关规范、规定的要求和北京市现行的治理、排放标准。环境保护设施应与主体工程同时设计、同时施工、同时投入使用。</w:t>
      </w:r>
    </w:p>
    <w:p w14:paraId="31B54071">
      <w:pPr>
        <w:pStyle w:val="5"/>
        <w:tabs>
          <w:tab w:val="left" w:pos="709"/>
          <w:tab w:val="clear" w:pos="630"/>
        </w:tabs>
      </w:pPr>
      <w:r>
        <w:rPr>
          <w:rFonts w:hint="eastAsia"/>
        </w:rPr>
        <w:t>车辆基地</w:t>
      </w:r>
      <w:r>
        <w:t>设计，应坚持水土保持原则，涉及河道及既有水利设施改变时，应根据当地的地形条件和水文资料合理布置排水、防洪设施，并需取得北京市航运和水利部门的意见。</w:t>
      </w:r>
    </w:p>
    <w:p w14:paraId="1176011A">
      <w:pPr>
        <w:pStyle w:val="5"/>
        <w:tabs>
          <w:tab w:val="left" w:pos="851"/>
          <w:tab w:val="clear" w:pos="630"/>
        </w:tabs>
      </w:pPr>
      <w:r>
        <w:rPr>
          <w:rFonts w:hint="eastAsia"/>
        </w:rPr>
        <w:t>车辆基地</w:t>
      </w:r>
      <w:r>
        <w:t>总平面布置应以车辆运用、检修设施为主体，根据地形条件及综合维修、物资总库和其他设备、设施的功能要求和工作性质，按有利生产、方便管理和方便生活的原则进行统筹安排，分区布置，并应满足远期发展的需要。</w:t>
      </w:r>
    </w:p>
    <w:p w14:paraId="7714F1F2">
      <w:pPr>
        <w:pStyle w:val="5"/>
        <w:tabs>
          <w:tab w:val="left" w:pos="851"/>
          <w:tab w:val="clear" w:pos="630"/>
        </w:tabs>
      </w:pPr>
      <w:r>
        <w:t>综合维修、物资总库、培训中心的辅助生产设施及配套生活设施宜与车辆运用、检修同类设施合建。</w:t>
      </w:r>
    </w:p>
    <w:p w14:paraId="7992D742">
      <w:pPr>
        <w:numPr>
          <w:ilvl w:val="1"/>
          <w:numId w:val="1"/>
        </w:numPr>
        <w:snapToGrid w:val="0"/>
        <w:spacing w:before="156" w:after="156" w:line="240" w:lineRule="auto"/>
        <w:jc w:val="center"/>
        <w:outlineLvl w:val="1"/>
        <w:rPr>
          <w:rFonts w:eastAsia="黑体"/>
          <w:bCs/>
          <w:szCs w:val="28"/>
        </w:rPr>
      </w:pPr>
      <w:bookmarkStart w:id="1873" w:name="_Toc183882226"/>
      <w:bookmarkStart w:id="1874" w:name="_Toc183882588"/>
      <w:bookmarkStart w:id="1875" w:name="_Toc183765235"/>
      <w:bookmarkStart w:id="1876" w:name="_Toc183888278"/>
      <w:bookmarkStart w:id="1877" w:name="_Toc183683629"/>
      <w:bookmarkStart w:id="1878" w:name="_Toc183790665"/>
      <w:bookmarkStart w:id="1879" w:name="_Toc168415302"/>
      <w:bookmarkStart w:id="1880" w:name="_Toc183888640"/>
      <w:r>
        <w:rPr>
          <w:rFonts w:hint="eastAsia" w:eastAsia="黑体"/>
          <w:bCs/>
          <w:szCs w:val="28"/>
        </w:rPr>
        <w:t>车辆基地</w:t>
      </w:r>
      <w:r>
        <w:rPr>
          <w:rFonts w:eastAsia="黑体"/>
          <w:bCs/>
          <w:szCs w:val="28"/>
        </w:rPr>
        <w:t>功能</w:t>
      </w:r>
      <w:bookmarkEnd w:id="1873"/>
      <w:bookmarkEnd w:id="1874"/>
      <w:bookmarkEnd w:id="1875"/>
      <w:bookmarkEnd w:id="1876"/>
      <w:bookmarkEnd w:id="1877"/>
      <w:bookmarkEnd w:id="1878"/>
      <w:bookmarkEnd w:id="1879"/>
      <w:bookmarkEnd w:id="1880"/>
    </w:p>
    <w:p w14:paraId="1158F30B">
      <w:pPr>
        <w:pStyle w:val="5"/>
        <w:tabs>
          <w:tab w:val="left" w:pos="709"/>
          <w:tab w:val="clear" w:pos="630"/>
        </w:tabs>
      </w:pPr>
      <w:r>
        <w:rPr>
          <w:rFonts w:hint="eastAsia"/>
        </w:rPr>
        <w:t>车辆基地</w:t>
      </w:r>
      <w:r>
        <w:t>的功能、布局和各项设施的配置应充分利用线网资源，在满足功能的前提下，实现资源共享，减少工程投资。</w:t>
      </w:r>
    </w:p>
    <w:p w14:paraId="1C70AE69">
      <w:pPr>
        <w:pStyle w:val="5"/>
        <w:tabs>
          <w:tab w:val="left" w:pos="709"/>
          <w:tab w:val="clear" w:pos="630"/>
        </w:tabs>
      </w:pPr>
      <w:r>
        <w:t>车辆厂</w:t>
      </w:r>
      <w:r>
        <w:rPr>
          <w:rFonts w:hint="eastAsia"/>
        </w:rPr>
        <w:t>基本</w:t>
      </w:r>
      <w:r>
        <w:t>功能应包括下列内容：</w:t>
      </w:r>
    </w:p>
    <w:p w14:paraId="29DFBB93">
      <w:pPr>
        <w:ind w:firstLine="422" w:firstLineChars="200"/>
      </w:pPr>
      <w:r>
        <w:rPr>
          <w:b/>
        </w:rPr>
        <w:t>1</w:t>
      </w:r>
      <w:r>
        <w:rPr>
          <w:rFonts w:hint="eastAsia"/>
          <w:b/>
        </w:rPr>
        <w:t xml:space="preserve">  </w:t>
      </w:r>
      <w:r>
        <w:t>承担轨道交通线网车辆的厂修及车辆部件的集中检修任务；</w:t>
      </w:r>
    </w:p>
    <w:p w14:paraId="072BD08B">
      <w:pPr>
        <w:ind w:firstLine="422" w:firstLineChars="200"/>
      </w:pPr>
      <w:r>
        <w:rPr>
          <w:rFonts w:hint="eastAsia"/>
          <w:b/>
        </w:rPr>
        <w:t xml:space="preserve">2 </w:t>
      </w:r>
      <w:r>
        <w:rPr>
          <w:rFonts w:hint="eastAsia"/>
        </w:rPr>
        <w:t xml:space="preserve"> </w:t>
      </w:r>
      <w:r>
        <w:t>车辆厂选址应具备方便各线车辆送修的联络条件；</w:t>
      </w:r>
    </w:p>
    <w:p w14:paraId="36EC2BAE">
      <w:pPr>
        <w:ind w:firstLine="420" w:firstLineChars="200"/>
      </w:pPr>
      <w:r>
        <w:rPr>
          <w:rFonts w:hint="eastAsia"/>
        </w:rPr>
        <w:t xml:space="preserve">3  </w:t>
      </w:r>
      <w:r>
        <w:t>车辆厂的功能、规模和设置地点应符合北京市轨道交通线网规划的要求。</w:t>
      </w:r>
    </w:p>
    <w:p w14:paraId="1D547B1E">
      <w:pPr>
        <w:pStyle w:val="5"/>
        <w:tabs>
          <w:tab w:val="left" w:pos="709"/>
          <w:tab w:val="clear" w:pos="630"/>
        </w:tabs>
      </w:pPr>
      <w:r>
        <w:t>车辆段功能及设施应包括下列内容：</w:t>
      </w:r>
    </w:p>
    <w:p w14:paraId="4D03FD9F">
      <w:pPr>
        <w:ind w:firstLine="422" w:firstLineChars="200"/>
      </w:pPr>
      <w:r>
        <w:rPr>
          <w:b/>
        </w:rPr>
        <w:t>1</w:t>
      </w:r>
      <w:r>
        <w:rPr>
          <w:rFonts w:hint="eastAsia"/>
        </w:rPr>
        <w:t xml:space="preserve">  </w:t>
      </w:r>
      <w:r>
        <w:t>承担车辆的架修及其以下各修程的检修任务以及配属车辆的停放、运用、整备和日常检查任务；</w:t>
      </w:r>
    </w:p>
    <w:p w14:paraId="2D25A0CB">
      <w:pPr>
        <w:ind w:firstLine="422" w:firstLineChars="200"/>
      </w:pPr>
      <w:r>
        <w:rPr>
          <w:b/>
        </w:rPr>
        <w:t>2</w:t>
      </w:r>
      <w:r>
        <w:rPr>
          <w:rFonts w:hint="eastAsia"/>
          <w:b/>
        </w:rPr>
        <w:t xml:space="preserve"> </w:t>
      </w:r>
      <w:r>
        <w:rPr>
          <w:rFonts w:hint="eastAsia"/>
        </w:rPr>
        <w:t xml:space="preserve"> </w:t>
      </w:r>
      <w:r>
        <w:t>车辆段应配备架修库、临修库、月检库、停车</w:t>
      </w:r>
      <w:r>
        <w:rPr>
          <w:rFonts w:hint="eastAsia"/>
        </w:rPr>
        <w:t>库、</w:t>
      </w:r>
      <w:r>
        <w:t>列检库、静调库、洗车库、不落轮镟库、吹扫库、</w:t>
      </w:r>
      <w:r>
        <w:rPr>
          <w:rFonts w:hint="eastAsia"/>
        </w:rPr>
        <w:t>调车</w:t>
      </w:r>
      <w:r>
        <w:t>机车库、试车线等主要运用和检修生产设施；</w:t>
      </w:r>
    </w:p>
    <w:p w14:paraId="17965208">
      <w:pPr>
        <w:ind w:firstLine="422" w:firstLineChars="200"/>
      </w:pPr>
      <w:r>
        <w:rPr>
          <w:b/>
        </w:rPr>
        <w:t>3</w:t>
      </w:r>
      <w:r>
        <w:rPr>
          <w:rFonts w:hint="eastAsia"/>
        </w:rPr>
        <w:t xml:space="preserve">  应</w:t>
      </w:r>
      <w:r>
        <w:t>设办公及食堂、浴室、</w:t>
      </w:r>
      <w:r>
        <w:rPr>
          <w:rFonts w:hint="eastAsia"/>
        </w:rPr>
        <w:t>司</w:t>
      </w:r>
      <w:r>
        <w:t>乘公寓等</w:t>
      </w:r>
      <w:r>
        <w:rPr>
          <w:rFonts w:hint="eastAsia"/>
        </w:rPr>
        <w:t>生活服务</w:t>
      </w:r>
      <w:r>
        <w:t>设施；</w:t>
      </w:r>
    </w:p>
    <w:p w14:paraId="7CD5BEEA">
      <w:pPr>
        <w:ind w:firstLine="422" w:firstLineChars="200"/>
      </w:pPr>
      <w:r>
        <w:rPr>
          <w:rFonts w:hint="eastAsia"/>
          <w:b/>
        </w:rPr>
        <w:t xml:space="preserve">4 </w:t>
      </w:r>
      <w:r>
        <w:rPr>
          <w:rFonts w:hint="eastAsia"/>
        </w:rPr>
        <w:t xml:space="preserve"> </w:t>
      </w:r>
      <w:r>
        <w:t>车辆段的架修能力应根据线网资源共享的有关要求设置，宜</w:t>
      </w:r>
      <w:r>
        <w:rPr>
          <w:rFonts w:hint="eastAsia"/>
        </w:rPr>
        <w:t>按</w:t>
      </w:r>
      <w:r>
        <w:t>至少</w:t>
      </w:r>
      <w:r>
        <w:rPr>
          <w:rFonts w:hint="eastAsia"/>
        </w:rPr>
        <w:t>承担2条线路</w:t>
      </w:r>
      <w:r>
        <w:t>配属车辆</w:t>
      </w:r>
      <w:r>
        <w:rPr>
          <w:rFonts w:hint="eastAsia"/>
        </w:rPr>
        <w:t>的检修规模需求规划配置</w:t>
      </w:r>
      <w:r>
        <w:t>，并尽量设置在车辆维修量较大的线路上；</w:t>
      </w:r>
    </w:p>
    <w:p w14:paraId="2F0A182F">
      <w:pPr>
        <w:ind w:firstLine="422" w:firstLineChars="200"/>
      </w:pPr>
      <w:r>
        <w:rPr>
          <w:rFonts w:hint="eastAsia"/>
          <w:b/>
        </w:rPr>
        <w:t xml:space="preserve">5 </w:t>
      </w:r>
      <w:r>
        <w:rPr>
          <w:rFonts w:hint="eastAsia"/>
        </w:rPr>
        <w:t xml:space="preserve"> </w:t>
      </w:r>
      <w:r>
        <w:t>车辆段宜承担综合维修、物资存储和培训功能，并设置相应设施。</w:t>
      </w:r>
    </w:p>
    <w:p w14:paraId="314EA29C">
      <w:pPr>
        <w:pStyle w:val="5"/>
        <w:tabs>
          <w:tab w:val="left" w:pos="709"/>
          <w:tab w:val="clear" w:pos="630"/>
        </w:tabs>
      </w:pPr>
      <w:r>
        <w:t>停车场功能及设施应包括下列内容：</w:t>
      </w:r>
    </w:p>
    <w:p w14:paraId="30C104DA">
      <w:pPr>
        <w:ind w:firstLine="422" w:firstLineChars="200"/>
      </w:pPr>
      <w:r>
        <w:rPr>
          <w:b/>
        </w:rPr>
        <w:t>1</w:t>
      </w:r>
      <w:r>
        <w:rPr>
          <w:rFonts w:hint="eastAsia"/>
          <w:b/>
        </w:rPr>
        <w:t xml:space="preserve">  </w:t>
      </w:r>
      <w:r>
        <w:t>承担本场配属车辆的停放、运用、整备和日常检</w:t>
      </w:r>
      <w:r>
        <w:rPr>
          <w:rFonts w:hint="eastAsia"/>
        </w:rPr>
        <w:t>修</w:t>
      </w:r>
      <w:r>
        <w:t>任务，并负责本场配属列车的乘务工作；</w:t>
      </w:r>
    </w:p>
    <w:p w14:paraId="77E3F24A">
      <w:pPr>
        <w:ind w:firstLine="422" w:firstLineChars="200"/>
      </w:pPr>
      <w:r>
        <w:rPr>
          <w:b/>
        </w:rPr>
        <w:t>2</w:t>
      </w:r>
      <w:r>
        <w:rPr>
          <w:rFonts w:hint="eastAsia"/>
          <w:b/>
        </w:rPr>
        <w:t xml:space="preserve"> </w:t>
      </w:r>
      <w:r>
        <w:rPr>
          <w:rFonts w:hint="eastAsia"/>
        </w:rPr>
        <w:t xml:space="preserve"> </w:t>
      </w:r>
      <w:r>
        <w:t>应配备停车</w:t>
      </w:r>
      <w:r>
        <w:rPr>
          <w:rFonts w:hint="eastAsia"/>
        </w:rPr>
        <w:t>库、</w:t>
      </w:r>
      <w:r>
        <w:t>列检库等主要运用设施。当停放规模超过12列时，宜设</w:t>
      </w:r>
      <w:r>
        <w:rPr>
          <w:rFonts w:hint="eastAsia"/>
        </w:rPr>
        <w:t>置</w:t>
      </w:r>
      <w:r>
        <w:t>洗车库；</w:t>
      </w:r>
    </w:p>
    <w:p w14:paraId="7ED2EB94">
      <w:pPr>
        <w:ind w:firstLine="422" w:firstLineChars="200"/>
      </w:pPr>
      <w:r>
        <w:rPr>
          <w:b/>
        </w:rPr>
        <w:t>3</w:t>
      </w:r>
      <w:r>
        <w:rPr>
          <w:rFonts w:hint="eastAsia"/>
          <w:b/>
        </w:rPr>
        <w:t xml:space="preserve"> </w:t>
      </w:r>
      <w:r>
        <w:rPr>
          <w:rFonts w:hint="eastAsia"/>
        </w:rPr>
        <w:t xml:space="preserve"> </w:t>
      </w:r>
      <w:r>
        <w:t>场内宜设办公及食堂、浴室、</w:t>
      </w:r>
      <w:r>
        <w:rPr>
          <w:rFonts w:hint="eastAsia"/>
        </w:rPr>
        <w:t>司</w:t>
      </w:r>
      <w:r>
        <w:t>乘公寓等</w:t>
      </w:r>
      <w:r>
        <w:rPr>
          <w:rFonts w:hint="eastAsia"/>
        </w:rPr>
        <w:t>生活服务</w:t>
      </w:r>
      <w:r>
        <w:t>设施；</w:t>
      </w:r>
    </w:p>
    <w:p w14:paraId="7CA47FC7">
      <w:pPr>
        <w:ind w:firstLine="422" w:firstLineChars="200"/>
      </w:pPr>
      <w:r>
        <w:rPr>
          <w:b/>
        </w:rPr>
        <w:t>4</w:t>
      </w:r>
      <w:r>
        <w:rPr>
          <w:rFonts w:hint="eastAsia"/>
        </w:rPr>
        <w:t xml:space="preserve">  停车</w:t>
      </w:r>
      <w:r>
        <w:t>规模</w:t>
      </w:r>
      <w:r>
        <w:rPr>
          <w:rFonts w:hint="eastAsia"/>
        </w:rPr>
        <w:t>较大的</w:t>
      </w:r>
      <w:r>
        <w:t>停车场可增设月检或临修等检修及配套设施；</w:t>
      </w:r>
    </w:p>
    <w:p w14:paraId="4DC6EE9A">
      <w:pPr>
        <w:ind w:firstLine="422" w:firstLineChars="200"/>
      </w:pPr>
      <w:r>
        <w:rPr>
          <w:b/>
        </w:rPr>
        <w:t>5</w:t>
      </w:r>
      <w:r>
        <w:rPr>
          <w:rFonts w:hint="eastAsia"/>
          <w:b/>
        </w:rPr>
        <w:t xml:space="preserve">  </w:t>
      </w:r>
      <w:r>
        <w:t>停车场</w:t>
      </w:r>
      <w:r>
        <w:rPr>
          <w:rFonts w:hint="eastAsia"/>
        </w:rPr>
        <w:t>宜结合</w:t>
      </w:r>
      <w:r>
        <w:t>线路需</w:t>
      </w:r>
      <w:r>
        <w:rPr>
          <w:rFonts w:hint="eastAsia"/>
        </w:rPr>
        <w:t>要</w:t>
      </w:r>
      <w:r>
        <w:t>承担综合维修</w:t>
      </w:r>
      <w:r>
        <w:rPr>
          <w:rFonts w:hint="eastAsia"/>
        </w:rPr>
        <w:t>、物资总库任务</w:t>
      </w:r>
      <w:r>
        <w:t>，并设置相应设施。</w:t>
      </w:r>
    </w:p>
    <w:p w14:paraId="63BC66C8">
      <w:pPr>
        <w:numPr>
          <w:ilvl w:val="1"/>
          <w:numId w:val="1"/>
        </w:numPr>
        <w:snapToGrid w:val="0"/>
        <w:spacing w:before="156" w:after="156" w:line="240" w:lineRule="auto"/>
        <w:jc w:val="center"/>
        <w:outlineLvl w:val="1"/>
        <w:rPr>
          <w:rFonts w:eastAsia="黑体"/>
          <w:bCs/>
          <w:szCs w:val="28"/>
        </w:rPr>
      </w:pPr>
      <w:bookmarkStart w:id="1881" w:name="_Toc183882227"/>
      <w:bookmarkStart w:id="1882" w:name="_Toc183882589"/>
      <w:bookmarkStart w:id="1883" w:name="_Toc183888641"/>
      <w:bookmarkStart w:id="1884" w:name="_Toc183765236"/>
      <w:bookmarkStart w:id="1885" w:name="_Toc168415303"/>
      <w:bookmarkStart w:id="1886" w:name="_Toc183683630"/>
      <w:bookmarkStart w:id="1887" w:name="_Toc183790666"/>
      <w:bookmarkStart w:id="1888" w:name="_Toc183888279"/>
      <w:r>
        <w:rPr>
          <w:rFonts w:eastAsia="黑体"/>
          <w:bCs/>
          <w:szCs w:val="28"/>
        </w:rPr>
        <w:t>车辆</w:t>
      </w:r>
      <w:r>
        <w:rPr>
          <w:rFonts w:hint="eastAsia" w:eastAsia="黑体"/>
          <w:bCs/>
          <w:szCs w:val="28"/>
        </w:rPr>
        <w:t>检修</w:t>
      </w:r>
      <w:r>
        <w:rPr>
          <w:rFonts w:eastAsia="黑体"/>
          <w:bCs/>
          <w:szCs w:val="28"/>
        </w:rPr>
        <w:t>标准及设施规模</w:t>
      </w:r>
      <w:bookmarkEnd w:id="1881"/>
      <w:bookmarkEnd w:id="1882"/>
      <w:bookmarkEnd w:id="1883"/>
      <w:bookmarkEnd w:id="1884"/>
      <w:bookmarkEnd w:id="1885"/>
      <w:bookmarkEnd w:id="1886"/>
      <w:bookmarkEnd w:id="1887"/>
      <w:bookmarkEnd w:id="1888"/>
    </w:p>
    <w:p w14:paraId="4DBFE285">
      <w:pPr>
        <w:pStyle w:val="5"/>
        <w:tabs>
          <w:tab w:val="left" w:pos="709"/>
          <w:tab w:val="clear" w:pos="630"/>
        </w:tabs>
      </w:pPr>
      <w:r>
        <w:rPr>
          <w:rFonts w:hint="eastAsia"/>
        </w:rPr>
        <w:t>车辆基地</w:t>
      </w:r>
      <w:r>
        <w:t>的规模应满足</w:t>
      </w:r>
      <w:r>
        <w:rPr>
          <w:rFonts w:hint="eastAsia"/>
        </w:rPr>
        <w:t>车辆</w:t>
      </w:r>
      <w:r>
        <w:t>运营、维修功能要求，并根据</w:t>
      </w:r>
      <w:r>
        <w:rPr>
          <w:rFonts w:hint="eastAsia"/>
        </w:rPr>
        <w:t>线路长度、行车交路、运行对数、运营计划</w:t>
      </w:r>
      <w:r>
        <w:t>、列车编组、车辆检修周期和检修时间、车辆技术参数综合计算确定，并应按最不利情况进行校验。</w:t>
      </w:r>
    </w:p>
    <w:p w14:paraId="5561D651">
      <w:pPr>
        <w:pStyle w:val="5"/>
        <w:tabs>
          <w:tab w:val="left" w:pos="709"/>
          <w:tab w:val="clear" w:pos="630"/>
        </w:tabs>
      </w:pPr>
      <w:bookmarkStart w:id="1889" w:name="_Hlk183362424"/>
      <w:r>
        <w:t>车辆</w:t>
      </w:r>
      <w:bookmarkEnd w:id="1889"/>
      <w:r>
        <w:t>检修宜采用日常维修和定期检修相结合的检修制度</w:t>
      </w:r>
      <w:r>
        <w:rPr>
          <w:rFonts w:hint="eastAsia"/>
        </w:rPr>
        <w:t>；采用</w:t>
      </w:r>
      <w:r>
        <w:t>社会化委托与专业化检修相结合的维修模式。</w:t>
      </w:r>
    </w:p>
    <w:p w14:paraId="2567BEA3">
      <w:pPr>
        <w:pStyle w:val="5"/>
        <w:tabs>
          <w:tab w:val="left" w:pos="709"/>
          <w:tab w:val="clear" w:pos="630"/>
        </w:tabs>
      </w:pPr>
      <w:r>
        <w:rPr>
          <w:rFonts w:hint="eastAsia"/>
        </w:rPr>
        <w:t>车</w:t>
      </w:r>
      <w:r>
        <w:t>辆检修修程和检修周期应</w:t>
      </w:r>
      <w:r>
        <w:rPr>
          <w:rFonts w:hint="eastAsia"/>
        </w:rPr>
        <w:t>根据车辆技术条件、车辆的质量和既有车辆基地的检修经验制定</w:t>
      </w:r>
      <w:r>
        <w:t>，</w:t>
      </w:r>
      <w:r>
        <w:rPr>
          <w:rFonts w:hint="eastAsia"/>
        </w:rPr>
        <w:t>新建地铁工程的车辆检修标准可</w:t>
      </w:r>
      <w:r>
        <w:t>参照</w:t>
      </w:r>
      <w:r>
        <w:rPr>
          <w:rFonts w:hint="eastAsia"/>
        </w:rPr>
        <w:t>表27.3.4-1和27.3.4-2确定。</w:t>
      </w:r>
    </w:p>
    <w:p w14:paraId="18094B8F">
      <w:pPr>
        <w:pStyle w:val="198"/>
      </w:pPr>
      <w:r>
        <w:br w:type="page"/>
      </w:r>
      <w:r>
        <w:rPr>
          <w:rFonts w:hint="eastAsia"/>
        </w:rPr>
        <w:t>表27.3.4-1  80km/h、100 km/h</w:t>
      </w:r>
      <w:r>
        <w:t>车辆</w:t>
      </w:r>
      <w:r>
        <w:rPr>
          <w:rFonts w:hint="eastAsia"/>
        </w:rPr>
        <w:t>检修</w:t>
      </w:r>
      <w:r>
        <w:t>标准</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79"/>
        <w:gridCol w:w="1266"/>
        <w:gridCol w:w="1265"/>
        <w:gridCol w:w="1265"/>
        <w:gridCol w:w="1265"/>
      </w:tblGrid>
      <w:tr w14:paraId="2600C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3" w:hRule="atLeast"/>
        </w:trPr>
        <w:tc>
          <w:tcPr>
            <w:tcW w:w="1279" w:type="dxa"/>
            <w:vMerge w:val="restart"/>
            <w:tcBorders>
              <w:left w:val="single" w:color="000000" w:sz="6" w:space="0"/>
              <w:bottom w:val="nil"/>
            </w:tcBorders>
            <w:vAlign w:val="center"/>
          </w:tcPr>
          <w:p w14:paraId="37A46658">
            <w:pPr>
              <w:pStyle w:val="235"/>
              <w:rPr>
                <w:color w:val="auto"/>
              </w:rPr>
            </w:pPr>
            <w:r>
              <w:rPr>
                <w:color w:val="auto"/>
              </w:rPr>
              <w:t>检修种类</w:t>
            </w:r>
          </w:p>
        </w:tc>
        <w:tc>
          <w:tcPr>
            <w:tcW w:w="2531" w:type="dxa"/>
            <w:gridSpan w:val="2"/>
            <w:vAlign w:val="center"/>
          </w:tcPr>
          <w:p w14:paraId="38F71D0E">
            <w:pPr>
              <w:pStyle w:val="235"/>
              <w:rPr>
                <w:color w:val="auto"/>
              </w:rPr>
            </w:pPr>
            <w:r>
              <w:rPr>
                <w:color w:val="auto"/>
              </w:rPr>
              <w:t>检修周期</w:t>
            </w:r>
          </w:p>
        </w:tc>
        <w:tc>
          <w:tcPr>
            <w:tcW w:w="1265" w:type="dxa"/>
            <w:vMerge w:val="restart"/>
            <w:tcBorders>
              <w:bottom w:val="nil"/>
            </w:tcBorders>
            <w:vAlign w:val="center"/>
          </w:tcPr>
          <w:p w14:paraId="7B2268D1">
            <w:pPr>
              <w:pStyle w:val="235"/>
              <w:rPr>
                <w:color w:val="auto"/>
              </w:rPr>
            </w:pPr>
            <w:r>
              <w:rPr>
                <w:color w:val="auto"/>
              </w:rPr>
              <w:t>检修时间(天)</w:t>
            </w:r>
          </w:p>
          <w:p w14:paraId="721C05BF">
            <w:pPr>
              <w:pStyle w:val="235"/>
              <w:rPr>
                <w:color w:val="auto"/>
              </w:rPr>
            </w:pPr>
            <w:r>
              <w:rPr>
                <w:color w:val="auto"/>
              </w:rPr>
              <w:t>(停修/库停)</w:t>
            </w:r>
          </w:p>
        </w:tc>
        <w:tc>
          <w:tcPr>
            <w:tcW w:w="1265" w:type="dxa"/>
            <w:vMerge w:val="restart"/>
            <w:tcBorders>
              <w:bottom w:val="nil"/>
              <w:right w:val="single" w:color="000000" w:sz="6" w:space="0"/>
            </w:tcBorders>
            <w:vAlign w:val="center"/>
          </w:tcPr>
          <w:p w14:paraId="381558EA">
            <w:pPr>
              <w:pStyle w:val="235"/>
              <w:rPr>
                <w:color w:val="auto"/>
              </w:rPr>
            </w:pPr>
            <w:r>
              <w:rPr>
                <w:color w:val="auto"/>
              </w:rPr>
              <w:t>备注</w:t>
            </w:r>
          </w:p>
        </w:tc>
      </w:tr>
      <w:tr w14:paraId="5FAC4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2" w:hRule="atLeast"/>
        </w:trPr>
        <w:tc>
          <w:tcPr>
            <w:tcW w:w="1279" w:type="dxa"/>
            <w:vMerge w:val="continue"/>
            <w:tcBorders>
              <w:top w:val="nil"/>
              <w:left w:val="single" w:color="000000" w:sz="6" w:space="0"/>
            </w:tcBorders>
            <w:vAlign w:val="center"/>
          </w:tcPr>
          <w:p w14:paraId="078A98DB">
            <w:pPr>
              <w:pStyle w:val="235"/>
              <w:rPr>
                <w:color w:val="auto"/>
              </w:rPr>
            </w:pPr>
          </w:p>
        </w:tc>
        <w:tc>
          <w:tcPr>
            <w:tcW w:w="1266" w:type="dxa"/>
            <w:vAlign w:val="center"/>
          </w:tcPr>
          <w:p w14:paraId="6B16D05D">
            <w:pPr>
              <w:pStyle w:val="235"/>
              <w:rPr>
                <w:color w:val="auto"/>
              </w:rPr>
            </w:pPr>
            <w:r>
              <w:rPr>
                <w:color w:val="auto"/>
              </w:rPr>
              <w:t>里程(万公里)</w:t>
            </w:r>
          </w:p>
        </w:tc>
        <w:tc>
          <w:tcPr>
            <w:tcW w:w="1265" w:type="dxa"/>
            <w:vAlign w:val="center"/>
          </w:tcPr>
          <w:p w14:paraId="65447293">
            <w:pPr>
              <w:pStyle w:val="235"/>
              <w:rPr>
                <w:color w:val="auto"/>
              </w:rPr>
            </w:pPr>
            <w:r>
              <w:rPr>
                <w:color w:val="auto"/>
              </w:rPr>
              <w:t>时间(年)</w:t>
            </w:r>
          </w:p>
        </w:tc>
        <w:tc>
          <w:tcPr>
            <w:tcW w:w="1265" w:type="dxa"/>
            <w:vMerge w:val="continue"/>
            <w:tcBorders>
              <w:top w:val="nil"/>
            </w:tcBorders>
            <w:vAlign w:val="center"/>
          </w:tcPr>
          <w:p w14:paraId="0DEC55BC">
            <w:pPr>
              <w:pStyle w:val="235"/>
              <w:rPr>
                <w:color w:val="auto"/>
              </w:rPr>
            </w:pPr>
          </w:p>
        </w:tc>
        <w:tc>
          <w:tcPr>
            <w:tcW w:w="1265" w:type="dxa"/>
            <w:vMerge w:val="continue"/>
            <w:tcBorders>
              <w:top w:val="nil"/>
              <w:right w:val="single" w:color="000000" w:sz="6" w:space="0"/>
            </w:tcBorders>
            <w:vAlign w:val="center"/>
          </w:tcPr>
          <w:p w14:paraId="3EA1C917">
            <w:pPr>
              <w:pStyle w:val="235"/>
              <w:rPr>
                <w:color w:val="auto"/>
              </w:rPr>
            </w:pPr>
          </w:p>
        </w:tc>
      </w:tr>
      <w:tr w14:paraId="0FCA6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1279" w:type="dxa"/>
            <w:tcBorders>
              <w:left w:val="single" w:color="000000" w:sz="6" w:space="0"/>
            </w:tcBorders>
            <w:vAlign w:val="center"/>
          </w:tcPr>
          <w:p w14:paraId="70690032">
            <w:pPr>
              <w:pStyle w:val="235"/>
              <w:rPr>
                <w:color w:val="auto"/>
              </w:rPr>
            </w:pPr>
            <w:r>
              <w:rPr>
                <w:color w:val="auto"/>
              </w:rPr>
              <w:t>厂修</w:t>
            </w:r>
          </w:p>
        </w:tc>
        <w:tc>
          <w:tcPr>
            <w:tcW w:w="1266" w:type="dxa"/>
            <w:vAlign w:val="center"/>
          </w:tcPr>
          <w:p w14:paraId="073975FA">
            <w:pPr>
              <w:pStyle w:val="235"/>
              <w:rPr>
                <w:color w:val="auto"/>
              </w:rPr>
            </w:pPr>
            <w:r>
              <w:rPr>
                <w:color w:val="auto"/>
              </w:rPr>
              <w:t>150~1</w:t>
            </w:r>
            <w:r>
              <w:rPr>
                <w:rFonts w:hint="eastAsia"/>
                <w:color w:val="auto"/>
              </w:rPr>
              <w:t>6</w:t>
            </w:r>
            <w:r>
              <w:rPr>
                <w:color w:val="auto"/>
              </w:rPr>
              <w:t>0</w:t>
            </w:r>
          </w:p>
        </w:tc>
        <w:tc>
          <w:tcPr>
            <w:tcW w:w="1265" w:type="dxa"/>
            <w:vAlign w:val="center"/>
          </w:tcPr>
          <w:p w14:paraId="426FBC61">
            <w:pPr>
              <w:pStyle w:val="235"/>
              <w:rPr>
                <w:color w:val="auto"/>
              </w:rPr>
            </w:pPr>
            <w:r>
              <w:rPr>
                <w:color w:val="auto"/>
              </w:rPr>
              <w:t>15~1</w:t>
            </w:r>
            <w:r>
              <w:rPr>
                <w:rFonts w:hint="eastAsia"/>
                <w:color w:val="auto"/>
              </w:rPr>
              <w:t>6</w:t>
            </w:r>
          </w:p>
        </w:tc>
        <w:tc>
          <w:tcPr>
            <w:tcW w:w="1265" w:type="dxa"/>
            <w:vAlign w:val="center"/>
          </w:tcPr>
          <w:p w14:paraId="539AB6CB">
            <w:pPr>
              <w:pStyle w:val="235"/>
              <w:rPr>
                <w:color w:val="auto"/>
              </w:rPr>
            </w:pPr>
            <w:r>
              <w:rPr>
                <w:rFonts w:hint="eastAsia"/>
                <w:color w:val="auto"/>
              </w:rPr>
              <w:t>5</w:t>
            </w:r>
            <w:r>
              <w:rPr>
                <w:color w:val="auto"/>
              </w:rPr>
              <w:t>0/</w:t>
            </w:r>
            <w:r>
              <w:rPr>
                <w:rFonts w:hint="eastAsia"/>
                <w:color w:val="auto"/>
              </w:rPr>
              <w:t>4</w:t>
            </w:r>
            <w:r>
              <w:rPr>
                <w:color w:val="auto"/>
              </w:rPr>
              <w:t>0</w:t>
            </w:r>
          </w:p>
        </w:tc>
        <w:tc>
          <w:tcPr>
            <w:tcW w:w="1265" w:type="dxa"/>
            <w:tcBorders>
              <w:right w:val="single" w:color="000000" w:sz="6" w:space="0"/>
            </w:tcBorders>
            <w:vAlign w:val="center"/>
          </w:tcPr>
          <w:p w14:paraId="7163769D">
            <w:pPr>
              <w:pStyle w:val="235"/>
              <w:rPr>
                <w:color w:val="auto"/>
              </w:rPr>
            </w:pPr>
            <w:r>
              <w:rPr>
                <w:color w:val="auto"/>
              </w:rPr>
              <w:t>车辆厂</w:t>
            </w:r>
          </w:p>
        </w:tc>
      </w:tr>
      <w:tr w14:paraId="1D603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trPr>
        <w:tc>
          <w:tcPr>
            <w:tcW w:w="1279" w:type="dxa"/>
            <w:tcBorders>
              <w:left w:val="single" w:color="000000" w:sz="6" w:space="0"/>
            </w:tcBorders>
            <w:vAlign w:val="center"/>
          </w:tcPr>
          <w:p w14:paraId="622A8BE0">
            <w:pPr>
              <w:pStyle w:val="235"/>
              <w:rPr>
                <w:color w:val="auto"/>
              </w:rPr>
            </w:pPr>
            <w:r>
              <w:rPr>
                <w:rFonts w:hint="eastAsia"/>
                <w:color w:val="auto"/>
              </w:rPr>
              <w:t>架修2</w:t>
            </w:r>
          </w:p>
        </w:tc>
        <w:tc>
          <w:tcPr>
            <w:tcW w:w="1266" w:type="dxa"/>
            <w:vAlign w:val="center"/>
          </w:tcPr>
          <w:p w14:paraId="1544F109">
            <w:pPr>
              <w:pStyle w:val="235"/>
              <w:rPr>
                <w:color w:val="auto"/>
              </w:rPr>
            </w:pPr>
            <w:r>
              <w:rPr>
                <w:rFonts w:hint="eastAsia"/>
                <w:color w:val="auto"/>
              </w:rPr>
              <w:t>75~80</w:t>
            </w:r>
          </w:p>
        </w:tc>
        <w:tc>
          <w:tcPr>
            <w:tcW w:w="1265" w:type="dxa"/>
            <w:vAlign w:val="center"/>
          </w:tcPr>
          <w:p w14:paraId="10DFA5E3">
            <w:pPr>
              <w:pStyle w:val="235"/>
              <w:rPr>
                <w:color w:val="auto"/>
              </w:rPr>
            </w:pPr>
            <w:r>
              <w:rPr>
                <w:rFonts w:hint="eastAsia"/>
                <w:color w:val="auto"/>
              </w:rPr>
              <w:t>6~8</w:t>
            </w:r>
          </w:p>
        </w:tc>
        <w:tc>
          <w:tcPr>
            <w:tcW w:w="1265" w:type="dxa"/>
            <w:vAlign w:val="center"/>
          </w:tcPr>
          <w:p w14:paraId="6EEBB11B">
            <w:pPr>
              <w:pStyle w:val="235"/>
              <w:rPr>
                <w:color w:val="auto"/>
              </w:rPr>
            </w:pPr>
            <w:r>
              <w:rPr>
                <w:rFonts w:hint="eastAsia"/>
                <w:color w:val="auto"/>
              </w:rPr>
              <w:t>24/17</w:t>
            </w:r>
          </w:p>
        </w:tc>
        <w:tc>
          <w:tcPr>
            <w:tcW w:w="1265" w:type="dxa"/>
            <w:tcBorders>
              <w:right w:val="single" w:color="000000" w:sz="6" w:space="0"/>
            </w:tcBorders>
            <w:vAlign w:val="center"/>
          </w:tcPr>
          <w:p w14:paraId="62F64920">
            <w:pPr>
              <w:pStyle w:val="235"/>
              <w:rPr>
                <w:color w:val="auto"/>
              </w:rPr>
            </w:pPr>
            <w:r>
              <w:rPr>
                <w:color w:val="auto"/>
              </w:rPr>
              <w:t>车辆段</w:t>
            </w:r>
          </w:p>
        </w:tc>
      </w:tr>
      <w:tr w14:paraId="4C39D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trPr>
        <w:tc>
          <w:tcPr>
            <w:tcW w:w="1279" w:type="dxa"/>
            <w:tcBorders>
              <w:left w:val="single" w:color="000000" w:sz="6" w:space="0"/>
            </w:tcBorders>
            <w:vAlign w:val="center"/>
          </w:tcPr>
          <w:p w14:paraId="0EE7D648">
            <w:pPr>
              <w:pStyle w:val="235"/>
              <w:rPr>
                <w:color w:val="auto"/>
              </w:rPr>
            </w:pPr>
            <w:r>
              <w:rPr>
                <w:color w:val="auto"/>
              </w:rPr>
              <w:t>架修</w:t>
            </w:r>
            <w:r>
              <w:rPr>
                <w:rFonts w:hint="eastAsia"/>
                <w:color w:val="auto"/>
              </w:rPr>
              <w:t>1</w:t>
            </w:r>
          </w:p>
        </w:tc>
        <w:tc>
          <w:tcPr>
            <w:tcW w:w="1266" w:type="dxa"/>
            <w:vAlign w:val="center"/>
          </w:tcPr>
          <w:p w14:paraId="6F144F8F">
            <w:pPr>
              <w:pStyle w:val="235"/>
              <w:rPr>
                <w:color w:val="auto"/>
              </w:rPr>
            </w:pPr>
            <w:r>
              <w:rPr>
                <w:color w:val="auto"/>
              </w:rPr>
              <w:t>37.5~4</w:t>
            </w:r>
            <w:r>
              <w:rPr>
                <w:rFonts w:hint="eastAsia"/>
                <w:color w:val="auto"/>
              </w:rPr>
              <w:t>0</w:t>
            </w:r>
          </w:p>
        </w:tc>
        <w:tc>
          <w:tcPr>
            <w:tcW w:w="1265" w:type="dxa"/>
            <w:vAlign w:val="center"/>
          </w:tcPr>
          <w:p w14:paraId="793D251F">
            <w:pPr>
              <w:pStyle w:val="235"/>
              <w:rPr>
                <w:color w:val="auto"/>
              </w:rPr>
            </w:pPr>
            <w:r>
              <w:rPr>
                <w:color w:val="auto"/>
              </w:rPr>
              <w:t>3~4</w:t>
            </w:r>
          </w:p>
        </w:tc>
        <w:tc>
          <w:tcPr>
            <w:tcW w:w="1265" w:type="dxa"/>
            <w:vAlign w:val="center"/>
          </w:tcPr>
          <w:p w14:paraId="39C5FFFC">
            <w:pPr>
              <w:pStyle w:val="235"/>
              <w:rPr>
                <w:color w:val="auto"/>
              </w:rPr>
            </w:pPr>
            <w:r>
              <w:rPr>
                <w:rFonts w:hint="eastAsia"/>
                <w:color w:val="auto"/>
              </w:rPr>
              <w:t>17</w:t>
            </w:r>
            <w:r>
              <w:rPr>
                <w:color w:val="auto"/>
              </w:rPr>
              <w:t>/</w:t>
            </w:r>
            <w:r>
              <w:rPr>
                <w:rFonts w:hint="eastAsia"/>
                <w:color w:val="auto"/>
              </w:rPr>
              <w:t>12</w:t>
            </w:r>
          </w:p>
        </w:tc>
        <w:tc>
          <w:tcPr>
            <w:tcW w:w="1265" w:type="dxa"/>
            <w:tcBorders>
              <w:right w:val="single" w:color="000000" w:sz="6" w:space="0"/>
            </w:tcBorders>
            <w:vAlign w:val="center"/>
          </w:tcPr>
          <w:p w14:paraId="7BFA4BC6">
            <w:pPr>
              <w:pStyle w:val="235"/>
              <w:rPr>
                <w:color w:val="auto"/>
              </w:rPr>
            </w:pPr>
            <w:r>
              <w:rPr>
                <w:color w:val="auto"/>
              </w:rPr>
              <w:t>车辆段</w:t>
            </w:r>
          </w:p>
        </w:tc>
      </w:tr>
      <w:tr w14:paraId="5C379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trPr>
        <w:tc>
          <w:tcPr>
            <w:tcW w:w="1279" w:type="dxa"/>
            <w:tcBorders>
              <w:left w:val="single" w:color="000000" w:sz="6" w:space="0"/>
            </w:tcBorders>
            <w:vAlign w:val="center"/>
          </w:tcPr>
          <w:p w14:paraId="61861122">
            <w:pPr>
              <w:pStyle w:val="235"/>
              <w:rPr>
                <w:color w:val="auto"/>
              </w:rPr>
            </w:pPr>
            <w:r>
              <w:rPr>
                <w:color w:val="auto"/>
              </w:rPr>
              <w:t>月检</w:t>
            </w:r>
          </w:p>
        </w:tc>
        <w:tc>
          <w:tcPr>
            <w:tcW w:w="1266" w:type="dxa"/>
            <w:vAlign w:val="center"/>
          </w:tcPr>
          <w:p w14:paraId="6F4C3418">
            <w:pPr>
              <w:pStyle w:val="235"/>
              <w:rPr>
                <w:color w:val="auto"/>
              </w:rPr>
            </w:pPr>
            <w:r>
              <w:rPr>
                <w:color w:val="auto"/>
              </w:rPr>
              <w:t>2</w:t>
            </w:r>
          </w:p>
        </w:tc>
        <w:tc>
          <w:tcPr>
            <w:tcW w:w="1265" w:type="dxa"/>
            <w:vAlign w:val="center"/>
          </w:tcPr>
          <w:p w14:paraId="59776864">
            <w:pPr>
              <w:pStyle w:val="235"/>
              <w:rPr>
                <w:color w:val="auto"/>
              </w:rPr>
            </w:pPr>
            <w:r>
              <w:rPr>
                <w:color w:val="auto"/>
              </w:rPr>
              <w:t>2个月</w:t>
            </w:r>
          </w:p>
        </w:tc>
        <w:tc>
          <w:tcPr>
            <w:tcW w:w="1265" w:type="dxa"/>
            <w:vAlign w:val="center"/>
          </w:tcPr>
          <w:p w14:paraId="54EC9EEA">
            <w:pPr>
              <w:pStyle w:val="235"/>
              <w:rPr>
                <w:color w:val="auto"/>
              </w:rPr>
            </w:pPr>
            <w:r>
              <w:rPr>
                <w:color w:val="auto"/>
              </w:rPr>
              <w:t>1/1</w:t>
            </w:r>
          </w:p>
        </w:tc>
        <w:tc>
          <w:tcPr>
            <w:tcW w:w="1265" w:type="dxa"/>
            <w:tcBorders>
              <w:right w:val="single" w:color="000000" w:sz="6" w:space="0"/>
            </w:tcBorders>
            <w:vAlign w:val="center"/>
          </w:tcPr>
          <w:p w14:paraId="14996801">
            <w:pPr>
              <w:pStyle w:val="235"/>
              <w:rPr>
                <w:color w:val="auto"/>
              </w:rPr>
            </w:pPr>
          </w:p>
        </w:tc>
      </w:tr>
      <w:tr w14:paraId="21E28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2" w:hRule="atLeast"/>
        </w:trPr>
        <w:tc>
          <w:tcPr>
            <w:tcW w:w="1279" w:type="dxa"/>
            <w:tcBorders>
              <w:left w:val="single" w:color="000000" w:sz="6" w:space="0"/>
            </w:tcBorders>
            <w:vAlign w:val="center"/>
          </w:tcPr>
          <w:p w14:paraId="5CCA0C77">
            <w:pPr>
              <w:pStyle w:val="235"/>
              <w:rPr>
                <w:color w:val="auto"/>
              </w:rPr>
            </w:pPr>
            <w:r>
              <w:rPr>
                <w:color w:val="auto"/>
              </w:rPr>
              <w:t>列检</w:t>
            </w:r>
          </w:p>
        </w:tc>
        <w:tc>
          <w:tcPr>
            <w:tcW w:w="1266" w:type="dxa"/>
            <w:vAlign w:val="center"/>
          </w:tcPr>
          <w:p w14:paraId="4E4D267E">
            <w:pPr>
              <w:pStyle w:val="235"/>
              <w:rPr>
                <w:color w:val="auto"/>
              </w:rPr>
            </w:pPr>
            <w:r>
              <w:rPr>
                <w:color w:val="auto"/>
              </w:rPr>
              <w:t>—</w:t>
            </w:r>
          </w:p>
        </w:tc>
        <w:tc>
          <w:tcPr>
            <w:tcW w:w="1265" w:type="dxa"/>
            <w:vAlign w:val="center"/>
          </w:tcPr>
          <w:p w14:paraId="00CA93E2">
            <w:pPr>
              <w:pStyle w:val="235"/>
              <w:rPr>
                <w:color w:val="auto"/>
              </w:rPr>
            </w:pPr>
            <w:r>
              <w:rPr>
                <w:rFonts w:hint="eastAsia"/>
                <w:color w:val="auto"/>
              </w:rPr>
              <w:t>2~4</w:t>
            </w:r>
            <w:r>
              <w:rPr>
                <w:color w:val="auto"/>
              </w:rPr>
              <w:t>日</w:t>
            </w:r>
          </w:p>
        </w:tc>
        <w:tc>
          <w:tcPr>
            <w:tcW w:w="1265" w:type="dxa"/>
            <w:vAlign w:val="center"/>
          </w:tcPr>
          <w:p w14:paraId="7697EBFD">
            <w:pPr>
              <w:pStyle w:val="235"/>
              <w:rPr>
                <w:color w:val="auto"/>
              </w:rPr>
            </w:pPr>
            <w:r>
              <w:rPr>
                <w:color w:val="auto"/>
              </w:rPr>
              <w:t>—</w:t>
            </w:r>
          </w:p>
        </w:tc>
        <w:tc>
          <w:tcPr>
            <w:tcW w:w="1265" w:type="dxa"/>
            <w:tcBorders>
              <w:right w:val="single" w:color="000000" w:sz="6" w:space="0"/>
            </w:tcBorders>
            <w:vAlign w:val="center"/>
          </w:tcPr>
          <w:p w14:paraId="3D452D2A">
            <w:pPr>
              <w:pStyle w:val="235"/>
              <w:rPr>
                <w:color w:val="auto"/>
              </w:rPr>
            </w:pPr>
          </w:p>
        </w:tc>
      </w:tr>
    </w:tbl>
    <w:p w14:paraId="0AFAC083">
      <w:pPr>
        <w:pStyle w:val="198"/>
      </w:pPr>
      <w:r>
        <w:t>表2</w:t>
      </w:r>
      <w:r>
        <w:rPr>
          <w:rFonts w:hint="eastAsia"/>
        </w:rPr>
        <w:t>7</w:t>
      </w:r>
      <w:r>
        <w:t>.3.4</w:t>
      </w:r>
      <w:r>
        <w:rPr>
          <w:rFonts w:hint="eastAsia"/>
        </w:rPr>
        <w:t>-2  120 km/h、140 km/h</w:t>
      </w:r>
      <w:r>
        <w:t>车辆</w:t>
      </w:r>
      <w:r>
        <w:rPr>
          <w:rFonts w:hint="eastAsia"/>
        </w:rPr>
        <w:t>检修</w:t>
      </w:r>
      <w:r>
        <w:t>标准</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80"/>
        <w:gridCol w:w="1266"/>
        <w:gridCol w:w="1265"/>
        <w:gridCol w:w="1265"/>
        <w:gridCol w:w="1264"/>
      </w:tblGrid>
      <w:tr w14:paraId="02766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3" w:hRule="atLeast"/>
        </w:trPr>
        <w:tc>
          <w:tcPr>
            <w:tcW w:w="1280" w:type="dxa"/>
            <w:vMerge w:val="restart"/>
            <w:tcBorders>
              <w:left w:val="single" w:color="000000" w:sz="6" w:space="0"/>
              <w:bottom w:val="nil"/>
            </w:tcBorders>
            <w:vAlign w:val="center"/>
          </w:tcPr>
          <w:p w14:paraId="50B828B2">
            <w:pPr>
              <w:pStyle w:val="235"/>
              <w:rPr>
                <w:color w:val="auto"/>
              </w:rPr>
            </w:pPr>
            <w:r>
              <w:rPr>
                <w:color w:val="auto"/>
              </w:rPr>
              <w:t>检修种类</w:t>
            </w:r>
          </w:p>
        </w:tc>
        <w:tc>
          <w:tcPr>
            <w:tcW w:w="2531" w:type="dxa"/>
            <w:gridSpan w:val="2"/>
            <w:vAlign w:val="center"/>
          </w:tcPr>
          <w:p w14:paraId="43FE1CF7">
            <w:pPr>
              <w:pStyle w:val="235"/>
              <w:rPr>
                <w:color w:val="auto"/>
              </w:rPr>
            </w:pPr>
            <w:r>
              <w:rPr>
                <w:color w:val="auto"/>
              </w:rPr>
              <w:t>检修周期</w:t>
            </w:r>
          </w:p>
        </w:tc>
        <w:tc>
          <w:tcPr>
            <w:tcW w:w="1265" w:type="dxa"/>
            <w:vMerge w:val="restart"/>
            <w:tcBorders>
              <w:bottom w:val="nil"/>
            </w:tcBorders>
            <w:vAlign w:val="center"/>
          </w:tcPr>
          <w:p w14:paraId="06AA0394">
            <w:pPr>
              <w:pStyle w:val="235"/>
              <w:rPr>
                <w:color w:val="auto"/>
              </w:rPr>
            </w:pPr>
            <w:r>
              <w:rPr>
                <w:color w:val="auto"/>
              </w:rPr>
              <w:t>检修时间(天)</w:t>
            </w:r>
          </w:p>
          <w:p w14:paraId="4358020F">
            <w:pPr>
              <w:pStyle w:val="235"/>
              <w:rPr>
                <w:color w:val="auto"/>
              </w:rPr>
            </w:pPr>
            <w:r>
              <w:rPr>
                <w:color w:val="auto"/>
              </w:rPr>
              <w:t>(停修/库停)</w:t>
            </w:r>
          </w:p>
        </w:tc>
        <w:tc>
          <w:tcPr>
            <w:tcW w:w="1264" w:type="dxa"/>
            <w:vMerge w:val="restart"/>
            <w:tcBorders>
              <w:bottom w:val="nil"/>
              <w:right w:val="single" w:color="000000" w:sz="6" w:space="0"/>
            </w:tcBorders>
            <w:vAlign w:val="center"/>
          </w:tcPr>
          <w:p w14:paraId="2253C341">
            <w:pPr>
              <w:pStyle w:val="235"/>
              <w:rPr>
                <w:color w:val="auto"/>
              </w:rPr>
            </w:pPr>
            <w:r>
              <w:rPr>
                <w:color w:val="auto"/>
              </w:rPr>
              <w:t>备注</w:t>
            </w:r>
          </w:p>
        </w:tc>
      </w:tr>
      <w:tr w14:paraId="3D6DF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2" w:hRule="atLeast"/>
        </w:trPr>
        <w:tc>
          <w:tcPr>
            <w:tcW w:w="1280" w:type="dxa"/>
            <w:vMerge w:val="continue"/>
            <w:tcBorders>
              <w:top w:val="nil"/>
              <w:left w:val="single" w:color="000000" w:sz="6" w:space="0"/>
            </w:tcBorders>
            <w:vAlign w:val="center"/>
          </w:tcPr>
          <w:p w14:paraId="13FC8F60">
            <w:pPr>
              <w:pStyle w:val="235"/>
              <w:rPr>
                <w:color w:val="auto"/>
              </w:rPr>
            </w:pPr>
          </w:p>
        </w:tc>
        <w:tc>
          <w:tcPr>
            <w:tcW w:w="1266" w:type="dxa"/>
            <w:vAlign w:val="center"/>
          </w:tcPr>
          <w:p w14:paraId="5B1520A8">
            <w:pPr>
              <w:pStyle w:val="235"/>
              <w:rPr>
                <w:color w:val="auto"/>
              </w:rPr>
            </w:pPr>
            <w:r>
              <w:rPr>
                <w:color w:val="auto"/>
              </w:rPr>
              <w:t>里程(万公里)</w:t>
            </w:r>
          </w:p>
        </w:tc>
        <w:tc>
          <w:tcPr>
            <w:tcW w:w="1265" w:type="dxa"/>
            <w:vAlign w:val="center"/>
          </w:tcPr>
          <w:p w14:paraId="5492A226">
            <w:pPr>
              <w:pStyle w:val="235"/>
              <w:rPr>
                <w:color w:val="auto"/>
              </w:rPr>
            </w:pPr>
            <w:r>
              <w:rPr>
                <w:color w:val="auto"/>
              </w:rPr>
              <w:t>时间(年)</w:t>
            </w:r>
          </w:p>
        </w:tc>
        <w:tc>
          <w:tcPr>
            <w:tcW w:w="1265" w:type="dxa"/>
            <w:vMerge w:val="continue"/>
            <w:tcBorders>
              <w:top w:val="nil"/>
            </w:tcBorders>
            <w:vAlign w:val="center"/>
          </w:tcPr>
          <w:p w14:paraId="186372D5">
            <w:pPr>
              <w:pStyle w:val="235"/>
              <w:rPr>
                <w:color w:val="auto"/>
              </w:rPr>
            </w:pPr>
          </w:p>
        </w:tc>
        <w:tc>
          <w:tcPr>
            <w:tcW w:w="1264" w:type="dxa"/>
            <w:vMerge w:val="continue"/>
            <w:tcBorders>
              <w:top w:val="nil"/>
              <w:right w:val="single" w:color="000000" w:sz="6" w:space="0"/>
            </w:tcBorders>
            <w:vAlign w:val="center"/>
          </w:tcPr>
          <w:p w14:paraId="3A3925DA">
            <w:pPr>
              <w:pStyle w:val="235"/>
              <w:rPr>
                <w:color w:val="auto"/>
              </w:rPr>
            </w:pPr>
          </w:p>
        </w:tc>
      </w:tr>
      <w:tr w14:paraId="338BE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1280" w:type="dxa"/>
            <w:tcBorders>
              <w:left w:val="single" w:color="000000" w:sz="6" w:space="0"/>
            </w:tcBorders>
            <w:vAlign w:val="center"/>
          </w:tcPr>
          <w:p w14:paraId="3EFD4383">
            <w:pPr>
              <w:pStyle w:val="235"/>
              <w:rPr>
                <w:color w:val="auto"/>
              </w:rPr>
            </w:pPr>
            <w:r>
              <w:rPr>
                <w:color w:val="auto"/>
              </w:rPr>
              <w:t>厂修</w:t>
            </w:r>
          </w:p>
        </w:tc>
        <w:tc>
          <w:tcPr>
            <w:tcW w:w="1266" w:type="dxa"/>
            <w:vAlign w:val="center"/>
          </w:tcPr>
          <w:p w14:paraId="1513BE5A">
            <w:pPr>
              <w:pStyle w:val="235"/>
              <w:rPr>
                <w:color w:val="auto"/>
              </w:rPr>
            </w:pPr>
            <w:r>
              <w:rPr>
                <w:rFonts w:hint="eastAsia"/>
                <w:color w:val="auto"/>
              </w:rPr>
              <w:t>220</w:t>
            </w:r>
            <w:r>
              <w:rPr>
                <w:color w:val="auto"/>
              </w:rPr>
              <w:t>~</w:t>
            </w:r>
            <w:r>
              <w:rPr>
                <w:rFonts w:hint="eastAsia"/>
                <w:color w:val="auto"/>
              </w:rPr>
              <w:t>260</w:t>
            </w:r>
          </w:p>
        </w:tc>
        <w:tc>
          <w:tcPr>
            <w:tcW w:w="1265" w:type="dxa"/>
            <w:vAlign w:val="center"/>
          </w:tcPr>
          <w:p w14:paraId="317A3A4B">
            <w:pPr>
              <w:pStyle w:val="235"/>
              <w:rPr>
                <w:color w:val="auto"/>
              </w:rPr>
            </w:pPr>
            <w:r>
              <w:rPr>
                <w:color w:val="auto"/>
              </w:rPr>
              <w:t>15~1</w:t>
            </w:r>
            <w:r>
              <w:rPr>
                <w:rFonts w:hint="eastAsia"/>
                <w:color w:val="auto"/>
              </w:rPr>
              <w:t>6</w:t>
            </w:r>
          </w:p>
        </w:tc>
        <w:tc>
          <w:tcPr>
            <w:tcW w:w="1265" w:type="dxa"/>
            <w:vAlign w:val="center"/>
          </w:tcPr>
          <w:p w14:paraId="391B208B">
            <w:pPr>
              <w:pStyle w:val="235"/>
              <w:rPr>
                <w:color w:val="auto"/>
              </w:rPr>
            </w:pPr>
            <w:r>
              <w:rPr>
                <w:rFonts w:hint="eastAsia"/>
                <w:color w:val="auto"/>
              </w:rPr>
              <w:t>5</w:t>
            </w:r>
            <w:r>
              <w:rPr>
                <w:color w:val="auto"/>
              </w:rPr>
              <w:t>0/</w:t>
            </w:r>
            <w:r>
              <w:rPr>
                <w:rFonts w:hint="eastAsia"/>
                <w:color w:val="auto"/>
              </w:rPr>
              <w:t>4</w:t>
            </w:r>
            <w:r>
              <w:rPr>
                <w:color w:val="auto"/>
              </w:rPr>
              <w:t>0</w:t>
            </w:r>
          </w:p>
        </w:tc>
        <w:tc>
          <w:tcPr>
            <w:tcW w:w="1264" w:type="dxa"/>
            <w:tcBorders>
              <w:right w:val="single" w:color="000000" w:sz="6" w:space="0"/>
            </w:tcBorders>
            <w:vAlign w:val="center"/>
          </w:tcPr>
          <w:p w14:paraId="60BC5168">
            <w:pPr>
              <w:pStyle w:val="235"/>
              <w:rPr>
                <w:color w:val="auto"/>
              </w:rPr>
            </w:pPr>
            <w:r>
              <w:rPr>
                <w:color w:val="auto"/>
              </w:rPr>
              <w:t>车辆厂</w:t>
            </w:r>
          </w:p>
        </w:tc>
      </w:tr>
      <w:tr w14:paraId="5C14B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trPr>
        <w:tc>
          <w:tcPr>
            <w:tcW w:w="1280" w:type="dxa"/>
            <w:tcBorders>
              <w:left w:val="single" w:color="000000" w:sz="6" w:space="0"/>
            </w:tcBorders>
            <w:vAlign w:val="center"/>
          </w:tcPr>
          <w:p w14:paraId="18F481EB">
            <w:pPr>
              <w:pStyle w:val="235"/>
              <w:rPr>
                <w:color w:val="auto"/>
              </w:rPr>
            </w:pPr>
            <w:r>
              <w:rPr>
                <w:rFonts w:hint="eastAsia"/>
                <w:color w:val="auto"/>
              </w:rPr>
              <w:t>架修2</w:t>
            </w:r>
          </w:p>
        </w:tc>
        <w:tc>
          <w:tcPr>
            <w:tcW w:w="1266" w:type="dxa"/>
            <w:vAlign w:val="center"/>
          </w:tcPr>
          <w:p w14:paraId="7728CB97">
            <w:pPr>
              <w:pStyle w:val="235"/>
              <w:rPr>
                <w:color w:val="auto"/>
              </w:rPr>
            </w:pPr>
            <w:r>
              <w:rPr>
                <w:rFonts w:hint="eastAsia"/>
                <w:color w:val="auto"/>
              </w:rPr>
              <w:t>110~130</w:t>
            </w:r>
          </w:p>
        </w:tc>
        <w:tc>
          <w:tcPr>
            <w:tcW w:w="1265" w:type="dxa"/>
            <w:vAlign w:val="center"/>
          </w:tcPr>
          <w:p w14:paraId="73175B09">
            <w:pPr>
              <w:pStyle w:val="235"/>
              <w:rPr>
                <w:color w:val="auto"/>
              </w:rPr>
            </w:pPr>
            <w:r>
              <w:rPr>
                <w:rFonts w:hint="eastAsia"/>
                <w:color w:val="auto"/>
              </w:rPr>
              <w:t>6~8</w:t>
            </w:r>
          </w:p>
        </w:tc>
        <w:tc>
          <w:tcPr>
            <w:tcW w:w="1265" w:type="dxa"/>
            <w:vAlign w:val="center"/>
          </w:tcPr>
          <w:p w14:paraId="620C59C9">
            <w:pPr>
              <w:pStyle w:val="235"/>
              <w:rPr>
                <w:color w:val="auto"/>
              </w:rPr>
            </w:pPr>
            <w:r>
              <w:rPr>
                <w:rFonts w:hint="eastAsia"/>
                <w:color w:val="auto"/>
              </w:rPr>
              <w:t>24/17</w:t>
            </w:r>
          </w:p>
        </w:tc>
        <w:tc>
          <w:tcPr>
            <w:tcW w:w="1264" w:type="dxa"/>
            <w:tcBorders>
              <w:right w:val="single" w:color="000000" w:sz="6" w:space="0"/>
            </w:tcBorders>
            <w:vAlign w:val="center"/>
          </w:tcPr>
          <w:p w14:paraId="0EDD550E">
            <w:pPr>
              <w:pStyle w:val="235"/>
              <w:rPr>
                <w:color w:val="auto"/>
              </w:rPr>
            </w:pPr>
            <w:r>
              <w:rPr>
                <w:color w:val="auto"/>
              </w:rPr>
              <w:t>车辆段</w:t>
            </w:r>
          </w:p>
        </w:tc>
      </w:tr>
      <w:tr w14:paraId="2CFF4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trPr>
        <w:tc>
          <w:tcPr>
            <w:tcW w:w="1280" w:type="dxa"/>
            <w:tcBorders>
              <w:left w:val="single" w:color="000000" w:sz="6" w:space="0"/>
            </w:tcBorders>
            <w:vAlign w:val="center"/>
          </w:tcPr>
          <w:p w14:paraId="219DD01D">
            <w:pPr>
              <w:pStyle w:val="235"/>
              <w:rPr>
                <w:color w:val="auto"/>
              </w:rPr>
            </w:pPr>
            <w:r>
              <w:rPr>
                <w:color w:val="auto"/>
              </w:rPr>
              <w:t>架修</w:t>
            </w:r>
            <w:r>
              <w:rPr>
                <w:rFonts w:hint="eastAsia"/>
                <w:color w:val="auto"/>
              </w:rPr>
              <w:t>1</w:t>
            </w:r>
          </w:p>
        </w:tc>
        <w:tc>
          <w:tcPr>
            <w:tcW w:w="1266" w:type="dxa"/>
            <w:vAlign w:val="center"/>
          </w:tcPr>
          <w:p w14:paraId="3E45B45D">
            <w:pPr>
              <w:pStyle w:val="235"/>
              <w:rPr>
                <w:color w:val="auto"/>
              </w:rPr>
            </w:pPr>
            <w:r>
              <w:rPr>
                <w:rFonts w:hint="eastAsia"/>
                <w:color w:val="auto"/>
              </w:rPr>
              <w:t>55</w:t>
            </w:r>
            <w:r>
              <w:rPr>
                <w:color w:val="auto"/>
              </w:rPr>
              <w:t>~</w:t>
            </w:r>
            <w:r>
              <w:rPr>
                <w:rFonts w:hint="eastAsia"/>
                <w:color w:val="auto"/>
              </w:rPr>
              <w:t>65.5</w:t>
            </w:r>
          </w:p>
        </w:tc>
        <w:tc>
          <w:tcPr>
            <w:tcW w:w="1265" w:type="dxa"/>
            <w:vAlign w:val="center"/>
          </w:tcPr>
          <w:p w14:paraId="132526BC">
            <w:pPr>
              <w:pStyle w:val="235"/>
              <w:rPr>
                <w:color w:val="auto"/>
              </w:rPr>
            </w:pPr>
            <w:r>
              <w:rPr>
                <w:color w:val="auto"/>
              </w:rPr>
              <w:t>3~4</w:t>
            </w:r>
          </w:p>
        </w:tc>
        <w:tc>
          <w:tcPr>
            <w:tcW w:w="1265" w:type="dxa"/>
            <w:vAlign w:val="center"/>
          </w:tcPr>
          <w:p w14:paraId="134BB0B3">
            <w:pPr>
              <w:pStyle w:val="235"/>
              <w:rPr>
                <w:color w:val="auto"/>
              </w:rPr>
            </w:pPr>
            <w:r>
              <w:rPr>
                <w:rFonts w:hint="eastAsia"/>
                <w:color w:val="auto"/>
              </w:rPr>
              <w:t>17</w:t>
            </w:r>
            <w:r>
              <w:rPr>
                <w:color w:val="auto"/>
              </w:rPr>
              <w:t>/</w:t>
            </w:r>
            <w:r>
              <w:rPr>
                <w:rFonts w:hint="eastAsia"/>
                <w:color w:val="auto"/>
              </w:rPr>
              <w:t>12</w:t>
            </w:r>
          </w:p>
        </w:tc>
        <w:tc>
          <w:tcPr>
            <w:tcW w:w="1264" w:type="dxa"/>
            <w:tcBorders>
              <w:right w:val="single" w:color="000000" w:sz="6" w:space="0"/>
            </w:tcBorders>
            <w:vAlign w:val="center"/>
          </w:tcPr>
          <w:p w14:paraId="59C6718E">
            <w:pPr>
              <w:pStyle w:val="235"/>
              <w:rPr>
                <w:color w:val="auto"/>
              </w:rPr>
            </w:pPr>
            <w:r>
              <w:rPr>
                <w:color w:val="auto"/>
              </w:rPr>
              <w:t>车辆段</w:t>
            </w:r>
          </w:p>
        </w:tc>
      </w:tr>
      <w:tr w14:paraId="08B19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trPr>
        <w:tc>
          <w:tcPr>
            <w:tcW w:w="1280" w:type="dxa"/>
            <w:tcBorders>
              <w:left w:val="single" w:color="000000" w:sz="6" w:space="0"/>
            </w:tcBorders>
            <w:vAlign w:val="center"/>
          </w:tcPr>
          <w:p w14:paraId="593C8860">
            <w:pPr>
              <w:pStyle w:val="235"/>
              <w:rPr>
                <w:color w:val="auto"/>
              </w:rPr>
            </w:pPr>
            <w:r>
              <w:rPr>
                <w:color w:val="auto"/>
              </w:rPr>
              <w:t>月检</w:t>
            </w:r>
          </w:p>
        </w:tc>
        <w:tc>
          <w:tcPr>
            <w:tcW w:w="1266" w:type="dxa"/>
            <w:vAlign w:val="center"/>
          </w:tcPr>
          <w:p w14:paraId="0248A6BE">
            <w:pPr>
              <w:pStyle w:val="235"/>
              <w:rPr>
                <w:color w:val="auto"/>
              </w:rPr>
            </w:pPr>
            <w:r>
              <w:rPr>
                <w:rFonts w:hint="eastAsia"/>
                <w:color w:val="auto"/>
              </w:rPr>
              <w:t>3.2~4</w:t>
            </w:r>
          </w:p>
        </w:tc>
        <w:tc>
          <w:tcPr>
            <w:tcW w:w="1265" w:type="dxa"/>
            <w:vAlign w:val="center"/>
          </w:tcPr>
          <w:p w14:paraId="38316EA9">
            <w:pPr>
              <w:pStyle w:val="235"/>
              <w:rPr>
                <w:color w:val="auto"/>
              </w:rPr>
            </w:pPr>
            <w:r>
              <w:rPr>
                <w:color w:val="auto"/>
              </w:rPr>
              <w:t>2个月</w:t>
            </w:r>
          </w:p>
        </w:tc>
        <w:tc>
          <w:tcPr>
            <w:tcW w:w="1265" w:type="dxa"/>
            <w:vAlign w:val="center"/>
          </w:tcPr>
          <w:p w14:paraId="5B6F269B">
            <w:pPr>
              <w:pStyle w:val="235"/>
              <w:rPr>
                <w:color w:val="auto"/>
              </w:rPr>
            </w:pPr>
            <w:r>
              <w:rPr>
                <w:color w:val="auto"/>
              </w:rPr>
              <w:t>1/1</w:t>
            </w:r>
          </w:p>
        </w:tc>
        <w:tc>
          <w:tcPr>
            <w:tcW w:w="1264" w:type="dxa"/>
            <w:tcBorders>
              <w:right w:val="single" w:color="000000" w:sz="6" w:space="0"/>
            </w:tcBorders>
            <w:vAlign w:val="center"/>
          </w:tcPr>
          <w:p w14:paraId="5228F7A7">
            <w:pPr>
              <w:pStyle w:val="235"/>
              <w:rPr>
                <w:color w:val="auto"/>
              </w:rPr>
            </w:pPr>
          </w:p>
        </w:tc>
      </w:tr>
      <w:tr w14:paraId="04AA3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2" w:hRule="atLeast"/>
        </w:trPr>
        <w:tc>
          <w:tcPr>
            <w:tcW w:w="1280" w:type="dxa"/>
            <w:tcBorders>
              <w:left w:val="single" w:color="000000" w:sz="6" w:space="0"/>
            </w:tcBorders>
            <w:vAlign w:val="center"/>
          </w:tcPr>
          <w:p w14:paraId="202EE155">
            <w:pPr>
              <w:pStyle w:val="235"/>
              <w:rPr>
                <w:color w:val="auto"/>
              </w:rPr>
            </w:pPr>
            <w:r>
              <w:rPr>
                <w:color w:val="auto"/>
              </w:rPr>
              <w:t>列检</w:t>
            </w:r>
          </w:p>
        </w:tc>
        <w:tc>
          <w:tcPr>
            <w:tcW w:w="1266" w:type="dxa"/>
            <w:vAlign w:val="center"/>
          </w:tcPr>
          <w:p w14:paraId="41874089">
            <w:pPr>
              <w:pStyle w:val="235"/>
              <w:rPr>
                <w:color w:val="auto"/>
              </w:rPr>
            </w:pPr>
            <w:r>
              <w:rPr>
                <w:color w:val="auto"/>
              </w:rPr>
              <w:t>—</w:t>
            </w:r>
          </w:p>
        </w:tc>
        <w:tc>
          <w:tcPr>
            <w:tcW w:w="1265" w:type="dxa"/>
            <w:vAlign w:val="center"/>
          </w:tcPr>
          <w:p w14:paraId="7CC3AC9F">
            <w:pPr>
              <w:pStyle w:val="235"/>
              <w:rPr>
                <w:color w:val="auto"/>
              </w:rPr>
            </w:pPr>
            <w:r>
              <w:rPr>
                <w:rFonts w:hint="eastAsia"/>
                <w:color w:val="auto"/>
              </w:rPr>
              <w:t>2~4</w:t>
            </w:r>
            <w:r>
              <w:rPr>
                <w:color w:val="auto"/>
              </w:rPr>
              <w:t>日</w:t>
            </w:r>
          </w:p>
        </w:tc>
        <w:tc>
          <w:tcPr>
            <w:tcW w:w="1265" w:type="dxa"/>
            <w:vAlign w:val="center"/>
          </w:tcPr>
          <w:p w14:paraId="79C23C54">
            <w:pPr>
              <w:pStyle w:val="235"/>
              <w:rPr>
                <w:color w:val="auto"/>
              </w:rPr>
            </w:pPr>
            <w:r>
              <w:rPr>
                <w:color w:val="auto"/>
              </w:rPr>
              <w:t>—</w:t>
            </w:r>
          </w:p>
        </w:tc>
        <w:tc>
          <w:tcPr>
            <w:tcW w:w="1264" w:type="dxa"/>
            <w:tcBorders>
              <w:right w:val="single" w:color="000000" w:sz="6" w:space="0"/>
            </w:tcBorders>
            <w:vAlign w:val="center"/>
          </w:tcPr>
          <w:p w14:paraId="2B916A5D">
            <w:pPr>
              <w:pStyle w:val="235"/>
              <w:rPr>
                <w:color w:val="auto"/>
              </w:rPr>
            </w:pPr>
          </w:p>
        </w:tc>
      </w:tr>
    </w:tbl>
    <w:p w14:paraId="1035F810">
      <w:pPr>
        <w:pStyle w:val="5"/>
        <w:tabs>
          <w:tab w:val="left" w:pos="709"/>
          <w:tab w:val="clear" w:pos="630"/>
        </w:tabs>
      </w:pPr>
      <w:r>
        <w:t>车辆基地各检修列位数，应根据运用车辆全年走行公里、检修周期、检修时间和各修程的检修不平衡系数计算确定。检修不平衡系数宜按月检1.</w:t>
      </w:r>
      <w:r>
        <w:rPr>
          <w:rFonts w:hint="eastAsia"/>
        </w:rPr>
        <w:t>2</w:t>
      </w:r>
      <w:r>
        <w:t>、厂</w:t>
      </w:r>
      <w:r>
        <w:rPr>
          <w:rFonts w:hint="eastAsia"/>
        </w:rPr>
        <w:t>修和</w:t>
      </w:r>
      <w:r>
        <w:t>架修1.1计取。</w:t>
      </w:r>
    </w:p>
    <w:p w14:paraId="017A47C5">
      <w:pPr>
        <w:pStyle w:val="5"/>
        <w:tabs>
          <w:tab w:val="left" w:pos="709"/>
          <w:tab w:val="clear" w:pos="630"/>
        </w:tabs>
      </w:pPr>
      <w:r>
        <w:t>车辆检修宜采用定位作业方式，部件检修可根据需要采用流水作业方式。</w:t>
      </w:r>
    </w:p>
    <w:p w14:paraId="4B200EC2">
      <w:pPr>
        <w:pStyle w:val="5"/>
        <w:tabs>
          <w:tab w:val="left" w:pos="709"/>
          <w:tab w:val="clear" w:pos="630"/>
        </w:tabs>
      </w:pPr>
      <w:r>
        <w:t>车辆基地的组织机构应根据运营管理模式确定，以便于组织生产为原则，宜设运用车间、检修车间和设备车间。</w:t>
      </w:r>
    </w:p>
    <w:p w14:paraId="27E2F92D">
      <w:pPr>
        <w:numPr>
          <w:ilvl w:val="1"/>
          <w:numId w:val="1"/>
        </w:numPr>
        <w:snapToGrid w:val="0"/>
        <w:spacing w:before="156" w:after="156" w:line="240" w:lineRule="auto"/>
        <w:jc w:val="center"/>
        <w:outlineLvl w:val="1"/>
        <w:rPr>
          <w:rFonts w:eastAsia="黑体"/>
          <w:bCs/>
          <w:szCs w:val="28"/>
        </w:rPr>
      </w:pPr>
      <w:bookmarkStart w:id="1890" w:name="_Toc183882590"/>
      <w:bookmarkStart w:id="1891" w:name="_Toc183888280"/>
      <w:bookmarkStart w:id="1892" w:name="_Toc183790667"/>
      <w:bookmarkStart w:id="1893" w:name="_Toc168415304"/>
      <w:bookmarkStart w:id="1894" w:name="_Toc183765237"/>
      <w:bookmarkStart w:id="1895" w:name="_Toc183683631"/>
      <w:bookmarkStart w:id="1896" w:name="_Toc183882228"/>
      <w:bookmarkStart w:id="1897" w:name="_Toc183888642"/>
      <w:r>
        <w:rPr>
          <w:rFonts w:eastAsia="黑体"/>
          <w:bCs/>
          <w:szCs w:val="28"/>
        </w:rPr>
        <w:t>车辆基地选址及总图设计</w:t>
      </w:r>
      <w:bookmarkEnd w:id="1890"/>
      <w:bookmarkEnd w:id="1891"/>
      <w:bookmarkEnd w:id="1892"/>
      <w:bookmarkEnd w:id="1893"/>
      <w:bookmarkEnd w:id="1894"/>
      <w:bookmarkEnd w:id="1895"/>
      <w:bookmarkEnd w:id="1896"/>
      <w:bookmarkEnd w:id="1897"/>
    </w:p>
    <w:p w14:paraId="497E0A57">
      <w:pPr>
        <w:pStyle w:val="5"/>
        <w:tabs>
          <w:tab w:val="left" w:pos="709"/>
          <w:tab w:val="clear" w:pos="630"/>
        </w:tabs>
      </w:pPr>
      <w:r>
        <w:t>车辆基地选址应符合如下要求：</w:t>
      </w:r>
    </w:p>
    <w:p w14:paraId="035F8107">
      <w:pPr>
        <w:ind w:firstLine="422" w:firstLineChars="200"/>
      </w:pPr>
      <w:r>
        <w:rPr>
          <w:b/>
        </w:rPr>
        <w:t xml:space="preserve">1 </w:t>
      </w:r>
      <w:r>
        <w:t xml:space="preserve"> 用地性质应符合城市总体规划要求，应具有远期发展余地；</w:t>
      </w:r>
    </w:p>
    <w:p w14:paraId="01E59FB8">
      <w:pPr>
        <w:ind w:firstLine="422" w:firstLineChars="200"/>
      </w:pPr>
      <w:r>
        <w:rPr>
          <w:b/>
        </w:rPr>
        <w:t xml:space="preserve">2  </w:t>
      </w:r>
      <w:r>
        <w:t>车辆段</w:t>
      </w:r>
      <w:r>
        <w:rPr>
          <w:rFonts w:hint="eastAsia"/>
        </w:rPr>
        <w:t>和</w:t>
      </w:r>
      <w:r>
        <w:t>停车场应有良好的车站接轨条件，便于运营和管理；</w:t>
      </w:r>
    </w:p>
    <w:p w14:paraId="612D15D5">
      <w:pPr>
        <w:ind w:firstLine="422" w:firstLineChars="200"/>
      </w:pPr>
      <w:r>
        <w:rPr>
          <w:b/>
        </w:rPr>
        <w:t xml:space="preserve">3 </w:t>
      </w:r>
      <w:r>
        <w:t xml:space="preserve"> 车辆厂宜与国家或地方铁路接轨；</w:t>
      </w:r>
    </w:p>
    <w:p w14:paraId="19AB6ADE">
      <w:pPr>
        <w:ind w:firstLine="422" w:firstLineChars="200"/>
      </w:pPr>
      <w:r>
        <w:rPr>
          <w:b/>
        </w:rPr>
        <w:t xml:space="preserve">4 </w:t>
      </w:r>
      <w:r>
        <w:t xml:space="preserve"> </w:t>
      </w:r>
      <w:r>
        <w:rPr>
          <w:rFonts w:hint="eastAsia"/>
        </w:rPr>
        <w:t>车辆基地</w:t>
      </w:r>
      <w:r>
        <w:t>应具有良好的自然排水条件，宜避开工程地质和水文地质的不良地段，应避让保护建筑、自然保护区、风景区、高压走廊、铁路、城市主干道等；</w:t>
      </w:r>
    </w:p>
    <w:p w14:paraId="602F9300">
      <w:pPr>
        <w:ind w:firstLine="422" w:firstLineChars="200"/>
      </w:pPr>
      <w:r>
        <w:rPr>
          <w:b/>
        </w:rPr>
        <w:t xml:space="preserve">5 </w:t>
      </w:r>
      <w:r>
        <w:t xml:space="preserve"> 便于城市电力线路、给</w:t>
      </w:r>
      <w:r>
        <w:rPr>
          <w:rFonts w:hint="eastAsia"/>
        </w:rPr>
        <w:t>排</w:t>
      </w:r>
      <w:r>
        <w:t>水管</w:t>
      </w:r>
      <w:r>
        <w:rPr>
          <w:rFonts w:hint="eastAsia"/>
        </w:rPr>
        <w:t>道</w:t>
      </w:r>
      <w:r>
        <w:t>的引入和道路的连接。</w:t>
      </w:r>
    </w:p>
    <w:p w14:paraId="1C27445D">
      <w:pPr>
        <w:pStyle w:val="5"/>
        <w:tabs>
          <w:tab w:val="left" w:pos="709"/>
          <w:tab w:val="clear" w:pos="630"/>
        </w:tabs>
      </w:pPr>
      <w:r>
        <w:rPr>
          <w:rFonts w:hint="eastAsia"/>
        </w:rPr>
        <w:t>车辆基地</w:t>
      </w:r>
      <w:r>
        <w:t>的选址，应遵循方便运营、减少列车空走距离、少占用</w:t>
      </w:r>
      <w:r>
        <w:rPr>
          <w:rFonts w:hint="eastAsia"/>
        </w:rPr>
        <w:t>土</w:t>
      </w:r>
      <w:r>
        <w:t>地的原则。</w:t>
      </w:r>
    </w:p>
    <w:p w14:paraId="297663B3">
      <w:pPr>
        <w:pStyle w:val="5"/>
        <w:tabs>
          <w:tab w:val="left" w:pos="709"/>
          <w:tab w:val="clear" w:pos="630"/>
        </w:tabs>
      </w:pPr>
      <w:r>
        <w:rPr>
          <w:rFonts w:hint="eastAsia"/>
        </w:rPr>
        <w:t>车辆基地</w:t>
      </w:r>
      <w:r>
        <w:t>总平面布置，应符合下列要求：</w:t>
      </w:r>
    </w:p>
    <w:p w14:paraId="3DDBA18B">
      <w:pPr>
        <w:ind w:firstLine="422" w:firstLineChars="200"/>
      </w:pPr>
      <w:r>
        <w:rPr>
          <w:b/>
        </w:rPr>
        <w:t>1</w:t>
      </w:r>
      <w:r>
        <w:rPr>
          <w:rFonts w:hint="eastAsia"/>
        </w:rPr>
        <w:t xml:space="preserve">  </w:t>
      </w:r>
      <w:r>
        <w:t>站场线路路肩设计高程应根据附近内涝水位和周边道路高程综合确定。沿河道附近地区的站场线路路肩设计高程不应小于1/100潮水位、波浪爬高值和安全高之和；场坪高程应高于相临道路最低高程；</w:t>
      </w:r>
    </w:p>
    <w:p w14:paraId="2DD13155">
      <w:pPr>
        <w:ind w:firstLine="422" w:firstLineChars="200"/>
      </w:pPr>
      <w:r>
        <w:rPr>
          <w:b/>
        </w:rPr>
        <w:t xml:space="preserve">2  </w:t>
      </w:r>
      <w:r>
        <w:rPr>
          <w:rFonts w:hint="eastAsia"/>
        </w:rPr>
        <w:t>车辆基地</w:t>
      </w:r>
      <w:r>
        <w:t>宜按功能进行分区布置，各功能区应相对集中，且便于相互联系；</w:t>
      </w:r>
    </w:p>
    <w:p w14:paraId="4D5E4991">
      <w:pPr>
        <w:ind w:firstLine="422" w:firstLineChars="200"/>
      </w:pPr>
      <w:r>
        <w:rPr>
          <w:b/>
        </w:rPr>
        <w:t xml:space="preserve">3 </w:t>
      </w:r>
      <w:r>
        <w:t xml:space="preserve"> 功能分区内各项设施的布置应紧凑、合理；</w:t>
      </w:r>
    </w:p>
    <w:p w14:paraId="353928A7">
      <w:pPr>
        <w:pStyle w:val="5"/>
        <w:tabs>
          <w:tab w:val="left" w:pos="709"/>
          <w:tab w:val="clear" w:pos="630"/>
        </w:tabs>
      </w:pPr>
      <w:r>
        <w:rPr>
          <w:rFonts w:hint="eastAsia"/>
        </w:rPr>
        <w:t>车辆基地</w:t>
      </w:r>
      <w:r>
        <w:t>内道路设计应符合下列规定：</w:t>
      </w:r>
    </w:p>
    <w:p w14:paraId="6CD95480">
      <w:pPr>
        <w:pStyle w:val="7"/>
        <w:ind w:firstLine="420"/>
      </w:pPr>
      <w:r>
        <w:rPr>
          <w:rFonts w:hint="eastAsia"/>
        </w:rPr>
        <w:t>道路应采用混凝土路面或沥青路面。单车道宽度不应小于4m，</w:t>
      </w:r>
      <w:r>
        <w:t>双车道宽度不应小于7m；单车道长度大于200m时应增加停靠区；</w:t>
      </w:r>
    </w:p>
    <w:p w14:paraId="688B976D">
      <w:pPr>
        <w:pStyle w:val="7"/>
        <w:ind w:firstLine="420"/>
      </w:pPr>
      <w:r>
        <w:rPr>
          <w:rFonts w:hint="eastAsia"/>
        </w:rPr>
        <w:t>库、线的平交道口封闭管理时不宜影响正常交通运输功能；</w:t>
      </w:r>
    </w:p>
    <w:p w14:paraId="4E3D2436">
      <w:pPr>
        <w:pStyle w:val="7"/>
        <w:ind w:firstLine="420"/>
      </w:pPr>
      <w:r>
        <w:rPr>
          <w:rFonts w:hint="eastAsia"/>
        </w:rPr>
        <w:t>消防车道设置要求应符合本规范第30.2.2条的有关规定；</w:t>
      </w:r>
    </w:p>
    <w:p w14:paraId="1AA30FE0">
      <w:pPr>
        <w:pStyle w:val="7"/>
        <w:ind w:firstLine="420"/>
      </w:pPr>
      <w:r>
        <w:t>主运输道路的圆曲线半径应为12m。道路直线段纵坡不应大于8%，曲线段纵坡不应大于6%；</w:t>
      </w:r>
    </w:p>
    <w:p w14:paraId="7CA4B932">
      <w:pPr>
        <w:pStyle w:val="7"/>
        <w:ind w:firstLine="420"/>
      </w:pPr>
      <w:r>
        <w:t>当道路平面交叉时，节点上相交道路的条数不</w:t>
      </w:r>
      <w:r>
        <w:rPr>
          <w:rFonts w:hint="eastAsia"/>
        </w:rPr>
        <w:t>应</w:t>
      </w:r>
      <w:r>
        <w:t>超过4条。交叉节点宜为正交，当需要斜交时，交叉角不宜小于45°；</w:t>
      </w:r>
    </w:p>
    <w:p w14:paraId="5661B58A">
      <w:pPr>
        <w:pStyle w:val="7"/>
        <w:ind w:firstLine="420"/>
      </w:pPr>
      <w:r>
        <w:t>应结合道路设</w:t>
      </w:r>
      <w:r>
        <w:rPr>
          <w:rFonts w:hint="eastAsia"/>
        </w:rPr>
        <w:t>机动车</w:t>
      </w:r>
      <w:r>
        <w:t>室外停车场，</w:t>
      </w:r>
      <w:r>
        <w:rPr>
          <w:rFonts w:hint="eastAsia"/>
        </w:rPr>
        <w:t>机动车</w:t>
      </w:r>
      <w:r>
        <w:t>停车</w:t>
      </w:r>
      <w:r>
        <w:rPr>
          <w:rFonts w:hint="eastAsia"/>
        </w:rPr>
        <w:t>位</w:t>
      </w:r>
      <w:r>
        <w:t>数量不</w:t>
      </w:r>
      <w:r>
        <w:rPr>
          <w:rFonts w:hint="eastAsia"/>
        </w:rPr>
        <w:t>宜</w:t>
      </w:r>
      <w:r>
        <w:t>少于</w:t>
      </w:r>
      <w:r>
        <w:rPr>
          <w:rFonts w:hint="eastAsia"/>
        </w:rPr>
        <w:t>20</w:t>
      </w:r>
      <w:r>
        <w:t>辆/</w:t>
      </w:r>
      <w:r>
        <w:rPr>
          <w:rFonts w:hint="eastAsia"/>
        </w:rPr>
        <w:t>万</w:t>
      </w:r>
      <w:r>
        <w:t>建筑平米</w:t>
      </w:r>
      <w:r>
        <w:rPr>
          <w:rFonts w:hint="eastAsia"/>
        </w:rPr>
        <w:t>，当车辆基地用地位于轨道交通站点地面出入口500m范围内的停车位数量宜按照60%比例配建，1000m范围内的停车位数量宜按照70%配建，1500m范围内宜按照85%配建。</w:t>
      </w:r>
    </w:p>
    <w:p w14:paraId="7D7E4B11">
      <w:pPr>
        <w:ind w:firstLine="420" w:firstLineChars="200"/>
      </w:pPr>
      <w:r>
        <w:rPr>
          <w:rFonts w:hint="eastAsia"/>
        </w:rPr>
        <w:t>7  应配建一定比例电动汽车停车位以及充电基础设施建设条件，且应符合现行北京地标《电动汽车充电基础设施规划设计标准》DB11/T1455中的有关规定。</w:t>
      </w:r>
    </w:p>
    <w:p w14:paraId="7112C681">
      <w:pPr>
        <w:ind w:firstLine="420" w:firstLineChars="200"/>
      </w:pPr>
      <w:r>
        <w:rPr>
          <w:rFonts w:hint="eastAsia"/>
        </w:rPr>
        <w:t>8  宜设置非机动车停车区或停车棚，电动自行车停放应设置充电设施，充电设施不应设置在高温、易燃易爆场所，不应与火灾危险性甲、乙类厂房、仓库及设可燃易燃外保温建筑贴邻设置，不应设置在综合利用板地下方，充电场所应有遮雨措施。</w:t>
      </w:r>
    </w:p>
    <w:p w14:paraId="78564277">
      <w:pPr>
        <w:pStyle w:val="5"/>
        <w:tabs>
          <w:tab w:val="left" w:pos="709"/>
          <w:tab w:val="clear" w:pos="630"/>
        </w:tabs>
      </w:pPr>
      <w:r>
        <w:t>应设</w:t>
      </w:r>
      <w:r>
        <w:rPr>
          <w:rFonts w:hint="eastAsia"/>
        </w:rPr>
        <w:t>场区</w:t>
      </w:r>
      <w:r>
        <w:t>围蔽设施和门卫室，围蔽设施应结合区域环境选用美观、具有安全防护作用的结构型式和材料。</w:t>
      </w:r>
    </w:p>
    <w:p w14:paraId="2040B5F6">
      <w:pPr>
        <w:pStyle w:val="5"/>
        <w:tabs>
          <w:tab w:val="left" w:pos="709"/>
          <w:tab w:val="clear" w:pos="630"/>
        </w:tabs>
      </w:pPr>
      <w:r>
        <w:t>生产房屋的布置，应以车辆运用、检修设施为核心，各辅助生产房屋应根据生产性质、按系统布置；与车辆运用和检修作业关系密切的辅助生产房屋宜分别布置在相关车库的侧跨内或邻近设置；性质相同或相近的房屋宜合并设置。</w:t>
      </w:r>
    </w:p>
    <w:p w14:paraId="6D91530A">
      <w:pPr>
        <w:pStyle w:val="5"/>
        <w:tabs>
          <w:tab w:val="left" w:pos="709"/>
          <w:tab w:val="clear" w:pos="630"/>
        </w:tabs>
      </w:pPr>
      <w:r>
        <w:rPr>
          <w:rFonts w:hint="eastAsia"/>
        </w:rPr>
        <w:t>车辆基地</w:t>
      </w:r>
      <w:r>
        <w:t>的空压机站、变配电所、给水泵房和锅炉房等动力房屋，应靠近负荷中心设置，其中空压机站、锅炉房宜单独设置。</w:t>
      </w:r>
    </w:p>
    <w:p w14:paraId="7B2B9B11">
      <w:pPr>
        <w:pStyle w:val="5"/>
        <w:tabs>
          <w:tab w:val="left" w:pos="709"/>
          <w:tab w:val="clear" w:pos="630"/>
        </w:tabs>
      </w:pPr>
      <w:r>
        <w:t>产生噪声、冲击振动或易燃、易爆的车间应单独设置；产生粉尘、有毒或有害气体的车间宜布置在常年主导风向的下风侧，并宜远离生活、办公区。</w:t>
      </w:r>
    </w:p>
    <w:p w14:paraId="52E8E5DE">
      <w:pPr>
        <w:pStyle w:val="5"/>
        <w:tabs>
          <w:tab w:val="left" w:pos="709"/>
          <w:tab w:val="clear" w:pos="630"/>
        </w:tabs>
      </w:pPr>
      <w:r>
        <w:t>上盖综合利用</w:t>
      </w:r>
      <w:r>
        <w:rPr>
          <w:rFonts w:hint="eastAsia"/>
        </w:rPr>
        <w:t>的车辆基地</w:t>
      </w:r>
      <w:r>
        <w:t>应明确综合利用</w:t>
      </w:r>
      <w:r>
        <w:rPr>
          <w:rFonts w:hint="eastAsia"/>
        </w:rPr>
        <w:t>的</w:t>
      </w:r>
      <w:r>
        <w:t>内容、性质和规模</w:t>
      </w:r>
      <w:r>
        <w:rPr>
          <w:rFonts w:hint="eastAsia"/>
        </w:rPr>
        <w:t>，</w:t>
      </w:r>
      <w:r>
        <w:t>总平面布置应在满足</w:t>
      </w:r>
      <w:r>
        <w:rPr>
          <w:rFonts w:hint="eastAsia"/>
        </w:rPr>
        <w:t>车辆基地</w:t>
      </w:r>
      <w:r>
        <w:t>功能和规模的基础上，对</w:t>
      </w:r>
      <w:r>
        <w:rPr>
          <w:rFonts w:hint="eastAsia"/>
        </w:rPr>
        <w:t>车辆基地</w:t>
      </w:r>
      <w:r>
        <w:t>的各项设施设备与上盖综合利用的内容进行统一规划。</w:t>
      </w:r>
      <w:r>
        <w:rPr>
          <w:rFonts w:hint="eastAsia"/>
        </w:rPr>
        <w:t xml:space="preserve"> 总平面布置应符合下列规定：</w:t>
      </w:r>
    </w:p>
    <w:p w14:paraId="4BC757E1">
      <w:pPr>
        <w:pStyle w:val="86"/>
        <w:ind w:firstLine="422"/>
        <w:rPr>
          <w:color w:val="auto"/>
        </w:rPr>
      </w:pPr>
      <w:r>
        <w:rPr>
          <w:rFonts w:hint="eastAsia"/>
          <w:b/>
          <w:color w:val="auto"/>
        </w:rPr>
        <w:t xml:space="preserve">1  </w:t>
      </w:r>
      <w:r>
        <w:rPr>
          <w:rFonts w:hint="eastAsia"/>
          <w:color w:val="auto"/>
        </w:rPr>
        <w:t>车辆基地、综合利用工程与市政道路连接的出入口应各自独立设置。</w:t>
      </w:r>
    </w:p>
    <w:p w14:paraId="39833199">
      <w:pPr>
        <w:pStyle w:val="86"/>
        <w:ind w:firstLine="422"/>
        <w:rPr>
          <w:color w:val="auto"/>
        </w:rPr>
      </w:pPr>
      <w:r>
        <w:rPr>
          <w:rFonts w:hint="eastAsia"/>
          <w:b/>
          <w:color w:val="auto"/>
        </w:rPr>
        <w:t xml:space="preserve">2 </w:t>
      </w:r>
      <w:r>
        <w:rPr>
          <w:rFonts w:hint="eastAsia"/>
          <w:color w:val="auto"/>
        </w:rPr>
        <w:t xml:space="preserve"> </w:t>
      </w:r>
      <w:r>
        <w:rPr>
          <w:color w:val="auto"/>
        </w:rPr>
        <w:t>各单体宜整合布置，长期有人办公</w:t>
      </w:r>
      <w:r>
        <w:rPr>
          <w:rFonts w:hint="eastAsia"/>
          <w:color w:val="auto"/>
        </w:rPr>
        <w:t>、司乘公寓</w:t>
      </w:r>
      <w:r>
        <w:rPr>
          <w:color w:val="auto"/>
        </w:rPr>
        <w:t>的房间</w:t>
      </w:r>
      <w:r>
        <w:rPr>
          <w:rFonts w:hint="eastAsia"/>
          <w:color w:val="auto"/>
        </w:rPr>
        <w:t>宜</w:t>
      </w:r>
      <w:r>
        <w:rPr>
          <w:color w:val="auto"/>
        </w:rPr>
        <w:t>设置</w:t>
      </w:r>
      <w:r>
        <w:rPr>
          <w:rFonts w:hint="eastAsia"/>
          <w:color w:val="auto"/>
        </w:rPr>
        <w:t>在板地外侧</w:t>
      </w:r>
      <w:r>
        <w:rPr>
          <w:color w:val="auto"/>
        </w:rPr>
        <w:t>或</w:t>
      </w:r>
      <w:r>
        <w:rPr>
          <w:rFonts w:hint="eastAsia"/>
          <w:color w:val="auto"/>
        </w:rPr>
        <w:t>板地</w:t>
      </w:r>
      <w:r>
        <w:rPr>
          <w:color w:val="auto"/>
        </w:rPr>
        <w:t>边缘</w:t>
      </w:r>
      <w:r>
        <w:rPr>
          <w:rFonts w:hint="eastAsia"/>
          <w:color w:val="auto"/>
        </w:rPr>
        <w:t>。</w:t>
      </w:r>
    </w:p>
    <w:p w14:paraId="791292C5">
      <w:pPr>
        <w:pStyle w:val="86"/>
        <w:ind w:firstLine="422"/>
        <w:rPr>
          <w:color w:val="auto"/>
        </w:rPr>
      </w:pPr>
      <w:r>
        <w:rPr>
          <w:rFonts w:hint="eastAsia"/>
          <w:b/>
          <w:color w:val="auto"/>
        </w:rPr>
        <w:t xml:space="preserve">3 </w:t>
      </w:r>
      <w:r>
        <w:rPr>
          <w:rFonts w:hint="eastAsia"/>
          <w:color w:val="auto"/>
        </w:rPr>
        <w:t xml:space="preserve"> 板地上、下方不应设置甲、乙类火灾危险性的生产和储存场所；确需设置酸性蓄电池充电间、喷漆车间时，应符合现行国家标准《建筑设计防火规范》GB50016、《地铁设计防火标准》GB51298的规定。</w:t>
      </w:r>
    </w:p>
    <w:p w14:paraId="589587C0">
      <w:pPr>
        <w:pStyle w:val="86"/>
        <w:ind w:firstLine="422"/>
        <w:rPr>
          <w:color w:val="auto"/>
        </w:rPr>
      </w:pPr>
      <w:r>
        <w:rPr>
          <w:rFonts w:hint="eastAsia"/>
          <w:b/>
          <w:color w:val="auto"/>
        </w:rPr>
        <w:t xml:space="preserve">4 </w:t>
      </w:r>
      <w:r>
        <w:rPr>
          <w:rFonts w:hint="eastAsia"/>
          <w:color w:val="auto"/>
        </w:rPr>
        <w:t xml:space="preserve"> 板地下方不应设置燃油、燃气锅炉房、柴油发电机房。</w:t>
      </w:r>
    </w:p>
    <w:p w14:paraId="7B85B813">
      <w:pPr>
        <w:pStyle w:val="86"/>
        <w:ind w:firstLine="420"/>
        <w:rPr>
          <w:color w:val="auto"/>
        </w:rPr>
      </w:pPr>
      <w:r>
        <w:rPr>
          <w:rFonts w:hint="eastAsia"/>
          <w:color w:val="auto"/>
        </w:rPr>
        <w:t>5  危废间宜设置在板地外侧或板地边缘。</w:t>
      </w:r>
    </w:p>
    <w:p w14:paraId="53F39D3F">
      <w:pPr>
        <w:pStyle w:val="86"/>
        <w:ind w:firstLine="422"/>
        <w:rPr>
          <w:color w:val="auto"/>
        </w:rPr>
      </w:pPr>
      <w:r>
        <w:rPr>
          <w:rFonts w:hint="eastAsia"/>
          <w:b/>
          <w:color w:val="auto"/>
        </w:rPr>
        <w:t xml:space="preserve">6 </w:t>
      </w:r>
      <w:r>
        <w:rPr>
          <w:rFonts w:hint="eastAsia"/>
          <w:color w:val="auto"/>
        </w:rPr>
        <w:t xml:space="preserve"> 板地下咽喉区区域的建筑宜设置在板地边缘。</w:t>
      </w:r>
    </w:p>
    <w:p w14:paraId="43E46CE7">
      <w:pPr>
        <w:pStyle w:val="5"/>
        <w:tabs>
          <w:tab w:val="left" w:pos="851"/>
          <w:tab w:val="clear" w:pos="630"/>
        </w:tabs>
      </w:pPr>
      <w:r>
        <w:t>上盖综合利用</w:t>
      </w:r>
      <w:r>
        <w:rPr>
          <w:rFonts w:hint="eastAsia"/>
        </w:rPr>
        <w:t>车辆基地应根据上盖开发建筑的布局和使用功能采取噪声、振动综合防治措施，控制要求根据环境影响专项报告确定。</w:t>
      </w:r>
    </w:p>
    <w:p w14:paraId="2D32ACCA">
      <w:pPr>
        <w:pStyle w:val="5"/>
        <w:tabs>
          <w:tab w:val="left" w:pos="851"/>
          <w:tab w:val="clear" w:pos="630"/>
        </w:tabs>
      </w:pPr>
      <w:r>
        <w:rPr>
          <w:rFonts w:hint="eastAsia"/>
        </w:rPr>
        <w:t>车辆基地应</w:t>
      </w:r>
      <w:r>
        <w:t>开展海绵城市设计，</w:t>
      </w:r>
      <w:r>
        <w:rPr>
          <w:rFonts w:hint="eastAsia"/>
        </w:rPr>
        <w:t>并</w:t>
      </w:r>
      <w:r>
        <w:t>符合现行北京地标《海绵城市雨水控制与利用工程设计规范》</w:t>
      </w:r>
      <w:r>
        <w:rPr>
          <w:rFonts w:hint="eastAsia"/>
        </w:rPr>
        <w:t>DB11/685</w:t>
      </w:r>
      <w:r>
        <w:t>相关规定。</w:t>
      </w:r>
    </w:p>
    <w:p w14:paraId="0C1B972E">
      <w:pPr>
        <w:pStyle w:val="5"/>
        <w:tabs>
          <w:tab w:val="left" w:pos="851"/>
          <w:tab w:val="clear" w:pos="630"/>
        </w:tabs>
      </w:pPr>
      <w:r>
        <w:rPr>
          <w:rFonts w:hint="eastAsia"/>
        </w:rPr>
        <w:t>全自动运行车辆基地的自动运行区应包含停车库、列检库、洗车库及对应库外线路区，其余设施宜位于非自动运行区。自动运行区与非自动运行区应严格分区，并应采用物理措施隔离，无条件时应设置警示标识。自动运行区与非自动运行区应相对独立，不宜间隔设置。停车线、列检线、洗车线、驾驶模式转换线的长度应满足列车全自动运行的要求。</w:t>
      </w:r>
    </w:p>
    <w:p w14:paraId="1983725D">
      <w:pPr>
        <w:numPr>
          <w:ilvl w:val="1"/>
          <w:numId w:val="1"/>
        </w:numPr>
        <w:snapToGrid w:val="0"/>
        <w:spacing w:before="156" w:after="156" w:line="240" w:lineRule="auto"/>
        <w:jc w:val="center"/>
        <w:outlineLvl w:val="1"/>
        <w:rPr>
          <w:rFonts w:eastAsia="黑体"/>
          <w:bCs/>
          <w:szCs w:val="28"/>
        </w:rPr>
      </w:pPr>
      <w:bookmarkStart w:id="1898" w:name="_Toc183683632"/>
      <w:bookmarkStart w:id="1899" w:name="_Toc168415305"/>
      <w:bookmarkStart w:id="1900" w:name="_Toc183882229"/>
      <w:bookmarkStart w:id="1901" w:name="_Toc183882591"/>
      <w:bookmarkStart w:id="1902" w:name="_Toc183888643"/>
      <w:bookmarkStart w:id="1903" w:name="_Toc183790668"/>
      <w:bookmarkStart w:id="1904" w:name="_Toc183888281"/>
      <w:bookmarkStart w:id="1905" w:name="_Toc183765238"/>
      <w:r>
        <w:rPr>
          <w:rFonts w:eastAsia="黑体"/>
          <w:bCs/>
          <w:szCs w:val="28"/>
        </w:rPr>
        <w:t>车辆运用、整备设施</w:t>
      </w:r>
      <w:bookmarkEnd w:id="1898"/>
      <w:bookmarkEnd w:id="1899"/>
      <w:bookmarkEnd w:id="1900"/>
      <w:bookmarkEnd w:id="1901"/>
      <w:bookmarkEnd w:id="1902"/>
      <w:bookmarkEnd w:id="1903"/>
      <w:bookmarkEnd w:id="1904"/>
      <w:bookmarkEnd w:id="1905"/>
    </w:p>
    <w:p w14:paraId="62C72B88">
      <w:pPr>
        <w:pStyle w:val="5"/>
        <w:tabs>
          <w:tab w:val="left" w:pos="709"/>
          <w:tab w:val="clear" w:pos="630"/>
        </w:tabs>
      </w:pPr>
      <w:r>
        <w:rPr>
          <w:rFonts w:hint="eastAsia"/>
        </w:rPr>
        <w:t>车辆基地</w:t>
      </w:r>
      <w:r>
        <w:t>根据其功能应设置</w:t>
      </w:r>
      <w:r>
        <w:rPr>
          <w:rFonts w:hint="eastAsia"/>
        </w:rPr>
        <w:t>车辆</w:t>
      </w:r>
      <w:r>
        <w:t>运用</w:t>
      </w:r>
      <w:r>
        <w:rPr>
          <w:rFonts w:hint="eastAsia"/>
        </w:rPr>
        <w:t>、</w:t>
      </w:r>
      <w:r>
        <w:t>整备、检修及配套辅助设施。</w:t>
      </w:r>
    </w:p>
    <w:p w14:paraId="0DDDE0C4">
      <w:pPr>
        <w:pStyle w:val="5"/>
        <w:tabs>
          <w:tab w:val="left" w:pos="709"/>
          <w:tab w:val="clear" w:pos="630"/>
        </w:tabs>
      </w:pPr>
      <w:r>
        <w:t>运用整备设施宜包括停车库、列检库、洗车库、月检库及辅助生产房屋。</w:t>
      </w:r>
    </w:p>
    <w:p w14:paraId="1404894F">
      <w:pPr>
        <w:pStyle w:val="5"/>
        <w:tabs>
          <w:tab w:val="left" w:pos="709"/>
          <w:tab w:val="clear" w:pos="630"/>
        </w:tabs>
      </w:pPr>
      <w:r>
        <w:t>停车库、列检库设置应符合下列要求：</w:t>
      </w:r>
    </w:p>
    <w:p w14:paraId="0D1467D4">
      <w:pPr>
        <w:ind w:firstLine="422" w:firstLineChars="200"/>
      </w:pPr>
      <w:r>
        <w:rPr>
          <w:b/>
        </w:rPr>
        <w:t>1</w:t>
      </w:r>
      <w:r>
        <w:rPr>
          <w:rFonts w:hint="eastAsia"/>
          <w:b/>
        </w:rPr>
        <w:t xml:space="preserve">  </w:t>
      </w:r>
      <w:r>
        <w:t>停车库、列检库宜合并设置为停车列检库。其规模应按近期需要建设，远期规模预留。近、远期规模变化不大或厂房扩建困难时，其厂房可按远期规模一次建成；</w:t>
      </w:r>
    </w:p>
    <w:p w14:paraId="62DFF878">
      <w:pPr>
        <w:ind w:firstLine="422" w:firstLineChars="200"/>
      </w:pPr>
      <w:r>
        <w:rPr>
          <w:b/>
        </w:rPr>
        <w:t>2</w:t>
      </w:r>
      <w:r>
        <w:rPr>
          <w:rFonts w:hint="eastAsia"/>
          <w:b/>
        </w:rPr>
        <w:t xml:space="preserve"> </w:t>
      </w:r>
      <w:r>
        <w:rPr>
          <w:rFonts w:hint="eastAsia"/>
        </w:rPr>
        <w:t xml:space="preserve"> </w:t>
      </w:r>
      <w:r>
        <w:t>停车列检库设计总列位数应按本段(场)配属列车数扣除每天在修车列数计算确定；</w:t>
      </w:r>
    </w:p>
    <w:p w14:paraId="454C063C">
      <w:pPr>
        <w:ind w:firstLine="422" w:firstLineChars="200"/>
      </w:pPr>
      <w:r>
        <w:rPr>
          <w:b/>
        </w:rPr>
        <w:t>3</w:t>
      </w:r>
      <w:r>
        <w:rPr>
          <w:rFonts w:hint="eastAsia"/>
          <w:b/>
        </w:rPr>
        <w:t xml:space="preserve"> </w:t>
      </w:r>
      <w:r>
        <w:rPr>
          <w:rFonts w:hint="eastAsia"/>
        </w:rPr>
        <w:t xml:space="preserve"> </w:t>
      </w:r>
      <w:r>
        <w:t>当停车列检库为尽端式时，每条库线宜按远期编组车辆数一列位布置，最多不应大于两列位；当停车列检库为贯通式时，每条库线宜按远期编组车辆数两列位布置，最多不应大于三列位；</w:t>
      </w:r>
    </w:p>
    <w:p w14:paraId="10980231">
      <w:pPr>
        <w:ind w:firstLine="422" w:firstLineChars="200"/>
      </w:pPr>
      <w:r>
        <w:rPr>
          <w:rFonts w:hint="eastAsia"/>
          <w:b/>
        </w:rPr>
        <w:t xml:space="preserve">4 </w:t>
      </w:r>
      <w:r>
        <w:rPr>
          <w:rFonts w:hint="eastAsia"/>
        </w:rPr>
        <w:t xml:space="preserve"> </w:t>
      </w:r>
      <w:r>
        <w:rPr>
          <w:rFonts w:hint="eastAsia"/>
          <w:szCs w:val="18"/>
        </w:rPr>
        <w:t>停车</w:t>
      </w:r>
      <w:r>
        <w:t>列检库所有库线应根据车辆的受电方式设置接触轨或架空接触网。停车列检库列位端部应设置架空接触网隔离的启闭设备、带电显示设施等；架空接触网绝缘段应靠近车库大门设置</w:t>
      </w:r>
      <w:r>
        <w:rPr>
          <w:rFonts w:hint="eastAsia"/>
          <w:szCs w:val="18"/>
        </w:rPr>
        <w:t>，</w:t>
      </w:r>
      <w:bookmarkStart w:id="1906" w:name="_Hlk176718515"/>
      <w:r>
        <w:rPr>
          <w:rFonts w:hint="eastAsia"/>
          <w:szCs w:val="18"/>
        </w:rPr>
        <w:t>如库内多列位设置有分段绝缘器时，分段绝缘器位置宜设置在可使人员与大库地面等高的平整地面处进行摘挂接地杆操作的位置</w:t>
      </w:r>
      <w:bookmarkEnd w:id="1906"/>
      <w:r>
        <w:t>；接触轨应分段设置并加装安全防护罩；</w:t>
      </w:r>
    </w:p>
    <w:p w14:paraId="3298D5D6">
      <w:pPr>
        <w:ind w:firstLine="422" w:firstLineChars="200"/>
      </w:pPr>
      <w:r>
        <w:rPr>
          <w:b/>
        </w:rPr>
        <w:t>5</w:t>
      </w:r>
      <w:r>
        <w:rPr>
          <w:rFonts w:hint="eastAsia"/>
          <w:b/>
        </w:rPr>
        <w:t xml:space="preserve"> </w:t>
      </w:r>
      <w:r>
        <w:rPr>
          <w:rFonts w:hint="eastAsia"/>
        </w:rPr>
        <w:t xml:space="preserve"> </w:t>
      </w:r>
      <w:r>
        <w:t>当采用架空接触网供电时，停车列检库架空接触网导线标高宜为+5.0m。靠墙、柱侧应设置车顶受电弓、空调检查平台、安全防护栏、安全带挂钩和上下步梯，并设置相应的安全防护设施。架空接触网隔离开关应与车顶检查平台的出入门进行联锁；</w:t>
      </w:r>
    </w:p>
    <w:p w14:paraId="2C5049E3">
      <w:pPr>
        <w:ind w:firstLine="422" w:firstLineChars="200"/>
      </w:pPr>
      <w:r>
        <w:rPr>
          <w:b/>
        </w:rPr>
        <w:t>6</w:t>
      </w:r>
      <w:r>
        <w:rPr>
          <w:rFonts w:hint="eastAsia"/>
        </w:rPr>
        <w:t xml:space="preserve">  </w:t>
      </w:r>
      <w:r>
        <w:t>停车库库内地坪标高宜低于钢轨面220mm。列检线应设中间检查坑，坑深宜为轨面下1.4~1.6m，应</w:t>
      </w:r>
      <w:r>
        <w:rPr>
          <w:rFonts w:hint="eastAsia"/>
        </w:rPr>
        <w:t>设置</w:t>
      </w:r>
      <w:r>
        <w:t>照明</w:t>
      </w:r>
      <w:r>
        <w:rPr>
          <w:rFonts w:hint="eastAsia"/>
        </w:rPr>
        <w:t>、动力插座</w:t>
      </w:r>
      <w:r>
        <w:t>和排水设施。股道两侧面地坪在有条件部位宜适当下沉，下沉深度宜为轨面下0.6~1.0m；</w:t>
      </w:r>
    </w:p>
    <w:p w14:paraId="1F2F4675">
      <w:pPr>
        <w:ind w:firstLine="422" w:firstLineChars="200"/>
      </w:pPr>
      <w:r>
        <w:rPr>
          <w:rFonts w:hint="eastAsia"/>
          <w:b/>
        </w:rPr>
        <w:t xml:space="preserve">7 </w:t>
      </w:r>
      <w:r>
        <w:rPr>
          <w:rFonts w:hint="eastAsia"/>
        </w:rPr>
        <w:t xml:space="preserve"> 车库</w:t>
      </w:r>
      <w:r>
        <w:t>长度</w:t>
      </w:r>
      <w:r>
        <w:rPr>
          <w:rFonts w:hint="eastAsia"/>
        </w:rPr>
        <w:t>不</w:t>
      </w:r>
      <w:r>
        <w:t>应小于下列公式计算值，并应结合厂房组合情况和土建设计要求适当调整，全自动运行线路应满足停车信号安全距离要求；</w:t>
      </w:r>
    </w:p>
    <w:p w14:paraId="73AECACC">
      <w:r>
        <w:t>——停车库计算长度：</w:t>
      </w:r>
    </w:p>
    <w:p w14:paraId="13A6DB37">
      <w:pPr>
        <w:spacing w:before="120" w:beforeLines="50" w:after="120" w:afterLines="50"/>
        <w:ind w:firstLine="420" w:firstLineChars="200"/>
        <w:jc w:val="center"/>
        <w:rPr>
          <w:szCs w:val="20"/>
        </w:rPr>
      </w:pPr>
      <w:r>
        <w:rPr>
          <w:rFonts w:hint="eastAsia"/>
          <w:position w:val="-12"/>
          <w:szCs w:val="20"/>
        </w:rPr>
        <w:object>
          <v:shape id="_x0000_i1048" o:spt="75" type="#_x0000_t75" style="height:15pt;width:136pt;" o:ole="t" filled="f" o:preferrelative="t" stroked="f" coordsize="21600,21600">
            <v:path/>
            <v:fill on="f" focussize="0,0"/>
            <v:stroke on="f" joinstyle="miter"/>
            <v:imagedata r:id="rId99" o:title=""/>
            <o:lock v:ext="edit" aspectratio="t"/>
            <w10:wrap type="none"/>
            <w10:anchorlock/>
          </v:shape>
          <o:OLEObject Type="Embed" ProgID="Equation.3" ShapeID="_x0000_i1048" DrawAspect="Content" ObjectID="_1468075741" r:id="rId98">
            <o:LockedField>false</o:LockedField>
          </o:OLEObject>
        </w:object>
      </w:r>
      <w:r>
        <w:rPr>
          <w:rFonts w:hint="eastAsia"/>
          <w:szCs w:val="20"/>
        </w:rPr>
        <w:t xml:space="preserve">     </w:t>
      </w:r>
      <w:r>
        <w:rPr>
          <w:szCs w:val="20"/>
        </w:rPr>
        <w:t>(2</w:t>
      </w:r>
      <w:r>
        <w:rPr>
          <w:rFonts w:hint="eastAsia"/>
          <w:szCs w:val="20"/>
        </w:rPr>
        <w:t>7</w:t>
      </w:r>
      <w:r>
        <w:rPr>
          <w:szCs w:val="20"/>
        </w:rPr>
        <w:t>.5.3-</w:t>
      </w:r>
      <w:r>
        <w:rPr>
          <w:rFonts w:hint="eastAsia"/>
          <w:szCs w:val="20"/>
        </w:rPr>
        <w:t>1</w:t>
      </w:r>
      <w:r>
        <w:rPr>
          <w:szCs w:val="20"/>
        </w:rPr>
        <w:t>)</w:t>
      </w:r>
    </w:p>
    <w:p w14:paraId="03347E10">
      <w:pPr>
        <w:rPr>
          <w:rFonts w:eastAsia="方正书宋_GBK"/>
          <w:sz w:val="20"/>
          <w:szCs w:val="22"/>
        </w:rPr>
      </w:pPr>
      <w:r>
        <w:rPr>
          <w:rFonts w:eastAsia="方正书宋_GBK"/>
          <w:sz w:val="20"/>
          <w:szCs w:val="22"/>
        </w:rPr>
        <w:t>式中</w:t>
      </w:r>
      <w:r>
        <w:rPr>
          <w:rFonts w:hint="eastAsia" w:eastAsia="方正书宋_GBK"/>
          <w:sz w:val="20"/>
          <w:szCs w:val="22"/>
        </w:rPr>
        <w:t>：</w:t>
      </w:r>
    </w:p>
    <w:p w14:paraId="0FD4DE51">
      <w:pPr>
        <w:ind w:firstLine="630" w:firstLineChars="300"/>
      </w:pPr>
      <w:r>
        <w:rPr>
          <w:i/>
          <w:iCs/>
        </w:rPr>
        <w:t>L</w:t>
      </w:r>
      <w:r>
        <w:rPr>
          <w:i/>
          <w:iCs/>
          <w:vertAlign w:val="subscript"/>
        </w:rPr>
        <w:t>tk</w:t>
      </w:r>
      <w:r>
        <w:t>——停车库长度(m)；</w:t>
      </w:r>
    </w:p>
    <w:p w14:paraId="74618D3C">
      <w:pPr>
        <w:ind w:firstLine="630" w:firstLineChars="300"/>
      </w:pPr>
      <w:r>
        <w:rPr>
          <w:i/>
          <w:iCs/>
        </w:rPr>
        <w:t>N</w:t>
      </w:r>
      <w:r>
        <w:rPr>
          <w:vertAlign w:val="subscript"/>
        </w:rPr>
        <w:t>1</w:t>
      </w:r>
      <w:r>
        <w:t>——每条线停车列位数；</w:t>
      </w:r>
    </w:p>
    <w:p w14:paraId="5D743666">
      <w:pPr>
        <w:ind w:firstLine="630" w:firstLineChars="300"/>
      </w:pPr>
      <w:r>
        <w:rPr>
          <w:i/>
          <w:iCs/>
        </w:rPr>
        <w:t>L</w:t>
      </w:r>
      <w:r>
        <w:t>——列车长度(m)；</w:t>
      </w:r>
    </w:p>
    <w:p w14:paraId="4E57CDC8">
      <w:pPr>
        <w:ind w:firstLine="630" w:firstLineChars="300"/>
      </w:pPr>
      <w:r>
        <w:rPr>
          <w:rFonts w:hint="eastAsia"/>
        </w:rPr>
        <w:t>1——</w:t>
      </w:r>
      <w:r>
        <w:t>停车</w:t>
      </w:r>
      <w:r>
        <w:rPr>
          <w:rFonts w:hint="eastAsia"/>
        </w:rPr>
        <w:t>误差</w:t>
      </w:r>
      <w:r>
        <w:t>(m)；</w:t>
      </w:r>
    </w:p>
    <w:p w14:paraId="197E4C9F">
      <w:pPr>
        <w:ind w:firstLine="630" w:firstLineChars="300"/>
      </w:pPr>
      <w:r>
        <w:t>8——停车列位之间通道宽度(m)；</w:t>
      </w:r>
    </w:p>
    <w:p w14:paraId="1D4E36DF">
      <w:pPr>
        <w:ind w:firstLine="630" w:firstLineChars="300"/>
      </w:pPr>
      <w:r>
        <w:t>9——停车库两端横向通道的宽度(m)。</w:t>
      </w:r>
    </w:p>
    <w:p w14:paraId="5C9BCAF2">
      <w:r>
        <w:t>——列检库计算长度：</w:t>
      </w:r>
    </w:p>
    <w:p w14:paraId="5FC5A01F">
      <w:pPr>
        <w:spacing w:before="120" w:beforeLines="50" w:after="120" w:afterLines="50"/>
        <w:ind w:firstLine="420" w:firstLineChars="200"/>
        <w:jc w:val="center"/>
        <w:rPr>
          <w:szCs w:val="20"/>
        </w:rPr>
      </w:pPr>
      <w:r>
        <w:rPr>
          <w:rFonts w:hint="eastAsia"/>
          <w:position w:val="-14"/>
          <w:szCs w:val="20"/>
        </w:rPr>
        <w:object>
          <v:shape id="_x0000_i1049" o:spt="75" type="#_x0000_t75" style="height:18.5pt;width:154pt;" o:ole="t" filled="f" o:preferrelative="t" stroked="f" coordsize="21600,21600">
            <v:path/>
            <v:fill on="f" focussize="0,0"/>
            <v:stroke on="f" joinstyle="miter"/>
            <v:imagedata r:id="rId101" o:title=""/>
            <o:lock v:ext="edit" aspectratio="t"/>
            <w10:wrap type="none"/>
            <w10:anchorlock/>
          </v:shape>
          <o:OLEObject Type="Embed" ProgID="Equation.3" ShapeID="_x0000_i1049" DrawAspect="Content" ObjectID="_1468075742" r:id="rId100">
            <o:LockedField>false</o:LockedField>
          </o:OLEObject>
        </w:object>
      </w:r>
      <w:r>
        <w:rPr>
          <w:rFonts w:hint="eastAsia"/>
          <w:szCs w:val="20"/>
        </w:rPr>
        <w:t xml:space="preserve">       </w:t>
      </w:r>
      <w:r>
        <w:rPr>
          <w:szCs w:val="20"/>
        </w:rPr>
        <w:t>(2</w:t>
      </w:r>
      <w:r>
        <w:rPr>
          <w:rFonts w:hint="eastAsia"/>
          <w:szCs w:val="20"/>
        </w:rPr>
        <w:t>7</w:t>
      </w:r>
      <w:r>
        <w:rPr>
          <w:szCs w:val="20"/>
        </w:rPr>
        <w:t>.5.3-2)</w:t>
      </w:r>
    </w:p>
    <w:p w14:paraId="3B9CA8EB">
      <w:pPr>
        <w:rPr>
          <w:rFonts w:eastAsia="方正书宋_GBK"/>
          <w:sz w:val="20"/>
          <w:szCs w:val="22"/>
        </w:rPr>
      </w:pPr>
      <w:r>
        <w:rPr>
          <w:rFonts w:eastAsia="方正书宋_GBK"/>
          <w:sz w:val="20"/>
          <w:szCs w:val="22"/>
        </w:rPr>
        <w:t>式中</w:t>
      </w:r>
      <w:r>
        <w:rPr>
          <w:rFonts w:hint="eastAsia" w:eastAsia="方正书宋_GBK"/>
          <w:sz w:val="20"/>
          <w:szCs w:val="22"/>
        </w:rPr>
        <w:t>：</w:t>
      </w:r>
    </w:p>
    <w:p w14:paraId="0409092E">
      <w:pPr>
        <w:ind w:firstLine="630" w:firstLineChars="300"/>
      </w:pPr>
      <w:r>
        <w:rPr>
          <w:i/>
          <w:iCs/>
        </w:rPr>
        <w:t>L</w:t>
      </w:r>
      <w:r>
        <w:rPr>
          <w:i/>
          <w:iCs/>
          <w:vertAlign w:val="subscript"/>
        </w:rPr>
        <w:t>jk</w:t>
      </w:r>
      <w:r>
        <w:t>——列检库长度(m)；</w:t>
      </w:r>
    </w:p>
    <w:p w14:paraId="69B1D9F6">
      <w:pPr>
        <w:ind w:firstLine="630" w:firstLineChars="300"/>
      </w:pPr>
      <w:r>
        <w:rPr>
          <w:i/>
          <w:iCs/>
        </w:rPr>
        <w:t>N</w:t>
      </w:r>
      <w:r>
        <w:rPr>
          <w:vertAlign w:val="subscript"/>
        </w:rPr>
        <w:t>2</w:t>
      </w:r>
      <w:r>
        <w:t>——每条线列检列位数；</w:t>
      </w:r>
    </w:p>
    <w:p w14:paraId="6703B1AB">
      <w:pPr>
        <w:ind w:firstLine="630" w:firstLineChars="300"/>
      </w:pPr>
      <w:r>
        <w:rPr>
          <w:rFonts w:hint="eastAsia"/>
        </w:rPr>
        <w:t>4</w:t>
      </w:r>
      <w:r>
        <w:t>——为停车</w:t>
      </w:r>
      <w:r>
        <w:rPr>
          <w:rFonts w:hint="eastAsia"/>
        </w:rPr>
        <w:t>误差1</w:t>
      </w:r>
      <w:r>
        <w:t>m和检查坑前后阶梯踏步长度各1.5m之和(m)；</w:t>
      </w:r>
    </w:p>
    <w:p w14:paraId="13C3DE44">
      <w:pPr>
        <w:ind w:firstLine="630" w:firstLineChars="300"/>
      </w:pPr>
      <w:r>
        <w:t>8——为列检列位之间通道宽度(m)；</w:t>
      </w:r>
    </w:p>
    <w:p w14:paraId="5C3294D1">
      <w:pPr>
        <w:ind w:firstLine="630" w:firstLineChars="300"/>
      </w:pPr>
      <w:r>
        <w:t>9——为列检库两端横向通道的宽度(m)。</w:t>
      </w:r>
    </w:p>
    <w:p w14:paraId="1B840605">
      <w:pPr>
        <w:ind w:firstLine="422" w:firstLineChars="200"/>
      </w:pPr>
      <w:r>
        <w:rPr>
          <w:b/>
        </w:rPr>
        <w:t>8</w:t>
      </w:r>
      <w:r>
        <w:rPr>
          <w:rFonts w:hint="eastAsia"/>
        </w:rPr>
        <w:t xml:space="preserve">  </w:t>
      </w:r>
      <w:r>
        <w:t>车库宽度应按铺设股道数量、股道间作业、运输通道等因素确定，并应符合表27.6.1</w:t>
      </w:r>
      <w:r>
        <w:rPr>
          <w:rFonts w:hint="eastAsia"/>
        </w:rPr>
        <w:t>3</w:t>
      </w:r>
      <w:r>
        <w:t>的规定。</w:t>
      </w:r>
    </w:p>
    <w:p w14:paraId="32E7BD77">
      <w:pPr>
        <w:pStyle w:val="5"/>
        <w:tabs>
          <w:tab w:val="left" w:pos="709"/>
          <w:tab w:val="clear" w:pos="630"/>
        </w:tabs>
      </w:pPr>
      <w:r>
        <w:t>月检库设置应符合下列规定：</w:t>
      </w:r>
    </w:p>
    <w:p w14:paraId="7F5C5B4A">
      <w:pPr>
        <w:ind w:firstLine="422" w:firstLineChars="200"/>
      </w:pPr>
      <w:r>
        <w:rPr>
          <w:b/>
        </w:rPr>
        <w:t>1</w:t>
      </w:r>
      <w:r>
        <w:rPr>
          <w:rFonts w:hint="eastAsia"/>
          <w:b/>
        </w:rPr>
        <w:t xml:space="preserve"> </w:t>
      </w:r>
      <w:r>
        <w:rPr>
          <w:rFonts w:hint="eastAsia"/>
        </w:rPr>
        <w:t xml:space="preserve"> </w:t>
      </w:r>
      <w:r>
        <w:t>当月检库为贯通式时，可按每股道2列位设置；当车库为尽端式时，宜按每股道1列位设置</w:t>
      </w:r>
      <w:r>
        <w:rPr>
          <w:rFonts w:hint="eastAsia"/>
        </w:rPr>
        <w:t>，困难条件下可按两列位设置</w:t>
      </w:r>
      <w:r>
        <w:t>；</w:t>
      </w:r>
    </w:p>
    <w:p w14:paraId="152716A7">
      <w:pPr>
        <w:ind w:firstLine="422" w:firstLineChars="200"/>
      </w:pPr>
      <w:r>
        <w:rPr>
          <w:b/>
        </w:rPr>
        <w:t>2</w:t>
      </w:r>
      <w:r>
        <w:rPr>
          <w:rFonts w:hint="eastAsia"/>
        </w:rPr>
        <w:t xml:space="preserve">  </w:t>
      </w:r>
      <w:r>
        <w:t>月检库股道应采用架空形式，库两端和列位间横向通道、辅助生产房屋门前通道标高应为±0.00，并连成库内通道；</w:t>
      </w:r>
    </w:p>
    <w:p w14:paraId="179CC662">
      <w:pPr>
        <w:ind w:firstLine="422" w:firstLineChars="200"/>
      </w:pPr>
      <w:r>
        <w:rPr>
          <w:rFonts w:hint="eastAsia" w:ascii="Arial" w:hAnsi="Arial" w:cs="Arial"/>
          <w:b/>
          <w:szCs w:val="18"/>
        </w:rPr>
        <w:t>3</w:t>
      </w:r>
      <w:r>
        <w:rPr>
          <w:rFonts w:hint="eastAsia"/>
          <w:szCs w:val="18"/>
        </w:rPr>
        <w:t xml:space="preserve">  月检</w:t>
      </w:r>
      <w:r>
        <w:t>库设置架空接触网时，架空接触网导线标高宜为+5.7m，列车端部应设置供电隔离的启闭设备、带电显示设施等，接触网绝缘段应靠近车库大门设置；</w:t>
      </w:r>
    </w:p>
    <w:p w14:paraId="74735C8A">
      <w:pPr>
        <w:ind w:firstLine="422" w:firstLineChars="200"/>
      </w:pPr>
      <w:r>
        <w:rPr>
          <w:b/>
        </w:rPr>
        <w:t>4</w:t>
      </w:r>
      <w:r>
        <w:rPr>
          <w:rFonts w:hint="eastAsia"/>
          <w:b/>
        </w:rPr>
        <w:t xml:space="preserve"> </w:t>
      </w:r>
      <w:r>
        <w:rPr>
          <w:rFonts w:hint="eastAsia"/>
        </w:rPr>
        <w:t xml:space="preserve"> </w:t>
      </w:r>
      <w:r>
        <w:t>采用接触轨供电时，接触轨不应进入月检库库线；</w:t>
      </w:r>
    </w:p>
    <w:p w14:paraId="08B20A28">
      <w:pPr>
        <w:ind w:firstLine="422" w:firstLineChars="200"/>
      </w:pPr>
      <w:r>
        <w:rPr>
          <w:b/>
        </w:rPr>
        <w:t>5</w:t>
      </w:r>
      <w:r>
        <w:rPr>
          <w:rFonts w:hint="eastAsia"/>
          <w:b/>
        </w:rPr>
        <w:t xml:space="preserve"> </w:t>
      </w:r>
      <w:r>
        <w:rPr>
          <w:rFonts w:hint="eastAsia"/>
        </w:rPr>
        <w:t xml:space="preserve"> </w:t>
      </w:r>
      <w:r>
        <w:t>月检库应设置车顶作业平台，并应安装动力插座和安全防护设施</w:t>
      </w:r>
      <w:r>
        <w:rPr>
          <w:rFonts w:hint="eastAsia"/>
        </w:rPr>
        <w:t>，两列位共用车顶作业平台时中间应设防护隔离措施，</w:t>
      </w:r>
      <w:r>
        <w:t>平台标高宜为+3.6m</w:t>
      </w:r>
      <w:r>
        <w:rPr>
          <w:rFonts w:hint="eastAsia"/>
        </w:rPr>
        <w:t>。</w:t>
      </w:r>
      <w:r>
        <w:t>需要设置中层作业平台时，平台标高应与车辆地板面持平。平台与车辆之间的间隙应满足车辆限界要求。工作平台宜设置给排水设施；</w:t>
      </w:r>
    </w:p>
    <w:p w14:paraId="313C42ED">
      <w:pPr>
        <w:ind w:firstLine="422" w:firstLineChars="200"/>
      </w:pPr>
      <w:r>
        <w:rPr>
          <w:b/>
        </w:rPr>
        <w:t>6</w:t>
      </w:r>
      <w:r>
        <w:rPr>
          <w:rFonts w:hint="eastAsia"/>
          <w:b/>
        </w:rPr>
        <w:t xml:space="preserve">  </w:t>
      </w:r>
      <w:r>
        <w:t>采用架空接触网供电时，进出平台的门与该列位的架空接触网隔离开关应设置安全联锁装置；</w:t>
      </w:r>
    </w:p>
    <w:p w14:paraId="6FE03FE2">
      <w:pPr>
        <w:ind w:firstLine="422" w:firstLineChars="200"/>
      </w:pPr>
      <w:r>
        <w:rPr>
          <w:b/>
        </w:rPr>
        <w:t>7</w:t>
      </w:r>
      <w:r>
        <w:rPr>
          <w:rFonts w:hint="eastAsia"/>
          <w:b/>
        </w:rPr>
        <w:t xml:space="preserve"> </w:t>
      </w:r>
      <w:r>
        <w:rPr>
          <w:rFonts w:hint="eastAsia"/>
        </w:rPr>
        <w:t xml:space="preserve"> </w:t>
      </w:r>
      <w:r>
        <w:t>月检线均应设中间检查坑，坑深宜为轨面下1.2~1.4m，坑内应</w:t>
      </w:r>
      <w:r>
        <w:rPr>
          <w:rFonts w:hint="eastAsia"/>
        </w:rPr>
        <w:t>设置</w:t>
      </w:r>
      <w:r>
        <w:t>照明</w:t>
      </w:r>
      <w:r>
        <w:rPr>
          <w:rFonts w:hint="eastAsia"/>
        </w:rPr>
        <w:t>、动力插座</w:t>
      </w:r>
      <w:r>
        <w:t>和排水设施。为便于月检作业，股道两侧面地坪宜采用下沉方式，下沉范围宜为轨面下0.6~1.0m；</w:t>
      </w:r>
    </w:p>
    <w:p w14:paraId="08FFAD60">
      <w:pPr>
        <w:ind w:firstLine="422" w:firstLineChars="200"/>
      </w:pPr>
      <w:r>
        <w:rPr>
          <w:b/>
        </w:rPr>
        <w:t>8</w:t>
      </w:r>
      <w:r>
        <w:rPr>
          <w:rFonts w:hint="eastAsia"/>
        </w:rPr>
        <w:t xml:space="preserve">  宜</w:t>
      </w:r>
      <w:r>
        <w:t>根据检修作业需要设置工业吸尘装置和静态调试电源设备；</w:t>
      </w:r>
    </w:p>
    <w:p w14:paraId="53AB017C">
      <w:pPr>
        <w:ind w:firstLine="422" w:firstLineChars="200"/>
      </w:pPr>
      <w:r>
        <w:rPr>
          <w:b/>
        </w:rPr>
        <w:t>9</w:t>
      </w:r>
      <w:r>
        <w:rPr>
          <w:rFonts w:hint="eastAsia"/>
          <w:b/>
        </w:rPr>
        <w:t xml:space="preserve"> </w:t>
      </w:r>
      <w:r>
        <w:rPr>
          <w:rFonts w:hint="eastAsia"/>
        </w:rPr>
        <w:t xml:space="preserve"> </w:t>
      </w:r>
      <w:r>
        <w:t>车库长度</w:t>
      </w:r>
      <w:r>
        <w:rPr>
          <w:rFonts w:hint="eastAsia"/>
        </w:rPr>
        <w:t>不</w:t>
      </w:r>
      <w:r>
        <w:t>应小于下列公式计算值，并应结合厂房组合情况和土建设计要求适当调整。月检库计算长度：</w:t>
      </w:r>
    </w:p>
    <w:p w14:paraId="6264C212">
      <w:pPr>
        <w:spacing w:line="240" w:lineRule="auto"/>
        <w:jc w:val="center"/>
      </w:pPr>
      <w:r>
        <w:rPr>
          <w:rFonts w:hint="eastAsia"/>
          <w:position w:val="-14"/>
          <w:szCs w:val="20"/>
        </w:rPr>
        <w:object>
          <v:shape id="_x0000_i1050" o:spt="75" type="#_x0000_t75" style="height:17pt;width:151pt;" o:ole="t" filled="f" o:preferrelative="t" stroked="f" coordsize="21600,21600">
            <v:path/>
            <v:fill on="f" focussize="0,0"/>
            <v:stroke on="f" joinstyle="miter"/>
            <v:imagedata r:id="rId103" o:title=""/>
            <o:lock v:ext="edit" aspectratio="t"/>
            <w10:wrap type="none"/>
            <w10:anchorlock/>
          </v:shape>
          <o:OLEObject Type="Embed" ProgID="Equation.3" ShapeID="_x0000_i1050" DrawAspect="Content" ObjectID="_1468075743" r:id="rId102">
            <o:LockedField>false</o:LockedField>
          </o:OLEObject>
        </w:object>
      </w:r>
      <w:r>
        <w:rPr>
          <w:rFonts w:hint="eastAsia"/>
          <w:szCs w:val="20"/>
        </w:rPr>
        <w:t xml:space="preserve">       </w:t>
      </w:r>
      <w:r>
        <w:t>(2</w:t>
      </w:r>
      <w:r>
        <w:rPr>
          <w:rFonts w:hint="eastAsia"/>
        </w:rPr>
        <w:t>7</w:t>
      </w:r>
      <w:r>
        <w:t>.5.4)</w:t>
      </w:r>
    </w:p>
    <w:p w14:paraId="4E760614">
      <w:r>
        <w:t>式中：</w:t>
      </w:r>
    </w:p>
    <w:p w14:paraId="20D4096E">
      <w:pPr>
        <w:ind w:firstLine="630" w:firstLineChars="300"/>
      </w:pPr>
      <w:r>
        <w:rPr>
          <w:i/>
          <w:iCs/>
        </w:rPr>
        <w:t>L</w:t>
      </w:r>
      <w:r>
        <w:rPr>
          <w:i/>
          <w:iCs/>
          <w:vertAlign w:val="subscript"/>
        </w:rPr>
        <w:t>yk</w:t>
      </w:r>
      <w:r>
        <w:t>——月检库计算长度(m)；</w:t>
      </w:r>
    </w:p>
    <w:p w14:paraId="017A847A">
      <w:pPr>
        <w:ind w:firstLine="630" w:firstLineChars="300"/>
      </w:pPr>
      <w:r>
        <w:rPr>
          <w:i/>
          <w:iCs/>
        </w:rPr>
        <w:t>N</w:t>
      </w:r>
      <w:r>
        <w:rPr>
          <w:vertAlign w:val="subscript"/>
        </w:rPr>
        <w:t>3</w:t>
      </w:r>
      <w:r>
        <w:t>——每条线月检列位数；</w:t>
      </w:r>
    </w:p>
    <w:p w14:paraId="5438E2AF">
      <w:pPr>
        <w:ind w:firstLine="630" w:firstLineChars="300"/>
      </w:pPr>
      <w:r>
        <w:rPr>
          <w:rFonts w:hint="eastAsia"/>
        </w:rPr>
        <w:t>1</w:t>
      </w:r>
      <w:r>
        <w:t>——停车</w:t>
      </w:r>
      <w:r>
        <w:rPr>
          <w:rFonts w:hint="eastAsia"/>
        </w:rPr>
        <w:t>误差</w:t>
      </w:r>
      <w:r>
        <w:t>(m)；</w:t>
      </w:r>
    </w:p>
    <w:p w14:paraId="255D2D6B">
      <w:pPr>
        <w:ind w:firstLine="630" w:firstLineChars="300"/>
      </w:pPr>
      <w:r>
        <w:t>8——为月检列位之间通道宽度(m)；</w:t>
      </w:r>
    </w:p>
    <w:p w14:paraId="02A418A6">
      <w:pPr>
        <w:ind w:firstLine="630" w:firstLineChars="300"/>
      </w:pPr>
      <w:r>
        <w:t>25——为车库前后横向通道宽度9m与列位两端斜坡道各长8m之和(m)。</w:t>
      </w:r>
    </w:p>
    <w:p w14:paraId="6C524350">
      <w:pPr>
        <w:ind w:firstLine="422" w:firstLineChars="200"/>
      </w:pPr>
      <w:r>
        <w:rPr>
          <w:b/>
        </w:rPr>
        <w:t>10</w:t>
      </w:r>
      <w:r>
        <w:rPr>
          <w:rFonts w:hint="eastAsia"/>
          <w:b/>
        </w:rPr>
        <w:t xml:space="preserve"> </w:t>
      </w:r>
      <w:r>
        <w:rPr>
          <w:rFonts w:hint="eastAsia"/>
        </w:rPr>
        <w:t xml:space="preserve"> </w:t>
      </w:r>
      <w:r>
        <w:t>月检库可单独设置或与停车列检库合建</w:t>
      </w:r>
      <w:r>
        <w:rPr>
          <w:rFonts w:hint="eastAsia"/>
        </w:rPr>
        <w:t>；</w:t>
      </w:r>
    </w:p>
    <w:p w14:paraId="2AED37F2">
      <w:pPr>
        <w:ind w:firstLine="422" w:firstLineChars="200"/>
      </w:pPr>
      <w:r>
        <w:rPr>
          <w:rFonts w:hint="eastAsia"/>
          <w:b/>
        </w:rPr>
        <w:t xml:space="preserve">11 </w:t>
      </w:r>
      <w:r>
        <w:rPr>
          <w:rFonts w:hint="eastAsia"/>
        </w:rPr>
        <w:t xml:space="preserve"> </w:t>
      </w:r>
      <w:r>
        <w:t>车库宽度应按铺设股道数量、股道间作业、运输通道等因素确定，并应符合表27.6.1</w:t>
      </w:r>
      <w:r>
        <w:rPr>
          <w:rFonts w:hint="eastAsia"/>
        </w:rPr>
        <w:t>3</w:t>
      </w:r>
      <w:r>
        <w:t>的规定。</w:t>
      </w:r>
    </w:p>
    <w:p w14:paraId="69880E43">
      <w:pPr>
        <w:pStyle w:val="5"/>
        <w:tabs>
          <w:tab w:val="left" w:pos="709"/>
          <w:tab w:val="clear" w:pos="630"/>
        </w:tabs>
      </w:pPr>
      <w:r>
        <w:t>洗车库应包括机械洗车机、洗车线和生产房屋，其设计应符合下列要求：</w:t>
      </w:r>
    </w:p>
    <w:p w14:paraId="239807E5">
      <w:pPr>
        <w:ind w:firstLine="422" w:firstLineChars="200"/>
      </w:pPr>
      <w:r>
        <w:rPr>
          <w:b/>
        </w:rPr>
        <w:t>1</w:t>
      </w:r>
      <w:r>
        <w:rPr>
          <w:rFonts w:hint="eastAsia"/>
          <w:b/>
        </w:rPr>
        <w:t xml:space="preserve">  </w:t>
      </w:r>
      <w:r>
        <w:t>洗车</w:t>
      </w:r>
      <w:r>
        <w:rPr>
          <w:rFonts w:hint="eastAsia"/>
        </w:rPr>
        <w:t>线宜贯通式布置，</w:t>
      </w:r>
      <w:r>
        <w:t>当地形受限制时，可按尽端式布置；</w:t>
      </w:r>
    </w:p>
    <w:p w14:paraId="1A7390B8">
      <w:pPr>
        <w:ind w:firstLine="422" w:firstLineChars="200"/>
      </w:pPr>
      <w:r>
        <w:rPr>
          <w:b/>
        </w:rPr>
        <w:t>2</w:t>
      </w:r>
      <w:r>
        <w:rPr>
          <w:rFonts w:hint="eastAsia"/>
          <w:b/>
        </w:rPr>
        <w:t xml:space="preserve"> </w:t>
      </w:r>
      <w:r>
        <w:rPr>
          <w:rFonts w:hint="eastAsia"/>
        </w:rPr>
        <w:t xml:space="preserve"> </w:t>
      </w:r>
      <w:r>
        <w:t>当采用架空接触网供电时，洗车线架空接触网应满足列车洗车作业连续供电的要求；洗车库内的架空接触网应具有局部切断电源的功能，确保设备检修时检修人员的安全；当采用接触轨供电时，洗车设备作业范围内的线路不应设置接触轨；</w:t>
      </w:r>
    </w:p>
    <w:p w14:paraId="5E83A2FB">
      <w:pPr>
        <w:ind w:firstLine="422" w:firstLineChars="200"/>
      </w:pPr>
      <w:r>
        <w:rPr>
          <w:b/>
        </w:rPr>
        <w:t>3</w:t>
      </w:r>
      <w:r>
        <w:rPr>
          <w:rFonts w:hint="eastAsia"/>
          <w:b/>
        </w:rPr>
        <w:t xml:space="preserve"> </w:t>
      </w:r>
      <w:r>
        <w:rPr>
          <w:rFonts w:hint="eastAsia"/>
        </w:rPr>
        <w:t xml:space="preserve"> </w:t>
      </w:r>
      <w:r>
        <w:t>洗车库的长度、宽度和高度应根据洗车</w:t>
      </w:r>
      <w:r>
        <w:rPr>
          <w:rFonts w:hint="eastAsia"/>
        </w:rPr>
        <w:t>机</w:t>
      </w:r>
      <w:r>
        <w:t>的要求确定；洗车机前后线路的有效长度</w:t>
      </w:r>
      <w:r>
        <w:rPr>
          <w:rFonts w:hint="eastAsia"/>
        </w:rPr>
        <w:t>不</w:t>
      </w:r>
      <w:r>
        <w:t>应小于1列车的长度</w:t>
      </w:r>
      <w:r>
        <w:rPr>
          <w:rFonts w:hint="eastAsia"/>
        </w:rPr>
        <w:t>，且直线段不应小于1辆车的长度；</w:t>
      </w:r>
      <w:r>
        <w:t>库内应有采暖设施，</w:t>
      </w:r>
      <w:r>
        <w:rPr>
          <w:rFonts w:hint="eastAsia"/>
        </w:rPr>
        <w:t>车库</w:t>
      </w:r>
      <w:r>
        <w:t>大门需设空气风幕阻隔设施；</w:t>
      </w:r>
    </w:p>
    <w:p w14:paraId="7B10639A">
      <w:pPr>
        <w:ind w:firstLine="422" w:firstLineChars="200"/>
      </w:pPr>
      <w:r>
        <w:rPr>
          <w:rFonts w:hint="eastAsia"/>
          <w:b/>
        </w:rPr>
        <w:t>4</w:t>
      </w:r>
      <w:r>
        <w:rPr>
          <w:rFonts w:hint="eastAsia"/>
        </w:rPr>
        <w:t xml:space="preserve">  </w:t>
      </w:r>
      <w:r>
        <w:t>洗车线有效长度</w:t>
      </w:r>
      <w:r>
        <w:rPr>
          <w:rFonts w:hint="eastAsia"/>
        </w:rPr>
        <w:t>不</w:t>
      </w:r>
      <w:r>
        <w:t>应小于下列公式计算值：</w:t>
      </w:r>
    </w:p>
    <w:p w14:paraId="3ECA04C7">
      <w:pPr>
        <w:ind w:firstLine="420" w:firstLineChars="200"/>
      </w:pPr>
      <w:r>
        <w:t>贯通式洗车线有效长度为：</w:t>
      </w:r>
    </w:p>
    <w:p w14:paraId="67262D9E">
      <w:pPr>
        <w:spacing w:before="120" w:beforeLines="50" w:after="120" w:afterLines="50"/>
        <w:ind w:firstLine="420" w:firstLineChars="200"/>
        <w:jc w:val="center"/>
        <w:rPr>
          <w:szCs w:val="20"/>
        </w:rPr>
      </w:pPr>
      <w:r>
        <w:rPr>
          <w:rFonts w:hint="eastAsia"/>
          <w:position w:val="-12"/>
          <w:szCs w:val="20"/>
        </w:rPr>
        <w:object>
          <v:shape id="_x0000_i1051" o:spt="75" type="#_x0000_t75" style="height:15pt;width:77pt;" o:ole="t" filled="f" o:preferrelative="t" stroked="f" coordsize="21600,21600">
            <v:path/>
            <v:fill on="f" focussize="0,0"/>
            <v:stroke on="f" joinstyle="miter"/>
            <v:imagedata r:id="rId105" o:title=""/>
            <o:lock v:ext="edit" aspectratio="t"/>
            <w10:wrap type="none"/>
            <w10:anchorlock/>
          </v:shape>
          <o:OLEObject Type="Embed" ProgID="Equation.3" ShapeID="_x0000_i1051" DrawAspect="Content" ObjectID="_1468075744" r:id="rId104">
            <o:LockedField>false</o:LockedField>
          </o:OLEObject>
        </w:object>
      </w:r>
      <w:r>
        <w:rPr>
          <w:rFonts w:hint="eastAsia"/>
          <w:szCs w:val="20"/>
        </w:rPr>
        <w:t xml:space="preserve">                </w:t>
      </w:r>
      <w:r>
        <w:rPr>
          <w:szCs w:val="20"/>
        </w:rPr>
        <w:t>(2</w:t>
      </w:r>
      <w:r>
        <w:rPr>
          <w:rFonts w:hint="eastAsia"/>
          <w:szCs w:val="20"/>
        </w:rPr>
        <w:t>7</w:t>
      </w:r>
      <w:r>
        <w:rPr>
          <w:szCs w:val="20"/>
        </w:rPr>
        <w:t>.5.5-1)</w:t>
      </w:r>
    </w:p>
    <w:p w14:paraId="3EB0F2BF">
      <w:r>
        <w:t>式中</w:t>
      </w:r>
      <w:r>
        <w:rPr>
          <w:rFonts w:hint="eastAsia"/>
        </w:rPr>
        <w:t>：</w:t>
      </w:r>
    </w:p>
    <w:p w14:paraId="255D55E4">
      <w:pPr>
        <w:ind w:firstLine="630" w:firstLineChars="300"/>
      </w:pPr>
      <w:r>
        <w:rPr>
          <w:i/>
          <w:iCs/>
        </w:rPr>
        <w:t>L</w:t>
      </w:r>
      <w:r>
        <w:rPr>
          <w:i/>
          <w:iCs/>
          <w:vertAlign w:val="subscript"/>
        </w:rPr>
        <w:t>ts</w:t>
      </w:r>
      <w:r>
        <w:t>——贯通式洗车线有效长度(m)；</w:t>
      </w:r>
    </w:p>
    <w:p w14:paraId="08B4D0C4">
      <w:pPr>
        <w:ind w:firstLine="630" w:firstLineChars="300"/>
      </w:pPr>
      <w:r>
        <w:rPr>
          <w:i/>
          <w:iCs/>
        </w:rPr>
        <w:t>L</w:t>
      </w:r>
      <w:r>
        <w:rPr>
          <w:i/>
          <w:iCs/>
          <w:vertAlign w:val="subscript"/>
        </w:rPr>
        <w:t>S</w:t>
      </w:r>
      <w:r>
        <w:t>——洗车机或洗车库长度(包括连锁设备)(m)；</w:t>
      </w:r>
    </w:p>
    <w:p w14:paraId="1BB9A6E1">
      <w:pPr>
        <w:ind w:firstLine="630" w:firstLineChars="300"/>
      </w:pPr>
      <w:r>
        <w:t>12——信号安装附加距离(m)。</w:t>
      </w:r>
    </w:p>
    <w:p w14:paraId="3C43B7A4">
      <w:pPr>
        <w:ind w:firstLine="420" w:firstLineChars="200"/>
      </w:pPr>
      <w:r>
        <w:t>尽端式洗车线有效长度为：</w:t>
      </w:r>
    </w:p>
    <w:p w14:paraId="0CE8E75F">
      <w:pPr>
        <w:spacing w:before="120" w:beforeLines="50" w:after="120" w:afterLines="50"/>
        <w:ind w:firstLine="420" w:firstLineChars="200"/>
        <w:jc w:val="center"/>
        <w:rPr>
          <w:szCs w:val="20"/>
        </w:rPr>
      </w:pPr>
      <w:r>
        <w:rPr>
          <w:rFonts w:hint="eastAsia"/>
          <w:position w:val="-14"/>
          <w:szCs w:val="20"/>
        </w:rPr>
        <w:object>
          <v:shape id="_x0000_i1052" o:spt="75" type="#_x0000_t75" style="height:18.5pt;width:85.5pt;" o:ole="t" filled="f" o:preferrelative="t" stroked="f" coordsize="21600,21600">
            <v:path/>
            <v:fill on="f" focussize="0,0"/>
            <v:stroke on="f" joinstyle="miter"/>
            <v:imagedata r:id="rId107" o:title=""/>
            <o:lock v:ext="edit" aspectratio="t"/>
            <w10:wrap type="none"/>
            <w10:anchorlock/>
          </v:shape>
          <o:OLEObject Type="Embed" ProgID="Equation.3" ShapeID="_x0000_i1052" DrawAspect="Content" ObjectID="_1468075745" r:id="rId106">
            <o:LockedField>false</o:LockedField>
          </o:OLEObject>
        </w:object>
      </w:r>
      <w:r>
        <w:rPr>
          <w:rFonts w:hint="eastAsia"/>
          <w:szCs w:val="20"/>
        </w:rPr>
        <w:t xml:space="preserve">             </w:t>
      </w:r>
      <w:r>
        <w:rPr>
          <w:szCs w:val="20"/>
        </w:rPr>
        <w:t>(2</w:t>
      </w:r>
      <w:r>
        <w:rPr>
          <w:rFonts w:hint="eastAsia"/>
          <w:szCs w:val="20"/>
        </w:rPr>
        <w:t>7</w:t>
      </w:r>
      <w:r>
        <w:rPr>
          <w:szCs w:val="20"/>
        </w:rPr>
        <w:t>.5.5-2)</w:t>
      </w:r>
    </w:p>
    <w:p w14:paraId="5E00E45A">
      <w:r>
        <w:t>式中</w:t>
      </w:r>
      <w:r>
        <w:rPr>
          <w:rFonts w:hint="eastAsia"/>
        </w:rPr>
        <w:t>：</w:t>
      </w:r>
    </w:p>
    <w:p w14:paraId="63453D6A">
      <w:pPr>
        <w:ind w:firstLine="630" w:firstLineChars="300"/>
      </w:pPr>
      <w:r>
        <w:rPr>
          <w:i/>
          <w:iCs/>
        </w:rPr>
        <w:t>L</w:t>
      </w:r>
      <w:r>
        <w:rPr>
          <w:i/>
          <w:iCs/>
          <w:vertAlign w:val="subscript"/>
        </w:rPr>
        <w:t>js</w:t>
      </w:r>
      <w:r>
        <w:t>——尽端式洗车线有效长度(m)；</w:t>
      </w:r>
    </w:p>
    <w:p w14:paraId="7251FAD9">
      <w:pPr>
        <w:ind w:firstLine="630" w:firstLineChars="300"/>
      </w:pPr>
      <w:r>
        <w:t>10——线路终端安全距离(m)。</w:t>
      </w:r>
    </w:p>
    <w:p w14:paraId="4E1153E3">
      <w:pPr>
        <w:ind w:firstLine="422" w:firstLineChars="200"/>
      </w:pPr>
      <w:r>
        <w:rPr>
          <w:rFonts w:hint="eastAsia"/>
          <w:b/>
        </w:rPr>
        <w:t xml:space="preserve">5 </w:t>
      </w:r>
      <w:r>
        <w:rPr>
          <w:rFonts w:hint="eastAsia"/>
        </w:rPr>
        <w:t xml:space="preserve"> </w:t>
      </w:r>
      <w:r>
        <w:t>洗车线应根据洗车</w:t>
      </w:r>
      <w:r>
        <w:rPr>
          <w:rFonts w:hint="eastAsia"/>
        </w:rPr>
        <w:t>机</w:t>
      </w:r>
      <w:r>
        <w:t>的要求配备辅助生产房屋，洗车库内设施应采取防水、防腐蚀措施。</w:t>
      </w:r>
    </w:p>
    <w:p w14:paraId="09CC0B74">
      <w:pPr>
        <w:pStyle w:val="5"/>
        <w:tabs>
          <w:tab w:val="left" w:pos="709"/>
          <w:tab w:val="clear" w:pos="630"/>
        </w:tabs>
      </w:pPr>
      <w:r>
        <w:rPr>
          <w:rFonts w:hint="eastAsia"/>
        </w:rPr>
        <w:t>车辆基地</w:t>
      </w:r>
      <w:r>
        <w:t>内列车运转调度、检修调度和防灾调度等宜合并设置为</w:t>
      </w:r>
      <w:r>
        <w:rPr>
          <w:rFonts w:hint="eastAsia"/>
        </w:rPr>
        <w:t>调度中心</w:t>
      </w:r>
      <w:r>
        <w:t>。</w:t>
      </w:r>
    </w:p>
    <w:p w14:paraId="73E00866">
      <w:pPr>
        <w:pStyle w:val="5"/>
        <w:tabs>
          <w:tab w:val="left" w:pos="709"/>
          <w:tab w:val="clear" w:pos="630"/>
        </w:tabs>
      </w:pPr>
      <w:r>
        <w:t>全自动运行</w:t>
      </w:r>
      <w:r>
        <w:rPr>
          <w:rFonts w:hint="eastAsia"/>
        </w:rPr>
        <w:t>车辆基地的</w:t>
      </w:r>
      <w:r>
        <w:t>停车列检库内</w:t>
      </w:r>
      <w:r>
        <w:rPr>
          <w:rFonts w:hint="eastAsia"/>
        </w:rPr>
        <w:t>应</w:t>
      </w:r>
      <w:r>
        <w:t>设置安全防护分区，每个安全防护分区之间采用通透安全隔离栅栏分隔，每个安全防护分区应设置门禁。</w:t>
      </w:r>
      <w:r>
        <w:rPr>
          <w:rFonts w:hint="eastAsia"/>
        </w:rPr>
        <w:t>停车列检库防护区外应增加人员专用通道。</w:t>
      </w:r>
      <w:r>
        <w:t>车辆入库大门为全自动库门时，应与信号系统设置联锁</w:t>
      </w:r>
      <w:r>
        <w:rPr>
          <w:rFonts w:hint="eastAsia"/>
        </w:rPr>
        <w:t>控制</w:t>
      </w:r>
      <w:r>
        <w:t>。</w:t>
      </w:r>
    </w:p>
    <w:p w14:paraId="74AF3826">
      <w:pPr>
        <w:numPr>
          <w:ilvl w:val="1"/>
          <w:numId w:val="1"/>
        </w:numPr>
        <w:snapToGrid w:val="0"/>
        <w:spacing w:before="156" w:after="156" w:line="240" w:lineRule="auto"/>
        <w:jc w:val="center"/>
        <w:outlineLvl w:val="1"/>
        <w:rPr>
          <w:rFonts w:eastAsia="黑体"/>
          <w:bCs/>
          <w:szCs w:val="28"/>
        </w:rPr>
      </w:pPr>
      <w:bookmarkStart w:id="1907" w:name="_Toc183765239"/>
      <w:bookmarkStart w:id="1908" w:name="_Toc183882592"/>
      <w:bookmarkStart w:id="1909" w:name="_Toc183790669"/>
      <w:bookmarkStart w:id="1910" w:name="_Toc183888282"/>
      <w:bookmarkStart w:id="1911" w:name="_Toc183683633"/>
      <w:bookmarkStart w:id="1912" w:name="_Toc183882230"/>
      <w:bookmarkStart w:id="1913" w:name="_Toc168415306"/>
      <w:bookmarkStart w:id="1914" w:name="_Toc183888644"/>
      <w:r>
        <w:rPr>
          <w:rFonts w:eastAsia="黑体"/>
          <w:bCs/>
          <w:szCs w:val="28"/>
        </w:rPr>
        <w:t>车辆检修设施</w:t>
      </w:r>
      <w:bookmarkEnd w:id="1907"/>
      <w:bookmarkEnd w:id="1908"/>
      <w:bookmarkEnd w:id="1909"/>
      <w:bookmarkEnd w:id="1910"/>
      <w:bookmarkEnd w:id="1911"/>
      <w:bookmarkEnd w:id="1912"/>
      <w:bookmarkEnd w:id="1913"/>
      <w:bookmarkEnd w:id="1914"/>
    </w:p>
    <w:p w14:paraId="0109F6D4">
      <w:pPr>
        <w:pStyle w:val="5"/>
        <w:tabs>
          <w:tab w:val="left" w:pos="709"/>
          <w:tab w:val="clear" w:pos="630"/>
        </w:tabs>
      </w:pPr>
      <w:r>
        <w:t>检修设施宜包括厂修库、架修库、临修库及附属车间、静调库、吹扫库、不落轮镟库、</w:t>
      </w:r>
      <w:r>
        <w:rPr>
          <w:rFonts w:hint="eastAsia"/>
        </w:rPr>
        <w:t>调车</w:t>
      </w:r>
      <w:r>
        <w:t>机车库等，并应设置试车线。车辆厂、车辆段应根据其功能和检修工艺要求设置相应的生产设施。</w:t>
      </w:r>
    </w:p>
    <w:p w14:paraId="764EE194">
      <w:pPr>
        <w:pStyle w:val="5"/>
        <w:tabs>
          <w:tab w:val="left" w:pos="709"/>
          <w:tab w:val="clear" w:pos="630"/>
        </w:tabs>
      </w:pPr>
      <w:r>
        <w:t>仅具备临修功能的车辆段应设临修库、静调库及相应的辅助生产房屋，静调库宜结合月检库设置。</w:t>
      </w:r>
    </w:p>
    <w:p w14:paraId="4B30DE4E">
      <w:pPr>
        <w:pStyle w:val="5"/>
        <w:tabs>
          <w:tab w:val="left" w:pos="709"/>
          <w:tab w:val="clear" w:pos="630"/>
        </w:tabs>
      </w:pPr>
      <w:r>
        <w:t>车辆段除设置上述功能设施外，尚需增设架修库及转向架、电机、电器、空调等部件检修间和设备维修间，并根据车体检修作业需要设置油漆库。</w:t>
      </w:r>
    </w:p>
    <w:p w14:paraId="2CCD3F2A">
      <w:pPr>
        <w:pStyle w:val="5"/>
        <w:tabs>
          <w:tab w:val="left" w:pos="709"/>
          <w:tab w:val="clear" w:pos="630"/>
        </w:tabs>
      </w:pPr>
      <w:r>
        <w:t>车辆厂应设车体整修及车辆组装厂房，相关配套设施的技术标准可参照本规范执行。</w:t>
      </w:r>
    </w:p>
    <w:p w14:paraId="58FCE627">
      <w:pPr>
        <w:pStyle w:val="5"/>
        <w:tabs>
          <w:tab w:val="left" w:pos="709"/>
          <w:tab w:val="clear" w:pos="630"/>
        </w:tabs>
      </w:pPr>
      <w:r>
        <w:t>车辆段应设置不落轮镟库。</w:t>
      </w:r>
    </w:p>
    <w:p w14:paraId="79165356">
      <w:pPr>
        <w:pStyle w:val="5"/>
        <w:tabs>
          <w:tab w:val="left" w:pos="709"/>
          <w:tab w:val="clear" w:pos="630"/>
        </w:tabs>
      </w:pPr>
      <w:r>
        <w:t>架修库设置应符合下列规定：</w:t>
      </w:r>
    </w:p>
    <w:p w14:paraId="6887FD08">
      <w:pPr>
        <w:ind w:firstLine="422" w:firstLineChars="200"/>
      </w:pPr>
      <w:r>
        <w:rPr>
          <w:b/>
        </w:rPr>
        <w:t>1</w:t>
      </w:r>
      <w:r>
        <w:rPr>
          <w:rFonts w:hint="eastAsia"/>
          <w:b/>
        </w:rPr>
        <w:t xml:space="preserve"> </w:t>
      </w:r>
      <w:r>
        <w:rPr>
          <w:rFonts w:hint="eastAsia"/>
        </w:rPr>
        <w:t xml:space="preserve"> </w:t>
      </w:r>
      <w:r>
        <w:t>其规模应根据检修作业量、检修时间计算确定。厂房的布置和尺寸应满足工艺流程和检修作业的要求；</w:t>
      </w:r>
    </w:p>
    <w:p w14:paraId="4403003C">
      <w:pPr>
        <w:ind w:firstLine="422" w:firstLineChars="200"/>
      </w:pPr>
      <w:r>
        <w:rPr>
          <w:b/>
        </w:rPr>
        <w:t>2</w:t>
      </w:r>
      <w:r>
        <w:rPr>
          <w:rFonts w:hint="eastAsia"/>
          <w:b/>
        </w:rPr>
        <w:t xml:space="preserve"> </w:t>
      </w:r>
      <w:r>
        <w:rPr>
          <w:rFonts w:hint="eastAsia"/>
        </w:rPr>
        <w:t xml:space="preserve"> </w:t>
      </w:r>
      <w:r>
        <w:t>架空接触网或接触轨不应进入架修库；</w:t>
      </w:r>
    </w:p>
    <w:p w14:paraId="422CDFF4">
      <w:pPr>
        <w:ind w:firstLine="422" w:firstLineChars="200"/>
      </w:pPr>
      <w:r>
        <w:rPr>
          <w:b/>
        </w:rPr>
        <w:t>3</w:t>
      </w:r>
      <w:r>
        <w:rPr>
          <w:rFonts w:hint="eastAsia"/>
        </w:rPr>
        <w:t xml:space="preserve">  </w:t>
      </w:r>
      <w:r>
        <w:t>库内应设起重运输设备，起重机走行轨面高度应根据架车高度、车顶吊运作业要求及起重机规格、型号等因素确定；</w:t>
      </w:r>
    </w:p>
    <w:p w14:paraId="4E986B88">
      <w:pPr>
        <w:ind w:firstLine="422" w:firstLineChars="200"/>
      </w:pPr>
      <w:r>
        <w:rPr>
          <w:b/>
        </w:rPr>
        <w:t>4</w:t>
      </w:r>
      <w:r>
        <w:rPr>
          <w:rFonts w:hint="eastAsia"/>
        </w:rPr>
        <w:t xml:space="preserve">  </w:t>
      </w:r>
      <w:r>
        <w:t>转向架检修间应毗邻架修库设置。其规模应根据转向架检修任务量、作业流程和停修时间计算确定，车间内配备必要的起重设备；</w:t>
      </w:r>
    </w:p>
    <w:p w14:paraId="48621CB8">
      <w:pPr>
        <w:ind w:firstLine="422" w:firstLineChars="200"/>
      </w:pPr>
      <w:r>
        <w:rPr>
          <w:b/>
        </w:rPr>
        <w:t>5</w:t>
      </w:r>
      <w:r>
        <w:rPr>
          <w:rFonts w:hint="eastAsia"/>
          <w:b/>
        </w:rPr>
        <w:t xml:space="preserve"> </w:t>
      </w:r>
      <w:r>
        <w:rPr>
          <w:rFonts w:hint="eastAsia"/>
        </w:rPr>
        <w:t xml:space="preserve"> </w:t>
      </w:r>
      <w:r>
        <w:t>电机检修间应邻近转向架检修间设置，配备必要的起重设备；电机试验间、电源间应毗邻设置，并采取有效的降噪、隔声措施；</w:t>
      </w:r>
    </w:p>
    <w:p w14:paraId="76F4904A">
      <w:pPr>
        <w:ind w:firstLine="422" w:firstLineChars="200"/>
      </w:pPr>
      <w:r>
        <w:rPr>
          <w:b/>
        </w:rPr>
        <w:t>6</w:t>
      </w:r>
      <w:r>
        <w:rPr>
          <w:rFonts w:hint="eastAsia"/>
          <w:b/>
        </w:rPr>
        <w:t xml:space="preserve"> </w:t>
      </w:r>
      <w:r>
        <w:rPr>
          <w:rFonts w:hint="eastAsia"/>
        </w:rPr>
        <w:t xml:space="preserve"> </w:t>
      </w:r>
      <w:r>
        <w:t>蓄电池检修间宜独立设置，并布置在常年主导风向的下风位置。其规模应满足车辆蓄电池检修和充电的需要，并宜满足</w:t>
      </w:r>
      <w:r>
        <w:rPr>
          <w:rFonts w:hint="eastAsia"/>
        </w:rPr>
        <w:t>调车</w:t>
      </w:r>
      <w:r>
        <w:t>机车、工程车、蓄电池叉车、搬运车和汽车蓄电池的检修和充电要求。</w:t>
      </w:r>
    </w:p>
    <w:p w14:paraId="1F5051BC">
      <w:pPr>
        <w:pStyle w:val="5"/>
        <w:tabs>
          <w:tab w:val="left" w:pos="709"/>
          <w:tab w:val="clear" w:pos="630"/>
        </w:tabs>
      </w:pPr>
      <w:r>
        <w:t>临修库设置应符合下列规定：</w:t>
      </w:r>
    </w:p>
    <w:p w14:paraId="675C4DAB">
      <w:pPr>
        <w:ind w:firstLine="422" w:firstLineChars="200"/>
      </w:pPr>
      <w:r>
        <w:rPr>
          <w:b/>
        </w:rPr>
        <w:t>1</w:t>
      </w:r>
      <w:r>
        <w:rPr>
          <w:rFonts w:hint="eastAsia"/>
          <w:b/>
        </w:rPr>
        <w:t xml:space="preserve">  </w:t>
      </w:r>
      <w:r>
        <w:t>临修宜采用定位作业，并宜以列位为计算单位，列位的长度应按单元车解钩或不解钩的作业需要设计；</w:t>
      </w:r>
    </w:p>
    <w:p w14:paraId="5B1C980C">
      <w:pPr>
        <w:ind w:firstLine="422" w:firstLineChars="200"/>
      </w:pPr>
      <w:r>
        <w:rPr>
          <w:b/>
        </w:rPr>
        <w:t>2</w:t>
      </w:r>
      <w:r>
        <w:rPr>
          <w:rFonts w:hint="eastAsia"/>
          <w:b/>
        </w:rPr>
        <w:t xml:space="preserve"> </w:t>
      </w:r>
      <w:r>
        <w:rPr>
          <w:rFonts w:hint="eastAsia"/>
        </w:rPr>
        <w:t xml:space="preserve"> </w:t>
      </w:r>
      <w:r>
        <w:t>临修库宜按停放一列车长度设计，库内应设置一个单元车架车作业设施以及更换空调的设备；</w:t>
      </w:r>
    </w:p>
    <w:p w14:paraId="7301F905">
      <w:pPr>
        <w:ind w:firstLine="422" w:firstLineChars="200"/>
      </w:pPr>
      <w:r>
        <w:rPr>
          <w:b/>
        </w:rPr>
        <w:t>3</w:t>
      </w:r>
      <w:r>
        <w:rPr>
          <w:rFonts w:hint="eastAsia"/>
          <w:b/>
        </w:rPr>
        <w:t xml:space="preserve"> </w:t>
      </w:r>
      <w:r>
        <w:rPr>
          <w:rFonts w:hint="eastAsia"/>
        </w:rPr>
        <w:t xml:space="preserve"> </w:t>
      </w:r>
      <w:r>
        <w:t>临修线不应设架空接触网或接触轨；</w:t>
      </w:r>
    </w:p>
    <w:p w14:paraId="2DBB2DE7">
      <w:pPr>
        <w:ind w:firstLine="422" w:firstLineChars="200"/>
      </w:pPr>
      <w:r>
        <w:rPr>
          <w:b/>
        </w:rPr>
        <w:t>4</w:t>
      </w:r>
      <w:r>
        <w:rPr>
          <w:rFonts w:hint="eastAsia"/>
          <w:b/>
        </w:rPr>
        <w:t xml:space="preserve"> </w:t>
      </w:r>
      <w:r>
        <w:rPr>
          <w:rFonts w:hint="eastAsia"/>
        </w:rPr>
        <w:t xml:space="preserve"> </w:t>
      </w:r>
      <w:r>
        <w:t>临修线应设中间检查坑，坑深宜为轨面下1.2~1.4m，检查坑内应</w:t>
      </w:r>
      <w:r>
        <w:rPr>
          <w:rFonts w:hint="eastAsia"/>
        </w:rPr>
        <w:t>设置</w:t>
      </w:r>
      <w:r>
        <w:t>照明</w:t>
      </w:r>
      <w:r>
        <w:rPr>
          <w:rFonts w:hint="eastAsia"/>
        </w:rPr>
        <w:t>、动力插座</w:t>
      </w:r>
      <w:r>
        <w:t>和排水设施</w:t>
      </w:r>
      <w:r>
        <w:rPr>
          <w:rFonts w:hint="eastAsia"/>
        </w:rPr>
        <w:t>；</w:t>
      </w:r>
    </w:p>
    <w:p w14:paraId="00DCBEC7">
      <w:pPr>
        <w:ind w:firstLine="422" w:firstLineChars="200"/>
      </w:pPr>
      <w:r>
        <w:rPr>
          <w:b/>
        </w:rPr>
        <w:t>5</w:t>
      </w:r>
      <w:r>
        <w:rPr>
          <w:rFonts w:hint="eastAsia"/>
          <w:b/>
        </w:rPr>
        <w:t xml:space="preserve"> </w:t>
      </w:r>
      <w:r>
        <w:rPr>
          <w:rFonts w:hint="eastAsia"/>
        </w:rPr>
        <w:t xml:space="preserve"> </w:t>
      </w:r>
      <w:r>
        <w:t>临修库内应设起重设备，起重设备的类型及起重吨位应根据检修工艺确定；</w:t>
      </w:r>
    </w:p>
    <w:p w14:paraId="2F8F9330">
      <w:pPr>
        <w:ind w:firstLine="422" w:firstLineChars="200"/>
      </w:pPr>
      <w:r>
        <w:rPr>
          <w:b/>
        </w:rPr>
        <w:t>6</w:t>
      </w:r>
      <w:r>
        <w:rPr>
          <w:rFonts w:hint="eastAsia"/>
        </w:rPr>
        <w:t xml:space="preserve">  </w:t>
      </w:r>
      <w:r>
        <w:t>临修库的长度</w:t>
      </w:r>
      <w:r>
        <w:rPr>
          <w:rFonts w:hint="eastAsia"/>
        </w:rPr>
        <w:t>不</w:t>
      </w:r>
      <w:r>
        <w:t>应小于下列公式的计算值：</w:t>
      </w:r>
    </w:p>
    <w:p w14:paraId="320E6970">
      <w:pPr>
        <w:spacing w:before="120" w:beforeLines="50" w:after="120" w:afterLines="50"/>
        <w:ind w:firstLine="420" w:firstLineChars="200"/>
        <w:jc w:val="center"/>
        <w:rPr>
          <w:szCs w:val="20"/>
        </w:rPr>
      </w:pPr>
      <w:r>
        <w:rPr>
          <w:rFonts w:hint="eastAsia"/>
          <w:position w:val="-12"/>
          <w:szCs w:val="20"/>
        </w:rPr>
        <w:object>
          <v:shape id="_x0000_i1053" o:spt="75" type="#_x0000_t75" style="height:15pt;width:73.5pt;" o:ole="t" filled="f" o:preferrelative="t" stroked="f" coordsize="21600,21600">
            <v:path/>
            <v:fill on="f" focussize="0,0"/>
            <v:stroke on="f" joinstyle="miter"/>
            <v:imagedata r:id="rId109" o:title=""/>
            <o:lock v:ext="edit" aspectratio="t"/>
            <w10:wrap type="none"/>
            <w10:anchorlock/>
          </v:shape>
          <o:OLEObject Type="Embed" ProgID="Equation.3" ShapeID="_x0000_i1053" DrawAspect="Content" ObjectID="_1468075746" r:id="rId108">
            <o:LockedField>false</o:LockedField>
          </o:OLEObject>
        </w:object>
      </w:r>
      <w:r>
        <w:rPr>
          <w:rFonts w:hint="eastAsia"/>
          <w:szCs w:val="20"/>
        </w:rPr>
        <w:t xml:space="preserve">                  </w:t>
      </w:r>
      <w:r>
        <w:rPr>
          <w:szCs w:val="20"/>
        </w:rPr>
        <w:t>(2</w:t>
      </w:r>
      <w:r>
        <w:rPr>
          <w:rFonts w:hint="eastAsia"/>
          <w:szCs w:val="20"/>
        </w:rPr>
        <w:t>7</w:t>
      </w:r>
      <w:r>
        <w:rPr>
          <w:szCs w:val="20"/>
        </w:rPr>
        <w:t>.6.8)</w:t>
      </w:r>
    </w:p>
    <w:p w14:paraId="6DEFBA39">
      <w:r>
        <w:t>式中</w:t>
      </w:r>
      <w:r>
        <w:rPr>
          <w:rFonts w:hint="eastAsia"/>
        </w:rPr>
        <w:t>：</w:t>
      </w:r>
    </w:p>
    <w:p w14:paraId="20C81EAC">
      <w:pPr>
        <w:ind w:firstLine="630" w:firstLineChars="300"/>
      </w:pPr>
      <w:r>
        <w:rPr>
          <w:i/>
          <w:iCs/>
        </w:rPr>
        <w:t>L</w:t>
      </w:r>
      <w:r>
        <w:rPr>
          <w:i/>
          <w:iCs/>
          <w:vertAlign w:val="subscript"/>
        </w:rPr>
        <w:t>lk</w:t>
      </w:r>
      <w:r>
        <w:t>——临修库的长度(m)；</w:t>
      </w:r>
    </w:p>
    <w:p w14:paraId="384D7564">
      <w:pPr>
        <w:ind w:firstLine="630" w:firstLineChars="300"/>
      </w:pPr>
      <w:r>
        <w:rPr>
          <w:i/>
          <w:iCs/>
        </w:rPr>
        <w:t>L</w:t>
      </w:r>
      <w:r>
        <w:rPr>
          <w:i/>
          <w:iCs/>
          <w:vertAlign w:val="subscript"/>
        </w:rPr>
        <w:t>Z</w:t>
      </w:r>
      <w:r>
        <w:t>——转向架长度(m)；</w:t>
      </w:r>
    </w:p>
    <w:p w14:paraId="0E9D4D0E">
      <w:pPr>
        <w:ind w:firstLine="630" w:firstLineChars="300"/>
      </w:pPr>
      <w:r>
        <w:t>20——车库前后通道距离11m、临修作业推出一个转向架进行换轮作业的长度6m与检查坑两端阶梯踏步长度各1.5m之和。</w:t>
      </w:r>
    </w:p>
    <w:p w14:paraId="43A1CFC1">
      <w:pPr>
        <w:ind w:firstLine="422" w:firstLineChars="200"/>
      </w:pPr>
      <w:r>
        <w:rPr>
          <w:b/>
        </w:rPr>
        <w:t>7</w:t>
      </w:r>
      <w:r>
        <w:rPr>
          <w:rFonts w:hint="eastAsia"/>
        </w:rPr>
        <w:t xml:space="preserve">  </w:t>
      </w:r>
      <w:r>
        <w:t>车库的宽度应符合表27.6.1</w:t>
      </w:r>
      <w:r>
        <w:rPr>
          <w:rFonts w:hint="eastAsia"/>
        </w:rPr>
        <w:t>3</w:t>
      </w:r>
      <w:r>
        <w:t>的相关规定。</w:t>
      </w:r>
    </w:p>
    <w:p w14:paraId="31ABE566">
      <w:pPr>
        <w:pStyle w:val="5"/>
        <w:tabs>
          <w:tab w:val="left" w:pos="709"/>
          <w:tab w:val="clear" w:pos="630"/>
        </w:tabs>
      </w:pPr>
      <w:r>
        <w:t>静调库设置应符合下列规定：</w:t>
      </w:r>
    </w:p>
    <w:p w14:paraId="2A8C3C11">
      <w:pPr>
        <w:ind w:firstLine="422" w:firstLineChars="200"/>
      </w:pPr>
      <w:r>
        <w:rPr>
          <w:b/>
        </w:rPr>
        <w:t>1</w:t>
      </w:r>
      <w:r>
        <w:rPr>
          <w:rFonts w:hint="eastAsia"/>
          <w:b/>
        </w:rPr>
        <w:t xml:space="preserve"> </w:t>
      </w:r>
      <w:r>
        <w:rPr>
          <w:rFonts w:hint="eastAsia"/>
        </w:rPr>
        <w:t xml:space="preserve"> </w:t>
      </w:r>
      <w:r>
        <w:t>静调列位应满足单辆车及整列车调试的要求。静调列位宜单独设于静调库，当静调线与月检线共</w:t>
      </w:r>
      <w:r>
        <w:rPr>
          <w:rFonts w:hint="eastAsia"/>
        </w:rPr>
        <w:t>库设置</w:t>
      </w:r>
      <w:r>
        <w:t>时，应设静调安全防护设施；</w:t>
      </w:r>
    </w:p>
    <w:p w14:paraId="60E932FD">
      <w:pPr>
        <w:ind w:firstLine="422" w:firstLineChars="200"/>
      </w:pPr>
      <w:r>
        <w:rPr>
          <w:b/>
        </w:rPr>
        <w:t>2</w:t>
      </w:r>
      <w:r>
        <w:rPr>
          <w:rFonts w:hint="eastAsia"/>
          <w:b/>
        </w:rPr>
        <w:t xml:space="preserve"> </w:t>
      </w:r>
      <w:r>
        <w:rPr>
          <w:rFonts w:hint="eastAsia"/>
        </w:rPr>
        <w:t xml:space="preserve"> </w:t>
      </w:r>
      <w:r>
        <w:t>静调列位应设置车辆外接调试电源设备；</w:t>
      </w:r>
    </w:p>
    <w:p w14:paraId="6D55F371">
      <w:pPr>
        <w:ind w:firstLine="422" w:firstLineChars="200"/>
      </w:pPr>
      <w:r>
        <w:rPr>
          <w:b/>
        </w:rPr>
        <w:t>3</w:t>
      </w:r>
      <w:r>
        <w:rPr>
          <w:rFonts w:hint="eastAsia"/>
          <w:b/>
        </w:rPr>
        <w:t xml:space="preserve"> </w:t>
      </w:r>
      <w:r>
        <w:rPr>
          <w:rFonts w:hint="eastAsia"/>
        </w:rPr>
        <w:t xml:space="preserve"> </w:t>
      </w:r>
      <w:r>
        <w:t>静调线应设中间检查坑，坑深宜为轨面下1.2~1.4m，坑内应有良好的照明和排水设施；</w:t>
      </w:r>
    </w:p>
    <w:p w14:paraId="15692699">
      <w:pPr>
        <w:ind w:firstLine="422" w:firstLineChars="200"/>
      </w:pPr>
      <w:r>
        <w:rPr>
          <w:b/>
        </w:rPr>
        <w:t>4</w:t>
      </w:r>
      <w:r>
        <w:rPr>
          <w:rFonts w:hint="eastAsia"/>
          <w:b/>
        </w:rPr>
        <w:t xml:space="preserve"> </w:t>
      </w:r>
      <w:r>
        <w:rPr>
          <w:rFonts w:hint="eastAsia"/>
        </w:rPr>
        <w:t xml:space="preserve"> </w:t>
      </w:r>
      <w:r>
        <w:t>根据车辆调试需要，在车顶空调和受电弓对应部位置宜局部设置高作业平台和护栏，平台标高宜为3.6m，平台宽度应满足车辆限界要求；</w:t>
      </w:r>
    </w:p>
    <w:p w14:paraId="7DFA6876">
      <w:pPr>
        <w:ind w:firstLine="422" w:firstLineChars="200"/>
      </w:pPr>
      <w:r>
        <w:rPr>
          <w:b/>
        </w:rPr>
        <w:t>5</w:t>
      </w:r>
      <w:r>
        <w:rPr>
          <w:rFonts w:hint="eastAsia"/>
          <w:b/>
        </w:rPr>
        <w:t xml:space="preserve"> </w:t>
      </w:r>
      <w:r>
        <w:rPr>
          <w:rFonts w:hint="eastAsia"/>
        </w:rPr>
        <w:t xml:space="preserve"> </w:t>
      </w:r>
      <w:r>
        <w:t>车库的长度</w:t>
      </w:r>
      <w:r>
        <w:rPr>
          <w:rFonts w:hint="eastAsia"/>
        </w:rPr>
        <w:t>不</w:t>
      </w:r>
      <w:r>
        <w:t>应小于下列公式计算值：</w:t>
      </w:r>
    </w:p>
    <w:p w14:paraId="0A866F81">
      <w:pPr>
        <w:spacing w:before="120" w:beforeLines="50" w:after="120" w:afterLines="50"/>
        <w:ind w:firstLine="420" w:firstLineChars="200"/>
        <w:jc w:val="center"/>
        <w:rPr>
          <w:szCs w:val="20"/>
        </w:rPr>
      </w:pPr>
      <w:r>
        <w:rPr>
          <w:rFonts w:hint="eastAsia"/>
          <w:position w:val="-14"/>
          <w:szCs w:val="20"/>
        </w:rPr>
        <w:object>
          <v:shape id="_x0000_i1054" o:spt="75" type="#_x0000_t75" style="height:15pt;width:48.5pt;" o:ole="t" filled="f" o:preferrelative="t" stroked="f" coordsize="21600,21600">
            <v:path/>
            <v:fill on="f" focussize="0,0"/>
            <v:stroke on="f" joinstyle="miter"/>
            <v:imagedata r:id="rId111" o:title=""/>
            <o:lock v:ext="edit" aspectratio="t"/>
            <w10:wrap type="none"/>
            <w10:anchorlock/>
          </v:shape>
          <o:OLEObject Type="Embed" ProgID="Equation.3" ShapeID="_x0000_i1054" DrawAspect="Content" ObjectID="_1468075747" r:id="rId110">
            <o:LockedField>false</o:LockedField>
          </o:OLEObject>
        </w:object>
      </w:r>
      <w:r>
        <w:rPr>
          <w:rFonts w:hint="eastAsia"/>
          <w:szCs w:val="20"/>
        </w:rPr>
        <w:t xml:space="preserve">     </w:t>
      </w:r>
      <w:r>
        <w:rPr>
          <w:szCs w:val="20"/>
        </w:rPr>
        <w:t>(2</w:t>
      </w:r>
      <w:r>
        <w:rPr>
          <w:rFonts w:hint="eastAsia"/>
          <w:szCs w:val="20"/>
        </w:rPr>
        <w:t>7</w:t>
      </w:r>
      <w:r>
        <w:rPr>
          <w:szCs w:val="20"/>
        </w:rPr>
        <w:t>.6.9)</w:t>
      </w:r>
    </w:p>
    <w:p w14:paraId="62706C6C">
      <w:r>
        <w:t>式中</w:t>
      </w:r>
      <w:r>
        <w:rPr>
          <w:rFonts w:hint="eastAsia"/>
        </w:rPr>
        <w:t>：</w:t>
      </w:r>
    </w:p>
    <w:p w14:paraId="0DFC4CCB">
      <w:pPr>
        <w:ind w:firstLine="630" w:firstLineChars="300"/>
      </w:pPr>
      <w:r>
        <w:rPr>
          <w:i/>
          <w:iCs/>
        </w:rPr>
        <w:t>L</w:t>
      </w:r>
      <w:r>
        <w:rPr>
          <w:i/>
          <w:iCs/>
          <w:vertAlign w:val="subscript"/>
        </w:rPr>
        <w:t>jt</w:t>
      </w:r>
      <w:r>
        <w:t>——静调库长度(m)；</w:t>
      </w:r>
    </w:p>
    <w:p w14:paraId="231ACE41">
      <w:pPr>
        <w:ind w:firstLine="630" w:firstLineChars="300"/>
      </w:pPr>
      <w:r>
        <w:t>16——车库前后通道距离11m、列车首尾距阶梯踏步长度各1m与检查坑两端阶梯踏步长度各1.5m之和(m)。</w:t>
      </w:r>
    </w:p>
    <w:p w14:paraId="56676A87">
      <w:pPr>
        <w:ind w:firstLine="422" w:firstLineChars="200"/>
      </w:pPr>
      <w:r>
        <w:rPr>
          <w:b/>
        </w:rPr>
        <w:t>6</w:t>
      </w:r>
      <w:r>
        <w:rPr>
          <w:rFonts w:hint="eastAsia"/>
          <w:b/>
        </w:rPr>
        <w:t xml:space="preserve">  </w:t>
      </w:r>
      <w:r>
        <w:t>车库的宽度应符合表27.6.1</w:t>
      </w:r>
      <w:r>
        <w:rPr>
          <w:rFonts w:hint="eastAsia"/>
        </w:rPr>
        <w:t>3</w:t>
      </w:r>
      <w:r>
        <w:t>的相关规定。</w:t>
      </w:r>
    </w:p>
    <w:p w14:paraId="586EB1DB">
      <w:pPr>
        <w:pStyle w:val="5"/>
        <w:tabs>
          <w:tab w:val="left" w:pos="709"/>
          <w:tab w:val="clear" w:pos="630"/>
        </w:tabs>
      </w:pPr>
      <w:r>
        <w:t>吹扫库设置应符合下列规定：</w:t>
      </w:r>
    </w:p>
    <w:p w14:paraId="29A9FF38">
      <w:pPr>
        <w:ind w:firstLine="422" w:firstLineChars="200"/>
      </w:pPr>
      <w:r>
        <w:rPr>
          <w:b/>
        </w:rPr>
        <w:t>1</w:t>
      </w:r>
      <w:r>
        <w:rPr>
          <w:rFonts w:hint="eastAsia"/>
          <w:b/>
        </w:rPr>
        <w:t xml:space="preserve"> </w:t>
      </w:r>
      <w:r>
        <w:rPr>
          <w:rFonts w:hint="eastAsia"/>
        </w:rPr>
        <w:t xml:space="preserve"> </w:t>
      </w:r>
      <w:r>
        <w:t>吹扫库应根据工艺流程和厂房组合情况合理布置，可单独设置，亦可与检修库合并设置，并应以实体墙隔开；</w:t>
      </w:r>
    </w:p>
    <w:p w14:paraId="79B0C6F4">
      <w:pPr>
        <w:ind w:firstLine="422" w:firstLineChars="200"/>
      </w:pPr>
      <w:r>
        <w:rPr>
          <w:b/>
        </w:rPr>
        <w:t>2</w:t>
      </w:r>
      <w:r>
        <w:rPr>
          <w:rFonts w:hint="eastAsia"/>
        </w:rPr>
        <w:t xml:space="preserve">  </w:t>
      </w:r>
      <w:r>
        <w:t>吹扫线宜设置柱式检查坑，检查坑深度和两侧低位工作面标高应根据吹扫作业方式确定。车库两端地坪标高应为±0.00m；</w:t>
      </w:r>
    </w:p>
    <w:p w14:paraId="0DCD8703">
      <w:pPr>
        <w:ind w:firstLine="422" w:firstLineChars="200"/>
      </w:pPr>
      <w:r>
        <w:rPr>
          <w:b/>
        </w:rPr>
        <w:t>3</w:t>
      </w:r>
      <w:r>
        <w:rPr>
          <w:rFonts w:hint="eastAsia"/>
        </w:rPr>
        <w:t xml:space="preserve">  </w:t>
      </w:r>
      <w:r>
        <w:t>吹扫库长度宜与静调库长度一致；</w:t>
      </w:r>
    </w:p>
    <w:p w14:paraId="20C1480C">
      <w:pPr>
        <w:ind w:firstLine="422" w:firstLineChars="200"/>
      </w:pPr>
      <w:r>
        <w:rPr>
          <w:b/>
        </w:rPr>
        <w:t>4</w:t>
      </w:r>
      <w:r>
        <w:rPr>
          <w:rFonts w:hint="eastAsia"/>
        </w:rPr>
        <w:t xml:space="preserve">  </w:t>
      </w:r>
      <w:r>
        <w:t>吹扫设备的选型应避免对工作环境的污染，宜选用高压冲洗、大功率吸尘设备。</w:t>
      </w:r>
    </w:p>
    <w:p w14:paraId="31F5B28D">
      <w:pPr>
        <w:pStyle w:val="5"/>
        <w:tabs>
          <w:tab w:val="left" w:pos="851"/>
          <w:tab w:val="clear" w:pos="630"/>
        </w:tabs>
      </w:pPr>
      <w:r>
        <w:t>不落轮镟库设置应符合下列规定：</w:t>
      </w:r>
    </w:p>
    <w:p w14:paraId="39CF9BEC">
      <w:pPr>
        <w:ind w:firstLine="422" w:firstLineChars="200"/>
      </w:pPr>
      <w:r>
        <w:rPr>
          <w:b/>
        </w:rPr>
        <w:t>1</w:t>
      </w:r>
      <w:r>
        <w:rPr>
          <w:rFonts w:hint="eastAsia"/>
        </w:rPr>
        <w:t xml:space="preserve">  </w:t>
      </w:r>
      <w:r>
        <w:t>不落轮镟库应结合车辆段总平面、工艺流程和厂房组合情况合理布置，可单独设置，也可与其他厂房合并设置；</w:t>
      </w:r>
    </w:p>
    <w:p w14:paraId="6C9D7842">
      <w:pPr>
        <w:ind w:firstLine="422" w:firstLineChars="200"/>
      </w:pPr>
      <w:r>
        <w:rPr>
          <w:b/>
        </w:rPr>
        <w:t>2</w:t>
      </w:r>
      <w:r>
        <w:rPr>
          <w:rFonts w:hint="eastAsia"/>
          <w:b/>
        </w:rPr>
        <w:t xml:space="preserve"> </w:t>
      </w:r>
      <w:r>
        <w:rPr>
          <w:rFonts w:hint="eastAsia"/>
        </w:rPr>
        <w:t xml:space="preserve"> </w:t>
      </w:r>
      <w:r>
        <w:t>车辆段总平面布置应考虑不落轮镟修作业时，列车长时间占用平交道口对道路的阻隔影响；</w:t>
      </w:r>
    </w:p>
    <w:p w14:paraId="701B7FC6">
      <w:pPr>
        <w:ind w:firstLine="422" w:firstLineChars="200"/>
      </w:pPr>
      <w:r>
        <w:rPr>
          <w:b/>
        </w:rPr>
        <w:t>3</w:t>
      </w:r>
      <w:r>
        <w:rPr>
          <w:rFonts w:hint="eastAsia"/>
          <w:b/>
        </w:rPr>
        <w:t xml:space="preserve"> </w:t>
      </w:r>
      <w:r>
        <w:rPr>
          <w:rFonts w:hint="eastAsia"/>
        </w:rPr>
        <w:t xml:space="preserve"> </w:t>
      </w:r>
      <w:r>
        <w:t>不落轮镟库的长度和库宽应满足设备安装和镟轮作业的需要，设备基坑应有良好的排水设施，库内宜设置起重机，库内环境满足机床使用要求；</w:t>
      </w:r>
    </w:p>
    <w:p w14:paraId="6A01BC3F">
      <w:pPr>
        <w:ind w:firstLine="422" w:firstLineChars="200"/>
      </w:pPr>
      <w:r>
        <w:rPr>
          <w:b/>
        </w:rPr>
        <w:t>4</w:t>
      </w:r>
      <w:r>
        <w:rPr>
          <w:rFonts w:hint="eastAsia"/>
          <w:b/>
        </w:rPr>
        <w:t xml:space="preserve">  </w:t>
      </w:r>
      <w:r>
        <w:t>不落轮镟库内不宜设置架空接触网或接触轨，列车出入库和轮对加工定位应配备专用牵引设备；库内轨道应绝缘，机床应设置可靠接地装置，并防止该接地与列车牵引回流轨的电流交汇，以确保机床安全使用。</w:t>
      </w:r>
    </w:p>
    <w:p w14:paraId="5F9FBDB0">
      <w:pPr>
        <w:ind w:firstLine="422" w:firstLineChars="200"/>
      </w:pPr>
      <w:r>
        <w:rPr>
          <w:rFonts w:hint="eastAsia"/>
          <w:b/>
        </w:rPr>
        <w:t xml:space="preserve">5 </w:t>
      </w:r>
      <w:r>
        <w:rPr>
          <w:rFonts w:hint="eastAsia"/>
        </w:rPr>
        <w:t xml:space="preserve"> 不落轮镟</w:t>
      </w:r>
      <w:r>
        <w:t>线宜采用尽端式布置</w:t>
      </w:r>
      <w:r>
        <w:rPr>
          <w:rFonts w:hint="eastAsia"/>
        </w:rPr>
        <w:t>，其</w:t>
      </w:r>
      <w:r>
        <w:t>有效长度应满足列车所有轮对镟修作业的要求，设备前后应有一辆车长度的直线段。</w:t>
      </w:r>
    </w:p>
    <w:p w14:paraId="0E3CEBFF">
      <w:pPr>
        <w:pStyle w:val="5"/>
        <w:tabs>
          <w:tab w:val="left" w:pos="851"/>
          <w:tab w:val="clear" w:pos="630"/>
        </w:tabs>
      </w:pPr>
      <w:r>
        <w:rPr>
          <w:rFonts w:hint="eastAsia"/>
        </w:rPr>
        <w:t>调车机</w:t>
      </w:r>
      <w:r>
        <w:t>车库设置应符合下列规定：</w:t>
      </w:r>
    </w:p>
    <w:p w14:paraId="52364E0F">
      <w:pPr>
        <w:ind w:firstLine="422" w:firstLineChars="200"/>
      </w:pPr>
      <w:r>
        <w:rPr>
          <w:b/>
        </w:rPr>
        <w:t>1</w:t>
      </w:r>
      <w:r>
        <w:rPr>
          <w:rFonts w:hint="eastAsia"/>
          <w:b/>
        </w:rPr>
        <w:t xml:space="preserve">  </w:t>
      </w:r>
      <w:r>
        <w:t>车辆段应配备</w:t>
      </w:r>
      <w:r>
        <w:rPr>
          <w:rFonts w:hint="eastAsia"/>
        </w:rPr>
        <w:t>调</w:t>
      </w:r>
      <w:r>
        <w:t>机车和停放车库。</w:t>
      </w:r>
      <w:r>
        <w:rPr>
          <w:rFonts w:hint="eastAsia"/>
        </w:rPr>
        <w:t>调车</w:t>
      </w:r>
      <w:r>
        <w:t>机车应有一台备用；</w:t>
      </w:r>
    </w:p>
    <w:p w14:paraId="085D66AD">
      <w:pPr>
        <w:ind w:firstLine="422" w:firstLineChars="200"/>
      </w:pPr>
      <w:r>
        <w:rPr>
          <w:rFonts w:hint="eastAsia"/>
          <w:b/>
          <w:szCs w:val="18"/>
        </w:rPr>
        <w:t xml:space="preserve">2  </w:t>
      </w:r>
      <w:r>
        <w:rPr>
          <w:rFonts w:hint="eastAsia"/>
          <w:szCs w:val="18"/>
        </w:rPr>
        <w:t>调车机车库</w:t>
      </w:r>
      <w:r>
        <w:t>的规模应按远期配备台数确定，库内应至少有一股道设检查坑，坑深宜为轨面下1.2~1.4m，坑内应有良好的照明和排水设施；有条件的宜倒装设置</w:t>
      </w:r>
      <w:r>
        <w:rPr>
          <w:rFonts w:hint="eastAsia"/>
        </w:rPr>
        <w:t>。</w:t>
      </w:r>
    </w:p>
    <w:p w14:paraId="0238AA6E">
      <w:pPr>
        <w:tabs>
          <w:tab w:val="left" w:pos="709"/>
          <w:tab w:val="left" w:pos="794"/>
          <w:tab w:val="left" w:pos="851"/>
        </w:tabs>
        <w:ind w:firstLine="422" w:firstLineChars="200"/>
        <w:jc w:val="left"/>
        <w:rPr>
          <w:bCs/>
        </w:rPr>
      </w:pPr>
      <w:r>
        <w:rPr>
          <w:b/>
          <w:bCs/>
        </w:rPr>
        <w:t>3</w:t>
      </w:r>
      <w:r>
        <w:rPr>
          <w:rFonts w:hint="eastAsia"/>
          <w:b/>
          <w:bCs/>
        </w:rPr>
        <w:t xml:space="preserve"> </w:t>
      </w:r>
      <w:r>
        <w:rPr>
          <w:rFonts w:hint="eastAsia"/>
          <w:bCs/>
        </w:rPr>
        <w:t xml:space="preserve"> 调车机车</w:t>
      </w:r>
      <w:r>
        <w:rPr>
          <w:bCs/>
        </w:rPr>
        <w:t>停放库线的数量应根据机车台数确定，并宜按每线停放2台机车设计。车库的长度</w:t>
      </w:r>
      <w:r>
        <w:rPr>
          <w:rFonts w:hint="eastAsia"/>
          <w:bCs/>
        </w:rPr>
        <w:t>不</w:t>
      </w:r>
      <w:r>
        <w:rPr>
          <w:bCs/>
        </w:rPr>
        <w:t>应小于下式的计算值：</w:t>
      </w:r>
    </w:p>
    <w:p w14:paraId="52EEFE8C">
      <w:pPr>
        <w:spacing w:before="120" w:beforeLines="50" w:after="120" w:afterLines="50"/>
        <w:ind w:firstLine="420" w:firstLineChars="200"/>
        <w:jc w:val="center"/>
        <w:rPr>
          <w:szCs w:val="20"/>
        </w:rPr>
      </w:pPr>
      <w:r>
        <w:rPr>
          <w:rFonts w:hint="eastAsia"/>
          <w:position w:val="-12"/>
          <w:szCs w:val="20"/>
        </w:rPr>
        <w:object>
          <v:shape id="_x0000_i1055" o:spt="75" type="#_x0000_t75" style="height:17pt;width:159pt;" o:ole="t" filled="f" o:preferrelative="t" stroked="f" coordsize="21600,21600">
            <v:path/>
            <v:fill on="f" focussize="0,0"/>
            <v:stroke on="f" joinstyle="miter"/>
            <v:imagedata r:id="rId113" o:title=""/>
            <o:lock v:ext="edit" aspectratio="t"/>
            <w10:wrap type="none"/>
            <w10:anchorlock/>
          </v:shape>
          <o:OLEObject Type="Embed" ProgID="Equation.3" ShapeID="_x0000_i1055" DrawAspect="Content" ObjectID="_1468075748" r:id="rId112">
            <o:LockedField>false</o:LockedField>
          </o:OLEObject>
        </w:object>
      </w:r>
      <w:r>
        <w:rPr>
          <w:rFonts w:hint="eastAsia"/>
          <w:szCs w:val="20"/>
        </w:rPr>
        <w:t xml:space="preserve">      </w:t>
      </w:r>
      <w:r>
        <w:rPr>
          <w:szCs w:val="20"/>
        </w:rPr>
        <w:t>(2</w:t>
      </w:r>
      <w:r>
        <w:rPr>
          <w:rFonts w:hint="eastAsia"/>
          <w:szCs w:val="20"/>
        </w:rPr>
        <w:t>7</w:t>
      </w:r>
      <w:r>
        <w:rPr>
          <w:szCs w:val="20"/>
        </w:rPr>
        <w:t>.6.12)</w:t>
      </w:r>
    </w:p>
    <w:p w14:paraId="35A830BB">
      <w:r>
        <w:t>式中</w:t>
      </w:r>
      <w:r>
        <w:rPr>
          <w:rFonts w:hint="eastAsia"/>
        </w:rPr>
        <w:t>：</w:t>
      </w:r>
    </w:p>
    <w:p w14:paraId="106247AF">
      <w:pPr>
        <w:ind w:firstLine="630" w:firstLineChars="300"/>
      </w:pPr>
      <w:r>
        <w:rPr>
          <w:i/>
          <w:iCs/>
        </w:rPr>
        <w:t>L</w:t>
      </w:r>
      <w:r>
        <w:rPr>
          <w:i/>
          <w:iCs/>
          <w:vertAlign w:val="subscript"/>
        </w:rPr>
        <w:t>nk</w:t>
      </w:r>
      <w:r>
        <w:t>——机车库长度(m)；</w:t>
      </w:r>
    </w:p>
    <w:p w14:paraId="2564BE92">
      <w:pPr>
        <w:ind w:firstLine="630" w:firstLineChars="300"/>
      </w:pPr>
      <w:r>
        <w:rPr>
          <w:i/>
          <w:iCs/>
        </w:rPr>
        <w:t>L</w:t>
      </w:r>
      <w:r>
        <w:rPr>
          <w:i/>
          <w:iCs/>
          <w:vertAlign w:val="subscript"/>
        </w:rPr>
        <w:t>n</w:t>
      </w:r>
      <w:r>
        <w:t>——机车长度(m)；</w:t>
      </w:r>
    </w:p>
    <w:p w14:paraId="24EFB125">
      <w:pPr>
        <w:ind w:firstLine="630" w:firstLineChars="300"/>
      </w:pPr>
      <w:r>
        <w:rPr>
          <w:i/>
          <w:iCs/>
        </w:rPr>
        <w:t>N</w:t>
      </w:r>
      <w:r>
        <w:rPr>
          <w:vertAlign w:val="subscript"/>
        </w:rPr>
        <w:t>4</w:t>
      </w:r>
      <w:r>
        <w:t>——每一条线上停放机车台数；</w:t>
      </w:r>
    </w:p>
    <w:p w14:paraId="1A6BA492">
      <w:pPr>
        <w:ind w:firstLine="630" w:firstLineChars="300"/>
      </w:pPr>
      <w:r>
        <w:rPr>
          <w:rFonts w:hint="eastAsia"/>
        </w:rPr>
        <w:t>1</w:t>
      </w:r>
      <w:r>
        <w:t>——机车停车误差(m)；</w:t>
      </w:r>
    </w:p>
    <w:p w14:paraId="2E953D7F">
      <w:pPr>
        <w:ind w:firstLine="630" w:firstLineChars="300"/>
      </w:pPr>
      <w:r>
        <w:t>4——两机车之间通道宽度(m)；</w:t>
      </w:r>
    </w:p>
    <w:p w14:paraId="2E64FD6A">
      <w:pPr>
        <w:ind w:firstLine="630" w:firstLineChars="300"/>
      </w:pPr>
      <w:r>
        <w:t>7——车库前后横向通道宽度之和(m)。</w:t>
      </w:r>
    </w:p>
    <w:p w14:paraId="735AA1E6">
      <w:pPr>
        <w:ind w:firstLine="360" w:firstLineChars="200"/>
        <w:rPr>
          <w:sz w:val="18"/>
          <w:szCs w:val="21"/>
        </w:rPr>
      </w:pPr>
      <w:r>
        <w:rPr>
          <w:sz w:val="18"/>
          <w:szCs w:val="21"/>
        </w:rPr>
        <w:t>注：有检修作业时，其库长宜增加7m。</w:t>
      </w:r>
    </w:p>
    <w:p w14:paraId="7701DEF3">
      <w:pPr>
        <w:ind w:firstLine="420" w:firstLineChars="200"/>
      </w:pPr>
      <w:r>
        <w:t>4</w:t>
      </w:r>
      <w:r>
        <w:rPr>
          <w:rFonts w:hint="eastAsia"/>
        </w:rPr>
        <w:t xml:space="preserve">  </w:t>
      </w:r>
      <w:r>
        <w:t>根据作业性质应设置必要的附属用房和检修设施。</w:t>
      </w:r>
    </w:p>
    <w:p w14:paraId="1DD30DC9">
      <w:pPr>
        <w:pStyle w:val="5"/>
        <w:tabs>
          <w:tab w:val="left" w:pos="851"/>
          <w:tab w:val="clear" w:pos="630"/>
        </w:tabs>
      </w:pPr>
      <w:r>
        <w:t>油漆库设置应符合下列规定：</w:t>
      </w:r>
    </w:p>
    <w:p w14:paraId="44C49516">
      <w:pPr>
        <w:ind w:firstLine="420" w:firstLineChars="200"/>
      </w:pPr>
      <w:r>
        <w:t>1</w:t>
      </w:r>
      <w:r>
        <w:rPr>
          <w:rFonts w:hint="eastAsia"/>
        </w:rPr>
        <w:t xml:space="preserve">  </w:t>
      </w:r>
      <w:r>
        <w:t>宜根据停修作业时间按台位设置，车库尺寸应根据工艺要求确定；</w:t>
      </w:r>
    </w:p>
    <w:p w14:paraId="44984841">
      <w:pPr>
        <w:ind w:firstLine="420" w:firstLineChars="200"/>
      </w:pPr>
      <w:r>
        <w:t>2</w:t>
      </w:r>
      <w:r>
        <w:rPr>
          <w:rFonts w:hint="eastAsia"/>
        </w:rPr>
        <w:t xml:space="preserve">  </w:t>
      </w:r>
      <w:r>
        <w:t>宜独立设置，并布置在常年主导风向的下风位置；</w:t>
      </w:r>
    </w:p>
    <w:p w14:paraId="2118C899">
      <w:pPr>
        <w:ind w:firstLine="420" w:firstLineChars="200"/>
      </w:pPr>
      <w:r>
        <w:t>3</w:t>
      </w:r>
      <w:r>
        <w:rPr>
          <w:rFonts w:hint="eastAsia"/>
        </w:rPr>
        <w:t xml:space="preserve">  </w:t>
      </w:r>
      <w:r>
        <w:t>库内应设通风、给排水设施和压缩空气管路，漆雾</w:t>
      </w:r>
      <w:r>
        <w:rPr>
          <w:rFonts w:hint="eastAsia"/>
        </w:rPr>
        <w:t>及空气处理相关要求</w:t>
      </w:r>
      <w:r>
        <w:t>应满足环保要求；</w:t>
      </w:r>
    </w:p>
    <w:p w14:paraId="4ED44709">
      <w:pPr>
        <w:ind w:firstLine="420" w:firstLineChars="200"/>
      </w:pPr>
      <w:r>
        <w:t>4</w:t>
      </w:r>
      <w:r>
        <w:rPr>
          <w:rFonts w:hint="eastAsia"/>
        </w:rPr>
        <w:t xml:space="preserve">  </w:t>
      </w:r>
      <w:r>
        <w:t>库内所有电气设备均应采取防爆措施。</w:t>
      </w:r>
    </w:p>
    <w:p w14:paraId="40B5F99D">
      <w:pPr>
        <w:pStyle w:val="5"/>
        <w:tabs>
          <w:tab w:val="left" w:pos="851"/>
          <w:tab w:val="clear" w:pos="630"/>
        </w:tabs>
      </w:pPr>
      <w:r>
        <w:rPr>
          <w:rFonts w:hint="eastAsia"/>
        </w:rPr>
        <w:t>车辆基地</w:t>
      </w:r>
      <w:r>
        <w:t>各车库的通道宽度和车库大门等部位的最小尺寸宜符合表27.6.1</w:t>
      </w:r>
      <w:r>
        <w:rPr>
          <w:rFonts w:hint="eastAsia"/>
        </w:rPr>
        <w:t>3</w:t>
      </w:r>
      <w:r>
        <w:t>的规定。</w:t>
      </w:r>
    </w:p>
    <w:p w14:paraId="2035D19B"/>
    <w:p w14:paraId="4BB6EB6B"/>
    <w:p w14:paraId="437245FB">
      <w:pPr>
        <w:pStyle w:val="198"/>
      </w:pPr>
      <w:r>
        <w:t>表2</w:t>
      </w:r>
      <w:r>
        <w:rPr>
          <w:rFonts w:hint="eastAsia"/>
        </w:rPr>
        <w:t>7</w:t>
      </w:r>
      <w:r>
        <w:t>.6.1</w:t>
      </w:r>
      <w:r>
        <w:rPr>
          <w:rFonts w:hint="eastAsia"/>
        </w:rPr>
        <w:t>3  车辆基地</w:t>
      </w:r>
      <w:r>
        <w:t>各车库有关部位最小尺寸(m)</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22"/>
        <w:gridCol w:w="691"/>
        <w:gridCol w:w="691"/>
        <w:gridCol w:w="593"/>
        <w:gridCol w:w="822"/>
        <w:gridCol w:w="585"/>
        <w:gridCol w:w="593"/>
        <w:gridCol w:w="743"/>
      </w:tblGrid>
      <w:tr w14:paraId="112F0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8" w:hRule="atLeast"/>
        </w:trPr>
        <w:tc>
          <w:tcPr>
            <w:tcW w:w="1622" w:type="dxa"/>
            <w:tcBorders>
              <w:left w:val="single" w:color="000000" w:sz="6" w:space="0"/>
            </w:tcBorders>
            <w:vAlign w:val="center"/>
          </w:tcPr>
          <w:p w14:paraId="11F38D6C">
            <w:pPr>
              <w:pStyle w:val="235"/>
              <w:rPr>
                <w:color w:val="auto"/>
              </w:rPr>
            </w:pPr>
            <w:r>
              <w:rPr>
                <w:color w:val="auto"/>
              </w:rPr>
              <w:t>车库种类项目名称</w:t>
            </w:r>
          </w:p>
        </w:tc>
        <w:tc>
          <w:tcPr>
            <w:tcW w:w="691" w:type="dxa"/>
            <w:vAlign w:val="center"/>
          </w:tcPr>
          <w:p w14:paraId="4785168A">
            <w:pPr>
              <w:pStyle w:val="235"/>
              <w:rPr>
                <w:color w:val="auto"/>
              </w:rPr>
            </w:pPr>
            <w:r>
              <w:rPr>
                <w:color w:val="auto"/>
              </w:rPr>
              <w:t>停车库</w:t>
            </w:r>
          </w:p>
        </w:tc>
        <w:tc>
          <w:tcPr>
            <w:tcW w:w="691" w:type="dxa"/>
            <w:vAlign w:val="center"/>
          </w:tcPr>
          <w:p w14:paraId="57BE8FB6">
            <w:pPr>
              <w:pStyle w:val="235"/>
              <w:rPr>
                <w:color w:val="auto"/>
              </w:rPr>
            </w:pPr>
            <w:r>
              <w:rPr>
                <w:color w:val="auto"/>
              </w:rPr>
              <w:t>列检库</w:t>
            </w:r>
          </w:p>
        </w:tc>
        <w:tc>
          <w:tcPr>
            <w:tcW w:w="593" w:type="dxa"/>
            <w:vAlign w:val="center"/>
          </w:tcPr>
          <w:p w14:paraId="449C2251">
            <w:pPr>
              <w:pStyle w:val="235"/>
              <w:rPr>
                <w:color w:val="auto"/>
              </w:rPr>
            </w:pPr>
            <w:r>
              <w:rPr>
                <w:color w:val="auto"/>
              </w:rPr>
              <w:t>月检库</w:t>
            </w:r>
          </w:p>
        </w:tc>
        <w:tc>
          <w:tcPr>
            <w:tcW w:w="822" w:type="dxa"/>
            <w:vAlign w:val="center"/>
          </w:tcPr>
          <w:p w14:paraId="34DD582A">
            <w:pPr>
              <w:pStyle w:val="235"/>
              <w:rPr>
                <w:color w:val="auto"/>
              </w:rPr>
            </w:pPr>
            <w:r>
              <w:rPr>
                <w:color w:val="auto"/>
              </w:rPr>
              <w:t>临修库</w:t>
            </w:r>
          </w:p>
        </w:tc>
        <w:tc>
          <w:tcPr>
            <w:tcW w:w="585" w:type="dxa"/>
            <w:vAlign w:val="center"/>
          </w:tcPr>
          <w:p w14:paraId="2A8C1BD3">
            <w:pPr>
              <w:pStyle w:val="235"/>
              <w:rPr>
                <w:color w:val="auto"/>
              </w:rPr>
            </w:pPr>
            <w:r>
              <w:rPr>
                <w:color w:val="auto"/>
              </w:rPr>
              <w:t>架修库</w:t>
            </w:r>
          </w:p>
        </w:tc>
        <w:tc>
          <w:tcPr>
            <w:tcW w:w="593" w:type="dxa"/>
            <w:vAlign w:val="center"/>
          </w:tcPr>
          <w:p w14:paraId="5C143BF3">
            <w:pPr>
              <w:pStyle w:val="235"/>
              <w:rPr>
                <w:color w:val="auto"/>
              </w:rPr>
            </w:pPr>
            <w:r>
              <w:rPr>
                <w:color w:val="auto"/>
              </w:rPr>
              <w:t>油漆库</w:t>
            </w:r>
          </w:p>
        </w:tc>
        <w:tc>
          <w:tcPr>
            <w:tcW w:w="743" w:type="dxa"/>
            <w:tcBorders>
              <w:right w:val="single" w:color="000000" w:sz="6" w:space="0"/>
            </w:tcBorders>
            <w:vAlign w:val="center"/>
          </w:tcPr>
          <w:p w14:paraId="0F4CD25D">
            <w:pPr>
              <w:pStyle w:val="235"/>
              <w:rPr>
                <w:color w:val="auto"/>
              </w:rPr>
            </w:pPr>
            <w:r>
              <w:rPr>
                <w:rFonts w:hint="eastAsia"/>
                <w:color w:val="auto"/>
              </w:rPr>
              <w:t>调车机车</w:t>
            </w:r>
            <w:r>
              <w:rPr>
                <w:color w:val="auto"/>
              </w:rPr>
              <w:t>库</w:t>
            </w:r>
          </w:p>
        </w:tc>
      </w:tr>
      <w:tr w14:paraId="05D8A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1622" w:type="dxa"/>
            <w:tcBorders>
              <w:left w:val="single" w:color="000000" w:sz="6" w:space="0"/>
            </w:tcBorders>
            <w:vAlign w:val="center"/>
          </w:tcPr>
          <w:p w14:paraId="535ED1D6">
            <w:pPr>
              <w:pStyle w:val="235"/>
              <w:rPr>
                <w:color w:val="auto"/>
              </w:rPr>
            </w:pPr>
            <w:r>
              <w:rPr>
                <w:color w:val="auto"/>
              </w:rPr>
              <w:t>车体之间通道宽度(无柱)</w:t>
            </w:r>
          </w:p>
        </w:tc>
        <w:tc>
          <w:tcPr>
            <w:tcW w:w="691" w:type="dxa"/>
            <w:vAlign w:val="center"/>
          </w:tcPr>
          <w:p w14:paraId="77A4CFBD">
            <w:pPr>
              <w:pStyle w:val="235"/>
              <w:rPr>
                <w:color w:val="auto"/>
              </w:rPr>
            </w:pPr>
            <w:r>
              <w:rPr>
                <w:color w:val="auto"/>
              </w:rPr>
              <w:t>1.6(1.4)</w:t>
            </w:r>
          </w:p>
        </w:tc>
        <w:tc>
          <w:tcPr>
            <w:tcW w:w="691" w:type="dxa"/>
            <w:vAlign w:val="center"/>
          </w:tcPr>
          <w:p w14:paraId="08C26D11">
            <w:pPr>
              <w:pStyle w:val="235"/>
              <w:rPr>
                <w:color w:val="auto"/>
              </w:rPr>
            </w:pPr>
            <w:r>
              <w:rPr>
                <w:color w:val="auto"/>
              </w:rPr>
              <w:t>2.0(1.8)</w:t>
            </w:r>
          </w:p>
        </w:tc>
        <w:tc>
          <w:tcPr>
            <w:tcW w:w="593" w:type="dxa"/>
            <w:vAlign w:val="center"/>
          </w:tcPr>
          <w:p w14:paraId="25DECBC4">
            <w:pPr>
              <w:pStyle w:val="235"/>
              <w:rPr>
                <w:color w:val="auto"/>
              </w:rPr>
            </w:pPr>
            <w:r>
              <w:rPr>
                <w:color w:val="auto"/>
              </w:rPr>
              <w:t>3.0</w:t>
            </w:r>
          </w:p>
        </w:tc>
        <w:tc>
          <w:tcPr>
            <w:tcW w:w="822" w:type="dxa"/>
            <w:vAlign w:val="center"/>
          </w:tcPr>
          <w:p w14:paraId="6F3BE695">
            <w:pPr>
              <w:pStyle w:val="235"/>
              <w:rPr>
                <w:color w:val="auto"/>
              </w:rPr>
            </w:pPr>
            <w:r>
              <w:rPr>
                <w:color w:val="auto"/>
              </w:rPr>
              <w:t>4.0</w:t>
            </w:r>
          </w:p>
        </w:tc>
        <w:tc>
          <w:tcPr>
            <w:tcW w:w="585" w:type="dxa"/>
            <w:vAlign w:val="center"/>
          </w:tcPr>
          <w:p w14:paraId="6809CDCC">
            <w:pPr>
              <w:pStyle w:val="235"/>
              <w:rPr>
                <w:color w:val="auto"/>
              </w:rPr>
            </w:pPr>
            <w:r>
              <w:rPr>
                <w:color w:val="auto"/>
              </w:rPr>
              <w:t>4.5</w:t>
            </w:r>
          </w:p>
        </w:tc>
        <w:tc>
          <w:tcPr>
            <w:tcW w:w="593" w:type="dxa"/>
            <w:vAlign w:val="center"/>
          </w:tcPr>
          <w:p w14:paraId="5B290C0F">
            <w:pPr>
              <w:pStyle w:val="235"/>
              <w:rPr>
                <w:color w:val="auto"/>
              </w:rPr>
            </w:pPr>
            <w:r>
              <w:rPr>
                <w:color w:val="auto"/>
              </w:rPr>
              <w:t>2.5</w:t>
            </w:r>
          </w:p>
        </w:tc>
        <w:tc>
          <w:tcPr>
            <w:tcW w:w="743" w:type="dxa"/>
            <w:tcBorders>
              <w:right w:val="single" w:color="000000" w:sz="6" w:space="0"/>
            </w:tcBorders>
            <w:vAlign w:val="center"/>
          </w:tcPr>
          <w:p w14:paraId="50C08C71">
            <w:pPr>
              <w:pStyle w:val="235"/>
              <w:rPr>
                <w:color w:val="auto"/>
              </w:rPr>
            </w:pPr>
            <w:r>
              <w:rPr>
                <w:color w:val="auto"/>
              </w:rPr>
              <w:t>2.0</w:t>
            </w:r>
          </w:p>
        </w:tc>
      </w:tr>
      <w:tr w14:paraId="05D31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trPr>
        <w:tc>
          <w:tcPr>
            <w:tcW w:w="1622" w:type="dxa"/>
            <w:tcBorders>
              <w:left w:val="single" w:color="000000" w:sz="6" w:space="0"/>
            </w:tcBorders>
            <w:vAlign w:val="center"/>
          </w:tcPr>
          <w:p w14:paraId="62BC1630">
            <w:pPr>
              <w:pStyle w:val="235"/>
              <w:rPr>
                <w:color w:val="auto"/>
              </w:rPr>
            </w:pPr>
            <w:r>
              <w:rPr>
                <w:color w:val="auto"/>
              </w:rPr>
              <w:t>车体与侧墙之间的通道宽度</w:t>
            </w:r>
          </w:p>
        </w:tc>
        <w:tc>
          <w:tcPr>
            <w:tcW w:w="691" w:type="dxa"/>
            <w:vAlign w:val="center"/>
          </w:tcPr>
          <w:p w14:paraId="64AC24B3">
            <w:pPr>
              <w:pStyle w:val="235"/>
              <w:rPr>
                <w:color w:val="auto"/>
              </w:rPr>
            </w:pPr>
            <w:r>
              <w:rPr>
                <w:color w:val="auto"/>
              </w:rPr>
              <w:t>1.5(1.4)</w:t>
            </w:r>
          </w:p>
        </w:tc>
        <w:tc>
          <w:tcPr>
            <w:tcW w:w="691" w:type="dxa"/>
            <w:vAlign w:val="center"/>
          </w:tcPr>
          <w:p w14:paraId="3B08CB22">
            <w:pPr>
              <w:pStyle w:val="235"/>
              <w:rPr>
                <w:color w:val="auto"/>
              </w:rPr>
            </w:pPr>
            <w:r>
              <w:rPr>
                <w:color w:val="auto"/>
              </w:rPr>
              <w:t>2.0(1.6)</w:t>
            </w:r>
          </w:p>
        </w:tc>
        <w:tc>
          <w:tcPr>
            <w:tcW w:w="593" w:type="dxa"/>
            <w:vAlign w:val="center"/>
          </w:tcPr>
          <w:p w14:paraId="5B65A49A">
            <w:pPr>
              <w:pStyle w:val="235"/>
              <w:rPr>
                <w:color w:val="auto"/>
              </w:rPr>
            </w:pPr>
            <w:r>
              <w:rPr>
                <w:color w:val="auto"/>
              </w:rPr>
              <w:t>3.0</w:t>
            </w:r>
          </w:p>
        </w:tc>
        <w:tc>
          <w:tcPr>
            <w:tcW w:w="822" w:type="dxa"/>
            <w:vAlign w:val="center"/>
          </w:tcPr>
          <w:p w14:paraId="65688C33">
            <w:pPr>
              <w:pStyle w:val="235"/>
              <w:rPr>
                <w:color w:val="auto"/>
              </w:rPr>
            </w:pPr>
            <w:r>
              <w:rPr>
                <w:color w:val="auto"/>
              </w:rPr>
              <w:t>3.5</w:t>
            </w:r>
          </w:p>
        </w:tc>
        <w:tc>
          <w:tcPr>
            <w:tcW w:w="585" w:type="dxa"/>
            <w:vAlign w:val="center"/>
          </w:tcPr>
          <w:p w14:paraId="76D75BB6">
            <w:pPr>
              <w:pStyle w:val="235"/>
              <w:rPr>
                <w:color w:val="auto"/>
              </w:rPr>
            </w:pPr>
            <w:r>
              <w:rPr>
                <w:color w:val="auto"/>
              </w:rPr>
              <w:t>4.0</w:t>
            </w:r>
          </w:p>
        </w:tc>
        <w:tc>
          <w:tcPr>
            <w:tcW w:w="593" w:type="dxa"/>
            <w:vAlign w:val="center"/>
          </w:tcPr>
          <w:p w14:paraId="3EE6577E">
            <w:pPr>
              <w:pStyle w:val="235"/>
              <w:rPr>
                <w:color w:val="auto"/>
              </w:rPr>
            </w:pPr>
            <w:r>
              <w:rPr>
                <w:color w:val="auto"/>
              </w:rPr>
              <w:t>2.5</w:t>
            </w:r>
          </w:p>
        </w:tc>
        <w:tc>
          <w:tcPr>
            <w:tcW w:w="743" w:type="dxa"/>
            <w:tcBorders>
              <w:right w:val="single" w:color="000000" w:sz="6" w:space="0"/>
            </w:tcBorders>
            <w:vAlign w:val="center"/>
          </w:tcPr>
          <w:p w14:paraId="25B758B6">
            <w:pPr>
              <w:pStyle w:val="235"/>
              <w:rPr>
                <w:color w:val="auto"/>
              </w:rPr>
            </w:pPr>
            <w:r>
              <w:rPr>
                <w:color w:val="auto"/>
              </w:rPr>
              <w:t>1.7</w:t>
            </w:r>
          </w:p>
        </w:tc>
      </w:tr>
      <w:tr w14:paraId="4DE29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trPr>
        <w:tc>
          <w:tcPr>
            <w:tcW w:w="1622" w:type="dxa"/>
            <w:tcBorders>
              <w:left w:val="single" w:color="000000" w:sz="6" w:space="0"/>
            </w:tcBorders>
            <w:vAlign w:val="center"/>
          </w:tcPr>
          <w:p w14:paraId="0D900C16">
            <w:pPr>
              <w:pStyle w:val="235"/>
              <w:rPr>
                <w:color w:val="auto"/>
              </w:rPr>
            </w:pPr>
            <w:r>
              <w:rPr>
                <w:color w:val="auto"/>
              </w:rPr>
              <w:t>车体与柱边通道宽度</w:t>
            </w:r>
          </w:p>
        </w:tc>
        <w:tc>
          <w:tcPr>
            <w:tcW w:w="691" w:type="dxa"/>
            <w:vAlign w:val="center"/>
          </w:tcPr>
          <w:p w14:paraId="6A2C5A57">
            <w:pPr>
              <w:pStyle w:val="235"/>
              <w:rPr>
                <w:color w:val="auto"/>
              </w:rPr>
            </w:pPr>
            <w:r>
              <w:rPr>
                <w:color w:val="auto"/>
              </w:rPr>
              <w:t>1.3(1.2)</w:t>
            </w:r>
          </w:p>
        </w:tc>
        <w:tc>
          <w:tcPr>
            <w:tcW w:w="691" w:type="dxa"/>
            <w:vAlign w:val="center"/>
          </w:tcPr>
          <w:p w14:paraId="4292BE35">
            <w:pPr>
              <w:pStyle w:val="235"/>
              <w:rPr>
                <w:color w:val="auto"/>
              </w:rPr>
            </w:pPr>
            <w:r>
              <w:rPr>
                <w:color w:val="auto"/>
              </w:rPr>
              <w:t>1.8(1.4)</w:t>
            </w:r>
          </w:p>
        </w:tc>
        <w:tc>
          <w:tcPr>
            <w:tcW w:w="593" w:type="dxa"/>
            <w:vAlign w:val="center"/>
          </w:tcPr>
          <w:p w14:paraId="1297C1BC">
            <w:pPr>
              <w:pStyle w:val="235"/>
              <w:rPr>
                <w:color w:val="auto"/>
              </w:rPr>
            </w:pPr>
            <w:r>
              <w:rPr>
                <w:color w:val="auto"/>
              </w:rPr>
              <w:t>2.2</w:t>
            </w:r>
          </w:p>
        </w:tc>
        <w:tc>
          <w:tcPr>
            <w:tcW w:w="822" w:type="dxa"/>
            <w:vAlign w:val="center"/>
          </w:tcPr>
          <w:p w14:paraId="62F011E7">
            <w:pPr>
              <w:pStyle w:val="235"/>
              <w:rPr>
                <w:color w:val="auto"/>
              </w:rPr>
            </w:pPr>
            <w:r>
              <w:rPr>
                <w:color w:val="auto"/>
              </w:rPr>
              <w:t>3.0</w:t>
            </w:r>
          </w:p>
        </w:tc>
        <w:tc>
          <w:tcPr>
            <w:tcW w:w="585" w:type="dxa"/>
            <w:vAlign w:val="center"/>
          </w:tcPr>
          <w:p w14:paraId="2EEBA522">
            <w:pPr>
              <w:pStyle w:val="235"/>
              <w:rPr>
                <w:color w:val="auto"/>
              </w:rPr>
            </w:pPr>
            <w:r>
              <w:rPr>
                <w:color w:val="auto"/>
              </w:rPr>
              <w:t>3.2</w:t>
            </w:r>
          </w:p>
        </w:tc>
        <w:tc>
          <w:tcPr>
            <w:tcW w:w="593" w:type="dxa"/>
            <w:vAlign w:val="center"/>
          </w:tcPr>
          <w:p w14:paraId="212AD781">
            <w:pPr>
              <w:pStyle w:val="235"/>
              <w:rPr>
                <w:color w:val="auto"/>
              </w:rPr>
            </w:pPr>
            <w:r>
              <w:rPr>
                <w:color w:val="auto"/>
              </w:rPr>
              <w:t>2.2</w:t>
            </w:r>
          </w:p>
        </w:tc>
        <w:tc>
          <w:tcPr>
            <w:tcW w:w="743" w:type="dxa"/>
            <w:tcBorders>
              <w:right w:val="single" w:color="000000" w:sz="6" w:space="0"/>
            </w:tcBorders>
            <w:vAlign w:val="center"/>
          </w:tcPr>
          <w:p w14:paraId="039A34A7">
            <w:pPr>
              <w:pStyle w:val="235"/>
              <w:rPr>
                <w:color w:val="auto"/>
              </w:rPr>
            </w:pPr>
            <w:r>
              <w:rPr>
                <w:color w:val="auto"/>
              </w:rPr>
              <w:t>1.5</w:t>
            </w:r>
          </w:p>
        </w:tc>
      </w:tr>
      <w:tr w14:paraId="28B96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9" w:hRule="atLeast"/>
        </w:trPr>
        <w:tc>
          <w:tcPr>
            <w:tcW w:w="1622" w:type="dxa"/>
            <w:tcBorders>
              <w:left w:val="single" w:color="000000" w:sz="6" w:space="0"/>
            </w:tcBorders>
            <w:vAlign w:val="center"/>
          </w:tcPr>
          <w:p w14:paraId="086413EE">
            <w:pPr>
              <w:pStyle w:val="235"/>
              <w:rPr>
                <w:color w:val="auto"/>
              </w:rPr>
            </w:pPr>
            <w:r>
              <w:rPr>
                <w:color w:val="auto"/>
              </w:rPr>
              <w:t>库内前、后通道净宽</w:t>
            </w:r>
          </w:p>
        </w:tc>
        <w:tc>
          <w:tcPr>
            <w:tcW w:w="691" w:type="dxa"/>
            <w:vAlign w:val="center"/>
          </w:tcPr>
          <w:p w14:paraId="025D4324">
            <w:pPr>
              <w:pStyle w:val="235"/>
              <w:rPr>
                <w:color w:val="auto"/>
              </w:rPr>
            </w:pPr>
            <w:r>
              <w:rPr>
                <w:color w:val="auto"/>
              </w:rPr>
              <w:t>4.0</w:t>
            </w:r>
          </w:p>
        </w:tc>
        <w:tc>
          <w:tcPr>
            <w:tcW w:w="691" w:type="dxa"/>
            <w:vAlign w:val="center"/>
          </w:tcPr>
          <w:p w14:paraId="4EE57FF6">
            <w:pPr>
              <w:pStyle w:val="235"/>
              <w:rPr>
                <w:color w:val="auto"/>
              </w:rPr>
            </w:pPr>
            <w:r>
              <w:rPr>
                <w:color w:val="auto"/>
              </w:rPr>
              <w:t>4.0</w:t>
            </w:r>
          </w:p>
        </w:tc>
        <w:tc>
          <w:tcPr>
            <w:tcW w:w="593" w:type="dxa"/>
            <w:vAlign w:val="center"/>
          </w:tcPr>
          <w:p w14:paraId="556AEFF0">
            <w:pPr>
              <w:pStyle w:val="235"/>
              <w:rPr>
                <w:color w:val="auto"/>
              </w:rPr>
            </w:pPr>
            <w:r>
              <w:rPr>
                <w:color w:val="auto"/>
              </w:rPr>
              <w:t>4.0</w:t>
            </w:r>
          </w:p>
        </w:tc>
        <w:tc>
          <w:tcPr>
            <w:tcW w:w="822" w:type="dxa"/>
            <w:vAlign w:val="center"/>
          </w:tcPr>
          <w:p w14:paraId="0283A66E">
            <w:pPr>
              <w:pStyle w:val="235"/>
              <w:rPr>
                <w:color w:val="auto"/>
              </w:rPr>
            </w:pPr>
            <w:r>
              <w:rPr>
                <w:color w:val="auto"/>
              </w:rPr>
              <w:t>5.0</w:t>
            </w:r>
          </w:p>
        </w:tc>
        <w:tc>
          <w:tcPr>
            <w:tcW w:w="585" w:type="dxa"/>
            <w:vAlign w:val="center"/>
          </w:tcPr>
          <w:p w14:paraId="0F946E14">
            <w:pPr>
              <w:pStyle w:val="235"/>
              <w:rPr>
                <w:color w:val="auto"/>
              </w:rPr>
            </w:pPr>
            <w:r>
              <w:rPr>
                <w:color w:val="auto"/>
              </w:rPr>
              <w:t>5.0</w:t>
            </w:r>
          </w:p>
        </w:tc>
        <w:tc>
          <w:tcPr>
            <w:tcW w:w="593" w:type="dxa"/>
            <w:vAlign w:val="center"/>
          </w:tcPr>
          <w:p w14:paraId="4C4FBDE0">
            <w:pPr>
              <w:pStyle w:val="235"/>
              <w:rPr>
                <w:color w:val="auto"/>
              </w:rPr>
            </w:pPr>
            <w:r>
              <w:rPr>
                <w:color w:val="auto"/>
              </w:rPr>
              <w:t>3.0</w:t>
            </w:r>
          </w:p>
        </w:tc>
        <w:tc>
          <w:tcPr>
            <w:tcW w:w="743" w:type="dxa"/>
            <w:tcBorders>
              <w:right w:val="single" w:color="000000" w:sz="6" w:space="0"/>
            </w:tcBorders>
            <w:vAlign w:val="center"/>
          </w:tcPr>
          <w:p w14:paraId="2A34053B">
            <w:pPr>
              <w:pStyle w:val="235"/>
              <w:rPr>
                <w:color w:val="auto"/>
              </w:rPr>
            </w:pPr>
            <w:r>
              <w:rPr>
                <w:color w:val="auto"/>
              </w:rPr>
              <w:t>3.0</w:t>
            </w:r>
          </w:p>
        </w:tc>
      </w:tr>
      <w:tr w14:paraId="25B2A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trPr>
        <w:tc>
          <w:tcPr>
            <w:tcW w:w="1622" w:type="dxa"/>
            <w:tcBorders>
              <w:left w:val="single" w:color="000000" w:sz="6" w:space="0"/>
            </w:tcBorders>
            <w:vAlign w:val="center"/>
          </w:tcPr>
          <w:p w14:paraId="6CAB4CEC">
            <w:pPr>
              <w:pStyle w:val="235"/>
              <w:rPr>
                <w:color w:val="auto"/>
              </w:rPr>
            </w:pPr>
            <w:r>
              <w:rPr>
                <w:color w:val="auto"/>
              </w:rPr>
              <w:t>车库大门净宽</w:t>
            </w:r>
          </w:p>
        </w:tc>
        <w:tc>
          <w:tcPr>
            <w:tcW w:w="4718" w:type="dxa"/>
            <w:gridSpan w:val="7"/>
            <w:tcBorders>
              <w:right w:val="single" w:color="000000" w:sz="6" w:space="0"/>
            </w:tcBorders>
            <w:vAlign w:val="center"/>
          </w:tcPr>
          <w:p w14:paraId="02B2F020">
            <w:pPr>
              <w:pStyle w:val="235"/>
              <w:rPr>
                <w:color w:val="auto"/>
              </w:rPr>
            </w:pPr>
            <w:r>
              <w:rPr>
                <w:color w:val="auto"/>
              </w:rPr>
              <w:t>B+0.6</w:t>
            </w:r>
          </w:p>
        </w:tc>
      </w:tr>
      <w:tr w14:paraId="2C262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2" w:hRule="atLeast"/>
        </w:trPr>
        <w:tc>
          <w:tcPr>
            <w:tcW w:w="1622" w:type="dxa"/>
            <w:tcBorders>
              <w:left w:val="single" w:color="000000" w:sz="6" w:space="0"/>
            </w:tcBorders>
            <w:vAlign w:val="center"/>
          </w:tcPr>
          <w:p w14:paraId="52E8CAA3">
            <w:pPr>
              <w:pStyle w:val="235"/>
              <w:rPr>
                <w:color w:val="auto"/>
              </w:rPr>
            </w:pPr>
            <w:r>
              <w:rPr>
                <w:color w:val="auto"/>
              </w:rPr>
              <w:t>车库大门净高</w:t>
            </w:r>
          </w:p>
        </w:tc>
        <w:tc>
          <w:tcPr>
            <w:tcW w:w="4718" w:type="dxa"/>
            <w:gridSpan w:val="7"/>
            <w:tcBorders>
              <w:right w:val="single" w:color="000000" w:sz="6" w:space="0"/>
            </w:tcBorders>
            <w:vAlign w:val="center"/>
          </w:tcPr>
          <w:p w14:paraId="47B2A9BA">
            <w:pPr>
              <w:pStyle w:val="235"/>
              <w:rPr>
                <w:color w:val="auto"/>
              </w:rPr>
            </w:pPr>
            <w:r>
              <w:rPr>
                <w:color w:val="auto"/>
              </w:rPr>
              <w:t>H+0.4</w:t>
            </w:r>
          </w:p>
        </w:tc>
      </w:tr>
    </w:tbl>
    <w:p w14:paraId="4FD657E2">
      <w:pPr>
        <w:spacing w:line="240" w:lineRule="auto"/>
        <w:ind w:left="945" w:leftChars="200" w:hanging="525" w:hangingChars="350"/>
        <w:jc w:val="left"/>
        <w:rPr>
          <w:sz w:val="15"/>
          <w:szCs w:val="15"/>
        </w:rPr>
      </w:pPr>
      <w:r>
        <w:rPr>
          <w:sz w:val="15"/>
          <w:szCs w:val="15"/>
        </w:rPr>
        <w:t>注：1</w:t>
      </w:r>
      <w:r>
        <w:rPr>
          <w:rFonts w:hint="eastAsia"/>
          <w:sz w:val="15"/>
          <w:szCs w:val="15"/>
        </w:rPr>
        <w:t xml:space="preserve">  </w:t>
      </w:r>
      <w:r>
        <w:rPr>
          <w:sz w:val="15"/>
          <w:szCs w:val="15"/>
        </w:rPr>
        <w:t>B—电动车辆或机车的宽度；H—电动车辆(受电弓电动车辆按受电弓落弓高度计算)或机车的高度。</w:t>
      </w:r>
    </w:p>
    <w:p w14:paraId="6CF64AB2">
      <w:pPr>
        <w:pStyle w:val="202"/>
        <w:ind w:firstLine="675" w:firstLineChars="450"/>
      </w:pPr>
      <w:r>
        <w:t>2</w:t>
      </w:r>
      <w:r>
        <w:rPr>
          <w:rFonts w:hint="eastAsia"/>
        </w:rPr>
        <w:t xml:space="preserve">  </w:t>
      </w:r>
      <w:r>
        <w:t>车库大门净高未考虑受电弓升弓进库的高度。</w:t>
      </w:r>
    </w:p>
    <w:p w14:paraId="3F9C8773">
      <w:pPr>
        <w:pStyle w:val="202"/>
        <w:ind w:firstLine="675" w:firstLineChars="450"/>
      </w:pPr>
      <w:r>
        <w:t>3</w:t>
      </w:r>
      <w:r>
        <w:rPr>
          <w:rFonts w:hint="eastAsia"/>
        </w:rPr>
        <w:t xml:space="preserve">  </w:t>
      </w:r>
      <w:r>
        <w:t>静调库、吹扫库各部</w:t>
      </w:r>
      <w:r>
        <w:rPr>
          <w:rFonts w:hint="eastAsia"/>
        </w:rPr>
        <w:t>位</w:t>
      </w:r>
      <w:r>
        <w:t>尺寸参照月检库设计。</w:t>
      </w:r>
    </w:p>
    <w:p w14:paraId="7305191F">
      <w:pPr>
        <w:spacing w:line="240" w:lineRule="auto"/>
        <w:ind w:left="853" w:leftChars="335" w:hanging="150" w:hangingChars="100"/>
        <w:jc w:val="left"/>
        <w:rPr>
          <w:sz w:val="15"/>
          <w:szCs w:val="15"/>
        </w:rPr>
      </w:pPr>
      <w:r>
        <w:rPr>
          <w:sz w:val="15"/>
          <w:szCs w:val="15"/>
        </w:rPr>
        <w:t>4</w:t>
      </w:r>
      <w:r>
        <w:rPr>
          <w:rFonts w:hint="eastAsia"/>
          <w:sz w:val="15"/>
          <w:szCs w:val="15"/>
        </w:rPr>
        <w:t xml:space="preserve">  </w:t>
      </w:r>
      <w:r>
        <w:rPr>
          <w:sz w:val="15"/>
          <w:szCs w:val="15"/>
        </w:rPr>
        <w:t>车辆为架空接触网受电时，停车库、列检库通道宽度可采用括号内尺寸；其余车库尺寸均与接触轨制式车辆车库的相同。</w:t>
      </w:r>
    </w:p>
    <w:p w14:paraId="25A1AC01">
      <w:pPr>
        <w:pStyle w:val="5"/>
        <w:tabs>
          <w:tab w:val="left" w:pos="851"/>
          <w:tab w:val="clear" w:pos="630"/>
        </w:tabs>
      </w:pPr>
      <w:r>
        <w:t>试车线的设置应符合下列要求：</w:t>
      </w:r>
    </w:p>
    <w:p w14:paraId="46507203">
      <w:pPr>
        <w:ind w:firstLine="420" w:firstLineChars="200"/>
      </w:pPr>
      <w:r>
        <w:t>1</w:t>
      </w:r>
      <w:r>
        <w:rPr>
          <w:rFonts w:hint="eastAsia"/>
        </w:rPr>
        <w:t xml:space="preserve">  </w:t>
      </w:r>
      <w:r>
        <w:t>试车线应为平直线路，条件困难时，在满足试车速度前提下，线路两端可适当设置曲线；</w:t>
      </w:r>
    </w:p>
    <w:p w14:paraId="1732BA27">
      <w:pPr>
        <w:ind w:firstLine="420" w:firstLineChars="200"/>
      </w:pPr>
      <w:r>
        <w:t>2</w:t>
      </w:r>
      <w:r>
        <w:rPr>
          <w:rFonts w:hint="eastAsia"/>
        </w:rPr>
        <w:t xml:space="preserve">  </w:t>
      </w:r>
      <w:r>
        <w:t>试车线应设于车辆段的边缘地带。试车线的长度应满足车辆、信号车载设备检修后的试验要求，并</w:t>
      </w:r>
      <w:r>
        <w:rPr>
          <w:rFonts w:hint="eastAsia"/>
        </w:rPr>
        <w:t>宜</w:t>
      </w:r>
      <w:r>
        <w:t>满足列车最高运行速度、惰行时间15~20s的试验要求；</w:t>
      </w:r>
    </w:p>
    <w:p w14:paraId="101C3493">
      <w:pPr>
        <w:ind w:firstLine="420" w:firstLineChars="200"/>
      </w:pPr>
      <w:r>
        <w:t>3</w:t>
      </w:r>
      <w:r>
        <w:rPr>
          <w:rFonts w:hint="eastAsia"/>
        </w:rPr>
        <w:t xml:space="preserve">  </w:t>
      </w:r>
      <w:r>
        <w:t>试车线应采取隔离等安全措施。</w:t>
      </w:r>
    </w:p>
    <w:p w14:paraId="2519AD0B">
      <w:pPr>
        <w:pStyle w:val="5"/>
        <w:tabs>
          <w:tab w:val="left" w:pos="851"/>
          <w:tab w:val="clear" w:pos="630"/>
        </w:tabs>
      </w:pPr>
      <w:r>
        <w:rPr>
          <w:rFonts w:hint="eastAsia"/>
        </w:rPr>
        <w:t>车辆基地</w:t>
      </w:r>
      <w:r>
        <w:t>应设牵出线。其数量应根据调车作业方式、工作量确定，其有效长度</w:t>
      </w:r>
      <w:r>
        <w:rPr>
          <w:rFonts w:hint="eastAsia"/>
        </w:rPr>
        <w:t>不</w:t>
      </w:r>
      <w:r>
        <w:t>应小于(列车总长度+调车机车长度+安全距离10m)的计算值。</w:t>
      </w:r>
    </w:p>
    <w:p w14:paraId="651036F7">
      <w:pPr>
        <w:pStyle w:val="5"/>
        <w:tabs>
          <w:tab w:val="left" w:pos="851"/>
          <w:tab w:val="clear" w:pos="630"/>
        </w:tabs>
      </w:pPr>
      <w:r>
        <w:t>材料线的设置应符合下列要求：</w:t>
      </w:r>
    </w:p>
    <w:p w14:paraId="3A1995DF">
      <w:pPr>
        <w:ind w:firstLine="422" w:firstLineChars="200"/>
      </w:pPr>
      <w:r>
        <w:rPr>
          <w:b/>
        </w:rPr>
        <w:t>1</w:t>
      </w:r>
      <w:r>
        <w:rPr>
          <w:rFonts w:hint="eastAsia"/>
          <w:b/>
        </w:rPr>
        <w:t xml:space="preserve"> </w:t>
      </w:r>
      <w:r>
        <w:rPr>
          <w:rFonts w:hint="eastAsia"/>
        </w:rPr>
        <w:t xml:space="preserve"> </w:t>
      </w:r>
      <w:r>
        <w:t>材料线在材料堆场一侧宜设置硬化地面；</w:t>
      </w:r>
    </w:p>
    <w:p w14:paraId="02975452">
      <w:pPr>
        <w:ind w:firstLine="422" w:firstLineChars="200"/>
      </w:pPr>
      <w:r>
        <w:rPr>
          <w:b/>
        </w:rPr>
        <w:t>2</w:t>
      </w:r>
      <w:r>
        <w:rPr>
          <w:rFonts w:hint="eastAsia"/>
          <w:b/>
        </w:rPr>
        <w:t xml:space="preserve">  </w:t>
      </w:r>
      <w:r>
        <w:t>材料线有效长度不应小于(机车长度+平板车辆联挂长度+安全距离10m)的计算值。</w:t>
      </w:r>
    </w:p>
    <w:p w14:paraId="028A8C22">
      <w:pPr>
        <w:pStyle w:val="5"/>
        <w:tabs>
          <w:tab w:val="left" w:pos="851"/>
          <w:tab w:val="clear" w:pos="630"/>
        </w:tabs>
      </w:pPr>
      <w:r>
        <w:t>平板车线的设置应符合下列要求：</w:t>
      </w:r>
    </w:p>
    <w:p w14:paraId="182EACA1">
      <w:pPr>
        <w:ind w:firstLine="422" w:firstLineChars="200"/>
      </w:pPr>
      <w:r>
        <w:rPr>
          <w:b/>
        </w:rPr>
        <w:t>1</w:t>
      </w:r>
      <w:r>
        <w:rPr>
          <w:rFonts w:hint="eastAsia"/>
          <w:b/>
        </w:rPr>
        <w:t xml:space="preserve">  </w:t>
      </w:r>
      <w:r>
        <w:t>平板车线的设置宜方便机车的联挂、进出出入线进行正线巡检、检修、抢修、救援等作业要求；</w:t>
      </w:r>
    </w:p>
    <w:p w14:paraId="51A15068">
      <w:pPr>
        <w:ind w:firstLine="422" w:firstLineChars="200"/>
      </w:pPr>
      <w:r>
        <w:rPr>
          <w:b/>
        </w:rPr>
        <w:t>2</w:t>
      </w:r>
      <w:r>
        <w:rPr>
          <w:rFonts w:hint="eastAsia"/>
          <w:b/>
        </w:rPr>
        <w:t xml:space="preserve"> </w:t>
      </w:r>
      <w:r>
        <w:rPr>
          <w:rFonts w:hint="eastAsia"/>
        </w:rPr>
        <w:t xml:space="preserve"> </w:t>
      </w:r>
      <w:r>
        <w:t>平板车线的有效长度不应小于(2台机车长度+平板车辆联挂长度+安全距离10m)的计算值。</w:t>
      </w:r>
    </w:p>
    <w:p w14:paraId="349699A4">
      <w:pPr>
        <w:numPr>
          <w:ilvl w:val="1"/>
          <w:numId w:val="1"/>
        </w:numPr>
        <w:snapToGrid w:val="0"/>
        <w:spacing w:before="156" w:after="156" w:line="240" w:lineRule="auto"/>
        <w:jc w:val="center"/>
        <w:outlineLvl w:val="1"/>
        <w:rPr>
          <w:rFonts w:eastAsia="黑体"/>
          <w:bCs/>
          <w:szCs w:val="28"/>
        </w:rPr>
      </w:pPr>
      <w:bookmarkStart w:id="1915" w:name="_Toc168415307"/>
      <w:bookmarkStart w:id="1916" w:name="_Toc183765240"/>
      <w:bookmarkStart w:id="1917" w:name="_Toc183882593"/>
      <w:bookmarkStart w:id="1918" w:name="_Toc183888645"/>
      <w:bookmarkStart w:id="1919" w:name="_Toc183888283"/>
      <w:bookmarkStart w:id="1920" w:name="_Toc183882231"/>
      <w:bookmarkStart w:id="1921" w:name="_Toc183790670"/>
      <w:bookmarkStart w:id="1922" w:name="_Toc183683634"/>
      <w:r>
        <w:rPr>
          <w:rFonts w:hint="eastAsia" w:eastAsia="黑体"/>
          <w:bCs/>
          <w:szCs w:val="28"/>
        </w:rPr>
        <w:t>车辆基地</w:t>
      </w:r>
      <w:r>
        <w:rPr>
          <w:rFonts w:eastAsia="黑体"/>
          <w:bCs/>
          <w:szCs w:val="28"/>
        </w:rPr>
        <w:t>站场线路</w:t>
      </w:r>
      <w:bookmarkEnd w:id="1915"/>
      <w:bookmarkEnd w:id="1916"/>
      <w:bookmarkEnd w:id="1917"/>
      <w:bookmarkEnd w:id="1918"/>
      <w:bookmarkEnd w:id="1919"/>
      <w:bookmarkEnd w:id="1920"/>
      <w:bookmarkEnd w:id="1921"/>
      <w:bookmarkEnd w:id="1922"/>
    </w:p>
    <w:p w14:paraId="1090F382">
      <w:pPr>
        <w:pStyle w:val="5"/>
        <w:tabs>
          <w:tab w:val="left" w:pos="709"/>
          <w:tab w:val="clear" w:pos="630"/>
        </w:tabs>
      </w:pPr>
      <w:r>
        <w:t>车辆基地应设出入线、洗车线、镟轮线、试车线和各种库线(包括停车、列检、月检、静调和临修、架修等库线及调车机车和</w:t>
      </w:r>
      <w:r>
        <w:rPr>
          <w:rFonts w:hint="eastAsia"/>
        </w:rPr>
        <w:t>工程</w:t>
      </w:r>
      <w:r>
        <w:t>车辆停放库线)，并根据需要设材料线、平板车线、牵出线、回转线、存车线及机车走行线等。</w:t>
      </w:r>
    </w:p>
    <w:p w14:paraId="23DA8E48">
      <w:pPr>
        <w:pStyle w:val="5"/>
        <w:tabs>
          <w:tab w:val="left" w:pos="709"/>
          <w:tab w:val="clear" w:pos="630"/>
        </w:tabs>
      </w:pPr>
      <w:r>
        <w:rPr>
          <w:rFonts w:hint="eastAsia"/>
        </w:rPr>
        <w:t>车辆基地站场线路设置应符合下列要求：</w:t>
      </w:r>
    </w:p>
    <w:p w14:paraId="129121A6">
      <w:pPr>
        <w:pStyle w:val="86"/>
        <w:ind w:firstLine="422"/>
        <w:rPr>
          <w:color w:val="auto"/>
        </w:rPr>
      </w:pPr>
      <w:r>
        <w:rPr>
          <w:rFonts w:hint="eastAsia"/>
          <w:b/>
          <w:color w:val="auto"/>
        </w:rPr>
        <w:t xml:space="preserve">1 </w:t>
      </w:r>
      <w:r>
        <w:rPr>
          <w:rFonts w:hint="eastAsia"/>
          <w:color w:val="auto"/>
        </w:rPr>
        <w:t xml:space="preserve"> 出入线最小曲线半径：A型车250m，B型车200m，困难情况下不小于150m；最大纵坡不宜大于35‰(不含坡度折减)，</w:t>
      </w:r>
      <w:r>
        <w:rPr>
          <w:color w:val="auto"/>
        </w:rPr>
        <w:t>困难地段最大坡度</w:t>
      </w:r>
      <w:r>
        <w:rPr>
          <w:rFonts w:hint="eastAsia"/>
          <w:color w:val="auto"/>
        </w:rPr>
        <w:t>不应大于40</w:t>
      </w:r>
      <w:r>
        <w:rPr>
          <w:color w:val="auto"/>
        </w:rPr>
        <w:t>‰</w:t>
      </w:r>
      <w:r>
        <w:rPr>
          <w:rFonts w:hint="eastAsia"/>
          <w:color w:val="auto"/>
        </w:rPr>
        <w:t>；竖曲线半径不小于2000m。</w:t>
      </w:r>
    </w:p>
    <w:p w14:paraId="64C48756">
      <w:pPr>
        <w:pStyle w:val="86"/>
        <w:ind w:firstLine="422"/>
        <w:rPr>
          <w:color w:val="auto"/>
        </w:rPr>
      </w:pPr>
      <w:r>
        <w:rPr>
          <w:rFonts w:hint="eastAsia"/>
          <w:b/>
          <w:color w:val="auto"/>
        </w:rPr>
        <w:t xml:space="preserve">2  </w:t>
      </w:r>
      <w:r>
        <w:rPr>
          <w:rFonts w:hint="eastAsia"/>
          <w:color w:val="auto"/>
        </w:rPr>
        <w:t>车场线最小曲线半径：150m；库外停车线路纵坡不大于1.5‰，道岔区坡度不宜大于3‰。</w:t>
      </w:r>
    </w:p>
    <w:p w14:paraId="6288EA9F">
      <w:pPr>
        <w:pStyle w:val="86"/>
        <w:ind w:firstLine="422"/>
        <w:rPr>
          <w:color w:val="auto"/>
        </w:rPr>
      </w:pPr>
      <w:r>
        <w:rPr>
          <w:rFonts w:hint="eastAsia"/>
          <w:b/>
          <w:color w:val="auto"/>
        </w:rPr>
        <w:t xml:space="preserve">3 </w:t>
      </w:r>
      <w:r>
        <w:rPr>
          <w:rFonts w:hint="eastAsia"/>
          <w:color w:val="auto"/>
        </w:rPr>
        <w:t xml:space="preserve"> 车场线宜采用7号道岔。</w:t>
      </w:r>
    </w:p>
    <w:p w14:paraId="399DC3AF">
      <w:pPr>
        <w:pStyle w:val="5"/>
        <w:tabs>
          <w:tab w:val="left" w:pos="709"/>
          <w:tab w:val="clear" w:pos="630"/>
        </w:tabs>
      </w:pPr>
      <w:r>
        <w:t>出入线具有双向运行功能，并应根据行车、信号和车辆的要求设置信号转换轨，长度不小于1列车长，宜设在缓坡上。</w:t>
      </w:r>
    </w:p>
    <w:p w14:paraId="7468D5F4">
      <w:pPr>
        <w:pStyle w:val="5"/>
        <w:tabs>
          <w:tab w:val="left" w:pos="709"/>
          <w:tab w:val="clear" w:pos="630"/>
        </w:tabs>
      </w:pPr>
      <w:r>
        <w:t>不具备条件设置八字形出入线的线路，宜在所辖车辆段考虑其他列车调头设施。</w:t>
      </w:r>
    </w:p>
    <w:p w14:paraId="74E4F97C">
      <w:pPr>
        <w:pStyle w:val="5"/>
        <w:tabs>
          <w:tab w:val="left" w:pos="709"/>
          <w:tab w:val="clear" w:pos="630"/>
        </w:tabs>
      </w:pPr>
      <w:r>
        <w:t>车辆基地为贯通式布置时，应设联络车场两端咽喉区的走行线。</w:t>
      </w:r>
    </w:p>
    <w:p w14:paraId="0F43F007">
      <w:pPr>
        <w:pStyle w:val="5"/>
        <w:tabs>
          <w:tab w:val="left" w:pos="709"/>
          <w:tab w:val="clear" w:pos="630"/>
        </w:tabs>
      </w:pPr>
      <w:r>
        <w:t>车辆基地各种检修库线应根据工艺要求和作业内容合理布置，库前应</w:t>
      </w:r>
      <w:r>
        <w:rPr>
          <w:rFonts w:hint="eastAsia"/>
        </w:rPr>
        <w:t>设</w:t>
      </w:r>
      <w:r>
        <w:t>宽度不小于10m的平直线路，库门外均应设置截水沟。</w:t>
      </w:r>
    </w:p>
    <w:p w14:paraId="3C5BF843">
      <w:pPr>
        <w:pStyle w:val="5"/>
        <w:tabs>
          <w:tab w:val="left" w:pos="709"/>
          <w:tab w:val="clear" w:pos="630"/>
        </w:tabs>
      </w:pPr>
      <w:r>
        <w:rPr>
          <w:rFonts w:hint="eastAsia"/>
        </w:rPr>
        <w:t>站场路基（不含试车线及出入线）基床厚度不宜小于1.2m，其中基床表层不宜小于0.3m，底层不宜小于0.9m。路基填料、压实标准等应符合现行行业标准《铁路路基设计规范》TB 10001的规定。试车线及出入线路基执行正线路基标准。</w:t>
      </w:r>
    </w:p>
    <w:p w14:paraId="2F4FF344">
      <w:pPr>
        <w:numPr>
          <w:ilvl w:val="1"/>
          <w:numId w:val="1"/>
        </w:numPr>
        <w:snapToGrid w:val="0"/>
        <w:spacing w:before="156" w:after="156" w:line="240" w:lineRule="auto"/>
        <w:jc w:val="center"/>
        <w:outlineLvl w:val="1"/>
        <w:rPr>
          <w:rFonts w:eastAsia="黑体"/>
          <w:bCs/>
          <w:szCs w:val="28"/>
        </w:rPr>
      </w:pPr>
      <w:bookmarkStart w:id="1923" w:name="_Toc183888646"/>
      <w:bookmarkStart w:id="1924" w:name="_Toc183765241"/>
      <w:bookmarkStart w:id="1925" w:name="_Toc183888284"/>
      <w:bookmarkStart w:id="1926" w:name="_Toc183882594"/>
      <w:bookmarkStart w:id="1927" w:name="_Toc183683635"/>
      <w:bookmarkStart w:id="1928" w:name="_Toc183882232"/>
      <w:bookmarkStart w:id="1929" w:name="_Toc183790671"/>
      <w:r>
        <w:rPr>
          <w:rFonts w:hint="eastAsia" w:eastAsia="黑体"/>
          <w:bCs/>
          <w:szCs w:val="28"/>
        </w:rPr>
        <w:t>设备维修与动力设施</w:t>
      </w:r>
      <w:bookmarkEnd w:id="1923"/>
      <w:bookmarkEnd w:id="1924"/>
      <w:bookmarkEnd w:id="1925"/>
      <w:bookmarkEnd w:id="1926"/>
      <w:bookmarkEnd w:id="1927"/>
      <w:bookmarkEnd w:id="1928"/>
      <w:bookmarkEnd w:id="1929"/>
    </w:p>
    <w:p w14:paraId="293431C6">
      <w:pPr>
        <w:pStyle w:val="5"/>
        <w:tabs>
          <w:tab w:val="left" w:pos="709"/>
          <w:tab w:val="clear" w:pos="630"/>
        </w:tabs>
      </w:pPr>
      <w:r>
        <w:rPr>
          <w:rFonts w:hint="eastAsia"/>
        </w:rPr>
        <w:t>车辆基地生产设备应采用统一管理、集中检修的原则。有条件时，设备的大修宜外委或外协进行。</w:t>
      </w:r>
    </w:p>
    <w:p w14:paraId="52664A00">
      <w:pPr>
        <w:pStyle w:val="5"/>
        <w:tabs>
          <w:tab w:val="left" w:pos="709"/>
          <w:tab w:val="clear" w:pos="630"/>
        </w:tabs>
      </w:pPr>
      <w:r>
        <w:rPr>
          <w:rFonts w:hint="eastAsia"/>
        </w:rPr>
        <w:t>设备维修间设置应符合下列要求：</w:t>
      </w:r>
    </w:p>
    <w:p w14:paraId="3931D05F">
      <w:pPr>
        <w:ind w:firstLine="422" w:firstLineChars="200"/>
      </w:pPr>
      <w:r>
        <w:rPr>
          <w:rFonts w:hint="eastAsia"/>
          <w:b/>
        </w:rPr>
        <w:t xml:space="preserve">1 </w:t>
      </w:r>
      <w:r>
        <w:rPr>
          <w:rFonts w:hint="eastAsia"/>
        </w:rPr>
        <w:t xml:space="preserve"> 设备维修间应根据基地内机电设备和动力设施维护、检修的需要配备必要的机加工设备、焊接设备、检测设备、管道维修设备和起重运输设备等；</w:t>
      </w:r>
    </w:p>
    <w:p w14:paraId="47139558">
      <w:pPr>
        <w:ind w:firstLine="422" w:firstLineChars="200"/>
      </w:pPr>
      <w:r>
        <w:rPr>
          <w:rFonts w:hint="eastAsia"/>
          <w:b/>
        </w:rPr>
        <w:t xml:space="preserve">2 </w:t>
      </w:r>
      <w:r>
        <w:rPr>
          <w:rFonts w:hint="eastAsia"/>
        </w:rPr>
        <w:t xml:space="preserve"> 车辆基地检修车间与设备车间的通用机加工设备应合并设置。</w:t>
      </w:r>
    </w:p>
    <w:p w14:paraId="555519B9">
      <w:pPr>
        <w:pStyle w:val="5"/>
        <w:tabs>
          <w:tab w:val="left" w:pos="709"/>
          <w:tab w:val="clear" w:pos="630"/>
        </w:tabs>
      </w:pPr>
      <w:r>
        <w:rPr>
          <w:rFonts w:hint="eastAsia"/>
        </w:rPr>
        <w:t>车辆基地应设备品配件库，并配备必要的起重和运输设备。根据需要设置易燃品库。</w:t>
      </w:r>
    </w:p>
    <w:p w14:paraId="3CC8B65C">
      <w:pPr>
        <w:pStyle w:val="5"/>
        <w:tabs>
          <w:tab w:val="left" w:pos="709"/>
          <w:tab w:val="clear" w:pos="630"/>
        </w:tabs>
      </w:pPr>
      <w:r>
        <w:rPr>
          <w:rFonts w:hint="eastAsia"/>
        </w:rPr>
        <w:t>车辆基地宜配置检修综合楼（含仪表、计量、化验室）、锅炉房、给水泵站、水处理间以及变配电所等配套生产设施。</w:t>
      </w:r>
    </w:p>
    <w:p w14:paraId="7B08AD54">
      <w:pPr>
        <w:pStyle w:val="5"/>
        <w:tabs>
          <w:tab w:val="left" w:pos="709"/>
          <w:tab w:val="clear" w:pos="630"/>
        </w:tabs>
      </w:pPr>
      <w:r>
        <w:rPr>
          <w:rFonts w:hint="eastAsia"/>
        </w:rPr>
        <w:t>辅助设施宜包括综合办公楼、司乘公寓、食堂、浴室、门卫等办公生活设施。</w:t>
      </w:r>
    </w:p>
    <w:p w14:paraId="16EE5B6A">
      <w:pPr>
        <w:numPr>
          <w:ilvl w:val="1"/>
          <w:numId w:val="1"/>
        </w:numPr>
        <w:snapToGrid w:val="0"/>
        <w:spacing w:before="156" w:after="156" w:line="240" w:lineRule="auto"/>
        <w:jc w:val="center"/>
        <w:outlineLvl w:val="1"/>
        <w:rPr>
          <w:rFonts w:eastAsia="黑体"/>
          <w:bCs/>
          <w:szCs w:val="28"/>
        </w:rPr>
      </w:pPr>
      <w:bookmarkStart w:id="1930" w:name="_Toc168415308"/>
      <w:bookmarkStart w:id="1931" w:name="_Toc183882233"/>
      <w:bookmarkStart w:id="1932" w:name="_Toc183765242"/>
      <w:bookmarkStart w:id="1933" w:name="_Toc183888647"/>
      <w:bookmarkStart w:id="1934" w:name="_Toc183882595"/>
      <w:bookmarkStart w:id="1935" w:name="_Toc183683636"/>
      <w:bookmarkStart w:id="1936" w:name="_Toc183888285"/>
      <w:bookmarkStart w:id="1937" w:name="_Toc183790672"/>
      <w:r>
        <w:rPr>
          <w:rFonts w:eastAsia="黑体"/>
          <w:bCs/>
          <w:szCs w:val="28"/>
        </w:rPr>
        <w:t>综合维修</w:t>
      </w:r>
      <w:r>
        <w:rPr>
          <w:rFonts w:hint="eastAsia" w:eastAsia="黑体"/>
          <w:bCs/>
          <w:szCs w:val="28"/>
        </w:rPr>
        <w:t>中心</w:t>
      </w:r>
      <w:bookmarkEnd w:id="1930"/>
      <w:bookmarkEnd w:id="1931"/>
      <w:bookmarkEnd w:id="1932"/>
      <w:bookmarkEnd w:id="1933"/>
      <w:bookmarkEnd w:id="1934"/>
      <w:bookmarkEnd w:id="1935"/>
      <w:bookmarkEnd w:id="1936"/>
      <w:bookmarkEnd w:id="1937"/>
    </w:p>
    <w:p w14:paraId="5135BA90">
      <w:pPr>
        <w:pStyle w:val="5"/>
        <w:tabs>
          <w:tab w:val="left" w:pos="709"/>
          <w:tab w:val="clear" w:pos="630"/>
        </w:tabs>
      </w:pPr>
      <w:r>
        <w:t>综合维修</w:t>
      </w:r>
      <w:r>
        <w:rPr>
          <w:rFonts w:hint="eastAsia"/>
        </w:rPr>
        <w:t>中心</w:t>
      </w:r>
      <w:r>
        <w:t>是轨道交通工程范围内的工务、建筑、供电、机电、通信、信号以及自动化系统设备和设施的运用、维修和管理的机构，应具备下列基本功能：</w:t>
      </w:r>
    </w:p>
    <w:p w14:paraId="154303FA">
      <w:pPr>
        <w:ind w:firstLine="422" w:firstLineChars="200"/>
      </w:pPr>
      <w:r>
        <w:rPr>
          <w:b/>
        </w:rPr>
        <w:t xml:space="preserve">1  </w:t>
      </w:r>
      <w:r>
        <w:t>全线轨道、道岔、路基等日常维护和定期检修；</w:t>
      </w:r>
    </w:p>
    <w:p w14:paraId="46FC433E">
      <w:pPr>
        <w:ind w:firstLine="422" w:firstLineChars="200"/>
      </w:pPr>
      <w:r>
        <w:rPr>
          <w:b/>
        </w:rPr>
        <w:t xml:space="preserve">2 </w:t>
      </w:r>
      <w:r>
        <w:t xml:space="preserve"> 全线车站建筑、站内装饰、导向标志、出入口设施、风厅、隧道、桥梁等日常维护和定期检修；</w:t>
      </w:r>
    </w:p>
    <w:p w14:paraId="56AC8EEB">
      <w:pPr>
        <w:ind w:firstLine="422" w:firstLineChars="200"/>
      </w:pPr>
      <w:r>
        <w:rPr>
          <w:b/>
        </w:rPr>
        <w:t xml:space="preserve">3 </w:t>
      </w:r>
      <w:r>
        <w:t xml:space="preserve"> 全线供电系统，包括变电所设备以及高中压电气线路的运营管理、日常维护和定期检修；</w:t>
      </w:r>
    </w:p>
    <w:p w14:paraId="34F3AEB4">
      <w:pPr>
        <w:ind w:firstLine="422" w:firstLineChars="200"/>
      </w:pPr>
      <w:r>
        <w:rPr>
          <w:b/>
        </w:rPr>
        <w:t xml:space="preserve">4 </w:t>
      </w:r>
      <w:r>
        <w:t xml:space="preserve"> 全线各种机电系统及设备，包括通风空调系统、给排水系统、自动扶梯、电梯及自动售检票机、</w:t>
      </w:r>
      <w:r>
        <w:rPr>
          <w:rFonts w:hint="eastAsia"/>
        </w:rPr>
        <w:t>站台屏蔽门</w:t>
      </w:r>
      <w:r>
        <w:t>等的运营管理、日常维护和定期检修；</w:t>
      </w:r>
    </w:p>
    <w:p w14:paraId="0382075C">
      <w:pPr>
        <w:ind w:firstLine="422" w:firstLineChars="200"/>
      </w:pPr>
      <w:r>
        <w:rPr>
          <w:b/>
        </w:rPr>
        <w:t xml:space="preserve">5 </w:t>
      </w:r>
      <w:r>
        <w:t xml:space="preserve"> 全线通信、信号系统的运营管理、日常维护和定期检修；</w:t>
      </w:r>
    </w:p>
    <w:p w14:paraId="2E611157">
      <w:pPr>
        <w:ind w:firstLine="422" w:firstLineChars="200"/>
      </w:pPr>
      <w:r>
        <w:rPr>
          <w:b/>
        </w:rPr>
        <w:t>6</w:t>
      </w:r>
      <w:r>
        <w:t xml:space="preserve">  全线环境与设备监控系统、火灾自动报警系统、电力监控等自动化系统的日常维护和定期检修。</w:t>
      </w:r>
    </w:p>
    <w:p w14:paraId="5CE303EE">
      <w:pPr>
        <w:pStyle w:val="5"/>
        <w:tabs>
          <w:tab w:val="left" w:pos="709"/>
          <w:tab w:val="clear" w:pos="630"/>
        </w:tabs>
      </w:pPr>
      <w:r>
        <w:t>综合维修设施可按综合维修中心或专业维修段两种模式设置。当线路形成网络规模时，宜采用专业维修段模式，实现资源共享。</w:t>
      </w:r>
    </w:p>
    <w:p w14:paraId="0C1AACB0">
      <w:pPr>
        <w:pStyle w:val="5"/>
        <w:tabs>
          <w:tab w:val="left" w:pos="709"/>
          <w:tab w:val="clear" w:pos="630"/>
        </w:tabs>
      </w:pPr>
      <w:r>
        <w:t>综合维修</w:t>
      </w:r>
      <w:r>
        <w:rPr>
          <w:rFonts w:hint="eastAsia"/>
        </w:rPr>
        <w:t>中心</w:t>
      </w:r>
      <w:r>
        <w:t>应以巡检、现场检修、零部件更换为主，修理为辅，机电设备大、中修宜委外，并根据专业特点分设维修车间、巡检工区。集中设置</w:t>
      </w:r>
      <w:r>
        <w:rPr>
          <w:rFonts w:hint="eastAsia"/>
        </w:rPr>
        <w:t>工程</w:t>
      </w:r>
      <w:r>
        <w:t>车库、材料库(棚)等。</w:t>
      </w:r>
    </w:p>
    <w:p w14:paraId="765F8CA3">
      <w:pPr>
        <w:pStyle w:val="5"/>
        <w:tabs>
          <w:tab w:val="left" w:pos="709"/>
          <w:tab w:val="clear" w:pos="630"/>
        </w:tabs>
      </w:pPr>
      <w:r>
        <w:t>综合维修</w:t>
      </w:r>
      <w:r>
        <w:rPr>
          <w:rFonts w:hint="eastAsia"/>
        </w:rPr>
        <w:t>中心</w:t>
      </w:r>
      <w:r>
        <w:t>的机构宜根据各专业的性质分设工务、建筑、供电、机电、通信信号和自动化等车间。车间宜采用组合式建筑。</w:t>
      </w:r>
    </w:p>
    <w:p w14:paraId="4AA34BF7">
      <w:pPr>
        <w:pStyle w:val="5"/>
        <w:tabs>
          <w:tab w:val="left" w:pos="709"/>
          <w:tab w:val="clear" w:pos="630"/>
        </w:tabs>
      </w:pPr>
      <w:r>
        <w:t>综合维修</w:t>
      </w:r>
      <w:r>
        <w:rPr>
          <w:rFonts w:hint="eastAsia"/>
        </w:rPr>
        <w:t>中心</w:t>
      </w:r>
      <w:r>
        <w:t>应根据生产需要配备生产房屋，仓库和必要的办公生活房屋。房屋的布置宜根据作业要求并结合总平面布置合理布局。生活房屋宜与车辆</w:t>
      </w:r>
      <w:r>
        <w:rPr>
          <w:rFonts w:hint="eastAsia"/>
        </w:rPr>
        <w:t>基地</w:t>
      </w:r>
      <w:r>
        <w:t>同类房屋合并设置。</w:t>
      </w:r>
    </w:p>
    <w:p w14:paraId="75A61B38">
      <w:pPr>
        <w:pStyle w:val="5"/>
        <w:tabs>
          <w:tab w:val="left" w:pos="709"/>
          <w:tab w:val="clear" w:pos="630"/>
        </w:tabs>
      </w:pPr>
      <w:r>
        <w:t>综合维修</w:t>
      </w:r>
      <w:r>
        <w:rPr>
          <w:rFonts w:hint="eastAsia"/>
        </w:rPr>
        <w:t>中心</w:t>
      </w:r>
      <w:r>
        <w:t>应根据各专业的工作内容和工作量配备必要的设备。机械设备的配备应力求一机多能，常规设备</w:t>
      </w:r>
      <w:r>
        <w:rPr>
          <w:rFonts w:hint="eastAsia"/>
        </w:rPr>
        <w:t>宜</w:t>
      </w:r>
      <w:r>
        <w:t>共用。</w:t>
      </w:r>
    </w:p>
    <w:p w14:paraId="006F210B">
      <w:pPr>
        <w:pStyle w:val="5"/>
        <w:tabs>
          <w:tab w:val="left" w:pos="709"/>
          <w:tab w:val="clear" w:pos="630"/>
        </w:tabs>
      </w:pPr>
      <w:r>
        <w:t>综合</w:t>
      </w:r>
      <w:r>
        <w:rPr>
          <w:rFonts w:hint="eastAsia"/>
        </w:rPr>
        <w:t>维修中心</w:t>
      </w:r>
      <w:r>
        <w:t>应配备</w:t>
      </w:r>
      <w:r>
        <w:rPr>
          <w:rFonts w:hint="eastAsia"/>
        </w:rPr>
        <w:t>工程</w:t>
      </w:r>
      <w:r>
        <w:t>车库和必要的检修设施</w:t>
      </w:r>
      <w:r>
        <w:rPr>
          <w:rFonts w:hint="eastAsia"/>
        </w:rPr>
        <w:t>，工程车库可与调车机车库资源共享，参考调车机车库的设计标准。</w:t>
      </w:r>
    </w:p>
    <w:p w14:paraId="4253537A">
      <w:pPr>
        <w:pStyle w:val="5"/>
        <w:tabs>
          <w:tab w:val="left" w:pos="709"/>
          <w:tab w:val="clear" w:pos="630"/>
        </w:tabs>
      </w:pPr>
      <w:r>
        <w:rPr>
          <w:rFonts w:hint="eastAsia"/>
        </w:rPr>
        <w:t>综合维修中心配备的</w:t>
      </w:r>
      <w:r>
        <w:t>大型工程车应结合线网规划统一配置</w:t>
      </w:r>
      <w:r>
        <w:rPr>
          <w:rFonts w:hint="eastAsia"/>
        </w:rPr>
        <w:t>，含</w:t>
      </w:r>
      <w:r>
        <w:t>隧道冲洗车</w:t>
      </w:r>
      <w:r>
        <w:rPr>
          <w:rFonts w:hint="eastAsia"/>
        </w:rPr>
        <w:t>、</w:t>
      </w:r>
      <w:r>
        <w:t>轨道探伤、检测车、磨轨车、轨道车、平板车及其他专用车辆。</w:t>
      </w:r>
    </w:p>
    <w:p w14:paraId="11B636CE">
      <w:pPr>
        <w:numPr>
          <w:ilvl w:val="1"/>
          <w:numId w:val="1"/>
        </w:numPr>
        <w:tabs>
          <w:tab w:val="left" w:pos="709"/>
          <w:tab w:val="clear" w:pos="567"/>
        </w:tabs>
        <w:snapToGrid w:val="0"/>
        <w:spacing w:before="156" w:after="156" w:line="240" w:lineRule="auto"/>
        <w:jc w:val="center"/>
        <w:outlineLvl w:val="1"/>
        <w:rPr>
          <w:rFonts w:eastAsia="黑体"/>
          <w:bCs/>
          <w:szCs w:val="28"/>
        </w:rPr>
      </w:pPr>
      <w:bookmarkStart w:id="1938" w:name="_Toc183790673"/>
      <w:bookmarkStart w:id="1939" w:name="_Toc183882596"/>
      <w:bookmarkStart w:id="1940" w:name="_Toc168415309"/>
      <w:bookmarkStart w:id="1941" w:name="_Toc183765243"/>
      <w:bookmarkStart w:id="1942" w:name="_Toc183882234"/>
      <w:bookmarkStart w:id="1943" w:name="_Toc183683637"/>
      <w:bookmarkStart w:id="1944" w:name="_Toc183888286"/>
      <w:bookmarkStart w:id="1945" w:name="_Toc183888648"/>
      <w:r>
        <w:rPr>
          <w:rFonts w:eastAsia="黑体"/>
          <w:bCs/>
          <w:szCs w:val="28"/>
        </w:rPr>
        <w:t>物资总库</w:t>
      </w:r>
      <w:bookmarkEnd w:id="1938"/>
      <w:bookmarkEnd w:id="1939"/>
      <w:bookmarkEnd w:id="1940"/>
      <w:bookmarkEnd w:id="1941"/>
      <w:bookmarkEnd w:id="1942"/>
      <w:bookmarkEnd w:id="1943"/>
      <w:bookmarkEnd w:id="1944"/>
      <w:bookmarkEnd w:id="1945"/>
    </w:p>
    <w:p w14:paraId="166146B8">
      <w:pPr>
        <w:pStyle w:val="5"/>
        <w:tabs>
          <w:tab w:val="left" w:pos="851"/>
          <w:tab w:val="clear" w:pos="630"/>
        </w:tabs>
      </w:pPr>
      <w:r>
        <w:t>物资总库宜结合线网情况统筹设置。各条线路应视具体情况</w:t>
      </w:r>
      <w:r>
        <w:rPr>
          <w:rFonts w:hint="eastAsia"/>
        </w:rPr>
        <w:t>建设</w:t>
      </w:r>
      <w:r>
        <w:t>物资库</w:t>
      </w:r>
      <w:r>
        <w:rPr>
          <w:rFonts w:hint="eastAsia"/>
        </w:rPr>
        <w:t>房</w:t>
      </w:r>
      <w:r>
        <w:t>。</w:t>
      </w:r>
    </w:p>
    <w:p w14:paraId="2CE2B811">
      <w:pPr>
        <w:pStyle w:val="5"/>
        <w:tabs>
          <w:tab w:val="left" w:pos="851"/>
          <w:tab w:val="clear" w:pos="630"/>
        </w:tabs>
      </w:pPr>
      <w:r>
        <w:t>各库房的规模应根据存放的材料、配件和设备的种类、数量计算确定，不同性质的材料、物资宜分库存放。对存储环境、温湿度有较高要求的备品备件，应单独设立房间保管。</w:t>
      </w:r>
    </w:p>
    <w:p w14:paraId="10BC38FF">
      <w:pPr>
        <w:pStyle w:val="5"/>
        <w:tabs>
          <w:tab w:val="left" w:pos="851"/>
          <w:tab w:val="clear" w:pos="630"/>
        </w:tabs>
      </w:pPr>
      <w:r>
        <w:t>各库房应配备必要的装卸、起重设备和运输车辆，并应有汽车运输道路与外界公路连通。</w:t>
      </w:r>
    </w:p>
    <w:p w14:paraId="1FE359CB">
      <w:pPr>
        <w:pStyle w:val="5"/>
        <w:tabs>
          <w:tab w:val="left" w:pos="851"/>
          <w:tab w:val="clear" w:pos="630"/>
        </w:tabs>
      </w:pPr>
      <w:r>
        <w:t>物资总库应有足够面积的露天存放场地。</w:t>
      </w:r>
    </w:p>
    <w:p w14:paraId="6FF87B56">
      <w:pPr>
        <w:numPr>
          <w:ilvl w:val="1"/>
          <w:numId w:val="1"/>
        </w:numPr>
        <w:tabs>
          <w:tab w:val="left" w:pos="709"/>
          <w:tab w:val="clear" w:pos="567"/>
        </w:tabs>
        <w:snapToGrid w:val="0"/>
        <w:spacing w:before="156" w:after="156" w:line="240" w:lineRule="auto"/>
        <w:jc w:val="center"/>
        <w:outlineLvl w:val="1"/>
        <w:rPr>
          <w:rFonts w:eastAsia="黑体"/>
          <w:bCs/>
          <w:szCs w:val="28"/>
        </w:rPr>
      </w:pPr>
      <w:bookmarkStart w:id="1946" w:name="_Toc183888287"/>
      <w:bookmarkStart w:id="1947" w:name="_Toc183790674"/>
      <w:bookmarkStart w:id="1948" w:name="_Toc183683638"/>
      <w:bookmarkStart w:id="1949" w:name="_Toc168415310"/>
      <w:bookmarkStart w:id="1950" w:name="_Toc183888649"/>
      <w:bookmarkStart w:id="1951" w:name="_Toc183882597"/>
      <w:bookmarkStart w:id="1952" w:name="_Toc183882235"/>
      <w:bookmarkStart w:id="1953" w:name="_Toc183765244"/>
      <w:r>
        <w:rPr>
          <w:rFonts w:eastAsia="黑体"/>
          <w:bCs/>
          <w:szCs w:val="28"/>
        </w:rPr>
        <w:t>培训中心</w:t>
      </w:r>
      <w:bookmarkEnd w:id="1946"/>
      <w:bookmarkEnd w:id="1947"/>
      <w:bookmarkEnd w:id="1948"/>
      <w:bookmarkEnd w:id="1949"/>
      <w:bookmarkEnd w:id="1950"/>
      <w:bookmarkEnd w:id="1951"/>
      <w:bookmarkEnd w:id="1952"/>
      <w:bookmarkEnd w:id="1953"/>
    </w:p>
    <w:p w14:paraId="2AA09418">
      <w:pPr>
        <w:pStyle w:val="5"/>
        <w:tabs>
          <w:tab w:val="left" w:pos="851"/>
          <w:tab w:val="clear" w:pos="630"/>
        </w:tabs>
      </w:pPr>
      <w:r>
        <w:t>培训中心负责组织和管理职工的技术教育和定期培训工作，应根据系统的实际需要设置。</w:t>
      </w:r>
    </w:p>
    <w:p w14:paraId="6D5E2E50">
      <w:pPr>
        <w:pStyle w:val="5"/>
        <w:tabs>
          <w:tab w:val="left" w:pos="851"/>
          <w:tab w:val="clear" w:pos="630"/>
        </w:tabs>
      </w:pPr>
      <w:r>
        <w:t>单独设置轨道交通线路培训中心时，宜结合</w:t>
      </w:r>
      <w:r>
        <w:rPr>
          <w:rFonts w:hint="eastAsia"/>
        </w:rPr>
        <w:t>车辆基地</w:t>
      </w:r>
      <w:r>
        <w:t>设置，必要时也可单独设置。</w:t>
      </w:r>
    </w:p>
    <w:p w14:paraId="5123ABD9">
      <w:pPr>
        <w:pStyle w:val="5"/>
        <w:tabs>
          <w:tab w:val="left" w:pos="851"/>
          <w:tab w:val="clear" w:pos="630"/>
        </w:tabs>
      </w:pPr>
      <w:r>
        <w:t>培训中心应设教室、实验室、模拟驾驶室、专业系统操作培训室、图书室、阅览室和教职员工办公、生活用房，并配备必要的教学设备。</w:t>
      </w:r>
    </w:p>
    <w:p w14:paraId="6084762D">
      <w:pPr>
        <w:pStyle w:val="5"/>
        <w:tabs>
          <w:tab w:val="left" w:pos="851"/>
          <w:tab w:val="clear" w:pos="630"/>
        </w:tabs>
      </w:pPr>
      <w:r>
        <w:t>接触网线路应</w:t>
      </w:r>
      <w:r>
        <w:rPr>
          <w:rFonts w:hint="eastAsia"/>
        </w:rPr>
        <w:t>结合</w:t>
      </w:r>
      <w:r>
        <w:t>车辆基地</w:t>
      </w:r>
      <w:r>
        <w:rPr>
          <w:rFonts w:hint="eastAsia"/>
        </w:rPr>
        <w:t>设置</w:t>
      </w:r>
      <w:r>
        <w:t>接触网专业练兵线，练兵线应体现出所辖线路接触网的所有结构形式，并能实现接触网不同的工作形式。</w:t>
      </w:r>
    </w:p>
    <w:p w14:paraId="54B68E16">
      <w:pPr>
        <w:numPr>
          <w:ilvl w:val="1"/>
          <w:numId w:val="1"/>
        </w:numPr>
        <w:tabs>
          <w:tab w:val="left" w:pos="709"/>
          <w:tab w:val="clear" w:pos="567"/>
        </w:tabs>
        <w:snapToGrid w:val="0"/>
        <w:spacing w:before="156" w:after="156" w:line="240" w:lineRule="auto"/>
        <w:jc w:val="center"/>
        <w:outlineLvl w:val="1"/>
        <w:rPr>
          <w:rFonts w:eastAsia="黑体"/>
          <w:bCs/>
          <w:szCs w:val="28"/>
        </w:rPr>
      </w:pPr>
      <w:bookmarkStart w:id="1954" w:name="_Toc183765245"/>
      <w:bookmarkStart w:id="1955" w:name="_Toc183888288"/>
      <w:bookmarkStart w:id="1956" w:name="_Toc183888650"/>
      <w:bookmarkStart w:id="1957" w:name="_Toc168415311"/>
      <w:bookmarkStart w:id="1958" w:name="_Toc183790675"/>
      <w:bookmarkStart w:id="1959" w:name="_Toc183882236"/>
      <w:bookmarkStart w:id="1960" w:name="_Toc183882598"/>
      <w:bookmarkStart w:id="1961" w:name="_Toc183683639"/>
      <w:r>
        <w:rPr>
          <w:rFonts w:eastAsia="黑体"/>
          <w:bCs/>
          <w:szCs w:val="28"/>
        </w:rPr>
        <w:t>房屋建筑</w:t>
      </w:r>
      <w:bookmarkEnd w:id="1954"/>
      <w:bookmarkEnd w:id="1955"/>
      <w:bookmarkEnd w:id="1956"/>
      <w:bookmarkEnd w:id="1957"/>
      <w:bookmarkEnd w:id="1958"/>
      <w:bookmarkEnd w:id="1959"/>
      <w:bookmarkEnd w:id="1960"/>
      <w:bookmarkEnd w:id="1961"/>
    </w:p>
    <w:p w14:paraId="7A75D7DA">
      <w:pPr>
        <w:pStyle w:val="5"/>
        <w:tabs>
          <w:tab w:val="left" w:pos="851"/>
          <w:tab w:val="clear" w:pos="630"/>
        </w:tabs>
      </w:pPr>
      <w:r>
        <w:rPr>
          <w:rFonts w:hint="eastAsia"/>
        </w:rPr>
        <w:t>房屋建筑设计工作年限和防水等级应符合下列规定：</w:t>
      </w:r>
    </w:p>
    <w:p w14:paraId="15E6BBB0">
      <w:pPr>
        <w:ind w:firstLine="422" w:firstLineChars="200"/>
      </w:pPr>
      <w:r>
        <w:rPr>
          <w:b/>
        </w:rPr>
        <w:t xml:space="preserve">1 </w:t>
      </w:r>
      <w:r>
        <w:t xml:space="preserve"> 主要建筑的设计</w:t>
      </w:r>
      <w:r>
        <w:rPr>
          <w:rFonts w:hint="eastAsia"/>
        </w:rPr>
        <w:t>工作</w:t>
      </w:r>
      <w:r>
        <w:t>年限不应低于3类，50年；</w:t>
      </w:r>
    </w:p>
    <w:p w14:paraId="4FBAFB38">
      <w:pPr>
        <w:ind w:firstLine="446" w:firstLineChars="200"/>
      </w:pPr>
      <w:r>
        <w:rPr>
          <w:rFonts w:hint="eastAsia"/>
          <w:b/>
          <w:spacing w:val="6"/>
          <w:szCs w:val="20"/>
        </w:rPr>
        <w:t xml:space="preserve">2 </w:t>
      </w:r>
      <w:r>
        <w:rPr>
          <w:rFonts w:hint="eastAsia"/>
          <w:spacing w:val="6"/>
          <w:szCs w:val="20"/>
        </w:rPr>
        <w:t xml:space="preserve"> </w:t>
      </w:r>
      <w:r>
        <w:rPr>
          <w:rFonts w:hint="eastAsia"/>
        </w:rPr>
        <w:t>车辆基地</w:t>
      </w:r>
      <w:r>
        <w:t>内单体建筑地下室、屋面、外墙及室内工程的防水设计应符合国家标准《建筑与市政工程防水通用规范》GB55030</w:t>
      </w:r>
      <w:r>
        <w:rPr>
          <w:rFonts w:hint="eastAsia"/>
        </w:rPr>
        <w:t>的要求</w:t>
      </w:r>
      <w:r>
        <w:t>。</w:t>
      </w:r>
    </w:p>
    <w:p w14:paraId="53447A98">
      <w:pPr>
        <w:ind w:firstLine="422" w:firstLineChars="200"/>
      </w:pPr>
      <w:r>
        <w:rPr>
          <w:rFonts w:hint="eastAsia"/>
          <w:b/>
        </w:rPr>
        <w:t xml:space="preserve">3 </w:t>
      </w:r>
      <w:r>
        <w:rPr>
          <w:rFonts w:hint="eastAsia"/>
        </w:rPr>
        <w:t xml:space="preserve"> 车辆基地</w:t>
      </w:r>
      <w:r>
        <w:t>上盖综合利用工程，当</w:t>
      </w:r>
      <w:r>
        <w:rPr>
          <w:rFonts w:hint="eastAsia"/>
        </w:rPr>
        <w:t>位于</w:t>
      </w:r>
      <w:r>
        <w:t>板地下方</w:t>
      </w:r>
      <w:r>
        <w:rPr>
          <w:rFonts w:hint="eastAsia"/>
        </w:rPr>
        <w:t>车辆基地</w:t>
      </w:r>
      <w:r>
        <w:t>建筑远离</w:t>
      </w:r>
      <w:r>
        <w:rPr>
          <w:rFonts w:hint="eastAsia"/>
        </w:rPr>
        <w:t>板地</w:t>
      </w:r>
      <w:r>
        <w:t>边缘</w:t>
      </w:r>
      <w:r>
        <w:rPr>
          <w:rFonts w:hint="eastAsia"/>
        </w:rPr>
        <w:t>且无飘雨风险时</w:t>
      </w:r>
      <w:r>
        <w:t>，板地下方建筑外墙可不设置墙面防水层</w:t>
      </w:r>
      <w:r>
        <w:rPr>
          <w:rFonts w:hint="eastAsia"/>
        </w:rPr>
        <w:t>，板地下方独立建筑屋面可不设置屋面防水层。</w:t>
      </w:r>
    </w:p>
    <w:p w14:paraId="051FFE9A">
      <w:pPr>
        <w:pStyle w:val="5"/>
        <w:tabs>
          <w:tab w:val="left" w:pos="851"/>
          <w:tab w:val="clear" w:pos="630"/>
        </w:tabs>
      </w:pPr>
      <w:r>
        <w:t>建筑设计应符合下列规定：</w:t>
      </w:r>
    </w:p>
    <w:p w14:paraId="37770435">
      <w:pPr>
        <w:ind w:firstLine="422" w:firstLineChars="200"/>
      </w:pPr>
      <w:r>
        <w:rPr>
          <w:b/>
        </w:rPr>
        <w:t xml:space="preserve">1 </w:t>
      </w:r>
      <w:r>
        <w:t xml:space="preserve"> 在符合生产流程、操作要求和使用功能的前提下，建筑物、构筑物等设施宜联合布置。各建筑物之间的间距应符合现行国家标准《建筑设计防火规范》GB50016的有关规定。</w:t>
      </w:r>
    </w:p>
    <w:p w14:paraId="6BE929D0">
      <w:pPr>
        <w:ind w:firstLine="422" w:firstLineChars="200"/>
      </w:pPr>
      <w:r>
        <w:rPr>
          <w:b/>
        </w:rPr>
        <w:t>2</w:t>
      </w:r>
      <w:r>
        <w:t xml:space="preserve">  建筑物的室内地坪，应高于室外场地地面设计标高，且不应小于0.15m；在库内前平过道处，应向库外设0.5%~1%的坡度，并在门洞口上方设雨罩。</w:t>
      </w:r>
    </w:p>
    <w:p w14:paraId="6AF5F21E">
      <w:pPr>
        <w:ind w:firstLine="422" w:firstLineChars="200"/>
      </w:pPr>
      <w:r>
        <w:rPr>
          <w:rFonts w:hint="eastAsia"/>
          <w:b/>
        </w:rPr>
        <w:t>3</w:t>
      </w:r>
      <w:r>
        <w:rPr>
          <w:rFonts w:hint="eastAsia"/>
        </w:rPr>
        <w:t xml:space="preserve">  停车列检库每股道停放两列车并设有可贯通的中通道时，其中通道的宽度和两端的门洞净宽、净高不应小于4m。</w:t>
      </w:r>
    </w:p>
    <w:p w14:paraId="785655EA">
      <w:pPr>
        <w:ind w:firstLine="422" w:firstLineChars="200"/>
      </w:pPr>
      <w:r>
        <w:rPr>
          <w:rFonts w:hint="eastAsia"/>
          <w:b/>
        </w:rPr>
        <w:t>4</w:t>
      </w:r>
      <w:r>
        <w:t xml:space="preserve">  仓库与堆场，应根据贮存物料的性质、货流出入方向、供应对象、贮存面积、运输方式等因素，按不同类别相对集中布置，并为运输、装卸、管理创造有利条件，其防火间距应符合现行国家标准《建筑设计防火规范》GB50016的有关规定。</w:t>
      </w:r>
    </w:p>
    <w:p w14:paraId="232AFD4D">
      <w:pPr>
        <w:ind w:firstLine="422" w:firstLineChars="200"/>
      </w:pPr>
      <w:r>
        <w:rPr>
          <w:rFonts w:hint="eastAsia"/>
          <w:b/>
        </w:rPr>
        <w:t>5</w:t>
      </w:r>
      <w:r>
        <w:t xml:space="preserve">  四层及四层以上或楼面距室外设计地面高度超12m办公建筑应设电梯。</w:t>
      </w:r>
    </w:p>
    <w:p w14:paraId="43444039">
      <w:pPr>
        <w:ind w:firstLine="422" w:firstLineChars="200"/>
      </w:pPr>
      <w:r>
        <w:rPr>
          <w:rFonts w:hint="eastAsia"/>
          <w:b/>
        </w:rPr>
        <w:t>6</w:t>
      </w:r>
      <w:r>
        <w:rPr>
          <w:b/>
        </w:rPr>
        <w:t xml:space="preserve"> </w:t>
      </w:r>
      <w:r>
        <w:t xml:space="preserve"> 办公</w:t>
      </w:r>
      <w:r>
        <w:rPr>
          <w:rFonts w:hint="eastAsia"/>
        </w:rPr>
        <w:t>室的室内净高</w:t>
      </w:r>
      <w:r>
        <w:t>要求应符合现行国家标准《办公建筑设计标准》JGJ/T67的有关规定。</w:t>
      </w:r>
      <w:r>
        <w:rPr>
          <w:rFonts w:hint="eastAsia"/>
        </w:rPr>
        <w:t>走道净高不应低于2.20m，储藏间净高不应低于2.00m。其余停车及工艺设备用房高度可由相关专业确定。</w:t>
      </w:r>
    </w:p>
    <w:p w14:paraId="2C60AEF6">
      <w:pPr>
        <w:ind w:firstLine="422" w:firstLineChars="200"/>
      </w:pPr>
      <w:r>
        <w:rPr>
          <w:rFonts w:hint="eastAsia"/>
          <w:b/>
        </w:rPr>
        <w:t>7</w:t>
      </w:r>
      <w:r>
        <w:rPr>
          <w:rFonts w:hint="eastAsia"/>
        </w:rPr>
        <w:t xml:space="preserve">  普通办公室每人使用面积不应小于6㎡，单间办公室使用面积不宜小于10㎡。</w:t>
      </w:r>
    </w:p>
    <w:p w14:paraId="1424EE8F">
      <w:pPr>
        <w:ind w:firstLine="422" w:firstLineChars="200"/>
      </w:pPr>
      <w:r>
        <w:rPr>
          <w:rFonts w:hint="eastAsia"/>
          <w:b/>
        </w:rPr>
        <w:t xml:space="preserve">8 </w:t>
      </w:r>
      <w:r>
        <w:rPr>
          <w:rFonts w:hint="eastAsia"/>
        </w:rPr>
        <w:t xml:space="preserve"> </w:t>
      </w:r>
      <w:r>
        <w:t>全自动运行的停车</w:t>
      </w:r>
      <w:r>
        <w:rPr>
          <w:rFonts w:hint="eastAsia"/>
        </w:rPr>
        <w:t>库和列检库</w:t>
      </w:r>
      <w:r>
        <w:t>，库内穿越轨道的地下检修通道</w:t>
      </w:r>
      <w:r>
        <w:rPr>
          <w:rFonts w:hint="eastAsia"/>
        </w:rPr>
        <w:t>当同时满足深度不大于4m、</w:t>
      </w:r>
      <w:r>
        <w:t>净高不小于2.1m</w:t>
      </w:r>
      <w:r>
        <w:rPr>
          <w:rFonts w:hint="eastAsia"/>
        </w:rPr>
        <w:t>、</w:t>
      </w:r>
      <w:r>
        <w:t>宽度不小于1.2m</w:t>
      </w:r>
      <w:r>
        <w:rPr>
          <w:rFonts w:hint="eastAsia"/>
        </w:rPr>
        <w:t>、通道出入口间距不大于30m、轨道区出口管理门的通透率不小于50%、地下通道内设置应急照明、地下通道出口的管理门及疏散路径上的管理门火灾时保证不需使用钥匙等任何工具即能从通道及疏散路径处开启条件时，该地下通道可纳入库区防火分区。</w:t>
      </w:r>
    </w:p>
    <w:p w14:paraId="67E09999">
      <w:pPr>
        <w:ind w:firstLine="422" w:firstLineChars="200"/>
      </w:pPr>
      <w:r>
        <w:rPr>
          <w:rFonts w:hint="eastAsia"/>
          <w:b/>
        </w:rPr>
        <w:t>9</w:t>
      </w:r>
      <w:r>
        <w:rPr>
          <w:rFonts w:hint="eastAsia"/>
        </w:rPr>
        <w:t xml:space="preserve">  变电所、</w:t>
      </w:r>
      <w:r>
        <w:t>通信、信号等电气</w:t>
      </w:r>
      <w:r>
        <w:rPr>
          <w:rFonts w:hint="eastAsia"/>
        </w:rPr>
        <w:t>和智能化</w:t>
      </w:r>
      <w:r>
        <w:t>设备用房</w:t>
      </w:r>
      <w:r>
        <w:rPr>
          <w:rFonts w:hint="eastAsia"/>
        </w:rPr>
        <w:t>不应设在卫生间、浴室等经常积水场所的直接下一层，当与其贴邻时，应采取防水措施，房间地面或门槛应高出本楼层地面。</w:t>
      </w:r>
    </w:p>
    <w:p w14:paraId="2E715E85">
      <w:pPr>
        <w:ind w:firstLine="420" w:firstLineChars="200"/>
      </w:pPr>
      <w:r>
        <w:rPr>
          <w:rFonts w:hint="eastAsia"/>
        </w:rPr>
        <w:t>10</w:t>
      </w:r>
      <w:r>
        <w:t xml:space="preserve">  </w:t>
      </w:r>
      <w:r>
        <w:rPr>
          <w:rFonts w:hint="eastAsia"/>
        </w:rPr>
        <w:t>基地四周应设围墙，围墙高度不应小于2.8m，围墙基础不应突出用地红线。</w:t>
      </w:r>
    </w:p>
    <w:p w14:paraId="4E43E949">
      <w:pPr>
        <w:ind w:firstLine="420" w:firstLineChars="200"/>
      </w:pPr>
      <w:r>
        <w:rPr>
          <w:rFonts w:hint="eastAsia"/>
        </w:rPr>
        <w:t xml:space="preserve">11  </w:t>
      </w:r>
      <w:r>
        <w:t>围墙至建筑物、道路和铁路的最小间距，应符合表27.1</w:t>
      </w:r>
      <w:r>
        <w:rPr>
          <w:rFonts w:hint="eastAsia"/>
        </w:rPr>
        <w:t>2</w:t>
      </w:r>
      <w:r>
        <w:t>.2规定。</w:t>
      </w:r>
    </w:p>
    <w:p w14:paraId="1E596E9D">
      <w:pPr>
        <w:pStyle w:val="198"/>
      </w:pPr>
      <w:r>
        <w:rPr>
          <w:rFonts w:hint="eastAsia"/>
        </w:rPr>
        <w:t>表</w:t>
      </w:r>
      <w:r>
        <w:t>2</w:t>
      </w:r>
      <w:r>
        <w:rPr>
          <w:rFonts w:hint="eastAsia"/>
        </w:rPr>
        <w:t>7</w:t>
      </w:r>
      <w:r>
        <w:t>.12.2</w:t>
      </w:r>
      <w:r>
        <w:rPr>
          <w:rFonts w:hint="eastAsia"/>
        </w:rPr>
        <w:t xml:space="preserve">  </w:t>
      </w:r>
      <w:r>
        <w:t>间距表(m)</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169"/>
        <w:gridCol w:w="3171"/>
      </w:tblGrid>
      <w:tr w14:paraId="44C52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8" w:hRule="atLeast"/>
        </w:trPr>
        <w:tc>
          <w:tcPr>
            <w:tcW w:w="3169" w:type="dxa"/>
            <w:tcBorders>
              <w:left w:val="single" w:color="000000" w:sz="6" w:space="0"/>
            </w:tcBorders>
            <w:vAlign w:val="center"/>
          </w:tcPr>
          <w:p w14:paraId="67F52F63">
            <w:pPr>
              <w:pStyle w:val="235"/>
              <w:rPr>
                <w:color w:val="auto"/>
              </w:rPr>
            </w:pPr>
            <w:r>
              <w:rPr>
                <w:color w:val="auto"/>
              </w:rPr>
              <w:t>名称</w:t>
            </w:r>
          </w:p>
        </w:tc>
        <w:tc>
          <w:tcPr>
            <w:tcW w:w="3171" w:type="dxa"/>
            <w:tcBorders>
              <w:right w:val="single" w:color="000000" w:sz="6" w:space="0"/>
            </w:tcBorders>
            <w:vAlign w:val="center"/>
          </w:tcPr>
          <w:p w14:paraId="4427C534">
            <w:pPr>
              <w:pStyle w:val="235"/>
              <w:rPr>
                <w:color w:val="auto"/>
              </w:rPr>
            </w:pPr>
            <w:r>
              <w:rPr>
                <w:color w:val="auto"/>
              </w:rPr>
              <w:t>至围墙最小间距</w:t>
            </w:r>
          </w:p>
        </w:tc>
      </w:tr>
      <w:tr w14:paraId="29062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3" w:hRule="atLeast"/>
        </w:trPr>
        <w:tc>
          <w:tcPr>
            <w:tcW w:w="3169" w:type="dxa"/>
            <w:tcBorders>
              <w:left w:val="single" w:color="000000" w:sz="6" w:space="0"/>
            </w:tcBorders>
            <w:vAlign w:val="center"/>
          </w:tcPr>
          <w:p w14:paraId="5A5DD31E">
            <w:pPr>
              <w:pStyle w:val="235"/>
              <w:rPr>
                <w:color w:val="auto"/>
              </w:rPr>
            </w:pPr>
            <w:r>
              <w:rPr>
                <w:color w:val="auto"/>
              </w:rPr>
              <w:t>建筑物</w:t>
            </w:r>
          </w:p>
        </w:tc>
        <w:tc>
          <w:tcPr>
            <w:tcW w:w="3171" w:type="dxa"/>
            <w:tcBorders>
              <w:right w:val="single" w:color="000000" w:sz="6" w:space="0"/>
            </w:tcBorders>
            <w:vAlign w:val="center"/>
          </w:tcPr>
          <w:p w14:paraId="5C79001C">
            <w:pPr>
              <w:pStyle w:val="235"/>
              <w:rPr>
                <w:color w:val="auto"/>
              </w:rPr>
            </w:pPr>
            <w:r>
              <w:rPr>
                <w:color w:val="auto"/>
              </w:rPr>
              <w:t>不宜小于5.0</w:t>
            </w:r>
          </w:p>
        </w:tc>
      </w:tr>
      <w:tr w14:paraId="7D465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7" w:hRule="atLeast"/>
        </w:trPr>
        <w:tc>
          <w:tcPr>
            <w:tcW w:w="3169" w:type="dxa"/>
            <w:tcBorders>
              <w:left w:val="single" w:color="000000" w:sz="6" w:space="0"/>
            </w:tcBorders>
            <w:vAlign w:val="center"/>
          </w:tcPr>
          <w:p w14:paraId="6C06F2B8">
            <w:pPr>
              <w:pStyle w:val="235"/>
              <w:rPr>
                <w:color w:val="auto"/>
              </w:rPr>
            </w:pPr>
            <w:r>
              <w:rPr>
                <w:color w:val="auto"/>
              </w:rPr>
              <w:t>道路</w:t>
            </w:r>
          </w:p>
        </w:tc>
        <w:tc>
          <w:tcPr>
            <w:tcW w:w="3171" w:type="dxa"/>
            <w:tcBorders>
              <w:right w:val="single" w:color="000000" w:sz="6" w:space="0"/>
            </w:tcBorders>
            <w:vAlign w:val="center"/>
          </w:tcPr>
          <w:p w14:paraId="619A734E">
            <w:pPr>
              <w:pStyle w:val="235"/>
              <w:rPr>
                <w:color w:val="auto"/>
              </w:rPr>
            </w:pPr>
            <w:r>
              <w:rPr>
                <w:color w:val="auto"/>
              </w:rPr>
              <w:t>不小于1.0</w:t>
            </w:r>
          </w:p>
        </w:tc>
      </w:tr>
      <w:tr w14:paraId="64E32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2" w:hRule="atLeast"/>
        </w:trPr>
        <w:tc>
          <w:tcPr>
            <w:tcW w:w="3169" w:type="dxa"/>
            <w:tcBorders>
              <w:left w:val="single" w:color="000000" w:sz="6" w:space="0"/>
            </w:tcBorders>
            <w:vAlign w:val="center"/>
          </w:tcPr>
          <w:p w14:paraId="0EA7B162">
            <w:pPr>
              <w:pStyle w:val="235"/>
              <w:rPr>
                <w:color w:val="auto"/>
              </w:rPr>
            </w:pPr>
            <w:r>
              <w:rPr>
                <w:color w:val="auto"/>
              </w:rPr>
              <w:t>铁路中心线</w:t>
            </w:r>
          </w:p>
        </w:tc>
        <w:tc>
          <w:tcPr>
            <w:tcW w:w="3171" w:type="dxa"/>
            <w:tcBorders>
              <w:right w:val="single" w:color="000000" w:sz="6" w:space="0"/>
            </w:tcBorders>
            <w:vAlign w:val="center"/>
          </w:tcPr>
          <w:p w14:paraId="524CBC5D">
            <w:pPr>
              <w:pStyle w:val="235"/>
              <w:rPr>
                <w:color w:val="auto"/>
              </w:rPr>
            </w:pPr>
            <w:r>
              <w:rPr>
                <w:color w:val="auto"/>
              </w:rPr>
              <w:t>不宜小于3.0</w:t>
            </w:r>
          </w:p>
        </w:tc>
      </w:tr>
    </w:tbl>
    <w:p w14:paraId="7A1166A4">
      <w:pPr>
        <w:pStyle w:val="5"/>
        <w:tabs>
          <w:tab w:val="left" w:pos="851"/>
          <w:tab w:val="clear" w:pos="630"/>
        </w:tabs>
      </w:pPr>
      <w:r>
        <w:t>危废间</w:t>
      </w:r>
      <w:r>
        <w:rPr>
          <w:rFonts w:hint="eastAsia"/>
        </w:rPr>
        <w:t>设置应符合下列规定：</w:t>
      </w:r>
    </w:p>
    <w:p w14:paraId="089BAD40">
      <w:pPr>
        <w:ind w:firstLine="422" w:firstLineChars="200"/>
      </w:pPr>
      <w:r>
        <w:rPr>
          <w:rFonts w:hint="eastAsia"/>
          <w:b/>
        </w:rPr>
        <w:t xml:space="preserve">1  </w:t>
      </w:r>
      <w:r>
        <w:rPr>
          <w:rFonts w:hint="eastAsia"/>
        </w:rPr>
        <w:t>根据危险废物的类别、数量、形态、物理化学性质和污染防治等要求设置必要的贮存分区，避免不相容的危险废物接触、混合。不同贮存分区之间应采取过道、隔板或隔墙等隔离措施。</w:t>
      </w:r>
    </w:p>
    <w:p w14:paraId="5752138A">
      <w:pPr>
        <w:ind w:firstLine="422" w:firstLineChars="200"/>
      </w:pPr>
      <w:r>
        <w:rPr>
          <w:rFonts w:hint="eastAsia"/>
          <w:b/>
        </w:rPr>
        <w:t xml:space="preserve">2 </w:t>
      </w:r>
      <w:r>
        <w:rPr>
          <w:rFonts w:hint="eastAsia"/>
        </w:rPr>
        <w:t xml:space="preserve"> 危废间</w:t>
      </w:r>
      <w:r>
        <w:t>地面</w:t>
      </w:r>
      <w:r>
        <w:rPr>
          <w:rFonts w:hint="eastAsia"/>
        </w:rPr>
        <w:t>与裙角</w:t>
      </w:r>
      <w:r>
        <w:t>应</w:t>
      </w:r>
      <w:r>
        <w:rPr>
          <w:rFonts w:hint="eastAsia"/>
        </w:rPr>
        <w:t>采取表面</w:t>
      </w:r>
      <w:r>
        <w:t>防渗</w:t>
      </w:r>
      <w:r>
        <w:rPr>
          <w:rFonts w:hint="eastAsia"/>
        </w:rPr>
        <w:t>措施。</w:t>
      </w:r>
    </w:p>
    <w:p w14:paraId="02C4842E">
      <w:pPr>
        <w:ind w:firstLine="422" w:firstLineChars="200"/>
      </w:pPr>
      <w:r>
        <w:rPr>
          <w:rFonts w:hint="eastAsia"/>
          <w:b/>
        </w:rPr>
        <w:t xml:space="preserve">3 </w:t>
      </w:r>
      <w:r>
        <w:rPr>
          <w:rFonts w:hint="eastAsia"/>
        </w:rPr>
        <w:t xml:space="preserve"> </w:t>
      </w:r>
      <w:r>
        <w:t>危废间的设计应符合现行国家标准《危险废物贮存污染控制标准》GB18597的有关规定。</w:t>
      </w:r>
    </w:p>
    <w:p w14:paraId="480F9388">
      <w:pPr>
        <w:pStyle w:val="5"/>
        <w:tabs>
          <w:tab w:val="left" w:pos="851"/>
          <w:tab w:val="clear" w:pos="630"/>
        </w:tabs>
      </w:pPr>
      <w:r>
        <w:t>建筑单体火灾危险性分类应符合本规范</w:t>
      </w:r>
      <w:r>
        <w:rPr>
          <w:rFonts w:hint="eastAsia"/>
        </w:rPr>
        <w:t>第30</w:t>
      </w:r>
      <w:r>
        <w:t>.2.</w:t>
      </w:r>
      <w:r>
        <w:rPr>
          <w:rFonts w:hint="eastAsia"/>
        </w:rPr>
        <w:t>60</w:t>
      </w:r>
      <w:r>
        <w:t>条</w:t>
      </w:r>
      <w:r>
        <w:rPr>
          <w:rFonts w:hint="eastAsia"/>
        </w:rPr>
        <w:t>的有关规定</w:t>
      </w:r>
      <w:r>
        <w:t>。</w:t>
      </w:r>
    </w:p>
    <w:p w14:paraId="189B9271">
      <w:pPr>
        <w:pStyle w:val="5"/>
        <w:tabs>
          <w:tab w:val="left" w:pos="851"/>
          <w:tab w:val="clear" w:pos="630"/>
        </w:tabs>
      </w:pPr>
      <w:r>
        <w:t>绿化布置应符合下列原则：</w:t>
      </w:r>
    </w:p>
    <w:p w14:paraId="234DAEDA">
      <w:pPr>
        <w:pStyle w:val="7"/>
        <w:ind w:firstLine="420"/>
      </w:pPr>
      <w:r>
        <w:rPr>
          <w:rFonts w:hint="eastAsia"/>
        </w:rPr>
        <w:t>不综合利用的车辆基地</w:t>
      </w:r>
      <w:r>
        <w:t>绿</w:t>
      </w:r>
      <w:r>
        <w:rPr>
          <w:rFonts w:hint="eastAsia"/>
        </w:rPr>
        <w:t>地</w:t>
      </w:r>
      <w:r>
        <w:t>率</w:t>
      </w:r>
      <w:r>
        <w:rPr>
          <w:rFonts w:hint="eastAsia"/>
        </w:rPr>
        <w:t>宜</w:t>
      </w:r>
      <w:r>
        <w:t>不</w:t>
      </w:r>
      <w:r>
        <w:rPr>
          <w:rFonts w:hint="eastAsia"/>
        </w:rPr>
        <w:t>高</w:t>
      </w:r>
      <w:r>
        <w:t>于</w:t>
      </w:r>
      <w:r>
        <w:rPr>
          <w:rFonts w:hint="eastAsia"/>
        </w:rPr>
        <w:t>2</w:t>
      </w:r>
      <w:r>
        <w:t>0%；</w:t>
      </w:r>
    </w:p>
    <w:p w14:paraId="7639A4B4">
      <w:pPr>
        <w:pStyle w:val="7"/>
        <w:ind w:firstLine="420"/>
      </w:pPr>
      <w:r>
        <w:t>厂前区及办公、生活区</w:t>
      </w:r>
      <w:r>
        <w:rPr>
          <w:rFonts w:hint="eastAsia"/>
        </w:rPr>
        <w:t>应</w:t>
      </w:r>
      <w:r>
        <w:t>进行绿化，厂区非建筑地段及零星空地</w:t>
      </w:r>
      <w:r>
        <w:rPr>
          <w:rFonts w:hint="eastAsia"/>
        </w:rPr>
        <w:t>宜</w:t>
      </w:r>
      <w:r>
        <w:t>绿化；</w:t>
      </w:r>
    </w:p>
    <w:p w14:paraId="1C70807C">
      <w:pPr>
        <w:pStyle w:val="7"/>
        <w:ind w:firstLine="420"/>
      </w:pPr>
      <w:r>
        <w:t>股道区绿化不</w:t>
      </w:r>
      <w:r>
        <w:rPr>
          <w:rFonts w:hint="eastAsia"/>
        </w:rPr>
        <w:t>应</w:t>
      </w:r>
      <w:r>
        <w:t>采用灌木或乔木。</w:t>
      </w:r>
    </w:p>
    <w:p w14:paraId="22FDC886">
      <w:pPr>
        <w:numPr>
          <w:ilvl w:val="1"/>
          <w:numId w:val="1"/>
        </w:numPr>
        <w:tabs>
          <w:tab w:val="left" w:pos="709"/>
          <w:tab w:val="clear" w:pos="567"/>
        </w:tabs>
        <w:snapToGrid w:val="0"/>
        <w:spacing w:before="156" w:after="156" w:line="240" w:lineRule="auto"/>
        <w:jc w:val="center"/>
        <w:outlineLvl w:val="1"/>
        <w:rPr>
          <w:rFonts w:eastAsia="黑体"/>
          <w:bCs/>
          <w:szCs w:val="28"/>
        </w:rPr>
      </w:pPr>
      <w:bookmarkStart w:id="1962" w:name="_Toc183882237"/>
      <w:bookmarkStart w:id="1963" w:name="_Toc183765246"/>
      <w:bookmarkStart w:id="1964" w:name="_Toc183888651"/>
      <w:bookmarkStart w:id="1965" w:name="_Toc183683640"/>
      <w:bookmarkStart w:id="1966" w:name="_Toc168415312"/>
      <w:bookmarkStart w:id="1967" w:name="_Toc183888289"/>
      <w:bookmarkStart w:id="1968" w:name="_Toc31499"/>
      <w:bookmarkStart w:id="1969" w:name="_Toc183790676"/>
      <w:bookmarkStart w:id="1970" w:name="_Toc183882599"/>
      <w:r>
        <w:rPr>
          <w:rFonts w:eastAsia="黑体"/>
          <w:bCs/>
          <w:szCs w:val="28"/>
        </w:rPr>
        <w:t>资源共享</w:t>
      </w:r>
      <w:bookmarkEnd w:id="1962"/>
      <w:bookmarkEnd w:id="1963"/>
      <w:bookmarkEnd w:id="1964"/>
      <w:bookmarkEnd w:id="1965"/>
      <w:bookmarkEnd w:id="1966"/>
      <w:bookmarkEnd w:id="1967"/>
      <w:bookmarkEnd w:id="1968"/>
      <w:bookmarkEnd w:id="1969"/>
      <w:bookmarkEnd w:id="1970"/>
    </w:p>
    <w:p w14:paraId="7D028E59">
      <w:pPr>
        <w:pStyle w:val="5"/>
        <w:tabs>
          <w:tab w:val="left" w:pos="851"/>
          <w:tab w:val="clear" w:pos="630"/>
        </w:tabs>
      </w:pPr>
      <w:r>
        <w:t>线网车辆厂修、架修资源共享应遵循下列原则：</w:t>
      </w:r>
    </w:p>
    <w:p w14:paraId="661BEC15">
      <w:pPr>
        <w:ind w:firstLine="422" w:firstLineChars="200"/>
      </w:pPr>
      <w:r>
        <w:rPr>
          <w:b/>
        </w:rPr>
        <w:t>1</w:t>
      </w:r>
      <w:r>
        <w:rPr>
          <w:rFonts w:hint="eastAsia"/>
          <w:b/>
        </w:rPr>
        <w:t xml:space="preserve">  </w:t>
      </w:r>
      <w:r>
        <w:t>车辆厂修应按轨道交通线网统一规划实施；</w:t>
      </w:r>
    </w:p>
    <w:p w14:paraId="583CD64B">
      <w:pPr>
        <w:ind w:firstLine="422" w:firstLineChars="200"/>
      </w:pPr>
      <w:r>
        <w:rPr>
          <w:b/>
        </w:rPr>
        <w:t>2</w:t>
      </w:r>
      <w:r>
        <w:rPr>
          <w:rFonts w:hint="eastAsia"/>
          <w:b/>
        </w:rPr>
        <w:t xml:space="preserve"> </w:t>
      </w:r>
      <w:r>
        <w:rPr>
          <w:rFonts w:hint="eastAsia"/>
        </w:rPr>
        <w:t xml:space="preserve"> </w:t>
      </w:r>
      <w:r>
        <w:t>线网中相同车型线路的车辆架修应相对集中设置；</w:t>
      </w:r>
    </w:p>
    <w:p w14:paraId="30F5CDF8">
      <w:pPr>
        <w:ind w:firstLine="422" w:firstLineChars="200"/>
      </w:pPr>
      <w:r>
        <w:rPr>
          <w:b/>
        </w:rPr>
        <w:t>3</w:t>
      </w:r>
      <w:r>
        <w:rPr>
          <w:rFonts w:hint="eastAsia"/>
          <w:b/>
        </w:rPr>
        <w:t xml:space="preserve"> </w:t>
      </w:r>
      <w:r>
        <w:rPr>
          <w:rFonts w:hint="eastAsia"/>
        </w:rPr>
        <w:t xml:space="preserve"> </w:t>
      </w:r>
      <w:r>
        <w:t>车辆段的架修规模应</w:t>
      </w:r>
      <w:r>
        <w:rPr>
          <w:rFonts w:hint="eastAsia"/>
        </w:rPr>
        <w:t>满足</w:t>
      </w:r>
      <w:r>
        <w:t>线网资源共享线路的远期最大架修任务量</w:t>
      </w:r>
      <w:r>
        <w:rPr>
          <w:rFonts w:hint="eastAsia"/>
        </w:rPr>
        <w:t>需求</w:t>
      </w:r>
      <w:r>
        <w:t>。</w:t>
      </w:r>
    </w:p>
    <w:p w14:paraId="60EB6AF3">
      <w:pPr>
        <w:pStyle w:val="5"/>
        <w:tabs>
          <w:tab w:val="left" w:pos="851"/>
          <w:tab w:val="clear" w:pos="630"/>
        </w:tabs>
      </w:pPr>
      <w:r>
        <w:t>线网综合维修资源共享应遵循下列原则：</w:t>
      </w:r>
    </w:p>
    <w:p w14:paraId="4272CD89">
      <w:pPr>
        <w:ind w:firstLine="422" w:firstLineChars="200"/>
      </w:pPr>
      <w:r>
        <w:rPr>
          <w:b/>
        </w:rPr>
        <w:t>1</w:t>
      </w:r>
      <w:r>
        <w:rPr>
          <w:rFonts w:hint="eastAsia"/>
          <w:b/>
        </w:rPr>
        <w:t xml:space="preserve"> </w:t>
      </w:r>
      <w:r>
        <w:rPr>
          <w:rFonts w:hint="eastAsia"/>
        </w:rPr>
        <w:t xml:space="preserve"> </w:t>
      </w:r>
      <w:r>
        <w:t>每条线路只设置1处综合维修</w:t>
      </w:r>
      <w:r>
        <w:rPr>
          <w:rFonts w:hint="eastAsia"/>
        </w:rPr>
        <w:t>中心</w:t>
      </w:r>
      <w:r>
        <w:t>，并根据需要增设综合维修工区；</w:t>
      </w:r>
    </w:p>
    <w:p w14:paraId="4943D1C4">
      <w:pPr>
        <w:ind w:firstLine="422" w:firstLineChars="200"/>
      </w:pPr>
      <w:r>
        <w:rPr>
          <w:b/>
        </w:rPr>
        <w:t>2</w:t>
      </w:r>
      <w:r>
        <w:rPr>
          <w:rFonts w:hint="eastAsia"/>
          <w:b/>
        </w:rPr>
        <w:t xml:space="preserve"> </w:t>
      </w:r>
      <w:r>
        <w:rPr>
          <w:rFonts w:hint="eastAsia"/>
        </w:rPr>
        <w:t xml:space="preserve"> </w:t>
      </w:r>
      <w:r>
        <w:t>多条线路</w:t>
      </w:r>
      <w:r>
        <w:rPr>
          <w:rFonts w:hint="eastAsia"/>
        </w:rPr>
        <w:t>车辆基地</w:t>
      </w:r>
      <w:r>
        <w:t>共址合建时，相关线路的综合维修设施宜统筹集中设置于一处。</w:t>
      </w:r>
    </w:p>
    <w:p w14:paraId="49D3339B">
      <w:pPr>
        <w:pStyle w:val="5"/>
        <w:tabs>
          <w:tab w:val="left" w:pos="851"/>
          <w:tab w:val="clear" w:pos="630"/>
        </w:tabs>
      </w:pPr>
      <w:r>
        <w:t>线网物资仓储系统宜全网统筹设置，并统一管理。</w:t>
      </w:r>
    </w:p>
    <w:p w14:paraId="466F8E43">
      <w:pPr>
        <w:pStyle w:val="5"/>
        <w:tabs>
          <w:tab w:val="left" w:pos="851"/>
          <w:tab w:val="clear" w:pos="630"/>
        </w:tabs>
      </w:pPr>
      <w:r>
        <w:t>线网</w:t>
      </w:r>
      <w:r>
        <w:rPr>
          <w:rFonts w:hint="eastAsia"/>
        </w:rPr>
        <w:t>车辆基地</w:t>
      </w:r>
      <w:r>
        <w:t>共址资源共享应遵循下列原则：</w:t>
      </w:r>
    </w:p>
    <w:p w14:paraId="40B168B9">
      <w:pPr>
        <w:ind w:firstLine="422" w:firstLineChars="200"/>
      </w:pPr>
      <w:r>
        <w:rPr>
          <w:b/>
        </w:rPr>
        <w:t>1</w:t>
      </w:r>
      <w:r>
        <w:rPr>
          <w:rFonts w:hint="eastAsia"/>
          <w:b/>
        </w:rPr>
        <w:t xml:space="preserve"> </w:t>
      </w:r>
      <w:r>
        <w:rPr>
          <w:rFonts w:hint="eastAsia"/>
        </w:rPr>
        <w:t xml:space="preserve"> </w:t>
      </w:r>
      <w:r>
        <w:t>采用相同车型的不同线路共址设置时，检修设施和相同功能的设施宜合并设置。</w:t>
      </w:r>
    </w:p>
    <w:p w14:paraId="710B4683">
      <w:pPr>
        <w:ind w:firstLine="422" w:firstLineChars="200"/>
      </w:pPr>
      <w:r>
        <w:rPr>
          <w:b/>
        </w:rPr>
        <w:t>2</w:t>
      </w:r>
      <w:r>
        <w:rPr>
          <w:rFonts w:hint="eastAsia"/>
          <w:b/>
        </w:rPr>
        <w:t xml:space="preserve"> </w:t>
      </w:r>
      <w:r>
        <w:rPr>
          <w:rFonts w:hint="eastAsia"/>
        </w:rPr>
        <w:t xml:space="preserve"> 不同线路的</w:t>
      </w:r>
      <w:r>
        <w:t>镟轮库</w:t>
      </w:r>
      <w:r>
        <w:rPr>
          <w:rFonts w:hint="eastAsia"/>
        </w:rPr>
        <w:t>、</w:t>
      </w:r>
      <w:r>
        <w:t>洗车库应根据作业量计算确定，可分别设置或合用。</w:t>
      </w:r>
    </w:p>
    <w:p w14:paraId="589D1077">
      <w:pPr>
        <w:ind w:firstLine="422" w:firstLineChars="200"/>
      </w:pPr>
      <w:r>
        <w:rPr>
          <w:b/>
        </w:rPr>
        <w:t>3</w:t>
      </w:r>
      <w:r>
        <w:rPr>
          <w:rFonts w:hint="eastAsia"/>
          <w:b/>
        </w:rPr>
        <w:t xml:space="preserve"> </w:t>
      </w:r>
      <w:r>
        <w:rPr>
          <w:rFonts w:hint="eastAsia"/>
        </w:rPr>
        <w:t xml:space="preserve"> </w:t>
      </w:r>
      <w:r>
        <w:t>在</w:t>
      </w:r>
      <w:r>
        <w:rPr>
          <w:rFonts w:hint="eastAsia"/>
        </w:rPr>
        <w:t>车辆基地</w:t>
      </w:r>
      <w:r>
        <w:t>内不同线路之间应设置联络线，使列车在基地内实现线路之间便捷的转线，达到或增强线网车辆通道的功能。</w:t>
      </w:r>
    </w:p>
    <w:p w14:paraId="1C8D8F42">
      <w:pPr>
        <w:ind w:firstLine="422" w:firstLineChars="200"/>
      </w:pPr>
      <w:r>
        <w:rPr>
          <w:b/>
        </w:rPr>
        <w:t>4</w:t>
      </w:r>
      <w:r>
        <w:rPr>
          <w:rFonts w:hint="eastAsia"/>
          <w:b/>
        </w:rPr>
        <w:t xml:space="preserve"> </w:t>
      </w:r>
      <w:r>
        <w:rPr>
          <w:rFonts w:hint="eastAsia"/>
        </w:rPr>
        <w:t xml:space="preserve"> </w:t>
      </w:r>
      <w:r>
        <w:t>不同线路的列车救援、抢险设备宜按照多线合用原则配备，包括列车救援、架空接触网抢修、工务抢修设施等。段内调车、正线巡检和抢修、列车救援等用途的</w:t>
      </w:r>
      <w:r>
        <w:rPr>
          <w:rFonts w:hint="eastAsia"/>
        </w:rPr>
        <w:t>调车</w:t>
      </w:r>
      <w:r>
        <w:t>机车、平板车宜统筹配置，并满足多机重联和互为备用的需要。</w:t>
      </w:r>
    </w:p>
    <w:p w14:paraId="7DBD8B46">
      <w:pPr>
        <w:ind w:firstLine="422" w:firstLineChars="200"/>
      </w:pPr>
      <w:r>
        <w:rPr>
          <w:b/>
        </w:rPr>
        <w:t>5</w:t>
      </w:r>
      <w:r>
        <w:rPr>
          <w:rFonts w:hint="eastAsia"/>
        </w:rPr>
        <w:t xml:space="preserve">  </w:t>
      </w:r>
      <w:r>
        <w:t>生活</w:t>
      </w:r>
      <w:r>
        <w:rPr>
          <w:rFonts w:hint="eastAsia"/>
        </w:rPr>
        <w:t>、</w:t>
      </w:r>
      <w:r>
        <w:t>办公</w:t>
      </w:r>
      <w:r>
        <w:rPr>
          <w:rFonts w:hint="eastAsia"/>
        </w:rPr>
        <w:t>设施</w:t>
      </w:r>
      <w:r>
        <w:t>宜集中布置。</w:t>
      </w:r>
    </w:p>
    <w:p w14:paraId="6B94F463">
      <w:pPr>
        <w:ind w:firstLine="420" w:firstLineChars="200"/>
      </w:pPr>
      <w:r>
        <w:rPr>
          <w:rFonts w:hint="eastAsia"/>
        </w:rPr>
        <w:t xml:space="preserve">6  </w:t>
      </w:r>
      <w:r>
        <w:t>食堂应集中设置，设计规模</w:t>
      </w:r>
      <w:r>
        <w:rPr>
          <w:rFonts w:hint="eastAsia"/>
        </w:rPr>
        <w:t>应根据定员</w:t>
      </w:r>
      <w:r>
        <w:t>计算确定。</w:t>
      </w:r>
    </w:p>
    <w:p w14:paraId="4C7072D3">
      <w:pPr>
        <w:ind w:firstLine="420" w:firstLineChars="200"/>
      </w:pPr>
      <w:r>
        <w:rPr>
          <w:rFonts w:hint="eastAsia"/>
        </w:rPr>
        <w:t xml:space="preserve">7  </w:t>
      </w:r>
      <w:r>
        <w:t>共址</w:t>
      </w:r>
      <w:r>
        <w:rPr>
          <w:rFonts w:hint="eastAsia"/>
        </w:rPr>
        <w:t>车辆基地</w:t>
      </w:r>
      <w:r>
        <w:t>的出入口、道路、市政管网连接、消防设计等应按一个整体工程进行统筹规划、设计。</w:t>
      </w:r>
    </w:p>
    <w:p w14:paraId="10F1E20C">
      <w:pPr>
        <w:pStyle w:val="5"/>
        <w:tabs>
          <w:tab w:val="left" w:pos="851"/>
          <w:tab w:val="clear" w:pos="630"/>
        </w:tabs>
      </w:pPr>
      <w:r>
        <w:t>线网维护</w:t>
      </w:r>
      <w:r>
        <w:rPr>
          <w:rFonts w:hint="eastAsia"/>
        </w:rPr>
        <w:t>的大型工程车辆</w:t>
      </w:r>
      <w:r>
        <w:t>宜全网统一配置。</w:t>
      </w:r>
    </w:p>
    <w:p w14:paraId="2A798E39">
      <w:pPr>
        <w:pStyle w:val="5"/>
        <w:tabs>
          <w:tab w:val="left" w:pos="851"/>
          <w:tab w:val="clear" w:pos="630"/>
        </w:tabs>
      </w:pPr>
      <w:r>
        <w:t>全网应统筹设置培训资源，新建</w:t>
      </w:r>
      <w:r>
        <w:rPr>
          <w:rFonts w:hint="eastAsia"/>
        </w:rPr>
        <w:t>车辆基地</w:t>
      </w:r>
      <w:r>
        <w:t>需要增加的培训设备、设施宜在既有培训资源</w:t>
      </w:r>
      <w:r>
        <w:rPr>
          <w:rFonts w:hint="eastAsia"/>
        </w:rPr>
        <w:t>基础上</w:t>
      </w:r>
      <w:r>
        <w:t>增加。</w:t>
      </w:r>
    </w:p>
    <w:p w14:paraId="1451EC76"/>
    <w:p w14:paraId="25E936D9">
      <w:pPr>
        <w:numPr>
          <w:ilvl w:val="1"/>
          <w:numId w:val="1"/>
        </w:numPr>
        <w:tabs>
          <w:tab w:val="left" w:pos="709"/>
          <w:tab w:val="clear" w:pos="567"/>
        </w:tabs>
        <w:snapToGrid w:val="0"/>
        <w:spacing w:before="156" w:after="156" w:line="240" w:lineRule="auto"/>
        <w:jc w:val="center"/>
        <w:outlineLvl w:val="1"/>
        <w:rPr>
          <w:rFonts w:eastAsia="黑体"/>
          <w:bCs/>
          <w:szCs w:val="28"/>
        </w:rPr>
      </w:pPr>
      <w:bookmarkStart w:id="1971" w:name="_Toc183683641"/>
      <w:bookmarkStart w:id="1972" w:name="_Toc183765247"/>
      <w:bookmarkStart w:id="1973" w:name="_Toc183888652"/>
      <w:bookmarkStart w:id="1974" w:name="_Toc183882600"/>
      <w:bookmarkStart w:id="1975" w:name="_Toc183888290"/>
      <w:bookmarkStart w:id="1976" w:name="_Toc183790677"/>
      <w:bookmarkStart w:id="1977" w:name="_Toc23391"/>
      <w:bookmarkStart w:id="1978" w:name="_Toc168415313"/>
      <w:bookmarkStart w:id="1979" w:name="_Toc183882238"/>
      <w:r>
        <w:rPr>
          <w:rFonts w:eastAsia="黑体"/>
          <w:bCs/>
          <w:szCs w:val="28"/>
        </w:rPr>
        <w:t>配套设施规模</w:t>
      </w:r>
      <w:bookmarkEnd w:id="1971"/>
      <w:bookmarkEnd w:id="1972"/>
      <w:bookmarkEnd w:id="1973"/>
      <w:bookmarkEnd w:id="1974"/>
      <w:bookmarkEnd w:id="1975"/>
      <w:bookmarkEnd w:id="1976"/>
      <w:bookmarkEnd w:id="1977"/>
      <w:bookmarkEnd w:id="1978"/>
      <w:bookmarkEnd w:id="1979"/>
    </w:p>
    <w:p w14:paraId="7EE9DD59">
      <w:pPr>
        <w:pStyle w:val="5"/>
        <w:tabs>
          <w:tab w:val="left" w:pos="851"/>
          <w:tab w:val="clear" w:pos="630"/>
        </w:tabs>
      </w:pPr>
      <w:r>
        <w:t>食堂餐厅</w:t>
      </w:r>
      <w:r>
        <w:rPr>
          <w:rFonts w:hint="eastAsia"/>
        </w:rPr>
        <w:t>座位数宜</w:t>
      </w:r>
      <w:r>
        <w:t>按</w:t>
      </w:r>
      <w:r>
        <w:rPr>
          <w:rFonts w:hint="eastAsia"/>
        </w:rPr>
        <w:t>车辆基地当班</w:t>
      </w:r>
      <w:r>
        <w:t>定员的</w:t>
      </w:r>
      <w:r>
        <w:rPr>
          <w:rFonts w:hint="eastAsia"/>
        </w:rPr>
        <w:t>5</w:t>
      </w:r>
      <w:r>
        <w:t>0%进行设计，食堂用餐区</w:t>
      </w:r>
      <w:r>
        <w:rPr>
          <w:rFonts w:hint="eastAsia"/>
        </w:rPr>
        <w:t>单</w:t>
      </w:r>
      <w:r>
        <w:t>座</w:t>
      </w:r>
      <w:r>
        <w:rPr>
          <w:rFonts w:hint="eastAsia"/>
        </w:rPr>
        <w:t>位</w:t>
      </w:r>
      <w:r>
        <w:t>最小使用面积1.0m2/座。食堂餐厨比例应满足《饮食建筑设计标准》JGJ64相关要求。</w:t>
      </w:r>
    </w:p>
    <w:p w14:paraId="6CDD9A36">
      <w:pPr>
        <w:pStyle w:val="5"/>
        <w:tabs>
          <w:tab w:val="left" w:pos="851"/>
          <w:tab w:val="clear" w:pos="630"/>
        </w:tabs>
      </w:pPr>
      <w:r>
        <w:rPr>
          <w:rFonts w:hint="eastAsia"/>
        </w:rPr>
        <w:t>车辆基地</w:t>
      </w:r>
      <w:r>
        <w:t>宜设置</w:t>
      </w:r>
      <w:r>
        <w:rPr>
          <w:rFonts w:hint="eastAsia"/>
        </w:rPr>
        <w:t>司乘</w:t>
      </w:r>
      <w:r>
        <w:t>公寓及必要的职守人员</w:t>
      </w:r>
      <w:r>
        <w:rPr>
          <w:rFonts w:hint="eastAsia"/>
        </w:rPr>
        <w:t>公寓</w:t>
      </w:r>
      <w:r>
        <w:t>，面积指标为72m2/列车</w:t>
      </w:r>
      <w:r>
        <w:rPr>
          <w:rFonts w:hint="eastAsia"/>
        </w:rPr>
        <w:t>配置</w:t>
      </w:r>
      <w:r>
        <w:t>。</w:t>
      </w:r>
    </w:p>
    <w:p w14:paraId="0C7205A1">
      <w:pPr>
        <w:pStyle w:val="3"/>
      </w:pPr>
      <w:r>
        <w:rPr>
          <w:rFonts w:eastAsia="宋体"/>
          <w:kern w:val="2"/>
          <w:sz w:val="21"/>
          <w:szCs w:val="24"/>
        </w:rPr>
        <w:br w:type="page"/>
      </w:r>
      <w:bookmarkStart w:id="1980" w:name="_Toc183699886"/>
      <w:bookmarkStart w:id="1981" w:name="_Toc183882239"/>
      <w:bookmarkStart w:id="1982" w:name="_Toc183888653"/>
      <w:bookmarkStart w:id="1983" w:name="_Toc183735430"/>
      <w:bookmarkStart w:id="1984" w:name="_Toc183790678"/>
      <w:bookmarkStart w:id="1985" w:name="_Toc183882601"/>
      <w:bookmarkStart w:id="1986" w:name="_Toc183683642"/>
      <w:bookmarkStart w:id="1987" w:name="_Toc183765248"/>
      <w:bookmarkStart w:id="1988" w:name="_Toc183888291"/>
      <w:bookmarkStart w:id="1989" w:name="_Toc168059507"/>
      <w:bookmarkStart w:id="1990" w:name="_Toc174462145"/>
      <w:bookmarkStart w:id="1991" w:name="_Toc168061762"/>
      <w:bookmarkStart w:id="1992" w:name="_Toc168061315"/>
      <w:r>
        <w:t>控制中心</w:t>
      </w:r>
      <w:bookmarkEnd w:id="1980"/>
      <w:bookmarkEnd w:id="1981"/>
      <w:bookmarkEnd w:id="1982"/>
      <w:bookmarkEnd w:id="1983"/>
      <w:bookmarkEnd w:id="1984"/>
      <w:bookmarkEnd w:id="1985"/>
      <w:bookmarkEnd w:id="1986"/>
      <w:bookmarkEnd w:id="1987"/>
      <w:bookmarkEnd w:id="1988"/>
    </w:p>
    <w:p w14:paraId="0D4E9648">
      <w:pPr>
        <w:pStyle w:val="4"/>
        <w:tabs>
          <w:tab w:val="left" w:pos="709"/>
          <w:tab w:val="clear" w:pos="462"/>
        </w:tabs>
      </w:pPr>
      <w:bookmarkStart w:id="1993" w:name="_Toc183765249"/>
      <w:bookmarkStart w:id="1994" w:name="_Toc168061759"/>
      <w:bookmarkStart w:id="1995" w:name="_Toc183683643"/>
      <w:bookmarkStart w:id="1996" w:name="_Toc168061312"/>
      <w:bookmarkStart w:id="1997" w:name="_Toc183790679"/>
      <w:bookmarkStart w:id="1998" w:name="_Toc183882602"/>
      <w:bookmarkStart w:id="1999" w:name="_Toc183882240"/>
      <w:bookmarkStart w:id="2000" w:name="_Toc183888292"/>
      <w:bookmarkStart w:id="2001" w:name="_Toc168059504"/>
      <w:bookmarkStart w:id="2002" w:name="_Toc183888654"/>
      <w:bookmarkStart w:id="2003" w:name="_Toc181019314"/>
      <w:r>
        <w:t>一般规定</w:t>
      </w:r>
      <w:bookmarkEnd w:id="1993"/>
      <w:bookmarkEnd w:id="1994"/>
      <w:bookmarkEnd w:id="1995"/>
      <w:bookmarkEnd w:id="1996"/>
      <w:bookmarkEnd w:id="1997"/>
      <w:bookmarkEnd w:id="1998"/>
      <w:bookmarkEnd w:id="1999"/>
      <w:bookmarkEnd w:id="2000"/>
      <w:bookmarkEnd w:id="2001"/>
      <w:bookmarkEnd w:id="2002"/>
      <w:bookmarkEnd w:id="2003"/>
    </w:p>
    <w:p w14:paraId="1AE802C1">
      <w:pPr>
        <w:pStyle w:val="5"/>
        <w:tabs>
          <w:tab w:val="left" w:pos="709"/>
          <w:tab w:val="clear" w:pos="630"/>
        </w:tabs>
      </w:pPr>
      <w:r>
        <w:t>控制中心(OCC)应具备日常运营管理及灾害事故时的应急救援指挥功能。负责对运行列车、车站、车辆基地实施统一指挥、调度、协调和管理，对各类机电设备系统实施监视、控制。</w:t>
      </w:r>
    </w:p>
    <w:p w14:paraId="51BE5B3D">
      <w:pPr>
        <w:pStyle w:val="5"/>
        <w:tabs>
          <w:tab w:val="left" w:pos="709"/>
          <w:tab w:val="clear" w:pos="630"/>
        </w:tabs>
      </w:pPr>
      <w:r>
        <w:t>控制中心应具备行车调度、电力调度、环控调度、防灾调度、维修调度以及票务管理、电能质量管理、乘客动态管理、信息管理等中心级的基本功能。</w:t>
      </w:r>
    </w:p>
    <w:p w14:paraId="0EBF04AF">
      <w:pPr>
        <w:pStyle w:val="5"/>
        <w:tabs>
          <w:tab w:val="left" w:pos="709"/>
          <w:tab w:val="clear" w:pos="630"/>
        </w:tabs>
      </w:pPr>
      <w:r>
        <w:t>控制中心的行车调度应能实现对运行列车的集中调度，并实时完成列车运行与车站客运作业过程的协调、列车运行与车辆综合基地有关作业的协调等工作；合理编制运营计划和列车运行图，实现计划运行；</w:t>
      </w:r>
    </w:p>
    <w:p w14:paraId="51237907">
      <w:pPr>
        <w:pStyle w:val="5"/>
        <w:tabs>
          <w:tab w:val="left" w:pos="709"/>
          <w:tab w:val="clear" w:pos="630"/>
        </w:tabs>
      </w:pPr>
      <w:r>
        <w:t>控制中心的电力调度应实现线路电力系统远程集中监视与控制，并完成电力调度管理工作。</w:t>
      </w:r>
    </w:p>
    <w:p w14:paraId="58E6D802">
      <w:pPr>
        <w:pStyle w:val="5"/>
        <w:tabs>
          <w:tab w:val="left" w:pos="709"/>
          <w:tab w:val="clear" w:pos="630"/>
        </w:tabs>
      </w:pPr>
      <w:r>
        <w:t>控制中心的环控调度应对全线的环境状况及车站设备的运行状态实现监视和控制；</w:t>
      </w:r>
    </w:p>
    <w:p w14:paraId="2AF9B618">
      <w:pPr>
        <w:pStyle w:val="5"/>
        <w:tabs>
          <w:tab w:val="left" w:pos="709"/>
          <w:tab w:val="clear" w:pos="630"/>
        </w:tabs>
      </w:pPr>
      <w:r>
        <w:t>控制中心的防灾调度应接收全线火灾灾情信息，实现全线火灾报警系统的监控管理。</w:t>
      </w:r>
    </w:p>
    <w:p w14:paraId="48CB89BD">
      <w:pPr>
        <w:pStyle w:val="5"/>
        <w:tabs>
          <w:tab w:val="left" w:pos="709"/>
          <w:tab w:val="clear" w:pos="630"/>
        </w:tabs>
      </w:pPr>
      <w:r>
        <w:t>控制中心的乘客动态管理应对客流进行动态分析和预测，为运营管理提供依据。</w:t>
      </w:r>
    </w:p>
    <w:p w14:paraId="436FFB64">
      <w:pPr>
        <w:pStyle w:val="5"/>
        <w:tabs>
          <w:tab w:val="left" w:pos="709"/>
          <w:tab w:val="clear" w:pos="630"/>
        </w:tabs>
      </w:pPr>
      <w:r>
        <w:t>控制中心的票务管理应对所管辖线路的车票票务进行统计和收益集中核算等业务；并对自动售检票系统设备进行监视和控制。</w:t>
      </w:r>
    </w:p>
    <w:p w14:paraId="3A0BFC1A">
      <w:pPr>
        <w:pStyle w:val="5"/>
        <w:tabs>
          <w:tab w:val="left" w:pos="709"/>
          <w:tab w:val="clear" w:pos="630"/>
        </w:tabs>
      </w:pPr>
      <w:r>
        <w:t>控制中心内的维修调度应具有对日常维修和应急处理能力，以及组织线路抢险和救援。</w:t>
      </w:r>
    </w:p>
    <w:p w14:paraId="78D343F0">
      <w:pPr>
        <w:pStyle w:val="5"/>
        <w:tabs>
          <w:tab w:val="left" w:pos="851"/>
          <w:tab w:val="clear" w:pos="630"/>
        </w:tabs>
      </w:pPr>
      <w:r>
        <w:t>控制中心的信息管理应能实现所管辖线路的信息汇集、处理、交换和转发，支持各系统现场与中心的通讯服务；实现内部及与外界系统的信息联系。</w:t>
      </w:r>
    </w:p>
    <w:p w14:paraId="5BE24DDD">
      <w:pPr>
        <w:pStyle w:val="5"/>
        <w:tabs>
          <w:tab w:val="left" w:pos="851"/>
          <w:tab w:val="clear" w:pos="630"/>
        </w:tabs>
      </w:pPr>
      <w:r>
        <w:t>控制中心应接受北京市轨道交通指挥中心的指挥、协调和管理。</w:t>
      </w:r>
    </w:p>
    <w:p w14:paraId="13D204E9">
      <w:pPr>
        <w:pStyle w:val="5"/>
        <w:tabs>
          <w:tab w:val="left" w:pos="851"/>
          <w:tab w:val="clear" w:pos="630"/>
        </w:tabs>
      </w:pPr>
      <w:r>
        <w:t>控制中心应为北京市轨道交通指挥中心提供必要的线路信息、数据，并应遵循《北京市轨道交通指挥中心(TCC)系统技术管理规定(暂行)》等相关规定。</w:t>
      </w:r>
    </w:p>
    <w:p w14:paraId="7B130827">
      <w:pPr>
        <w:pStyle w:val="5"/>
        <w:tabs>
          <w:tab w:val="left" w:pos="851"/>
          <w:tab w:val="clear" w:pos="630"/>
        </w:tabs>
      </w:pPr>
      <w:r>
        <w:t>控制中心应具备施工作业计划编制、调度、在轨行区施工车辆的运行控制或监督，停、送电指挥及施工作业申请办理的功能。</w:t>
      </w:r>
    </w:p>
    <w:p w14:paraId="242CB223">
      <w:pPr>
        <w:pStyle w:val="4"/>
        <w:tabs>
          <w:tab w:val="left" w:pos="709"/>
          <w:tab w:val="clear" w:pos="462"/>
        </w:tabs>
      </w:pPr>
      <w:bookmarkStart w:id="2004" w:name="_Toc168061760"/>
      <w:bookmarkStart w:id="2005" w:name="_Toc183765250"/>
      <w:bookmarkStart w:id="2006" w:name="_Toc183888655"/>
      <w:bookmarkStart w:id="2007" w:name="_Toc168059505"/>
      <w:bookmarkStart w:id="2008" w:name="_Toc181019315"/>
      <w:bookmarkStart w:id="2009" w:name="_Toc183882241"/>
      <w:bookmarkStart w:id="2010" w:name="_Toc183882603"/>
      <w:bookmarkStart w:id="2011" w:name="_Toc183683644"/>
      <w:bookmarkStart w:id="2012" w:name="_Toc183888293"/>
      <w:bookmarkStart w:id="2013" w:name="_Toc183790680"/>
      <w:bookmarkStart w:id="2014" w:name="_Toc168061313"/>
      <w:r>
        <w:t>控制中心设置</w:t>
      </w:r>
      <w:bookmarkEnd w:id="2004"/>
      <w:bookmarkEnd w:id="2005"/>
      <w:bookmarkEnd w:id="2006"/>
      <w:bookmarkEnd w:id="2007"/>
      <w:bookmarkEnd w:id="2008"/>
      <w:bookmarkEnd w:id="2009"/>
      <w:bookmarkEnd w:id="2010"/>
      <w:bookmarkEnd w:id="2011"/>
      <w:bookmarkEnd w:id="2012"/>
      <w:bookmarkEnd w:id="2013"/>
      <w:bookmarkEnd w:id="2014"/>
    </w:p>
    <w:p w14:paraId="61BAA6D4">
      <w:pPr>
        <w:pStyle w:val="5"/>
        <w:tabs>
          <w:tab w:val="left" w:pos="709"/>
          <w:tab w:val="clear" w:pos="630"/>
        </w:tabs>
      </w:pPr>
      <w:r>
        <w:t>各线路控制中心设置应遵照城市轨道交通线网控制中心的统一规划，集中设置于北京轨道交通指挥中心内。</w:t>
      </w:r>
    </w:p>
    <w:p w14:paraId="509F031C">
      <w:pPr>
        <w:pStyle w:val="5"/>
        <w:tabs>
          <w:tab w:val="left" w:pos="709"/>
          <w:tab w:val="clear" w:pos="630"/>
        </w:tabs>
      </w:pPr>
      <w:r>
        <w:t>控制中心应具有高度的安全性和可靠性，应保证控制中心的相关用房及管理上的独立性；其他部门及设施不得影响控制中心日常的运营管理工作；与城市轨道交通线运营、管理和安全无关的系统、设备不应纳入控制中心。</w:t>
      </w:r>
    </w:p>
    <w:p w14:paraId="7F4718D1">
      <w:pPr>
        <w:pStyle w:val="5"/>
        <w:tabs>
          <w:tab w:val="left" w:pos="709"/>
          <w:tab w:val="clear" w:pos="630"/>
        </w:tabs>
      </w:pPr>
      <w:r>
        <w:t>控制中心应遵循资源共享的原则，线路控制中心各专业系统的设备、电源、网管设施宜集中设置</w:t>
      </w:r>
      <w:r>
        <w:rPr>
          <w:rFonts w:hint="eastAsia"/>
        </w:rPr>
        <w:t>，也可多线路整合设置。</w:t>
      </w:r>
      <w:r>
        <w:t>应符合指挥中心所规定的土建和系统接入条件要求。</w:t>
      </w:r>
    </w:p>
    <w:p w14:paraId="65900D59">
      <w:pPr>
        <w:pStyle w:val="5"/>
        <w:tabs>
          <w:tab w:val="left" w:pos="709"/>
          <w:tab w:val="clear" w:pos="630"/>
        </w:tabs>
      </w:pPr>
      <w:r>
        <w:t>各线路应选择两条不同物理路由以自愈光环网的方式接入北京轨道交通指挥中心，并符合接入指挥中心骨干光缆环网的统一规划。</w:t>
      </w:r>
    </w:p>
    <w:p w14:paraId="625D003F">
      <w:pPr>
        <w:pStyle w:val="4"/>
        <w:tabs>
          <w:tab w:val="left" w:pos="709"/>
          <w:tab w:val="clear" w:pos="462"/>
        </w:tabs>
      </w:pPr>
      <w:bookmarkStart w:id="2015" w:name="_Toc181019316"/>
      <w:bookmarkStart w:id="2016" w:name="_Toc183882604"/>
      <w:bookmarkStart w:id="2017" w:name="_Toc183765251"/>
      <w:bookmarkStart w:id="2018" w:name="_Toc183888294"/>
      <w:bookmarkStart w:id="2019" w:name="_Toc183888656"/>
      <w:bookmarkStart w:id="2020" w:name="_Toc183882242"/>
      <w:bookmarkStart w:id="2021" w:name="_Toc183683645"/>
      <w:bookmarkStart w:id="2022" w:name="_Toc183790681"/>
      <w:r>
        <w:t>控制中心的管理</w:t>
      </w:r>
      <w:bookmarkEnd w:id="2015"/>
      <w:bookmarkEnd w:id="2016"/>
      <w:bookmarkEnd w:id="2017"/>
      <w:bookmarkEnd w:id="2018"/>
      <w:bookmarkEnd w:id="2019"/>
      <w:bookmarkEnd w:id="2020"/>
      <w:bookmarkEnd w:id="2021"/>
      <w:bookmarkEnd w:id="2022"/>
    </w:p>
    <w:p w14:paraId="24DF66D3">
      <w:pPr>
        <w:pStyle w:val="5"/>
        <w:tabs>
          <w:tab w:val="left" w:pos="709"/>
          <w:tab w:val="clear" w:pos="630"/>
        </w:tabs>
      </w:pPr>
      <w:r>
        <w:t>控制中心应结合功能和运营组织的要求，设立统一的领导和组织机构。</w:t>
      </w:r>
    </w:p>
    <w:p w14:paraId="297882BF">
      <w:pPr>
        <w:pStyle w:val="5"/>
        <w:tabs>
          <w:tab w:val="left" w:pos="709"/>
          <w:tab w:val="clear" w:pos="630"/>
        </w:tabs>
      </w:pPr>
      <w:r>
        <w:t>控制中心所辖线路可按单线路独立运行指挥管理，多条线路集中</w:t>
      </w:r>
      <w:r>
        <w:rPr>
          <w:rFonts w:hint="eastAsia"/>
        </w:rPr>
        <w:t>运行指挥</w:t>
      </w:r>
      <w:r>
        <w:t>管理、多线路分功能及分业务</w:t>
      </w:r>
      <w:r>
        <w:rPr>
          <w:rFonts w:hint="eastAsia"/>
        </w:rPr>
        <w:t>运行指挥</w:t>
      </w:r>
      <w:r>
        <w:t>管理模式</w:t>
      </w:r>
      <w:r>
        <w:rPr>
          <w:rFonts w:hint="eastAsia"/>
        </w:rPr>
        <w:t>设置</w:t>
      </w:r>
      <w:r>
        <w:t>。</w:t>
      </w:r>
    </w:p>
    <w:p w14:paraId="0F3CA7EA">
      <w:pPr>
        <w:pStyle w:val="5"/>
        <w:tabs>
          <w:tab w:val="left" w:pos="709"/>
          <w:tab w:val="clear" w:pos="630"/>
        </w:tabs>
      </w:pPr>
      <w:r>
        <w:t>控制中心的运行管理模式应符合下列规定：</w:t>
      </w:r>
    </w:p>
    <w:p w14:paraId="25027D46">
      <w:pPr>
        <w:ind w:firstLine="422" w:firstLineChars="200"/>
      </w:pPr>
      <w:r>
        <w:rPr>
          <w:b/>
        </w:rPr>
        <w:t>1</w:t>
      </w:r>
      <w:r>
        <w:rPr>
          <w:rFonts w:hint="eastAsia"/>
          <w:b/>
        </w:rPr>
        <w:t xml:space="preserve">  </w:t>
      </w:r>
      <w:r>
        <w:t>实现列车运行的统一指挥，集中调度，保证行车安全，促进行车指挥与服务水平的现代化；</w:t>
      </w:r>
    </w:p>
    <w:p w14:paraId="6B8CA1EC">
      <w:pPr>
        <w:ind w:firstLine="422" w:firstLineChars="200"/>
      </w:pPr>
      <w:r>
        <w:rPr>
          <w:b/>
        </w:rPr>
        <w:t>2</w:t>
      </w:r>
      <w:r>
        <w:rPr>
          <w:rFonts w:hint="eastAsia"/>
          <w:b/>
        </w:rPr>
        <w:t xml:space="preserve"> </w:t>
      </w:r>
      <w:r>
        <w:rPr>
          <w:rFonts w:hint="eastAsia"/>
        </w:rPr>
        <w:t xml:space="preserve"> </w:t>
      </w:r>
      <w:r>
        <w:t>运行模式体现系统的集成，加强控制中心对突发事件的决策分析和应变处理能力；</w:t>
      </w:r>
    </w:p>
    <w:p w14:paraId="0D2CBD1E">
      <w:pPr>
        <w:ind w:firstLine="422" w:firstLineChars="200"/>
      </w:pPr>
      <w:r>
        <w:rPr>
          <w:b/>
        </w:rPr>
        <w:t>3</w:t>
      </w:r>
      <w:r>
        <w:rPr>
          <w:rFonts w:hint="eastAsia"/>
          <w:b/>
        </w:rPr>
        <w:t xml:space="preserve">  </w:t>
      </w:r>
      <w:r>
        <w:t>按运行模式决定控制中心运营管理组织及定员。</w:t>
      </w:r>
    </w:p>
    <w:p w14:paraId="085FEE69">
      <w:pPr>
        <w:pStyle w:val="4"/>
        <w:tabs>
          <w:tab w:val="left" w:pos="709"/>
          <w:tab w:val="clear" w:pos="462"/>
        </w:tabs>
      </w:pPr>
      <w:bookmarkStart w:id="2023" w:name="_Toc183683646"/>
      <w:bookmarkStart w:id="2024" w:name="_Toc181019317"/>
      <w:bookmarkStart w:id="2025" w:name="_Toc183765252"/>
      <w:bookmarkStart w:id="2026" w:name="_Toc183790682"/>
      <w:bookmarkStart w:id="2027" w:name="_Toc183888657"/>
      <w:bookmarkStart w:id="2028" w:name="_Toc183888295"/>
      <w:bookmarkStart w:id="2029" w:name="_Toc183882243"/>
      <w:bookmarkStart w:id="2030" w:name="_Toc183882605"/>
      <w:r>
        <w:t>控制中心布置分区及要求</w:t>
      </w:r>
      <w:bookmarkEnd w:id="2023"/>
      <w:bookmarkEnd w:id="2024"/>
      <w:bookmarkEnd w:id="2025"/>
      <w:bookmarkEnd w:id="2026"/>
      <w:bookmarkEnd w:id="2027"/>
      <w:bookmarkEnd w:id="2028"/>
      <w:bookmarkEnd w:id="2029"/>
      <w:bookmarkEnd w:id="2030"/>
    </w:p>
    <w:p w14:paraId="6349E2B2">
      <w:pPr>
        <w:pStyle w:val="5"/>
        <w:tabs>
          <w:tab w:val="left" w:pos="709"/>
          <w:tab w:val="clear" w:pos="630"/>
        </w:tabs>
      </w:pPr>
      <w:r>
        <w:t>控制中心的</w:t>
      </w:r>
      <w:r>
        <w:rPr>
          <w:rFonts w:hint="eastAsia"/>
        </w:rPr>
        <w:t>功能</w:t>
      </w:r>
      <w:r>
        <w:t>分区及房屋设置应满足运营管理、系统控制、设备布置、扩充改造以及参观接待方面的要求。</w:t>
      </w:r>
    </w:p>
    <w:p w14:paraId="248ABB7B">
      <w:pPr>
        <w:pStyle w:val="5"/>
        <w:tabs>
          <w:tab w:val="left" w:pos="709"/>
          <w:tab w:val="clear" w:pos="630"/>
        </w:tabs>
      </w:pPr>
      <w:r>
        <w:t>控制中心应遵循地铁线网控制中心的总体规划实施，宜采用多条线路集中设置的建设模式。控制中心的规模应依据其功能定位和规划的具体情况确定。</w:t>
      </w:r>
    </w:p>
    <w:p w14:paraId="794717FA">
      <w:pPr>
        <w:pStyle w:val="5"/>
        <w:tabs>
          <w:tab w:val="left" w:pos="709"/>
          <w:tab w:val="clear" w:pos="630"/>
        </w:tabs>
      </w:pPr>
      <w:r>
        <w:t>控制中心应</w:t>
      </w:r>
      <w:r>
        <w:rPr>
          <w:rFonts w:hint="eastAsia"/>
        </w:rPr>
        <w:t>划分为</w:t>
      </w:r>
      <w:r>
        <w:t>运营控制区、设备区、运营管理区。各功能区的设置，应符合下列规定：</w:t>
      </w:r>
    </w:p>
    <w:p w14:paraId="376FB7CC">
      <w:pPr>
        <w:pStyle w:val="7"/>
        <w:ind w:firstLine="420"/>
      </w:pPr>
      <w:r>
        <w:t>运营控制区包括</w:t>
      </w:r>
      <w:r>
        <w:rPr>
          <w:rFonts w:hint="eastAsia"/>
        </w:rPr>
        <w:t>中央控制室</w:t>
      </w:r>
      <w:r>
        <w:t>、自动售检票系统数据中心以及必要的值班、管理等用房；</w:t>
      </w:r>
    </w:p>
    <w:p w14:paraId="53EAEF31">
      <w:pPr>
        <w:pStyle w:val="7"/>
        <w:ind w:firstLine="420"/>
      </w:pPr>
      <w:r>
        <w:t>运营管理区包括运营管理办公、票务管理办公、日常事务办公、会议、票务处理、票务储藏发放等用房；</w:t>
      </w:r>
    </w:p>
    <w:p w14:paraId="76E6FBB8">
      <w:pPr>
        <w:pStyle w:val="7"/>
        <w:ind w:firstLine="420"/>
      </w:pPr>
      <w:r>
        <w:t>设备区包括系统设备机房、电源电池室、电缆间及通道、相关专业设备维修工区、工区备件室等用房。</w:t>
      </w:r>
    </w:p>
    <w:p w14:paraId="1653C8A5">
      <w:pPr>
        <w:pStyle w:val="5"/>
        <w:tabs>
          <w:tab w:val="left" w:pos="709"/>
          <w:tab w:val="clear" w:pos="630"/>
        </w:tabs>
      </w:pPr>
      <w:r>
        <w:t>控制中心各功能区用房宜相对集中设置，并根据工艺要求、功能关系进行合理布置；并满足北京轨道交通指挥中心的统一规划；自动售检票系统中心用房应集中布置。</w:t>
      </w:r>
    </w:p>
    <w:p w14:paraId="27450CBA">
      <w:pPr>
        <w:pStyle w:val="5"/>
        <w:tabs>
          <w:tab w:val="left" w:pos="709"/>
          <w:tab w:val="clear" w:pos="630"/>
        </w:tabs>
      </w:pPr>
      <w:r>
        <w:t>控制中心各系统主要设备和辅助设备用房宜分开布置。其主要控制设备用房，宜采用大开间结构。其设备宜按不同线路划分区域集中设置设备。各系统辅助设备可采用小房间设置。</w:t>
      </w:r>
    </w:p>
    <w:p w14:paraId="1F060A8C">
      <w:pPr>
        <w:pStyle w:val="5"/>
        <w:tabs>
          <w:tab w:val="left" w:pos="709"/>
          <w:tab w:val="clear" w:pos="630"/>
        </w:tabs>
      </w:pPr>
      <w:r>
        <w:t>控制中心建筑各层之间应设贯通电缆井。供电线缆井与弱电线缆井应分开设置。供电线缆井应靠近低压配电室。</w:t>
      </w:r>
    </w:p>
    <w:p w14:paraId="45CF6192">
      <w:pPr>
        <w:pStyle w:val="5"/>
        <w:tabs>
          <w:tab w:val="left" w:pos="709"/>
          <w:tab w:val="clear" w:pos="630"/>
        </w:tabs>
      </w:pPr>
      <w:r>
        <w:t>控制中心建筑应设置弱电线缆引入室，室外弱电线缆应集中引入，并经弱电线缆井、夹层等引入设备房和调度大厅。</w:t>
      </w:r>
    </w:p>
    <w:p w14:paraId="3FDEE72B">
      <w:pPr>
        <w:pStyle w:val="5"/>
        <w:tabs>
          <w:tab w:val="left" w:pos="709"/>
          <w:tab w:val="clear" w:pos="630"/>
        </w:tabs>
      </w:pPr>
      <w:r>
        <w:t>系统设备用房内设备布置应整齐、紧凑、便于观察、操作和维修；外部管线进出方便；大功率强电设备不得与弱电设备混合安装和布置；</w:t>
      </w:r>
    </w:p>
    <w:p w14:paraId="6557413F">
      <w:pPr>
        <w:pStyle w:val="5"/>
        <w:tabs>
          <w:tab w:val="left" w:pos="709"/>
          <w:tab w:val="clear" w:pos="630"/>
        </w:tabs>
      </w:pPr>
      <w:r>
        <w:t>各线路控制中心运营调度控制应集中设置于统一的</w:t>
      </w:r>
      <w:r>
        <w:rPr>
          <w:rFonts w:hint="eastAsia"/>
        </w:rPr>
        <w:t>中央控制室</w:t>
      </w:r>
      <w:r>
        <w:t>内。各线路在调度大厅内的设计应符合下列规定：</w:t>
      </w:r>
    </w:p>
    <w:p w14:paraId="5F6F0BEA">
      <w:pPr>
        <w:ind w:firstLine="422" w:firstLineChars="200"/>
      </w:pPr>
      <w:r>
        <w:rPr>
          <w:b/>
        </w:rPr>
        <w:t>1</w:t>
      </w:r>
      <w:r>
        <w:rPr>
          <w:rFonts w:hint="eastAsia"/>
          <w:b/>
        </w:rPr>
        <w:t xml:space="preserve"> </w:t>
      </w:r>
      <w:r>
        <w:rPr>
          <w:rFonts w:hint="eastAsia"/>
        </w:rPr>
        <w:t xml:space="preserve"> </w:t>
      </w:r>
      <w:r>
        <w:t>应按指挥中心统一规定的区域进行布置，并应符合统一规划布局的要求；</w:t>
      </w:r>
    </w:p>
    <w:p w14:paraId="4228FDC7">
      <w:pPr>
        <w:ind w:firstLine="422" w:firstLineChars="200"/>
      </w:pPr>
      <w:r>
        <w:rPr>
          <w:b/>
        </w:rPr>
        <w:t>2</w:t>
      </w:r>
      <w:r>
        <w:rPr>
          <w:rFonts w:hint="eastAsia"/>
        </w:rPr>
        <w:t xml:space="preserve">  中央控制室</w:t>
      </w:r>
      <w:r>
        <w:t>所设置大屏幕显示系统、操作控制台、运行操作工作站及输入、输出设备等的选择应符合指挥中心的相关规定；</w:t>
      </w:r>
    </w:p>
    <w:p w14:paraId="399C991B">
      <w:pPr>
        <w:ind w:firstLine="422" w:firstLineChars="200"/>
      </w:pPr>
      <w:r>
        <w:rPr>
          <w:b/>
        </w:rPr>
        <w:t>3</w:t>
      </w:r>
      <w:r>
        <w:rPr>
          <w:rFonts w:hint="eastAsia"/>
        </w:rPr>
        <w:t xml:space="preserve">  中央控制室</w:t>
      </w:r>
      <w:r>
        <w:t>显示调度大厅大屏幕显示系统</w:t>
      </w:r>
      <w:r>
        <w:rPr>
          <w:rFonts w:hint="eastAsia"/>
        </w:rPr>
        <w:t>宜</w:t>
      </w:r>
      <w:r>
        <w:t>按</w:t>
      </w:r>
      <w:r>
        <w:rPr>
          <w:rFonts w:hint="eastAsia"/>
        </w:rPr>
        <w:t>多</w:t>
      </w:r>
      <w:r>
        <w:t>线路设置，其日常显示内容应以行车、视频监视画面为主，供电、环境等信息可根据需要切换显示，并符合指挥中心的统一要求。</w:t>
      </w:r>
    </w:p>
    <w:p w14:paraId="47AA642B">
      <w:pPr>
        <w:ind w:firstLine="420" w:firstLineChars="200"/>
      </w:pPr>
      <w:r>
        <w:t>4</w:t>
      </w:r>
      <w:r>
        <w:rPr>
          <w:rFonts w:hint="eastAsia"/>
        </w:rPr>
        <w:t xml:space="preserve">  </w:t>
      </w:r>
      <w:r>
        <w:t>与调度作业无关的设备或系统不应设置其内，且不得安装大功率的电器设备或其他动力设备；</w:t>
      </w:r>
    </w:p>
    <w:p w14:paraId="6ED1AAC6">
      <w:pPr>
        <w:pStyle w:val="5"/>
        <w:tabs>
          <w:tab w:val="left" w:pos="851"/>
          <w:tab w:val="clear" w:pos="630"/>
        </w:tabs>
      </w:pPr>
      <w:r>
        <w:rPr>
          <w:rFonts w:hint="eastAsia"/>
        </w:rPr>
        <w:t>中央控制室</w:t>
      </w:r>
      <w:r>
        <w:t>调度室设备的设置应符合下列规定：</w:t>
      </w:r>
    </w:p>
    <w:p w14:paraId="7C915002">
      <w:pPr>
        <w:ind w:firstLine="422" w:firstLineChars="200"/>
      </w:pPr>
      <w:r>
        <w:rPr>
          <w:b/>
        </w:rPr>
        <w:t>1</w:t>
      </w:r>
      <w:r>
        <w:rPr>
          <w:rFonts w:hint="eastAsia"/>
          <w:b/>
        </w:rPr>
        <w:t xml:space="preserve"> </w:t>
      </w:r>
      <w:r>
        <w:rPr>
          <w:rFonts w:hint="eastAsia"/>
        </w:rPr>
        <w:t xml:space="preserve"> </w:t>
      </w:r>
      <w:r>
        <w:t>控制台结合管理人员的工作方式，设置有线和无线通信相结合的辅助通信设施；</w:t>
      </w:r>
    </w:p>
    <w:p w14:paraId="6DB75416">
      <w:pPr>
        <w:ind w:firstLine="422" w:firstLineChars="200"/>
      </w:pPr>
      <w:r>
        <w:rPr>
          <w:b/>
        </w:rPr>
        <w:t>2</w:t>
      </w:r>
      <w:r>
        <w:rPr>
          <w:rFonts w:hint="eastAsia"/>
        </w:rPr>
        <w:t xml:space="preserve">  </w:t>
      </w:r>
      <w:r>
        <w:t>控制台设计符合人体工程学要求，满足系统功能的操作和控制功能的要求；各部分尺寸比例应恰当，造型美观、大方，布局设计合理；</w:t>
      </w:r>
    </w:p>
    <w:p w14:paraId="2D21B778">
      <w:pPr>
        <w:ind w:firstLine="422" w:firstLineChars="200"/>
      </w:pPr>
      <w:r>
        <w:rPr>
          <w:b/>
        </w:rPr>
        <w:t>3</w:t>
      </w:r>
      <w:r>
        <w:rPr>
          <w:rFonts w:hint="eastAsia"/>
        </w:rPr>
        <w:t xml:space="preserve">  </w:t>
      </w:r>
      <w:r>
        <w:t>控制台桌面宽度，除计算机显示器所占宽度后，操作人员的操作宽度不小于400mm；</w:t>
      </w:r>
    </w:p>
    <w:p w14:paraId="01884A98">
      <w:pPr>
        <w:ind w:firstLine="422" w:firstLineChars="200"/>
      </w:pPr>
      <w:r>
        <w:rPr>
          <w:b/>
        </w:rPr>
        <w:t>4</w:t>
      </w:r>
      <w:r>
        <w:rPr>
          <w:rFonts w:hint="eastAsia"/>
          <w:b/>
        </w:rPr>
        <w:t xml:space="preserve"> </w:t>
      </w:r>
      <w:r>
        <w:rPr>
          <w:rFonts w:hint="eastAsia"/>
        </w:rPr>
        <w:t xml:space="preserve"> </w:t>
      </w:r>
      <w:r>
        <w:t>工作站主机置于控制台内部时，应具有散热、防电磁干扰的能力。控制台内部结构尺寸符合现行国家标准《面板、架和柜的基本尺寸系列：第二部分》GB3047.1的要求；</w:t>
      </w:r>
    </w:p>
    <w:p w14:paraId="64A24E15">
      <w:pPr>
        <w:ind w:firstLine="422" w:firstLineChars="200"/>
      </w:pPr>
      <w:r>
        <w:rPr>
          <w:b/>
        </w:rPr>
        <w:t>5</w:t>
      </w:r>
      <w:r>
        <w:rPr>
          <w:rFonts w:hint="eastAsia"/>
          <w:b/>
        </w:rPr>
        <w:t xml:space="preserve"> </w:t>
      </w:r>
      <w:r>
        <w:rPr>
          <w:rFonts w:hint="eastAsia"/>
        </w:rPr>
        <w:t xml:space="preserve"> </w:t>
      </w:r>
      <w:r>
        <w:t>控制台及综合显示屏架的电线</w:t>
      </w:r>
      <w:r>
        <w:rPr>
          <w:rFonts w:hint="eastAsia"/>
        </w:rPr>
        <w:t>（</w:t>
      </w:r>
      <w:r>
        <w:t>缆</w:t>
      </w:r>
      <w:r>
        <w:rPr>
          <w:rFonts w:hint="eastAsia"/>
        </w:rPr>
        <w:t>）</w:t>
      </w:r>
      <w:r>
        <w:t>应设槽安装，尽量隐蔽；信号线</w:t>
      </w:r>
      <w:r>
        <w:rPr>
          <w:rFonts w:hint="eastAsia"/>
        </w:rPr>
        <w:t>（</w:t>
      </w:r>
      <w:r>
        <w:t>缆</w:t>
      </w:r>
      <w:r>
        <w:rPr>
          <w:rFonts w:hint="eastAsia"/>
        </w:rPr>
        <w:t>）</w:t>
      </w:r>
      <w:r>
        <w:t>和电源线</w:t>
      </w:r>
      <w:r>
        <w:rPr>
          <w:rFonts w:hint="eastAsia"/>
        </w:rPr>
        <w:t>（</w:t>
      </w:r>
      <w:r>
        <w:t>缆</w:t>
      </w:r>
      <w:r>
        <w:rPr>
          <w:rFonts w:hint="eastAsia"/>
        </w:rPr>
        <w:t>）</w:t>
      </w:r>
      <w:r>
        <w:t>槽应分开设置；控制台接地排应安全、可靠。</w:t>
      </w:r>
    </w:p>
    <w:p w14:paraId="419A638E">
      <w:pPr>
        <w:pStyle w:val="5"/>
        <w:tabs>
          <w:tab w:val="left" w:pos="851"/>
          <w:tab w:val="clear" w:pos="630"/>
        </w:tabs>
      </w:pPr>
      <w:r>
        <w:rPr>
          <w:rFonts w:hint="eastAsia"/>
        </w:rPr>
        <w:t>中央控制室</w:t>
      </w:r>
      <w:r>
        <w:t>的大屏幕显示设备布置，应符合以单个操作人员</w:t>
      </w:r>
      <w:r>
        <w:rPr>
          <w:rFonts w:hint="eastAsia"/>
        </w:rPr>
        <w:t>正面坐位的视野范围：水平视角120°、垂直视角30°。</w:t>
      </w:r>
    </w:p>
    <w:p w14:paraId="5AEA216A">
      <w:pPr>
        <w:pStyle w:val="5"/>
        <w:tabs>
          <w:tab w:val="left" w:pos="851"/>
          <w:tab w:val="clear" w:pos="630"/>
        </w:tabs>
      </w:pPr>
      <w:r>
        <w:rPr>
          <w:rFonts w:hint="eastAsia"/>
        </w:rPr>
        <w:t>中央控制室的装修应简洁；控制台色调、式样应统一，且与室内装修色彩协调。</w:t>
      </w:r>
    </w:p>
    <w:p w14:paraId="6310CFC0">
      <w:pPr>
        <w:pStyle w:val="5"/>
        <w:tabs>
          <w:tab w:val="left" w:pos="851"/>
          <w:tab w:val="clear" w:pos="630"/>
        </w:tabs>
      </w:pPr>
      <w:r>
        <w:rPr>
          <w:rFonts w:hint="eastAsia"/>
        </w:rPr>
        <w:t>中央控制室显示设备的屏幕后部的净空尺寸宜大于1.8m。</w:t>
      </w:r>
    </w:p>
    <w:p w14:paraId="16FED657">
      <w:pPr>
        <w:pStyle w:val="4"/>
        <w:tabs>
          <w:tab w:val="left" w:pos="709"/>
          <w:tab w:val="clear" w:pos="462"/>
        </w:tabs>
      </w:pPr>
      <w:bookmarkStart w:id="2031" w:name="_Toc183882606"/>
      <w:bookmarkStart w:id="2032" w:name="_Toc183888658"/>
      <w:bookmarkStart w:id="2033" w:name="_Toc183683647"/>
      <w:bookmarkStart w:id="2034" w:name="_Toc183888296"/>
      <w:bookmarkStart w:id="2035" w:name="_Toc183765253"/>
      <w:bookmarkStart w:id="2036" w:name="_Toc183790683"/>
      <w:bookmarkStart w:id="2037" w:name="_Toc183882244"/>
      <w:bookmarkStart w:id="2038" w:name="_Toc181019318"/>
      <w:r>
        <w:t>建筑与结构</w:t>
      </w:r>
      <w:bookmarkEnd w:id="2031"/>
      <w:bookmarkEnd w:id="2032"/>
      <w:bookmarkEnd w:id="2033"/>
      <w:bookmarkEnd w:id="2034"/>
      <w:bookmarkEnd w:id="2035"/>
      <w:bookmarkEnd w:id="2036"/>
      <w:bookmarkEnd w:id="2037"/>
      <w:bookmarkEnd w:id="2038"/>
    </w:p>
    <w:p w14:paraId="49717610">
      <w:pPr>
        <w:pStyle w:val="5"/>
        <w:tabs>
          <w:tab w:val="left" w:pos="709"/>
          <w:tab w:val="clear" w:pos="630"/>
        </w:tabs>
      </w:pPr>
      <w:r>
        <w:t>控制中心的建筑布局应能满足工艺要求，并充分体现城市轨道交通控制中心的功能特点。建筑立面的处理宜与周围环境融合，并符合下列规定：</w:t>
      </w:r>
    </w:p>
    <w:p w14:paraId="20CB0EF8">
      <w:pPr>
        <w:ind w:firstLine="422" w:firstLineChars="200"/>
      </w:pPr>
      <w:r>
        <w:rPr>
          <w:b/>
        </w:rPr>
        <w:t>1</w:t>
      </w:r>
      <w:r>
        <w:rPr>
          <w:rFonts w:hint="eastAsia"/>
          <w:b/>
        </w:rPr>
        <w:t xml:space="preserve"> </w:t>
      </w:r>
      <w:r>
        <w:rPr>
          <w:rFonts w:hint="eastAsia"/>
        </w:rPr>
        <w:t xml:space="preserve"> </w:t>
      </w:r>
      <w:r>
        <w:t>防火设计建筑分类</w:t>
      </w:r>
      <w:r>
        <w:rPr>
          <w:rFonts w:hint="eastAsia"/>
        </w:rPr>
        <w:t>应</w:t>
      </w:r>
      <w:r>
        <w:t>为一类公共建筑，建筑</w:t>
      </w:r>
      <w:r>
        <w:rPr>
          <w:rFonts w:hint="eastAsia"/>
        </w:rPr>
        <w:t>类别</w:t>
      </w:r>
      <w:r>
        <w:t>为</w:t>
      </w:r>
      <w:r>
        <w:rPr>
          <w:rFonts w:hint="eastAsia"/>
        </w:rPr>
        <w:t>4</w:t>
      </w:r>
      <w:r>
        <w:t>级，</w:t>
      </w:r>
      <w:r>
        <w:rPr>
          <w:rFonts w:hint="eastAsia"/>
        </w:rPr>
        <w:t>设计使用年限100年，</w:t>
      </w:r>
      <w:r>
        <w:t>耐火等级为一级，各部位防水等级为一级。</w:t>
      </w:r>
      <w:r>
        <w:rPr>
          <w:rFonts w:hint="eastAsia"/>
        </w:rPr>
        <w:t>中央控制室</w:t>
      </w:r>
      <w:r>
        <w:t>吊顶的净高不宜小于5.8m；其他设备用房净高不应小于2.8m。</w:t>
      </w:r>
    </w:p>
    <w:p w14:paraId="2909FAB0">
      <w:pPr>
        <w:ind w:firstLine="422" w:firstLineChars="200"/>
      </w:pPr>
      <w:r>
        <w:rPr>
          <w:b/>
        </w:rPr>
        <w:t>2</w:t>
      </w:r>
      <w:r>
        <w:rPr>
          <w:rFonts w:hint="eastAsia"/>
          <w:b/>
        </w:rPr>
        <w:t xml:space="preserve"> </w:t>
      </w:r>
      <w:r>
        <w:rPr>
          <w:rFonts w:hint="eastAsia"/>
        </w:rPr>
        <w:t xml:space="preserve"> </w:t>
      </w:r>
      <w:r>
        <w:t>应具有独立性、安全性和可靠性；建筑布局宜预留发展余地，在与其他建筑合建时，应设置独立的进出口通道。</w:t>
      </w:r>
    </w:p>
    <w:p w14:paraId="7EE30D6C">
      <w:pPr>
        <w:ind w:firstLine="422" w:firstLineChars="200"/>
      </w:pPr>
      <w:r>
        <w:rPr>
          <w:b/>
        </w:rPr>
        <w:t>3</w:t>
      </w:r>
      <w:r>
        <w:rPr>
          <w:rFonts w:hint="eastAsia"/>
          <w:b/>
        </w:rPr>
        <w:t xml:space="preserve"> </w:t>
      </w:r>
      <w:r>
        <w:rPr>
          <w:rFonts w:hint="eastAsia"/>
        </w:rPr>
        <w:t xml:space="preserve"> </w:t>
      </w:r>
      <w:r>
        <w:t>电缆通道、电缆间宜靠近设备用房。</w:t>
      </w:r>
    </w:p>
    <w:p w14:paraId="6786E01E">
      <w:pPr>
        <w:ind w:firstLine="422" w:firstLineChars="200"/>
      </w:pPr>
      <w:r>
        <w:rPr>
          <w:b/>
        </w:rPr>
        <w:t>4</w:t>
      </w:r>
      <w:r>
        <w:rPr>
          <w:rFonts w:hint="eastAsia"/>
          <w:b/>
        </w:rPr>
        <w:t xml:space="preserve"> </w:t>
      </w:r>
      <w:r>
        <w:rPr>
          <w:rFonts w:hint="eastAsia"/>
        </w:rPr>
        <w:t xml:space="preserve"> </w:t>
      </w:r>
      <w:r>
        <w:t>调度大厅和线路系统设备用房不宜有电线、电缆外露及无关管线穿越</w:t>
      </w:r>
      <w:r>
        <w:rPr>
          <w:rFonts w:hint="eastAsia"/>
        </w:rPr>
        <w:t>并应符合现行国家标准《电子信息系统机房设计规范》GB5017的有关规定。</w:t>
      </w:r>
      <w:r>
        <w:t>设备不应直接安装在架空地板上，风管穿过时应安装防火阀。</w:t>
      </w:r>
    </w:p>
    <w:p w14:paraId="3C50D0B7">
      <w:pPr>
        <w:ind w:firstLine="422" w:firstLineChars="200"/>
      </w:pPr>
      <w:r>
        <w:rPr>
          <w:b/>
        </w:rPr>
        <w:t>5</w:t>
      </w:r>
      <w:r>
        <w:rPr>
          <w:rFonts w:hint="eastAsia"/>
          <w:b/>
        </w:rPr>
        <w:t xml:space="preserve">  </w:t>
      </w:r>
      <w:r>
        <w:t>建筑设计除应满足各系统设备的工艺要求外，还应符合建筑防火、节能、环保等现行国家规范或北京市地方标准的有关规定。</w:t>
      </w:r>
    </w:p>
    <w:p w14:paraId="0363D2F4">
      <w:pPr>
        <w:pStyle w:val="5"/>
        <w:tabs>
          <w:tab w:val="left" w:pos="709"/>
          <w:tab w:val="clear" w:pos="630"/>
        </w:tabs>
      </w:pPr>
      <w:r>
        <w:t>控制中心结构设计在符合现行相关国家标准、规范的规定外，还应符合下列规定：</w:t>
      </w:r>
    </w:p>
    <w:p w14:paraId="27A07F48">
      <w:pPr>
        <w:ind w:firstLine="422" w:firstLineChars="200"/>
      </w:pPr>
      <w:r>
        <w:rPr>
          <w:b/>
        </w:rPr>
        <w:t>1</w:t>
      </w:r>
      <w:r>
        <w:rPr>
          <w:rFonts w:hint="eastAsia"/>
          <w:b/>
        </w:rPr>
        <w:t xml:space="preserve"> </w:t>
      </w:r>
      <w:r>
        <w:rPr>
          <w:rFonts w:hint="eastAsia"/>
        </w:rPr>
        <w:t xml:space="preserve"> </w:t>
      </w:r>
      <w:r>
        <w:t>主体结构的使用年限为100年；</w:t>
      </w:r>
    </w:p>
    <w:p w14:paraId="533FC02D">
      <w:pPr>
        <w:ind w:firstLine="422" w:firstLineChars="200"/>
      </w:pPr>
      <w:r>
        <w:rPr>
          <w:b/>
        </w:rPr>
        <w:t>2</w:t>
      </w:r>
      <w:r>
        <w:rPr>
          <w:rFonts w:hint="eastAsia"/>
          <w:b/>
        </w:rPr>
        <w:t xml:space="preserve"> </w:t>
      </w:r>
      <w:r>
        <w:rPr>
          <w:rFonts w:hint="eastAsia"/>
        </w:rPr>
        <w:t xml:space="preserve"> </w:t>
      </w:r>
      <w:r>
        <w:t>结构设计分别按施工阶段和使用阶段进行强度、变形等计算，同时满足环保防火、防水、防锈蚀、防雷等要求；</w:t>
      </w:r>
    </w:p>
    <w:p w14:paraId="4FBC6214">
      <w:pPr>
        <w:ind w:firstLine="422" w:firstLineChars="200"/>
      </w:pPr>
      <w:r>
        <w:rPr>
          <w:b/>
        </w:rPr>
        <w:t>3</w:t>
      </w:r>
      <w:r>
        <w:rPr>
          <w:rFonts w:hint="eastAsia"/>
        </w:rPr>
        <w:t xml:space="preserve">  </w:t>
      </w:r>
      <w:r>
        <w:t>结构抗震设计设防烈度为8度、抗震等级为一级；</w:t>
      </w:r>
    </w:p>
    <w:p w14:paraId="090B6A0B">
      <w:pPr>
        <w:ind w:firstLine="422" w:firstLineChars="200"/>
      </w:pPr>
      <w:r>
        <w:rPr>
          <w:b/>
        </w:rPr>
        <w:t>4</w:t>
      </w:r>
      <w:r>
        <w:rPr>
          <w:rFonts w:hint="eastAsia"/>
          <w:b/>
        </w:rPr>
        <w:t xml:space="preserve"> </w:t>
      </w:r>
      <w:r>
        <w:rPr>
          <w:rFonts w:hint="eastAsia"/>
        </w:rPr>
        <w:t xml:space="preserve"> </w:t>
      </w:r>
      <w:r>
        <w:t>控制中心荷载取值应根据用房性质不同而分别确定，并应符合表2</w:t>
      </w:r>
      <w:r>
        <w:rPr>
          <w:rFonts w:hint="eastAsia"/>
        </w:rPr>
        <w:t>7</w:t>
      </w:r>
      <w:r>
        <w:t>.5.2规定，如另有特殊设备，应根据要求单独计算。</w:t>
      </w:r>
    </w:p>
    <w:p w14:paraId="15EFD422">
      <w:pPr>
        <w:ind w:firstLine="422" w:firstLineChars="200"/>
      </w:pPr>
      <w:r>
        <w:rPr>
          <w:b/>
        </w:rPr>
        <w:t>5</w:t>
      </w:r>
      <w:r>
        <w:rPr>
          <w:rFonts w:hint="eastAsia"/>
          <w:b/>
        </w:rPr>
        <w:t xml:space="preserve"> </w:t>
      </w:r>
      <w:r>
        <w:rPr>
          <w:rFonts w:hint="eastAsia"/>
        </w:rPr>
        <w:t xml:space="preserve"> </w:t>
      </w:r>
      <w:r>
        <w:t>施工荷载标准值取2.0kPa，并考虑设有运输、安装时最不利布置工况。</w:t>
      </w:r>
    </w:p>
    <w:p w14:paraId="2CA9CF4E">
      <w:pPr>
        <w:pStyle w:val="196"/>
      </w:pPr>
      <w:r>
        <w:t>表2</w:t>
      </w:r>
      <w:r>
        <w:rPr>
          <w:rFonts w:hint="eastAsia"/>
        </w:rPr>
        <w:t>7</w:t>
      </w:r>
      <w:r>
        <w:t>.5.2</w:t>
      </w:r>
      <w:r>
        <w:rPr>
          <w:rFonts w:hint="eastAsia"/>
        </w:rPr>
        <w:t xml:space="preserve">  </w:t>
      </w:r>
      <w:r>
        <w:t>控制中心载荷取值表</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11"/>
        <w:gridCol w:w="2111"/>
        <w:gridCol w:w="2118"/>
      </w:tblGrid>
      <w:tr w14:paraId="7FAF6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8" w:hRule="atLeast"/>
        </w:trPr>
        <w:tc>
          <w:tcPr>
            <w:tcW w:w="2111" w:type="dxa"/>
            <w:tcBorders>
              <w:left w:val="single" w:color="000000" w:sz="6" w:space="0"/>
            </w:tcBorders>
            <w:vAlign w:val="center"/>
          </w:tcPr>
          <w:p w14:paraId="0982AA99">
            <w:pPr>
              <w:pStyle w:val="174"/>
              <w:rPr>
                <w:color w:val="auto"/>
              </w:rPr>
            </w:pPr>
            <w:r>
              <w:rPr>
                <w:color w:val="auto"/>
              </w:rPr>
              <w:t>类别</w:t>
            </w:r>
          </w:p>
        </w:tc>
        <w:tc>
          <w:tcPr>
            <w:tcW w:w="2111" w:type="dxa"/>
            <w:vAlign w:val="center"/>
          </w:tcPr>
          <w:p w14:paraId="74D75917">
            <w:pPr>
              <w:pStyle w:val="174"/>
              <w:rPr>
                <w:color w:val="auto"/>
              </w:rPr>
            </w:pPr>
            <w:r>
              <w:rPr>
                <w:color w:val="auto"/>
              </w:rPr>
              <w:t>活荷载标准值</w:t>
            </w:r>
          </w:p>
        </w:tc>
        <w:tc>
          <w:tcPr>
            <w:tcW w:w="2118" w:type="dxa"/>
            <w:tcBorders>
              <w:right w:val="single" w:color="000000" w:sz="6" w:space="0"/>
            </w:tcBorders>
            <w:vAlign w:val="center"/>
          </w:tcPr>
          <w:p w14:paraId="0481B953">
            <w:pPr>
              <w:pStyle w:val="174"/>
              <w:rPr>
                <w:color w:val="auto"/>
              </w:rPr>
            </w:pPr>
            <w:r>
              <w:rPr>
                <w:color w:val="auto"/>
              </w:rPr>
              <w:t>备注</w:t>
            </w:r>
          </w:p>
        </w:tc>
      </w:tr>
      <w:tr w14:paraId="14FBE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3" w:hRule="atLeast"/>
        </w:trPr>
        <w:tc>
          <w:tcPr>
            <w:tcW w:w="2111" w:type="dxa"/>
            <w:tcBorders>
              <w:left w:val="single" w:color="000000" w:sz="6" w:space="0"/>
            </w:tcBorders>
            <w:vAlign w:val="center"/>
          </w:tcPr>
          <w:p w14:paraId="068017CD">
            <w:pPr>
              <w:pStyle w:val="174"/>
              <w:rPr>
                <w:color w:val="auto"/>
              </w:rPr>
            </w:pPr>
            <w:r>
              <w:rPr>
                <w:color w:val="auto"/>
              </w:rPr>
              <w:t>调度大厅</w:t>
            </w:r>
          </w:p>
        </w:tc>
        <w:tc>
          <w:tcPr>
            <w:tcW w:w="2111" w:type="dxa"/>
            <w:vAlign w:val="center"/>
          </w:tcPr>
          <w:p w14:paraId="7B1DBCC1">
            <w:pPr>
              <w:pStyle w:val="174"/>
              <w:rPr>
                <w:color w:val="auto"/>
              </w:rPr>
            </w:pPr>
            <w:r>
              <w:rPr>
                <w:color w:val="auto"/>
              </w:rPr>
              <w:t>6.0kN/m2</w:t>
            </w:r>
          </w:p>
        </w:tc>
        <w:tc>
          <w:tcPr>
            <w:tcW w:w="2118" w:type="dxa"/>
            <w:tcBorders>
              <w:right w:val="single" w:color="000000" w:sz="6" w:space="0"/>
            </w:tcBorders>
            <w:vAlign w:val="center"/>
          </w:tcPr>
          <w:p w14:paraId="3EDF3B8A">
            <w:pPr>
              <w:pStyle w:val="174"/>
              <w:rPr>
                <w:color w:val="auto"/>
              </w:rPr>
            </w:pPr>
          </w:p>
        </w:tc>
      </w:tr>
      <w:tr w14:paraId="0DDB7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9" w:hRule="atLeast"/>
        </w:trPr>
        <w:tc>
          <w:tcPr>
            <w:tcW w:w="2111" w:type="dxa"/>
            <w:tcBorders>
              <w:left w:val="single" w:color="000000" w:sz="6" w:space="0"/>
            </w:tcBorders>
            <w:vAlign w:val="center"/>
          </w:tcPr>
          <w:p w14:paraId="1EF41A84">
            <w:pPr>
              <w:pStyle w:val="174"/>
              <w:rPr>
                <w:color w:val="auto"/>
              </w:rPr>
            </w:pPr>
            <w:r>
              <w:rPr>
                <w:color w:val="auto"/>
              </w:rPr>
              <w:t>系统设备机房、电源室</w:t>
            </w:r>
          </w:p>
        </w:tc>
        <w:tc>
          <w:tcPr>
            <w:tcW w:w="2111" w:type="dxa"/>
            <w:vAlign w:val="center"/>
          </w:tcPr>
          <w:p w14:paraId="15A9E9AF">
            <w:pPr>
              <w:pStyle w:val="174"/>
              <w:rPr>
                <w:color w:val="auto"/>
              </w:rPr>
            </w:pPr>
            <w:r>
              <w:rPr>
                <w:color w:val="auto"/>
              </w:rPr>
              <w:t>8~10kN/m2</w:t>
            </w:r>
          </w:p>
        </w:tc>
        <w:tc>
          <w:tcPr>
            <w:tcW w:w="2118" w:type="dxa"/>
            <w:tcBorders>
              <w:right w:val="single" w:color="000000" w:sz="6" w:space="0"/>
            </w:tcBorders>
            <w:vAlign w:val="center"/>
          </w:tcPr>
          <w:p w14:paraId="3276AD1A">
            <w:pPr>
              <w:pStyle w:val="174"/>
              <w:rPr>
                <w:color w:val="auto"/>
              </w:rPr>
            </w:pPr>
          </w:p>
        </w:tc>
      </w:tr>
      <w:tr w14:paraId="526D1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trPr>
        <w:tc>
          <w:tcPr>
            <w:tcW w:w="2111" w:type="dxa"/>
            <w:tcBorders>
              <w:left w:val="single" w:color="000000" w:sz="6" w:space="0"/>
            </w:tcBorders>
            <w:vAlign w:val="center"/>
          </w:tcPr>
          <w:p w14:paraId="38BF249C">
            <w:pPr>
              <w:pStyle w:val="174"/>
              <w:rPr>
                <w:color w:val="auto"/>
              </w:rPr>
            </w:pPr>
            <w:r>
              <w:rPr>
                <w:color w:val="auto"/>
              </w:rPr>
              <w:t>电源电池室</w:t>
            </w:r>
          </w:p>
        </w:tc>
        <w:tc>
          <w:tcPr>
            <w:tcW w:w="2111" w:type="dxa"/>
            <w:vAlign w:val="center"/>
          </w:tcPr>
          <w:p w14:paraId="17EC570E">
            <w:pPr>
              <w:pStyle w:val="174"/>
              <w:rPr>
                <w:color w:val="auto"/>
              </w:rPr>
            </w:pPr>
            <w:r>
              <w:rPr>
                <w:color w:val="auto"/>
              </w:rPr>
              <w:t>16.0kN/m2</w:t>
            </w:r>
          </w:p>
        </w:tc>
        <w:tc>
          <w:tcPr>
            <w:tcW w:w="2118" w:type="dxa"/>
            <w:tcBorders>
              <w:right w:val="single" w:color="000000" w:sz="6" w:space="0"/>
            </w:tcBorders>
            <w:vAlign w:val="center"/>
          </w:tcPr>
          <w:p w14:paraId="60D47A84">
            <w:pPr>
              <w:pStyle w:val="174"/>
              <w:rPr>
                <w:color w:val="auto"/>
              </w:rPr>
            </w:pPr>
          </w:p>
        </w:tc>
      </w:tr>
      <w:tr w14:paraId="7EFDB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trPr>
        <w:tc>
          <w:tcPr>
            <w:tcW w:w="2111" w:type="dxa"/>
            <w:tcBorders>
              <w:left w:val="single" w:color="000000" w:sz="6" w:space="0"/>
            </w:tcBorders>
            <w:vAlign w:val="center"/>
          </w:tcPr>
          <w:p w14:paraId="3D15D346">
            <w:pPr>
              <w:pStyle w:val="174"/>
              <w:rPr>
                <w:color w:val="auto"/>
              </w:rPr>
            </w:pPr>
            <w:r>
              <w:rPr>
                <w:color w:val="auto"/>
              </w:rPr>
              <w:t>其他系统用房</w:t>
            </w:r>
          </w:p>
        </w:tc>
        <w:tc>
          <w:tcPr>
            <w:tcW w:w="2111" w:type="dxa"/>
            <w:vAlign w:val="center"/>
          </w:tcPr>
          <w:p w14:paraId="095704B7">
            <w:pPr>
              <w:pStyle w:val="174"/>
              <w:rPr>
                <w:color w:val="auto"/>
              </w:rPr>
            </w:pPr>
            <w:r>
              <w:rPr>
                <w:color w:val="auto"/>
              </w:rPr>
              <w:t>4.0kN/m2</w:t>
            </w:r>
          </w:p>
        </w:tc>
        <w:tc>
          <w:tcPr>
            <w:tcW w:w="2118" w:type="dxa"/>
            <w:tcBorders>
              <w:right w:val="single" w:color="000000" w:sz="6" w:space="0"/>
            </w:tcBorders>
            <w:vAlign w:val="center"/>
          </w:tcPr>
          <w:p w14:paraId="6A5CA39D">
            <w:pPr>
              <w:pStyle w:val="174"/>
              <w:rPr>
                <w:color w:val="auto"/>
              </w:rPr>
            </w:pPr>
          </w:p>
        </w:tc>
      </w:tr>
      <w:tr w14:paraId="0F484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9" w:hRule="atLeast"/>
        </w:trPr>
        <w:tc>
          <w:tcPr>
            <w:tcW w:w="2111" w:type="dxa"/>
            <w:tcBorders>
              <w:left w:val="single" w:color="000000" w:sz="6" w:space="0"/>
            </w:tcBorders>
            <w:vAlign w:val="center"/>
          </w:tcPr>
          <w:p w14:paraId="66080C62">
            <w:pPr>
              <w:pStyle w:val="174"/>
              <w:rPr>
                <w:color w:val="auto"/>
              </w:rPr>
            </w:pPr>
            <w:r>
              <w:rPr>
                <w:color w:val="auto"/>
              </w:rPr>
              <w:t>工区、备品备件用房</w:t>
            </w:r>
          </w:p>
        </w:tc>
        <w:tc>
          <w:tcPr>
            <w:tcW w:w="2111" w:type="dxa"/>
            <w:vAlign w:val="center"/>
          </w:tcPr>
          <w:p w14:paraId="5DD001E9">
            <w:pPr>
              <w:pStyle w:val="174"/>
              <w:rPr>
                <w:color w:val="auto"/>
              </w:rPr>
            </w:pPr>
            <w:r>
              <w:rPr>
                <w:color w:val="auto"/>
              </w:rPr>
              <w:t>2.0kN/m2</w:t>
            </w:r>
          </w:p>
        </w:tc>
        <w:tc>
          <w:tcPr>
            <w:tcW w:w="2118" w:type="dxa"/>
            <w:tcBorders>
              <w:right w:val="single" w:color="000000" w:sz="6" w:space="0"/>
            </w:tcBorders>
            <w:vAlign w:val="center"/>
          </w:tcPr>
          <w:p w14:paraId="0FE64095">
            <w:pPr>
              <w:pStyle w:val="174"/>
              <w:rPr>
                <w:color w:val="auto"/>
              </w:rPr>
            </w:pPr>
          </w:p>
        </w:tc>
      </w:tr>
      <w:tr w14:paraId="320E7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8" w:hRule="atLeast"/>
        </w:trPr>
        <w:tc>
          <w:tcPr>
            <w:tcW w:w="2111" w:type="dxa"/>
            <w:tcBorders>
              <w:left w:val="single" w:color="000000" w:sz="6" w:space="0"/>
            </w:tcBorders>
            <w:vAlign w:val="center"/>
          </w:tcPr>
          <w:p w14:paraId="63E70BDB">
            <w:pPr>
              <w:pStyle w:val="174"/>
              <w:rPr>
                <w:color w:val="auto"/>
              </w:rPr>
            </w:pPr>
            <w:r>
              <w:rPr>
                <w:color w:val="auto"/>
              </w:rPr>
              <w:t>办公室、会议</w:t>
            </w:r>
          </w:p>
        </w:tc>
        <w:tc>
          <w:tcPr>
            <w:tcW w:w="2111" w:type="dxa"/>
            <w:vAlign w:val="center"/>
          </w:tcPr>
          <w:p w14:paraId="31BEC72C">
            <w:pPr>
              <w:pStyle w:val="174"/>
              <w:rPr>
                <w:color w:val="auto"/>
              </w:rPr>
            </w:pPr>
            <w:r>
              <w:rPr>
                <w:color w:val="auto"/>
              </w:rPr>
              <w:t>2.0kN/m2</w:t>
            </w:r>
          </w:p>
        </w:tc>
        <w:tc>
          <w:tcPr>
            <w:tcW w:w="2118" w:type="dxa"/>
            <w:tcBorders>
              <w:right w:val="single" w:color="000000" w:sz="6" w:space="0"/>
            </w:tcBorders>
            <w:vAlign w:val="center"/>
          </w:tcPr>
          <w:p w14:paraId="7EEBAB10">
            <w:pPr>
              <w:pStyle w:val="174"/>
              <w:rPr>
                <w:color w:val="auto"/>
              </w:rPr>
            </w:pPr>
          </w:p>
        </w:tc>
      </w:tr>
      <w:tr w14:paraId="634F1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2" w:hRule="atLeast"/>
        </w:trPr>
        <w:tc>
          <w:tcPr>
            <w:tcW w:w="2111" w:type="dxa"/>
            <w:tcBorders>
              <w:left w:val="single" w:color="000000" w:sz="6" w:space="0"/>
            </w:tcBorders>
            <w:vAlign w:val="center"/>
          </w:tcPr>
          <w:p w14:paraId="70908D87">
            <w:pPr>
              <w:pStyle w:val="174"/>
              <w:rPr>
                <w:color w:val="auto"/>
              </w:rPr>
            </w:pPr>
            <w:r>
              <w:rPr>
                <w:color w:val="auto"/>
              </w:rPr>
              <w:t>其他设备用房楼面</w:t>
            </w:r>
          </w:p>
        </w:tc>
        <w:tc>
          <w:tcPr>
            <w:tcW w:w="2111" w:type="dxa"/>
            <w:vAlign w:val="center"/>
          </w:tcPr>
          <w:p w14:paraId="74926389">
            <w:pPr>
              <w:pStyle w:val="174"/>
              <w:rPr>
                <w:color w:val="auto"/>
              </w:rPr>
            </w:pPr>
            <w:r>
              <w:rPr>
                <w:color w:val="auto"/>
              </w:rPr>
              <w:t>根据设备实际重及工作状态决定</w:t>
            </w:r>
          </w:p>
        </w:tc>
        <w:tc>
          <w:tcPr>
            <w:tcW w:w="2118" w:type="dxa"/>
            <w:tcBorders>
              <w:right w:val="single" w:color="000000" w:sz="6" w:space="0"/>
            </w:tcBorders>
            <w:vAlign w:val="center"/>
          </w:tcPr>
          <w:p w14:paraId="2F016366">
            <w:pPr>
              <w:pStyle w:val="174"/>
              <w:rPr>
                <w:color w:val="auto"/>
              </w:rPr>
            </w:pPr>
            <w:r>
              <w:rPr>
                <w:color w:val="auto"/>
              </w:rPr>
              <w:t>宜小于6.0kN/m2</w:t>
            </w:r>
          </w:p>
        </w:tc>
      </w:tr>
    </w:tbl>
    <w:p w14:paraId="6C50BB7B">
      <w:pPr>
        <w:pStyle w:val="4"/>
        <w:tabs>
          <w:tab w:val="left" w:pos="709"/>
          <w:tab w:val="clear" w:pos="462"/>
        </w:tabs>
      </w:pPr>
      <w:bookmarkStart w:id="2039" w:name="_Toc183790684"/>
      <w:bookmarkStart w:id="2040" w:name="_Toc183683648"/>
      <w:bookmarkStart w:id="2041" w:name="_Toc183882607"/>
      <w:bookmarkStart w:id="2042" w:name="_Toc183882245"/>
      <w:bookmarkStart w:id="2043" w:name="_Toc183765254"/>
      <w:bookmarkStart w:id="2044" w:name="_Toc183888659"/>
      <w:bookmarkStart w:id="2045" w:name="_Toc183888297"/>
      <w:r>
        <w:t>附属设施</w:t>
      </w:r>
      <w:bookmarkEnd w:id="2039"/>
      <w:bookmarkEnd w:id="2040"/>
      <w:bookmarkEnd w:id="2041"/>
      <w:bookmarkEnd w:id="2042"/>
      <w:bookmarkEnd w:id="2043"/>
      <w:bookmarkEnd w:id="2044"/>
      <w:bookmarkEnd w:id="2045"/>
    </w:p>
    <w:p w14:paraId="70355DBC">
      <w:pPr>
        <w:pStyle w:val="5"/>
        <w:tabs>
          <w:tab w:val="left" w:pos="709"/>
          <w:tab w:val="clear" w:pos="630"/>
        </w:tabs>
      </w:pPr>
      <w:r>
        <w:t>各系统设备</w:t>
      </w:r>
      <w:r>
        <w:rPr>
          <w:rFonts w:hint="eastAsia"/>
        </w:rPr>
        <w:t>用</w:t>
      </w:r>
      <w:r>
        <w:t>房</w:t>
      </w:r>
      <w:r>
        <w:rPr>
          <w:rFonts w:hint="eastAsia"/>
        </w:rPr>
        <w:t>技术要求</w:t>
      </w:r>
      <w:r>
        <w:t>应</w:t>
      </w:r>
      <w:r>
        <w:rPr>
          <w:rFonts w:hint="eastAsia"/>
        </w:rPr>
        <w:t>符合</w:t>
      </w:r>
      <w:r>
        <w:t>现行国家标准《</w:t>
      </w:r>
      <w:r>
        <w:rPr>
          <w:rFonts w:hint="eastAsia"/>
        </w:rPr>
        <w:t>数据中心设计规范</w:t>
      </w:r>
      <w:r>
        <w:t>》GB50174</w:t>
      </w:r>
      <w:r>
        <w:rPr>
          <w:rFonts w:hint="eastAsia"/>
        </w:rPr>
        <w:t>中</w:t>
      </w:r>
      <w:r>
        <w:t>B级</w:t>
      </w:r>
      <w:r>
        <w:rPr>
          <w:rFonts w:hint="eastAsia"/>
        </w:rPr>
        <w:t>标准的有关规定</w:t>
      </w:r>
      <w:r>
        <w:t>。</w:t>
      </w:r>
    </w:p>
    <w:p w14:paraId="4A59DF78">
      <w:pPr>
        <w:pStyle w:val="5"/>
        <w:tabs>
          <w:tab w:val="left" w:pos="709"/>
          <w:tab w:val="clear" w:pos="630"/>
        </w:tabs>
      </w:pPr>
      <w:r>
        <w:t>控制中心的变电所、动力照明的设计应符合本规范有关章节规定。</w:t>
      </w:r>
    </w:p>
    <w:p w14:paraId="74DEE744">
      <w:pPr>
        <w:pStyle w:val="5"/>
        <w:tabs>
          <w:tab w:val="left" w:pos="709"/>
          <w:tab w:val="clear" w:pos="630"/>
        </w:tabs>
      </w:pPr>
      <w:r>
        <w:t>控制中心的给水、排水及消防的设计应符合本规范有关章节规定。</w:t>
      </w:r>
    </w:p>
    <w:p w14:paraId="265B1264">
      <w:pPr>
        <w:pStyle w:val="5"/>
        <w:tabs>
          <w:tab w:val="left" w:pos="709"/>
          <w:tab w:val="clear" w:pos="630"/>
        </w:tabs>
      </w:pPr>
      <w:r>
        <w:t>控制中心的通风、空调的设计应符合本规范有关章节规定。</w:t>
      </w:r>
    </w:p>
    <w:p w14:paraId="0EDD5561">
      <w:pPr>
        <w:pStyle w:val="5"/>
        <w:tabs>
          <w:tab w:val="left" w:pos="709"/>
          <w:tab w:val="clear" w:pos="630"/>
        </w:tabs>
      </w:pPr>
      <w:r>
        <w:t>弱电工程设计在符合国家现行规范的规定外，还应符合下列规定：</w:t>
      </w:r>
    </w:p>
    <w:p w14:paraId="5C2135EA">
      <w:pPr>
        <w:pStyle w:val="211"/>
        <w:ind w:firstLine="422"/>
        <w:rPr>
          <w:color w:val="auto"/>
        </w:rPr>
      </w:pPr>
      <w:r>
        <w:rPr>
          <w:b/>
          <w:color w:val="auto"/>
        </w:rPr>
        <w:t>1</w:t>
      </w:r>
      <w:r>
        <w:rPr>
          <w:rFonts w:hint="eastAsia"/>
          <w:b/>
          <w:color w:val="auto"/>
        </w:rPr>
        <w:t xml:space="preserve"> </w:t>
      </w:r>
      <w:r>
        <w:rPr>
          <w:rFonts w:hint="eastAsia"/>
          <w:color w:val="auto"/>
        </w:rPr>
        <w:t xml:space="preserve"> </w:t>
      </w:r>
      <w:r>
        <w:rPr>
          <w:color w:val="auto"/>
        </w:rPr>
        <w:t>控制中心大楼弱电系统功能的实现，应以建筑实体为平台，宜兼顾通信、办公、建筑设备自动化等；</w:t>
      </w:r>
    </w:p>
    <w:p w14:paraId="011E3D62">
      <w:pPr>
        <w:pStyle w:val="211"/>
        <w:ind w:firstLine="422"/>
        <w:rPr>
          <w:color w:val="auto"/>
        </w:rPr>
      </w:pPr>
      <w:r>
        <w:rPr>
          <w:b/>
          <w:color w:val="auto"/>
        </w:rPr>
        <w:t>2</w:t>
      </w:r>
      <w:r>
        <w:rPr>
          <w:rFonts w:hint="eastAsia"/>
          <w:b/>
          <w:color w:val="auto"/>
        </w:rPr>
        <w:t xml:space="preserve">  </w:t>
      </w:r>
      <w:r>
        <w:rPr>
          <w:color w:val="auto"/>
        </w:rPr>
        <w:t>控制中心建筑宜按智能建筑进行设计，宜包括通信自动化系统、办公自动化系统、建筑设备自动化系统。系统设计除应满足各系统设备的工艺要求外，还应符合建筑、结构、防火等有关现行国家规范的规定；</w:t>
      </w:r>
    </w:p>
    <w:p w14:paraId="0025973F">
      <w:pPr>
        <w:pStyle w:val="211"/>
        <w:ind w:firstLine="422"/>
        <w:rPr>
          <w:color w:val="auto"/>
        </w:rPr>
      </w:pPr>
      <w:r>
        <w:rPr>
          <w:b/>
          <w:color w:val="auto"/>
        </w:rPr>
        <w:t>3</w:t>
      </w:r>
      <w:r>
        <w:rPr>
          <w:rFonts w:hint="eastAsia"/>
          <w:b/>
          <w:color w:val="auto"/>
        </w:rPr>
        <w:t xml:space="preserve"> </w:t>
      </w:r>
      <w:r>
        <w:rPr>
          <w:rFonts w:hint="eastAsia"/>
          <w:color w:val="auto"/>
        </w:rPr>
        <w:t xml:space="preserve"> </w:t>
      </w:r>
      <w:r>
        <w:rPr>
          <w:color w:val="auto"/>
        </w:rPr>
        <w:t>办公自动化系统宜包括共用信息处理系统和用户专用信息处理系统等，共用信息处理系统宜包括公用数据库、主计算机系统及会议电视系统等；</w:t>
      </w:r>
    </w:p>
    <w:p w14:paraId="3D27F9AB">
      <w:pPr>
        <w:pStyle w:val="211"/>
        <w:ind w:firstLine="422"/>
        <w:rPr>
          <w:color w:val="auto"/>
        </w:rPr>
      </w:pPr>
      <w:r>
        <w:rPr>
          <w:b/>
          <w:color w:val="auto"/>
        </w:rPr>
        <w:t>4</w:t>
      </w:r>
      <w:r>
        <w:rPr>
          <w:rFonts w:hint="eastAsia"/>
          <w:b/>
          <w:color w:val="auto"/>
        </w:rPr>
        <w:t xml:space="preserve">  </w:t>
      </w:r>
      <w:r>
        <w:rPr>
          <w:color w:val="auto"/>
        </w:rPr>
        <w:t>建筑设备自动化系统应包括楼宇设备监控系统、变电所自动化系统、火灾自动报警系统、综合安全防范系统等；</w:t>
      </w:r>
    </w:p>
    <w:p w14:paraId="41A1F9C9">
      <w:pPr>
        <w:pStyle w:val="211"/>
        <w:ind w:firstLine="422"/>
        <w:rPr>
          <w:color w:val="auto"/>
        </w:rPr>
      </w:pPr>
      <w:r>
        <w:rPr>
          <w:b/>
          <w:color w:val="auto"/>
        </w:rPr>
        <w:t>5</w:t>
      </w:r>
      <w:r>
        <w:rPr>
          <w:rFonts w:hint="eastAsia"/>
          <w:b/>
          <w:color w:val="auto"/>
        </w:rPr>
        <w:t xml:space="preserve"> </w:t>
      </w:r>
      <w:r>
        <w:rPr>
          <w:rFonts w:hint="eastAsia"/>
          <w:color w:val="auto"/>
        </w:rPr>
        <w:t xml:space="preserve"> </w:t>
      </w:r>
      <w:r>
        <w:rPr>
          <w:color w:val="auto"/>
        </w:rPr>
        <w:t>控制中心宜采用结构化综合布线系统。</w:t>
      </w:r>
    </w:p>
    <w:p w14:paraId="7DF86E3B">
      <w:pPr>
        <w:pStyle w:val="5"/>
        <w:tabs>
          <w:tab w:val="left" w:pos="709"/>
          <w:tab w:val="clear" w:pos="630"/>
        </w:tabs>
      </w:pPr>
      <w:r>
        <w:t>控制中心建筑设备自动化系统应设有与城市轨道交通相关系统的接口，并宜纳入控制中心楼宇安防监控室监控和管理。</w:t>
      </w:r>
    </w:p>
    <w:p w14:paraId="3EA9C1F3">
      <w:pPr>
        <w:pStyle w:val="3"/>
      </w:pPr>
      <w:r>
        <w:br w:type="page"/>
      </w:r>
      <w:bookmarkStart w:id="2046" w:name="_Toc183882608"/>
      <w:bookmarkStart w:id="2047" w:name="_Toc183735431"/>
      <w:bookmarkStart w:id="2048" w:name="_Toc183888660"/>
      <w:bookmarkStart w:id="2049" w:name="_Toc183882246"/>
      <w:bookmarkStart w:id="2050" w:name="_Toc183888298"/>
      <w:bookmarkStart w:id="2051" w:name="_Toc183765255"/>
      <w:bookmarkStart w:id="2052" w:name="_Toc183699887"/>
      <w:bookmarkStart w:id="2053" w:name="_Toc183790685"/>
      <w:bookmarkStart w:id="2054" w:name="_Toc183683649"/>
      <w:r>
        <w:rPr>
          <w:rFonts w:hint="eastAsia"/>
        </w:rPr>
        <w:t>交通衔接</w:t>
      </w:r>
      <w:bookmarkEnd w:id="2046"/>
      <w:bookmarkEnd w:id="2047"/>
      <w:bookmarkEnd w:id="2048"/>
      <w:bookmarkEnd w:id="2049"/>
      <w:bookmarkEnd w:id="2050"/>
      <w:bookmarkEnd w:id="2051"/>
      <w:bookmarkEnd w:id="2052"/>
      <w:bookmarkEnd w:id="2053"/>
      <w:bookmarkEnd w:id="2054"/>
    </w:p>
    <w:p w14:paraId="11824C24">
      <w:pPr>
        <w:pStyle w:val="4"/>
        <w:tabs>
          <w:tab w:val="clear" w:pos="462"/>
          <w:tab w:val="clear" w:pos="794"/>
        </w:tabs>
      </w:pPr>
      <w:bookmarkStart w:id="2055" w:name="_Toc183683650"/>
      <w:bookmarkStart w:id="2056" w:name="_Toc183765256"/>
      <w:bookmarkStart w:id="2057" w:name="_Toc183888661"/>
      <w:bookmarkStart w:id="2058" w:name="_Toc183882247"/>
      <w:bookmarkStart w:id="2059" w:name="_Toc183882609"/>
      <w:bookmarkStart w:id="2060" w:name="_Toc183888299"/>
      <w:bookmarkStart w:id="2061" w:name="_Toc183790686"/>
      <w:r>
        <w:rPr>
          <w:rFonts w:hint="eastAsia"/>
        </w:rPr>
        <w:t>一般规定</w:t>
      </w:r>
      <w:bookmarkEnd w:id="2055"/>
      <w:bookmarkEnd w:id="2056"/>
      <w:bookmarkEnd w:id="2057"/>
      <w:bookmarkEnd w:id="2058"/>
      <w:bookmarkEnd w:id="2059"/>
      <w:bookmarkEnd w:id="2060"/>
      <w:bookmarkEnd w:id="2061"/>
    </w:p>
    <w:p w14:paraId="4EAFB1C8">
      <w:pPr>
        <w:pStyle w:val="5"/>
        <w:tabs>
          <w:tab w:val="left" w:pos="709"/>
          <w:tab w:val="clear" w:pos="630"/>
        </w:tabs>
      </w:pPr>
      <w:r>
        <w:rPr>
          <w:rFonts w:hint="eastAsia"/>
        </w:rPr>
        <w:t>交通接驳设施宜按照行人、非机动车、公交车、小汽车（含出租车）临停、小汽车停车的优先顺序进行设计。</w:t>
      </w:r>
    </w:p>
    <w:p w14:paraId="4544220B">
      <w:pPr>
        <w:pStyle w:val="5"/>
        <w:tabs>
          <w:tab w:val="left" w:pos="709"/>
          <w:tab w:val="clear" w:pos="630"/>
        </w:tabs>
      </w:pPr>
      <w:bookmarkStart w:id="2062" w:name="_Hlk180872880"/>
      <w:r>
        <w:t>交通接驳设施组成及</w:t>
      </w:r>
      <w:r>
        <w:rPr>
          <w:rFonts w:hint="eastAsia"/>
        </w:rPr>
        <w:t>接驳距离</w:t>
      </w:r>
      <w:bookmarkEnd w:id="2062"/>
      <w:r>
        <w:rPr>
          <w:rFonts w:hint="eastAsia"/>
        </w:rPr>
        <w:t>宜结合表28.1.1确定：</w:t>
      </w:r>
    </w:p>
    <w:p w14:paraId="61DAD869">
      <w:pPr>
        <w:pStyle w:val="198"/>
      </w:pPr>
      <w:r>
        <w:t>表</w:t>
      </w:r>
      <w:r>
        <w:rPr>
          <w:rFonts w:hint="eastAsia"/>
        </w:rPr>
        <w:t>29.1.1  车站接驳设施组成</w:t>
      </w:r>
    </w:p>
    <w:tbl>
      <w:tblPr>
        <w:tblStyle w:val="88"/>
        <w:tblW w:w="6340" w:type="dxa"/>
        <w:jc w:val="center"/>
        <w:tblLayout w:type="fixed"/>
        <w:tblCellMar>
          <w:top w:w="0" w:type="dxa"/>
          <w:left w:w="108" w:type="dxa"/>
          <w:bottom w:w="0" w:type="dxa"/>
          <w:right w:w="108" w:type="dxa"/>
        </w:tblCellMar>
      </w:tblPr>
      <w:tblGrid>
        <w:gridCol w:w="1101"/>
        <w:gridCol w:w="1702"/>
        <w:gridCol w:w="1700"/>
        <w:gridCol w:w="1837"/>
      </w:tblGrid>
      <w:tr w14:paraId="32CDD0E7">
        <w:tblPrEx>
          <w:tblCellMar>
            <w:top w:w="0" w:type="dxa"/>
            <w:left w:w="108" w:type="dxa"/>
            <w:bottom w:w="0" w:type="dxa"/>
            <w:right w:w="108" w:type="dxa"/>
          </w:tblCellMar>
        </w:tblPrEx>
        <w:trPr>
          <w:trHeight w:val="285" w:hRule="atLeast"/>
          <w:jc w:val="center"/>
        </w:trPr>
        <w:tc>
          <w:tcPr>
            <w:tcW w:w="1101" w:type="dxa"/>
            <w:tcBorders>
              <w:top w:val="single" w:color="000000" w:sz="4" w:space="0"/>
              <w:left w:val="single" w:color="000000" w:sz="4" w:space="0"/>
              <w:bottom w:val="single" w:color="000000" w:sz="4" w:space="0"/>
              <w:right w:val="single" w:color="000000" w:sz="4" w:space="0"/>
            </w:tcBorders>
            <w:noWrap/>
            <w:vAlign w:val="center"/>
          </w:tcPr>
          <w:p w14:paraId="23AD1AE0">
            <w:pPr>
              <w:pStyle w:val="235"/>
              <w:rPr>
                <w:color w:val="auto"/>
              </w:rPr>
            </w:pPr>
            <w:r>
              <w:rPr>
                <w:rFonts w:hint="eastAsia"/>
                <w:color w:val="auto"/>
                <w:lang w:bidi="ar"/>
              </w:rPr>
              <w:t>交通接驳设施</w:t>
            </w:r>
          </w:p>
        </w:tc>
        <w:tc>
          <w:tcPr>
            <w:tcW w:w="1702" w:type="dxa"/>
            <w:tcBorders>
              <w:top w:val="single" w:color="000000" w:sz="4" w:space="0"/>
              <w:left w:val="single" w:color="000000" w:sz="4" w:space="0"/>
              <w:bottom w:val="single" w:color="000000" w:sz="4" w:space="0"/>
              <w:right w:val="single" w:color="000000" w:sz="4" w:space="0"/>
            </w:tcBorders>
            <w:noWrap/>
            <w:vAlign w:val="center"/>
          </w:tcPr>
          <w:p w14:paraId="42ECB7FA">
            <w:pPr>
              <w:pStyle w:val="235"/>
              <w:rPr>
                <w:color w:val="auto"/>
              </w:rPr>
            </w:pPr>
            <w:r>
              <w:rPr>
                <w:rFonts w:hint="eastAsia"/>
                <w:color w:val="auto"/>
                <w:lang w:bidi="ar"/>
              </w:rPr>
              <w:t>接驳设施内容</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0E5AB8EE">
            <w:pPr>
              <w:pStyle w:val="235"/>
              <w:rPr>
                <w:color w:val="auto"/>
              </w:rPr>
            </w:pPr>
            <w:r>
              <w:rPr>
                <w:rFonts w:hint="eastAsia"/>
                <w:color w:val="auto"/>
                <w:lang w:bidi="ar"/>
              </w:rPr>
              <w:t>设置要求</w:t>
            </w:r>
          </w:p>
        </w:tc>
        <w:tc>
          <w:tcPr>
            <w:tcW w:w="1837" w:type="dxa"/>
            <w:tcBorders>
              <w:top w:val="single" w:color="000000" w:sz="4" w:space="0"/>
              <w:left w:val="single" w:color="000000" w:sz="4" w:space="0"/>
              <w:bottom w:val="single" w:color="000000" w:sz="4" w:space="0"/>
              <w:right w:val="single" w:color="000000" w:sz="4" w:space="0"/>
            </w:tcBorders>
          </w:tcPr>
          <w:p w14:paraId="49754466">
            <w:pPr>
              <w:pStyle w:val="235"/>
              <w:rPr>
                <w:color w:val="auto"/>
                <w:lang w:bidi="ar"/>
              </w:rPr>
            </w:pPr>
            <w:r>
              <w:rPr>
                <w:rFonts w:hint="eastAsia"/>
                <w:color w:val="auto"/>
                <w:lang w:bidi="ar"/>
              </w:rPr>
              <w:t>与车站出入口换乘距离</w:t>
            </w:r>
          </w:p>
        </w:tc>
      </w:tr>
      <w:tr w14:paraId="246D2A92">
        <w:tblPrEx>
          <w:tblCellMar>
            <w:top w:w="0" w:type="dxa"/>
            <w:left w:w="108" w:type="dxa"/>
            <w:bottom w:w="0" w:type="dxa"/>
            <w:right w:w="108" w:type="dxa"/>
          </w:tblCellMar>
        </w:tblPrEx>
        <w:trPr>
          <w:trHeight w:val="285" w:hRule="atLeast"/>
          <w:jc w:val="center"/>
        </w:trPr>
        <w:tc>
          <w:tcPr>
            <w:tcW w:w="1101" w:type="dxa"/>
            <w:vMerge w:val="restart"/>
            <w:tcBorders>
              <w:top w:val="single" w:color="000000" w:sz="4" w:space="0"/>
              <w:left w:val="single" w:color="000000" w:sz="4" w:space="0"/>
              <w:bottom w:val="single" w:color="000000" w:sz="4" w:space="0"/>
              <w:right w:val="single" w:color="000000" w:sz="4" w:space="0"/>
            </w:tcBorders>
            <w:noWrap/>
            <w:vAlign w:val="center"/>
          </w:tcPr>
          <w:p w14:paraId="1CD3EB36">
            <w:pPr>
              <w:pStyle w:val="235"/>
              <w:rPr>
                <w:color w:val="auto"/>
              </w:rPr>
            </w:pPr>
            <w:r>
              <w:rPr>
                <w:rFonts w:hint="eastAsia"/>
                <w:color w:val="auto"/>
                <w:lang w:bidi="ar"/>
              </w:rPr>
              <w:t>行人接驳设施</w:t>
            </w:r>
          </w:p>
        </w:tc>
        <w:tc>
          <w:tcPr>
            <w:tcW w:w="1702" w:type="dxa"/>
            <w:tcBorders>
              <w:top w:val="single" w:color="000000" w:sz="4" w:space="0"/>
              <w:left w:val="single" w:color="000000" w:sz="4" w:space="0"/>
              <w:bottom w:val="single" w:color="000000" w:sz="4" w:space="0"/>
              <w:right w:val="single" w:color="000000" w:sz="4" w:space="0"/>
            </w:tcBorders>
            <w:noWrap/>
            <w:vAlign w:val="center"/>
          </w:tcPr>
          <w:p w14:paraId="08F3406D">
            <w:pPr>
              <w:pStyle w:val="235"/>
              <w:rPr>
                <w:color w:val="auto"/>
              </w:rPr>
            </w:pPr>
            <w:r>
              <w:rPr>
                <w:rFonts w:hint="eastAsia"/>
                <w:color w:val="auto"/>
                <w:lang w:bidi="ar"/>
              </w:rPr>
              <w:t>站前广场</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76FB45D9">
            <w:pPr>
              <w:pStyle w:val="235"/>
              <w:rPr>
                <w:color w:val="auto"/>
              </w:rPr>
            </w:pPr>
            <w:r>
              <w:rPr>
                <w:rFonts w:hint="eastAsia"/>
                <w:color w:val="auto"/>
                <w:lang w:bidi="ar"/>
              </w:rPr>
              <w:t>应设置</w:t>
            </w:r>
          </w:p>
        </w:tc>
        <w:tc>
          <w:tcPr>
            <w:tcW w:w="1837" w:type="dxa"/>
            <w:tcBorders>
              <w:top w:val="single" w:color="000000" w:sz="4" w:space="0"/>
              <w:left w:val="single" w:color="000000" w:sz="4" w:space="0"/>
              <w:bottom w:val="single" w:color="000000" w:sz="4" w:space="0"/>
              <w:right w:val="single" w:color="000000" w:sz="4" w:space="0"/>
            </w:tcBorders>
          </w:tcPr>
          <w:p w14:paraId="20B39523">
            <w:pPr>
              <w:pStyle w:val="235"/>
              <w:rPr>
                <w:color w:val="auto"/>
                <w:lang w:bidi="ar"/>
              </w:rPr>
            </w:pPr>
            <w:r>
              <w:rPr>
                <w:rFonts w:hint="eastAsia"/>
                <w:color w:val="auto"/>
                <w:lang w:bidi="ar"/>
              </w:rPr>
              <w:t>——</w:t>
            </w:r>
          </w:p>
        </w:tc>
      </w:tr>
      <w:tr w14:paraId="695E402D">
        <w:tblPrEx>
          <w:tblCellMar>
            <w:top w:w="0" w:type="dxa"/>
            <w:left w:w="108" w:type="dxa"/>
            <w:bottom w:w="0" w:type="dxa"/>
            <w:right w:w="108" w:type="dxa"/>
          </w:tblCellMar>
        </w:tblPrEx>
        <w:trPr>
          <w:trHeight w:val="285" w:hRule="atLeast"/>
          <w:jc w:val="center"/>
        </w:trPr>
        <w:tc>
          <w:tcPr>
            <w:tcW w:w="1101" w:type="dxa"/>
            <w:vMerge w:val="continue"/>
            <w:tcBorders>
              <w:top w:val="single" w:color="000000" w:sz="4" w:space="0"/>
              <w:left w:val="single" w:color="000000" w:sz="4" w:space="0"/>
              <w:bottom w:val="single" w:color="000000" w:sz="4" w:space="0"/>
              <w:right w:val="single" w:color="000000" w:sz="4" w:space="0"/>
            </w:tcBorders>
            <w:noWrap/>
            <w:vAlign w:val="center"/>
          </w:tcPr>
          <w:p w14:paraId="0B06E820">
            <w:pPr>
              <w:pStyle w:val="235"/>
              <w:rPr>
                <w:color w:val="auto"/>
              </w:rPr>
            </w:pPr>
          </w:p>
        </w:tc>
        <w:tc>
          <w:tcPr>
            <w:tcW w:w="1702" w:type="dxa"/>
            <w:tcBorders>
              <w:top w:val="single" w:color="000000" w:sz="4" w:space="0"/>
              <w:left w:val="single" w:color="000000" w:sz="4" w:space="0"/>
              <w:bottom w:val="single" w:color="000000" w:sz="4" w:space="0"/>
              <w:right w:val="single" w:color="000000" w:sz="4" w:space="0"/>
            </w:tcBorders>
            <w:noWrap/>
            <w:vAlign w:val="center"/>
          </w:tcPr>
          <w:p w14:paraId="2303D93C">
            <w:pPr>
              <w:pStyle w:val="235"/>
              <w:rPr>
                <w:color w:val="auto"/>
              </w:rPr>
            </w:pPr>
            <w:r>
              <w:rPr>
                <w:rFonts w:hint="eastAsia"/>
                <w:color w:val="auto"/>
                <w:lang w:bidi="ar"/>
              </w:rPr>
              <w:t>行人过街设施</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65B1A2D1">
            <w:pPr>
              <w:pStyle w:val="235"/>
              <w:rPr>
                <w:color w:val="auto"/>
              </w:rPr>
            </w:pPr>
            <w:r>
              <w:rPr>
                <w:rFonts w:hint="eastAsia"/>
                <w:color w:val="auto"/>
                <w:lang w:bidi="ar"/>
              </w:rPr>
              <w:t>应设置</w:t>
            </w:r>
          </w:p>
        </w:tc>
        <w:tc>
          <w:tcPr>
            <w:tcW w:w="1837" w:type="dxa"/>
            <w:tcBorders>
              <w:top w:val="single" w:color="000000" w:sz="4" w:space="0"/>
              <w:left w:val="single" w:color="000000" w:sz="4" w:space="0"/>
              <w:bottom w:val="single" w:color="000000" w:sz="4" w:space="0"/>
              <w:right w:val="single" w:color="000000" w:sz="4" w:space="0"/>
            </w:tcBorders>
          </w:tcPr>
          <w:p w14:paraId="6AC02BD3">
            <w:pPr>
              <w:pStyle w:val="235"/>
              <w:rPr>
                <w:color w:val="auto"/>
                <w:lang w:bidi="ar"/>
              </w:rPr>
            </w:pPr>
            <w:r>
              <w:rPr>
                <w:rFonts w:hint="eastAsia"/>
                <w:color w:val="auto"/>
                <w:lang w:bidi="ar"/>
              </w:rPr>
              <w:t>——</w:t>
            </w:r>
          </w:p>
        </w:tc>
      </w:tr>
      <w:tr w14:paraId="094706BA">
        <w:tblPrEx>
          <w:tblCellMar>
            <w:top w:w="0" w:type="dxa"/>
            <w:left w:w="108" w:type="dxa"/>
            <w:bottom w:w="0" w:type="dxa"/>
            <w:right w:w="108" w:type="dxa"/>
          </w:tblCellMar>
        </w:tblPrEx>
        <w:trPr>
          <w:trHeight w:val="285" w:hRule="atLeast"/>
          <w:jc w:val="center"/>
        </w:trPr>
        <w:tc>
          <w:tcPr>
            <w:tcW w:w="1101" w:type="dxa"/>
            <w:tcBorders>
              <w:top w:val="single" w:color="000000" w:sz="4" w:space="0"/>
              <w:left w:val="single" w:color="000000" w:sz="4" w:space="0"/>
              <w:bottom w:val="single" w:color="000000" w:sz="4" w:space="0"/>
              <w:right w:val="single" w:color="000000" w:sz="4" w:space="0"/>
            </w:tcBorders>
            <w:noWrap/>
            <w:vAlign w:val="center"/>
          </w:tcPr>
          <w:p w14:paraId="5FD0E838">
            <w:pPr>
              <w:pStyle w:val="235"/>
              <w:rPr>
                <w:color w:val="auto"/>
              </w:rPr>
            </w:pPr>
            <w:r>
              <w:rPr>
                <w:rFonts w:hint="eastAsia"/>
                <w:color w:val="auto"/>
                <w:lang w:bidi="ar"/>
              </w:rPr>
              <w:t>非机动车接驳设施</w:t>
            </w:r>
          </w:p>
        </w:tc>
        <w:tc>
          <w:tcPr>
            <w:tcW w:w="1702" w:type="dxa"/>
            <w:tcBorders>
              <w:top w:val="single" w:color="000000" w:sz="4" w:space="0"/>
              <w:left w:val="single" w:color="000000" w:sz="4" w:space="0"/>
              <w:bottom w:val="single" w:color="000000" w:sz="4" w:space="0"/>
              <w:right w:val="single" w:color="000000" w:sz="4" w:space="0"/>
            </w:tcBorders>
            <w:noWrap/>
            <w:vAlign w:val="center"/>
          </w:tcPr>
          <w:p w14:paraId="6C699F6E">
            <w:pPr>
              <w:pStyle w:val="235"/>
              <w:rPr>
                <w:color w:val="auto"/>
              </w:rPr>
            </w:pPr>
            <w:r>
              <w:rPr>
                <w:rFonts w:hint="eastAsia"/>
                <w:color w:val="auto"/>
                <w:lang w:bidi="ar"/>
              </w:rPr>
              <w:t>非机动车停车场</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2B163F2A">
            <w:pPr>
              <w:pStyle w:val="235"/>
              <w:rPr>
                <w:color w:val="auto"/>
              </w:rPr>
            </w:pPr>
            <w:r>
              <w:rPr>
                <w:rFonts w:hint="eastAsia"/>
                <w:color w:val="auto"/>
                <w:lang w:bidi="ar"/>
              </w:rPr>
              <w:t>应设置</w:t>
            </w:r>
          </w:p>
        </w:tc>
        <w:tc>
          <w:tcPr>
            <w:tcW w:w="1837" w:type="dxa"/>
            <w:tcBorders>
              <w:top w:val="single" w:color="000000" w:sz="4" w:space="0"/>
              <w:left w:val="single" w:color="000000" w:sz="4" w:space="0"/>
              <w:bottom w:val="single" w:color="000000" w:sz="4" w:space="0"/>
              <w:right w:val="single" w:color="000000" w:sz="4" w:space="0"/>
            </w:tcBorders>
          </w:tcPr>
          <w:p w14:paraId="0F820002">
            <w:pPr>
              <w:pStyle w:val="235"/>
              <w:rPr>
                <w:color w:val="auto"/>
                <w:lang w:bidi="ar"/>
              </w:rPr>
            </w:pPr>
            <w:r>
              <w:rPr>
                <w:rFonts w:hint="eastAsia"/>
                <w:color w:val="auto"/>
                <w:lang w:bidi="ar"/>
              </w:rPr>
              <w:t>≤50m</w:t>
            </w:r>
          </w:p>
        </w:tc>
      </w:tr>
      <w:tr w14:paraId="0A561202">
        <w:tblPrEx>
          <w:tblCellMar>
            <w:top w:w="0" w:type="dxa"/>
            <w:left w:w="108" w:type="dxa"/>
            <w:bottom w:w="0" w:type="dxa"/>
            <w:right w:w="108" w:type="dxa"/>
          </w:tblCellMar>
        </w:tblPrEx>
        <w:trPr>
          <w:trHeight w:val="285" w:hRule="atLeast"/>
          <w:jc w:val="center"/>
        </w:trPr>
        <w:tc>
          <w:tcPr>
            <w:tcW w:w="1101" w:type="dxa"/>
            <w:vMerge w:val="restart"/>
            <w:tcBorders>
              <w:top w:val="single" w:color="000000" w:sz="4" w:space="0"/>
              <w:left w:val="single" w:color="000000" w:sz="4" w:space="0"/>
              <w:bottom w:val="single" w:color="000000" w:sz="4" w:space="0"/>
              <w:right w:val="single" w:color="000000" w:sz="4" w:space="0"/>
            </w:tcBorders>
            <w:noWrap/>
            <w:vAlign w:val="center"/>
          </w:tcPr>
          <w:p w14:paraId="04D9B151">
            <w:pPr>
              <w:pStyle w:val="235"/>
              <w:rPr>
                <w:color w:val="auto"/>
              </w:rPr>
            </w:pPr>
            <w:r>
              <w:rPr>
                <w:rFonts w:hint="eastAsia"/>
                <w:color w:val="auto"/>
                <w:lang w:bidi="ar"/>
              </w:rPr>
              <w:t>公交接驳设施</w:t>
            </w:r>
          </w:p>
        </w:tc>
        <w:tc>
          <w:tcPr>
            <w:tcW w:w="1702" w:type="dxa"/>
            <w:tcBorders>
              <w:top w:val="single" w:color="000000" w:sz="4" w:space="0"/>
              <w:left w:val="single" w:color="000000" w:sz="4" w:space="0"/>
              <w:bottom w:val="single" w:color="000000" w:sz="4" w:space="0"/>
              <w:right w:val="single" w:color="000000" w:sz="4" w:space="0"/>
            </w:tcBorders>
            <w:noWrap/>
            <w:vAlign w:val="center"/>
          </w:tcPr>
          <w:p w14:paraId="2E741631">
            <w:pPr>
              <w:pStyle w:val="235"/>
              <w:rPr>
                <w:color w:val="auto"/>
              </w:rPr>
            </w:pPr>
            <w:r>
              <w:rPr>
                <w:rFonts w:hint="eastAsia"/>
                <w:color w:val="auto"/>
                <w:lang w:bidi="ar"/>
              </w:rPr>
              <w:t>公交车停靠站</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36841E42">
            <w:pPr>
              <w:pStyle w:val="235"/>
              <w:rPr>
                <w:color w:val="auto"/>
              </w:rPr>
            </w:pPr>
            <w:r>
              <w:rPr>
                <w:rFonts w:hint="eastAsia"/>
                <w:color w:val="auto"/>
                <w:lang w:bidi="ar"/>
              </w:rPr>
              <w:t>应设置</w:t>
            </w:r>
          </w:p>
        </w:tc>
        <w:tc>
          <w:tcPr>
            <w:tcW w:w="1837" w:type="dxa"/>
            <w:tcBorders>
              <w:top w:val="single" w:color="000000" w:sz="4" w:space="0"/>
              <w:left w:val="single" w:color="000000" w:sz="4" w:space="0"/>
              <w:bottom w:val="single" w:color="000000" w:sz="4" w:space="0"/>
              <w:right w:val="single" w:color="000000" w:sz="4" w:space="0"/>
            </w:tcBorders>
          </w:tcPr>
          <w:p w14:paraId="05899642">
            <w:pPr>
              <w:pStyle w:val="235"/>
              <w:rPr>
                <w:color w:val="auto"/>
                <w:lang w:bidi="ar"/>
              </w:rPr>
            </w:pPr>
            <w:r>
              <w:rPr>
                <w:rFonts w:hint="eastAsia"/>
                <w:color w:val="auto"/>
                <w:lang w:bidi="ar"/>
              </w:rPr>
              <w:t>一般情况下≤30m，条件受限情况下≤50m</w:t>
            </w:r>
          </w:p>
        </w:tc>
      </w:tr>
      <w:tr w14:paraId="2D4CBB71">
        <w:tblPrEx>
          <w:tblCellMar>
            <w:top w:w="0" w:type="dxa"/>
            <w:left w:w="108" w:type="dxa"/>
            <w:bottom w:w="0" w:type="dxa"/>
            <w:right w:w="108" w:type="dxa"/>
          </w:tblCellMar>
        </w:tblPrEx>
        <w:trPr>
          <w:trHeight w:val="285" w:hRule="atLeast"/>
          <w:jc w:val="center"/>
        </w:trPr>
        <w:tc>
          <w:tcPr>
            <w:tcW w:w="1101" w:type="dxa"/>
            <w:vMerge w:val="continue"/>
            <w:tcBorders>
              <w:top w:val="single" w:color="000000" w:sz="4" w:space="0"/>
              <w:left w:val="single" w:color="000000" w:sz="4" w:space="0"/>
              <w:bottom w:val="single" w:color="000000" w:sz="4" w:space="0"/>
              <w:right w:val="single" w:color="000000" w:sz="4" w:space="0"/>
            </w:tcBorders>
            <w:noWrap/>
            <w:vAlign w:val="center"/>
          </w:tcPr>
          <w:p w14:paraId="22FD9AC3">
            <w:pPr>
              <w:pStyle w:val="235"/>
              <w:rPr>
                <w:color w:val="auto"/>
              </w:rPr>
            </w:pPr>
          </w:p>
        </w:tc>
        <w:tc>
          <w:tcPr>
            <w:tcW w:w="1702" w:type="dxa"/>
            <w:tcBorders>
              <w:top w:val="single" w:color="000000" w:sz="4" w:space="0"/>
              <w:left w:val="single" w:color="000000" w:sz="4" w:space="0"/>
              <w:bottom w:val="single" w:color="000000" w:sz="4" w:space="0"/>
              <w:right w:val="single" w:color="000000" w:sz="4" w:space="0"/>
            </w:tcBorders>
            <w:noWrap/>
            <w:vAlign w:val="center"/>
          </w:tcPr>
          <w:p w14:paraId="762701FA">
            <w:pPr>
              <w:pStyle w:val="235"/>
              <w:rPr>
                <w:color w:val="auto"/>
              </w:rPr>
            </w:pPr>
            <w:r>
              <w:rPr>
                <w:rFonts w:hint="eastAsia"/>
                <w:color w:val="auto"/>
                <w:lang w:bidi="ar"/>
              </w:rPr>
              <w:t>公交场站</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5183DD8A">
            <w:pPr>
              <w:pStyle w:val="235"/>
              <w:rPr>
                <w:color w:val="auto"/>
              </w:rPr>
            </w:pPr>
            <w:r>
              <w:rPr>
                <w:rFonts w:hint="eastAsia"/>
                <w:color w:val="auto"/>
                <w:lang w:bidi="ar"/>
              </w:rPr>
              <w:t>结合需求及规划用地条件设置</w:t>
            </w:r>
          </w:p>
        </w:tc>
        <w:tc>
          <w:tcPr>
            <w:tcW w:w="1837" w:type="dxa"/>
            <w:tcBorders>
              <w:top w:val="single" w:color="000000" w:sz="4" w:space="0"/>
              <w:left w:val="single" w:color="000000" w:sz="4" w:space="0"/>
              <w:bottom w:val="single" w:color="000000" w:sz="4" w:space="0"/>
              <w:right w:val="single" w:color="000000" w:sz="4" w:space="0"/>
            </w:tcBorders>
          </w:tcPr>
          <w:p w14:paraId="4AD6CB94">
            <w:pPr>
              <w:pStyle w:val="235"/>
              <w:rPr>
                <w:color w:val="auto"/>
                <w:lang w:bidi="ar"/>
              </w:rPr>
            </w:pPr>
            <w:r>
              <w:rPr>
                <w:rFonts w:hint="eastAsia"/>
                <w:color w:val="auto"/>
                <w:lang w:bidi="ar"/>
              </w:rPr>
              <w:t>≤100m</w:t>
            </w:r>
          </w:p>
        </w:tc>
      </w:tr>
      <w:tr w14:paraId="641EB570">
        <w:tblPrEx>
          <w:tblCellMar>
            <w:top w:w="0" w:type="dxa"/>
            <w:left w:w="108" w:type="dxa"/>
            <w:bottom w:w="0" w:type="dxa"/>
            <w:right w:w="108" w:type="dxa"/>
          </w:tblCellMar>
        </w:tblPrEx>
        <w:trPr>
          <w:trHeight w:val="285" w:hRule="atLeast"/>
          <w:jc w:val="center"/>
        </w:trPr>
        <w:tc>
          <w:tcPr>
            <w:tcW w:w="1101" w:type="dxa"/>
            <w:vMerge w:val="restart"/>
            <w:tcBorders>
              <w:top w:val="single" w:color="000000" w:sz="4" w:space="0"/>
              <w:left w:val="single" w:color="000000" w:sz="4" w:space="0"/>
              <w:right w:val="single" w:color="000000" w:sz="4" w:space="0"/>
            </w:tcBorders>
            <w:noWrap/>
            <w:vAlign w:val="center"/>
          </w:tcPr>
          <w:p w14:paraId="73BFAD3F">
            <w:pPr>
              <w:pStyle w:val="235"/>
              <w:rPr>
                <w:color w:val="auto"/>
              </w:rPr>
            </w:pPr>
            <w:r>
              <w:rPr>
                <w:rFonts w:hint="eastAsia"/>
                <w:color w:val="auto"/>
                <w:lang w:bidi="ar"/>
              </w:rPr>
              <w:t>小汽车接驳设施</w:t>
            </w:r>
          </w:p>
        </w:tc>
        <w:tc>
          <w:tcPr>
            <w:tcW w:w="1702" w:type="dxa"/>
            <w:tcBorders>
              <w:top w:val="single" w:color="000000" w:sz="4" w:space="0"/>
              <w:left w:val="single" w:color="000000" w:sz="4" w:space="0"/>
              <w:bottom w:val="single" w:color="000000" w:sz="4" w:space="0"/>
              <w:right w:val="single" w:color="000000" w:sz="4" w:space="0"/>
            </w:tcBorders>
            <w:noWrap/>
            <w:vAlign w:val="center"/>
          </w:tcPr>
          <w:p w14:paraId="1B6649DE">
            <w:pPr>
              <w:pStyle w:val="235"/>
              <w:rPr>
                <w:color w:val="auto"/>
              </w:rPr>
            </w:pPr>
            <w:r>
              <w:rPr>
                <w:rFonts w:hint="eastAsia"/>
                <w:color w:val="auto"/>
                <w:lang w:bidi="ar"/>
              </w:rPr>
              <w:t>K+R停车泊位</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3E2C866A">
            <w:pPr>
              <w:pStyle w:val="235"/>
              <w:rPr>
                <w:color w:val="auto"/>
              </w:rPr>
            </w:pPr>
            <w:r>
              <w:rPr>
                <w:rFonts w:hint="eastAsia"/>
                <w:color w:val="auto"/>
                <w:lang w:bidi="ar"/>
              </w:rPr>
              <w:t>结合需求及规划用地条件设置</w:t>
            </w:r>
          </w:p>
        </w:tc>
        <w:tc>
          <w:tcPr>
            <w:tcW w:w="1837" w:type="dxa"/>
            <w:tcBorders>
              <w:top w:val="single" w:color="000000" w:sz="4" w:space="0"/>
              <w:left w:val="single" w:color="000000" w:sz="4" w:space="0"/>
              <w:bottom w:val="single" w:color="000000" w:sz="4" w:space="0"/>
              <w:right w:val="single" w:color="000000" w:sz="4" w:space="0"/>
            </w:tcBorders>
          </w:tcPr>
          <w:p w14:paraId="4D2D7643">
            <w:pPr>
              <w:pStyle w:val="235"/>
              <w:rPr>
                <w:color w:val="auto"/>
                <w:lang w:bidi="ar"/>
              </w:rPr>
            </w:pPr>
            <w:r>
              <w:rPr>
                <w:rFonts w:hint="eastAsia"/>
                <w:color w:val="auto"/>
                <w:lang w:bidi="ar"/>
              </w:rPr>
              <w:t>≤50m</w:t>
            </w:r>
          </w:p>
        </w:tc>
      </w:tr>
      <w:tr w14:paraId="39CB137F">
        <w:tblPrEx>
          <w:tblCellMar>
            <w:top w:w="0" w:type="dxa"/>
            <w:left w:w="108" w:type="dxa"/>
            <w:bottom w:w="0" w:type="dxa"/>
            <w:right w:w="108" w:type="dxa"/>
          </w:tblCellMar>
        </w:tblPrEx>
        <w:trPr>
          <w:trHeight w:val="285" w:hRule="atLeast"/>
          <w:jc w:val="center"/>
        </w:trPr>
        <w:tc>
          <w:tcPr>
            <w:tcW w:w="1101" w:type="dxa"/>
            <w:vMerge w:val="continue"/>
            <w:tcBorders>
              <w:left w:val="single" w:color="000000" w:sz="4" w:space="0"/>
              <w:bottom w:val="single" w:color="000000" w:sz="4" w:space="0"/>
              <w:right w:val="single" w:color="000000" w:sz="4" w:space="0"/>
            </w:tcBorders>
            <w:noWrap/>
            <w:vAlign w:val="center"/>
          </w:tcPr>
          <w:p w14:paraId="0923865F">
            <w:pPr>
              <w:pStyle w:val="235"/>
              <w:rPr>
                <w:color w:val="auto"/>
                <w:lang w:bidi="ar"/>
              </w:rPr>
            </w:pPr>
          </w:p>
        </w:tc>
        <w:tc>
          <w:tcPr>
            <w:tcW w:w="1702" w:type="dxa"/>
            <w:tcBorders>
              <w:top w:val="single" w:color="000000" w:sz="4" w:space="0"/>
              <w:left w:val="single" w:color="000000" w:sz="4" w:space="0"/>
              <w:bottom w:val="single" w:color="000000" w:sz="4" w:space="0"/>
              <w:right w:val="single" w:color="000000" w:sz="4" w:space="0"/>
            </w:tcBorders>
            <w:noWrap/>
            <w:vAlign w:val="center"/>
          </w:tcPr>
          <w:p w14:paraId="32E6A794">
            <w:pPr>
              <w:pStyle w:val="235"/>
              <w:rPr>
                <w:color w:val="auto"/>
                <w:lang w:bidi="ar"/>
              </w:rPr>
            </w:pPr>
            <w:r>
              <w:rPr>
                <w:rFonts w:hint="eastAsia"/>
                <w:color w:val="auto"/>
                <w:lang w:bidi="ar"/>
              </w:rPr>
              <w:t>小汽车停车场</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55B7B407">
            <w:pPr>
              <w:pStyle w:val="235"/>
              <w:rPr>
                <w:color w:val="auto"/>
                <w:lang w:bidi="ar"/>
              </w:rPr>
            </w:pPr>
            <w:r>
              <w:rPr>
                <w:rFonts w:hint="eastAsia"/>
                <w:color w:val="auto"/>
                <w:lang w:bidi="ar"/>
              </w:rPr>
              <w:t>结合需求及规划用地条件设置</w:t>
            </w:r>
          </w:p>
        </w:tc>
        <w:tc>
          <w:tcPr>
            <w:tcW w:w="1837" w:type="dxa"/>
            <w:tcBorders>
              <w:top w:val="single" w:color="000000" w:sz="4" w:space="0"/>
              <w:left w:val="single" w:color="000000" w:sz="4" w:space="0"/>
              <w:bottom w:val="single" w:color="000000" w:sz="4" w:space="0"/>
              <w:right w:val="single" w:color="000000" w:sz="4" w:space="0"/>
            </w:tcBorders>
          </w:tcPr>
          <w:p w14:paraId="03825387">
            <w:pPr>
              <w:pStyle w:val="235"/>
              <w:rPr>
                <w:color w:val="auto"/>
                <w:lang w:bidi="ar"/>
              </w:rPr>
            </w:pPr>
            <w:r>
              <w:rPr>
                <w:rFonts w:hint="eastAsia"/>
                <w:color w:val="auto"/>
                <w:lang w:bidi="ar"/>
              </w:rPr>
              <w:t>≤150m</w:t>
            </w:r>
          </w:p>
        </w:tc>
      </w:tr>
    </w:tbl>
    <w:p w14:paraId="3EB7C47B">
      <w:pPr>
        <w:pStyle w:val="198"/>
      </w:pPr>
    </w:p>
    <w:p w14:paraId="2AF97841">
      <w:pPr>
        <w:pStyle w:val="5"/>
        <w:tabs>
          <w:tab w:val="left" w:pos="709"/>
          <w:tab w:val="clear" w:pos="630"/>
        </w:tabs>
      </w:pPr>
      <w:bookmarkStart w:id="2063" w:name="_Hlk180872960"/>
      <w:r>
        <w:rPr>
          <w:rFonts w:hint="eastAsia"/>
        </w:rPr>
        <w:t>各类交通方式的接驳比例宜结合车站所处圈层、周边用地性质等多因素综合确定，接驳比例系数可参考表</w:t>
      </w:r>
      <w:r>
        <w:rPr>
          <w:rFonts w:cs="Times New Roman"/>
        </w:rPr>
        <w:t>2</w:t>
      </w:r>
      <w:r>
        <w:rPr>
          <w:rFonts w:hint="eastAsia" w:cs="Times New Roman"/>
        </w:rPr>
        <w:t>9</w:t>
      </w:r>
      <w:r>
        <w:rPr>
          <w:rFonts w:cs="Times New Roman"/>
        </w:rPr>
        <w:t>.1.2</w:t>
      </w:r>
      <w:r>
        <w:rPr>
          <w:rFonts w:hint="eastAsia"/>
        </w:rPr>
        <w:t>确定。</w:t>
      </w:r>
    </w:p>
    <w:p w14:paraId="3F8719B9">
      <w:pPr>
        <w:widowControl/>
        <w:spacing w:line="240" w:lineRule="auto"/>
        <w:jc w:val="left"/>
        <w:rPr>
          <w:bCs/>
        </w:rPr>
      </w:pPr>
      <w:r>
        <w:br w:type="page"/>
      </w:r>
    </w:p>
    <w:bookmarkEnd w:id="2063"/>
    <w:p w14:paraId="3CF2AC51">
      <w:pPr>
        <w:pStyle w:val="198"/>
      </w:pPr>
      <w:r>
        <w:rPr>
          <w:rFonts w:hint="eastAsia"/>
        </w:rPr>
        <w:t>表29.1.2  轨道交通车站各交通方式接驳比例系数</w:t>
      </w:r>
    </w:p>
    <w:tbl>
      <w:tblPr>
        <w:tblStyle w:val="88"/>
        <w:tblW w:w="6335" w:type="dxa"/>
        <w:tblInd w:w="0" w:type="dxa"/>
        <w:tblLayout w:type="fixed"/>
        <w:tblCellMar>
          <w:top w:w="0" w:type="dxa"/>
          <w:left w:w="108" w:type="dxa"/>
          <w:bottom w:w="0" w:type="dxa"/>
          <w:right w:w="108" w:type="dxa"/>
        </w:tblCellMar>
      </w:tblPr>
      <w:tblGrid>
        <w:gridCol w:w="923"/>
        <w:gridCol w:w="1010"/>
        <w:gridCol w:w="997"/>
        <w:gridCol w:w="732"/>
        <w:gridCol w:w="983"/>
        <w:gridCol w:w="1063"/>
        <w:gridCol w:w="627"/>
      </w:tblGrid>
      <w:tr w14:paraId="63F6C117">
        <w:tblPrEx>
          <w:tblCellMar>
            <w:top w:w="0" w:type="dxa"/>
            <w:left w:w="108" w:type="dxa"/>
            <w:bottom w:w="0" w:type="dxa"/>
            <w:right w:w="108" w:type="dxa"/>
          </w:tblCellMar>
        </w:tblPrEx>
        <w:trPr>
          <w:trHeight w:val="855" w:hRule="atLeast"/>
        </w:trPr>
        <w:tc>
          <w:tcPr>
            <w:tcW w:w="923" w:type="dxa"/>
            <w:tcBorders>
              <w:top w:val="single" w:color="000000" w:sz="4" w:space="0"/>
              <w:left w:val="single" w:color="000000" w:sz="4" w:space="0"/>
              <w:bottom w:val="single" w:color="000000" w:sz="4" w:space="0"/>
              <w:right w:val="single" w:color="000000" w:sz="4" w:space="0"/>
            </w:tcBorders>
            <w:noWrap/>
            <w:vAlign w:val="center"/>
          </w:tcPr>
          <w:p w14:paraId="44C97EA9">
            <w:pPr>
              <w:pStyle w:val="235"/>
              <w:rPr>
                <w:color w:val="auto"/>
              </w:rPr>
            </w:pPr>
            <w:r>
              <w:rPr>
                <w:rFonts w:hint="eastAsia"/>
                <w:color w:val="auto"/>
              </w:rPr>
              <w:t>区域</w:t>
            </w: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010CEE11">
            <w:pPr>
              <w:pStyle w:val="235"/>
              <w:rPr>
                <w:color w:val="auto"/>
              </w:rPr>
            </w:pPr>
            <w:r>
              <w:rPr>
                <w:rFonts w:hint="eastAsia"/>
                <w:color w:val="auto"/>
              </w:rPr>
              <w:t>车站类型</w:t>
            </w:r>
          </w:p>
        </w:tc>
        <w:tc>
          <w:tcPr>
            <w:tcW w:w="997" w:type="dxa"/>
            <w:tcBorders>
              <w:top w:val="single" w:color="000000" w:sz="4" w:space="0"/>
              <w:left w:val="single" w:color="000000" w:sz="4" w:space="0"/>
              <w:bottom w:val="single" w:color="000000" w:sz="4" w:space="0"/>
              <w:right w:val="single" w:color="000000" w:sz="4" w:space="0"/>
            </w:tcBorders>
            <w:noWrap/>
            <w:vAlign w:val="center"/>
          </w:tcPr>
          <w:p w14:paraId="6815BF64">
            <w:pPr>
              <w:pStyle w:val="235"/>
              <w:rPr>
                <w:color w:val="auto"/>
              </w:rPr>
            </w:pPr>
            <w:r>
              <w:rPr>
                <w:rFonts w:hint="eastAsia"/>
                <w:color w:val="auto"/>
              </w:rPr>
              <w:t>步行比例</w:t>
            </w:r>
          </w:p>
        </w:tc>
        <w:tc>
          <w:tcPr>
            <w:tcW w:w="732" w:type="dxa"/>
            <w:tcBorders>
              <w:top w:val="single" w:color="000000" w:sz="4" w:space="0"/>
              <w:left w:val="single" w:color="000000" w:sz="4" w:space="0"/>
              <w:bottom w:val="single" w:color="000000" w:sz="4" w:space="0"/>
              <w:right w:val="single" w:color="000000" w:sz="4" w:space="0"/>
            </w:tcBorders>
            <w:vAlign w:val="center"/>
          </w:tcPr>
          <w:p w14:paraId="255C4888">
            <w:pPr>
              <w:pStyle w:val="235"/>
              <w:rPr>
                <w:color w:val="auto"/>
              </w:rPr>
            </w:pPr>
            <w:r>
              <w:rPr>
                <w:rFonts w:hint="eastAsia"/>
                <w:color w:val="auto"/>
              </w:rPr>
              <w:t>非机动车比例</w:t>
            </w: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6057493E">
            <w:pPr>
              <w:pStyle w:val="235"/>
              <w:rPr>
                <w:color w:val="auto"/>
              </w:rPr>
            </w:pPr>
            <w:r>
              <w:rPr>
                <w:rFonts w:hint="eastAsia"/>
                <w:color w:val="auto"/>
              </w:rPr>
              <w:t>公交车比例</w:t>
            </w:r>
          </w:p>
        </w:tc>
        <w:tc>
          <w:tcPr>
            <w:tcW w:w="1063" w:type="dxa"/>
            <w:tcBorders>
              <w:top w:val="single" w:color="000000" w:sz="4" w:space="0"/>
              <w:left w:val="single" w:color="000000" w:sz="4" w:space="0"/>
              <w:bottom w:val="single" w:color="000000" w:sz="4" w:space="0"/>
              <w:right w:val="single" w:color="000000" w:sz="4" w:space="0"/>
            </w:tcBorders>
            <w:vAlign w:val="center"/>
          </w:tcPr>
          <w:p w14:paraId="0FA1C670">
            <w:pPr>
              <w:pStyle w:val="235"/>
              <w:rPr>
                <w:color w:val="auto"/>
              </w:rPr>
            </w:pPr>
            <w:r>
              <w:rPr>
                <w:rFonts w:hint="eastAsia"/>
                <w:color w:val="auto"/>
              </w:rPr>
              <w:t>出租车</w:t>
            </w:r>
          </w:p>
          <w:p w14:paraId="4C467447">
            <w:pPr>
              <w:pStyle w:val="235"/>
              <w:rPr>
                <w:color w:val="auto"/>
              </w:rPr>
            </w:pPr>
            <w:r>
              <w:rPr>
                <w:rFonts w:hint="eastAsia"/>
                <w:color w:val="auto"/>
              </w:rPr>
              <w:t>（含网约车）比例</w:t>
            </w:r>
          </w:p>
        </w:tc>
        <w:tc>
          <w:tcPr>
            <w:tcW w:w="627" w:type="dxa"/>
            <w:tcBorders>
              <w:top w:val="single" w:color="000000" w:sz="4" w:space="0"/>
              <w:left w:val="single" w:color="000000" w:sz="4" w:space="0"/>
              <w:bottom w:val="single" w:color="000000" w:sz="4" w:space="0"/>
              <w:right w:val="single" w:color="000000" w:sz="4" w:space="0"/>
            </w:tcBorders>
            <w:vAlign w:val="center"/>
          </w:tcPr>
          <w:p w14:paraId="45E7AD78">
            <w:pPr>
              <w:pStyle w:val="235"/>
              <w:rPr>
                <w:color w:val="auto"/>
              </w:rPr>
            </w:pPr>
            <w:r>
              <w:rPr>
                <w:rFonts w:hint="eastAsia"/>
                <w:color w:val="auto"/>
              </w:rPr>
              <w:t>小汽车比例</w:t>
            </w:r>
          </w:p>
        </w:tc>
      </w:tr>
      <w:tr w14:paraId="374EA3E5">
        <w:tblPrEx>
          <w:tblCellMar>
            <w:top w:w="0" w:type="dxa"/>
            <w:left w:w="108" w:type="dxa"/>
            <w:bottom w:w="0" w:type="dxa"/>
            <w:right w:w="108" w:type="dxa"/>
          </w:tblCellMar>
        </w:tblPrEx>
        <w:trPr>
          <w:trHeight w:val="285" w:hRule="atLeast"/>
        </w:trPr>
        <w:tc>
          <w:tcPr>
            <w:tcW w:w="923" w:type="dxa"/>
            <w:vMerge w:val="restart"/>
            <w:tcBorders>
              <w:top w:val="single" w:color="000000" w:sz="4" w:space="0"/>
              <w:left w:val="single" w:color="000000" w:sz="4" w:space="0"/>
              <w:bottom w:val="single" w:color="000000" w:sz="4" w:space="0"/>
              <w:right w:val="single" w:color="000000" w:sz="4" w:space="0"/>
            </w:tcBorders>
            <w:noWrap/>
            <w:vAlign w:val="center"/>
          </w:tcPr>
          <w:p w14:paraId="0C5A69CC">
            <w:pPr>
              <w:pStyle w:val="235"/>
              <w:rPr>
                <w:color w:val="auto"/>
              </w:rPr>
            </w:pPr>
            <w:r>
              <w:rPr>
                <w:rFonts w:hint="eastAsia"/>
                <w:color w:val="auto"/>
              </w:rPr>
              <w:t>二环内</w:t>
            </w: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039973CE">
            <w:pPr>
              <w:pStyle w:val="235"/>
              <w:rPr>
                <w:color w:val="auto"/>
              </w:rPr>
            </w:pPr>
            <w:r>
              <w:rPr>
                <w:rFonts w:hint="eastAsia"/>
                <w:color w:val="auto"/>
              </w:rPr>
              <w:t>大型居住型</w:t>
            </w:r>
          </w:p>
        </w:tc>
        <w:tc>
          <w:tcPr>
            <w:tcW w:w="997" w:type="dxa"/>
            <w:tcBorders>
              <w:top w:val="single" w:color="000000" w:sz="4" w:space="0"/>
              <w:left w:val="single" w:color="000000" w:sz="4" w:space="0"/>
              <w:bottom w:val="single" w:color="000000" w:sz="4" w:space="0"/>
              <w:right w:val="single" w:color="000000" w:sz="4" w:space="0"/>
            </w:tcBorders>
            <w:noWrap/>
            <w:vAlign w:val="center"/>
          </w:tcPr>
          <w:p w14:paraId="30FC5E42">
            <w:pPr>
              <w:pStyle w:val="235"/>
              <w:rPr>
                <w:color w:val="auto"/>
              </w:rPr>
            </w:pPr>
            <w:r>
              <w:rPr>
                <w:rFonts w:hint="eastAsia"/>
                <w:color w:val="auto"/>
              </w:rPr>
              <w:t>50~85</w:t>
            </w:r>
          </w:p>
        </w:tc>
        <w:tc>
          <w:tcPr>
            <w:tcW w:w="732" w:type="dxa"/>
            <w:vMerge w:val="restart"/>
            <w:tcBorders>
              <w:top w:val="single" w:color="000000" w:sz="4" w:space="0"/>
              <w:left w:val="single" w:color="000000" w:sz="4" w:space="0"/>
              <w:bottom w:val="single" w:color="000000" w:sz="4" w:space="0"/>
              <w:right w:val="single" w:color="000000" w:sz="4" w:space="0"/>
            </w:tcBorders>
            <w:noWrap/>
            <w:vAlign w:val="center"/>
          </w:tcPr>
          <w:p w14:paraId="5CB8DB33">
            <w:pPr>
              <w:pStyle w:val="235"/>
              <w:rPr>
                <w:color w:val="auto"/>
              </w:rPr>
            </w:pPr>
            <w:r>
              <w:rPr>
                <w:rFonts w:hint="eastAsia"/>
                <w:color w:val="auto"/>
              </w:rPr>
              <w:t>5~20</w:t>
            </w: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3ABE0979">
            <w:pPr>
              <w:pStyle w:val="235"/>
              <w:rPr>
                <w:color w:val="auto"/>
              </w:rPr>
            </w:pPr>
            <w:r>
              <w:rPr>
                <w:rFonts w:hint="eastAsia"/>
                <w:color w:val="auto"/>
              </w:rPr>
              <w:t>5~45</w:t>
            </w: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277E278C">
            <w:pPr>
              <w:pStyle w:val="235"/>
              <w:rPr>
                <w:color w:val="auto"/>
              </w:rPr>
            </w:pPr>
            <w:r>
              <w:rPr>
                <w:rFonts w:hint="eastAsia"/>
                <w:color w:val="auto"/>
              </w:rPr>
              <w:t>1~6</w:t>
            </w:r>
          </w:p>
        </w:tc>
        <w:tc>
          <w:tcPr>
            <w:tcW w:w="627" w:type="dxa"/>
            <w:tcBorders>
              <w:top w:val="single" w:color="000000" w:sz="4" w:space="0"/>
              <w:left w:val="single" w:color="000000" w:sz="4" w:space="0"/>
              <w:bottom w:val="single" w:color="000000" w:sz="4" w:space="0"/>
              <w:right w:val="single" w:color="000000" w:sz="4" w:space="0"/>
            </w:tcBorders>
            <w:noWrap/>
            <w:vAlign w:val="center"/>
          </w:tcPr>
          <w:p w14:paraId="2DBFEF5E">
            <w:pPr>
              <w:pStyle w:val="235"/>
              <w:rPr>
                <w:color w:val="auto"/>
              </w:rPr>
            </w:pPr>
            <w:r>
              <w:rPr>
                <w:rFonts w:hint="eastAsia"/>
                <w:color w:val="auto"/>
              </w:rPr>
              <w:t>0~5</w:t>
            </w:r>
          </w:p>
        </w:tc>
      </w:tr>
      <w:tr w14:paraId="19755784">
        <w:tblPrEx>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14:paraId="5EF24B40">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103DC5E5">
            <w:pPr>
              <w:pStyle w:val="235"/>
              <w:rPr>
                <w:color w:val="auto"/>
              </w:rPr>
            </w:pPr>
            <w:r>
              <w:rPr>
                <w:rFonts w:hint="eastAsia"/>
                <w:color w:val="auto"/>
              </w:rPr>
              <w:t>一般居住型</w:t>
            </w:r>
          </w:p>
        </w:tc>
        <w:tc>
          <w:tcPr>
            <w:tcW w:w="997" w:type="dxa"/>
            <w:tcBorders>
              <w:top w:val="single" w:color="000000" w:sz="4" w:space="0"/>
              <w:left w:val="single" w:color="000000" w:sz="4" w:space="0"/>
              <w:bottom w:val="single" w:color="000000" w:sz="4" w:space="0"/>
              <w:right w:val="single" w:color="000000" w:sz="4" w:space="0"/>
            </w:tcBorders>
            <w:noWrap/>
            <w:vAlign w:val="center"/>
          </w:tcPr>
          <w:p w14:paraId="2CDDAE65">
            <w:pPr>
              <w:pStyle w:val="235"/>
              <w:rPr>
                <w:color w:val="auto"/>
              </w:rPr>
            </w:pPr>
            <w:r>
              <w:rPr>
                <w:rFonts w:hint="eastAsia"/>
                <w:color w:val="auto"/>
              </w:rPr>
              <w:t>50~75</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14:paraId="4F78281D">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4FA7CF0E">
            <w:pPr>
              <w:pStyle w:val="235"/>
              <w:rPr>
                <w:color w:val="auto"/>
              </w:rPr>
            </w:pPr>
            <w:r>
              <w:rPr>
                <w:rFonts w:hint="eastAsia"/>
                <w:color w:val="auto"/>
              </w:rPr>
              <w:t>10~45</w:t>
            </w: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73BF22DA">
            <w:pPr>
              <w:pStyle w:val="235"/>
              <w:rPr>
                <w:color w:val="auto"/>
              </w:rPr>
            </w:pPr>
            <w:r>
              <w:rPr>
                <w:rFonts w:hint="eastAsia"/>
                <w:color w:val="auto"/>
              </w:rPr>
              <w:t>1~6</w:t>
            </w:r>
          </w:p>
        </w:tc>
        <w:tc>
          <w:tcPr>
            <w:tcW w:w="627" w:type="dxa"/>
            <w:tcBorders>
              <w:top w:val="single" w:color="000000" w:sz="4" w:space="0"/>
              <w:left w:val="single" w:color="000000" w:sz="4" w:space="0"/>
              <w:bottom w:val="single" w:color="000000" w:sz="4" w:space="0"/>
              <w:right w:val="single" w:color="000000" w:sz="4" w:space="0"/>
            </w:tcBorders>
            <w:noWrap/>
            <w:vAlign w:val="center"/>
          </w:tcPr>
          <w:p w14:paraId="06A8EC13">
            <w:pPr>
              <w:pStyle w:val="235"/>
              <w:rPr>
                <w:color w:val="auto"/>
              </w:rPr>
            </w:pPr>
            <w:r>
              <w:rPr>
                <w:rFonts w:hint="eastAsia"/>
                <w:color w:val="auto"/>
              </w:rPr>
              <w:t>0~5</w:t>
            </w:r>
          </w:p>
        </w:tc>
      </w:tr>
      <w:tr w14:paraId="07E574BE">
        <w:tblPrEx>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14:paraId="45AB28C9">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52488BF2">
            <w:pPr>
              <w:pStyle w:val="235"/>
              <w:rPr>
                <w:color w:val="auto"/>
              </w:rPr>
            </w:pPr>
            <w:r>
              <w:rPr>
                <w:rFonts w:hint="eastAsia"/>
                <w:color w:val="auto"/>
              </w:rPr>
              <w:t>综合型</w:t>
            </w:r>
          </w:p>
        </w:tc>
        <w:tc>
          <w:tcPr>
            <w:tcW w:w="997" w:type="dxa"/>
            <w:tcBorders>
              <w:top w:val="single" w:color="000000" w:sz="4" w:space="0"/>
              <w:left w:val="single" w:color="000000" w:sz="4" w:space="0"/>
              <w:bottom w:val="single" w:color="000000" w:sz="4" w:space="0"/>
              <w:right w:val="single" w:color="000000" w:sz="4" w:space="0"/>
            </w:tcBorders>
            <w:noWrap/>
            <w:vAlign w:val="center"/>
          </w:tcPr>
          <w:p w14:paraId="442DB674">
            <w:pPr>
              <w:pStyle w:val="235"/>
              <w:rPr>
                <w:color w:val="auto"/>
              </w:rPr>
            </w:pPr>
            <w:r>
              <w:rPr>
                <w:rFonts w:hint="eastAsia"/>
                <w:color w:val="auto"/>
              </w:rPr>
              <w:t>35~55</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14:paraId="28BD5D6E">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03B5FDE9">
            <w:pPr>
              <w:pStyle w:val="235"/>
              <w:rPr>
                <w:color w:val="auto"/>
              </w:rPr>
            </w:pPr>
            <w:r>
              <w:rPr>
                <w:rFonts w:hint="eastAsia"/>
                <w:color w:val="auto"/>
              </w:rPr>
              <w:t>10~45</w:t>
            </w: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77DA88EA">
            <w:pPr>
              <w:pStyle w:val="235"/>
              <w:rPr>
                <w:color w:val="auto"/>
              </w:rPr>
            </w:pPr>
            <w:r>
              <w:rPr>
                <w:rFonts w:hint="eastAsia"/>
                <w:color w:val="auto"/>
              </w:rPr>
              <w:t>2~10</w:t>
            </w:r>
          </w:p>
        </w:tc>
        <w:tc>
          <w:tcPr>
            <w:tcW w:w="627" w:type="dxa"/>
            <w:tcBorders>
              <w:top w:val="single" w:color="000000" w:sz="4" w:space="0"/>
              <w:left w:val="single" w:color="000000" w:sz="4" w:space="0"/>
              <w:bottom w:val="single" w:color="000000" w:sz="4" w:space="0"/>
              <w:right w:val="single" w:color="000000" w:sz="4" w:space="0"/>
            </w:tcBorders>
            <w:noWrap/>
            <w:vAlign w:val="center"/>
          </w:tcPr>
          <w:p w14:paraId="15C37ED5">
            <w:pPr>
              <w:pStyle w:val="235"/>
              <w:rPr>
                <w:color w:val="auto"/>
              </w:rPr>
            </w:pPr>
            <w:r>
              <w:rPr>
                <w:rFonts w:hint="eastAsia"/>
                <w:color w:val="auto"/>
              </w:rPr>
              <w:t>0~6</w:t>
            </w:r>
          </w:p>
        </w:tc>
      </w:tr>
      <w:tr w14:paraId="11061B14">
        <w:tblPrEx>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14:paraId="08BC5BD1">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3D1B1CA5">
            <w:pPr>
              <w:pStyle w:val="235"/>
              <w:rPr>
                <w:color w:val="auto"/>
              </w:rPr>
            </w:pPr>
            <w:r>
              <w:rPr>
                <w:rFonts w:hint="eastAsia"/>
                <w:color w:val="auto"/>
              </w:rPr>
              <w:t>商业办公型</w:t>
            </w:r>
          </w:p>
        </w:tc>
        <w:tc>
          <w:tcPr>
            <w:tcW w:w="997" w:type="dxa"/>
            <w:tcBorders>
              <w:top w:val="single" w:color="000000" w:sz="4" w:space="0"/>
              <w:left w:val="single" w:color="000000" w:sz="4" w:space="0"/>
              <w:bottom w:val="single" w:color="000000" w:sz="4" w:space="0"/>
              <w:right w:val="single" w:color="000000" w:sz="4" w:space="0"/>
            </w:tcBorders>
            <w:noWrap/>
            <w:vAlign w:val="center"/>
          </w:tcPr>
          <w:p w14:paraId="5426B6DD">
            <w:pPr>
              <w:pStyle w:val="235"/>
              <w:rPr>
                <w:color w:val="auto"/>
              </w:rPr>
            </w:pPr>
            <w:r>
              <w:rPr>
                <w:rFonts w:hint="eastAsia"/>
                <w:color w:val="auto"/>
              </w:rPr>
              <w:t>55~80</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14:paraId="6C421CB7">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3F548FEB">
            <w:pPr>
              <w:pStyle w:val="235"/>
              <w:rPr>
                <w:color w:val="auto"/>
              </w:rPr>
            </w:pPr>
            <w:r>
              <w:rPr>
                <w:rFonts w:hint="eastAsia"/>
                <w:color w:val="auto"/>
              </w:rPr>
              <w:t>10~40</w:t>
            </w: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2A21F287">
            <w:pPr>
              <w:pStyle w:val="235"/>
              <w:rPr>
                <w:color w:val="auto"/>
              </w:rPr>
            </w:pPr>
            <w:r>
              <w:rPr>
                <w:rFonts w:hint="eastAsia"/>
                <w:color w:val="auto"/>
              </w:rPr>
              <w:t>1~10</w:t>
            </w:r>
          </w:p>
        </w:tc>
        <w:tc>
          <w:tcPr>
            <w:tcW w:w="627" w:type="dxa"/>
            <w:tcBorders>
              <w:top w:val="single" w:color="000000" w:sz="4" w:space="0"/>
              <w:left w:val="single" w:color="000000" w:sz="4" w:space="0"/>
              <w:bottom w:val="single" w:color="000000" w:sz="4" w:space="0"/>
              <w:right w:val="single" w:color="000000" w:sz="4" w:space="0"/>
            </w:tcBorders>
            <w:noWrap/>
            <w:vAlign w:val="center"/>
          </w:tcPr>
          <w:p w14:paraId="7361FBCF">
            <w:pPr>
              <w:pStyle w:val="235"/>
              <w:rPr>
                <w:color w:val="auto"/>
              </w:rPr>
            </w:pPr>
            <w:r>
              <w:rPr>
                <w:rFonts w:hint="eastAsia"/>
                <w:color w:val="auto"/>
              </w:rPr>
              <w:t>0~10</w:t>
            </w:r>
          </w:p>
        </w:tc>
      </w:tr>
      <w:tr w14:paraId="305FE689">
        <w:tblPrEx>
          <w:tblCellMar>
            <w:top w:w="0" w:type="dxa"/>
            <w:left w:w="108" w:type="dxa"/>
            <w:bottom w:w="0" w:type="dxa"/>
            <w:right w:w="108" w:type="dxa"/>
          </w:tblCellMar>
        </w:tblPrEx>
        <w:trPr>
          <w:trHeight w:val="285" w:hRule="atLeast"/>
        </w:trPr>
        <w:tc>
          <w:tcPr>
            <w:tcW w:w="923" w:type="dxa"/>
            <w:vMerge w:val="restart"/>
            <w:tcBorders>
              <w:top w:val="single" w:color="000000" w:sz="4" w:space="0"/>
              <w:left w:val="single" w:color="000000" w:sz="4" w:space="0"/>
              <w:bottom w:val="single" w:color="000000" w:sz="4" w:space="0"/>
              <w:right w:val="single" w:color="000000" w:sz="4" w:space="0"/>
            </w:tcBorders>
            <w:noWrap/>
            <w:vAlign w:val="center"/>
          </w:tcPr>
          <w:p w14:paraId="324990E1">
            <w:pPr>
              <w:pStyle w:val="235"/>
              <w:rPr>
                <w:color w:val="auto"/>
              </w:rPr>
            </w:pPr>
            <w:r>
              <w:rPr>
                <w:rFonts w:hint="eastAsia"/>
                <w:color w:val="auto"/>
              </w:rPr>
              <w:t>二环~四环</w:t>
            </w: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4B47CD92">
            <w:pPr>
              <w:pStyle w:val="235"/>
              <w:rPr>
                <w:color w:val="auto"/>
              </w:rPr>
            </w:pPr>
            <w:r>
              <w:rPr>
                <w:rFonts w:hint="eastAsia"/>
                <w:color w:val="auto"/>
              </w:rPr>
              <w:t>大型居住型</w:t>
            </w:r>
          </w:p>
        </w:tc>
        <w:tc>
          <w:tcPr>
            <w:tcW w:w="997" w:type="dxa"/>
            <w:tcBorders>
              <w:top w:val="single" w:color="000000" w:sz="4" w:space="0"/>
              <w:left w:val="single" w:color="000000" w:sz="4" w:space="0"/>
              <w:bottom w:val="single" w:color="000000" w:sz="4" w:space="0"/>
              <w:right w:val="single" w:color="000000" w:sz="4" w:space="0"/>
            </w:tcBorders>
            <w:noWrap/>
            <w:vAlign w:val="center"/>
          </w:tcPr>
          <w:p w14:paraId="1CA63EF8">
            <w:pPr>
              <w:pStyle w:val="235"/>
              <w:rPr>
                <w:color w:val="auto"/>
              </w:rPr>
            </w:pPr>
            <w:r>
              <w:rPr>
                <w:rFonts w:hint="eastAsia"/>
                <w:color w:val="auto"/>
              </w:rPr>
              <w:t>50~77</w:t>
            </w:r>
          </w:p>
        </w:tc>
        <w:tc>
          <w:tcPr>
            <w:tcW w:w="732" w:type="dxa"/>
            <w:vMerge w:val="restart"/>
            <w:tcBorders>
              <w:top w:val="single" w:color="000000" w:sz="4" w:space="0"/>
              <w:left w:val="single" w:color="000000" w:sz="4" w:space="0"/>
              <w:bottom w:val="single" w:color="000000" w:sz="4" w:space="0"/>
              <w:right w:val="single" w:color="000000" w:sz="4" w:space="0"/>
            </w:tcBorders>
            <w:noWrap/>
            <w:vAlign w:val="center"/>
          </w:tcPr>
          <w:p w14:paraId="30CA7D45">
            <w:pPr>
              <w:pStyle w:val="235"/>
              <w:rPr>
                <w:color w:val="auto"/>
              </w:rPr>
            </w:pPr>
            <w:r>
              <w:rPr>
                <w:rFonts w:hint="eastAsia"/>
                <w:color w:val="auto"/>
              </w:rPr>
              <w:t>15~25</w:t>
            </w: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63349D5A">
            <w:pPr>
              <w:pStyle w:val="235"/>
              <w:rPr>
                <w:color w:val="auto"/>
              </w:rPr>
            </w:pPr>
            <w:r>
              <w:rPr>
                <w:rFonts w:hint="eastAsia"/>
                <w:color w:val="auto"/>
              </w:rPr>
              <w:t>10~50</w:t>
            </w: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74856500">
            <w:pPr>
              <w:pStyle w:val="235"/>
              <w:rPr>
                <w:color w:val="auto"/>
              </w:rPr>
            </w:pPr>
            <w:r>
              <w:rPr>
                <w:rFonts w:hint="eastAsia"/>
                <w:color w:val="auto"/>
              </w:rPr>
              <w:t>1~6</w:t>
            </w:r>
          </w:p>
        </w:tc>
        <w:tc>
          <w:tcPr>
            <w:tcW w:w="627" w:type="dxa"/>
            <w:tcBorders>
              <w:top w:val="single" w:color="000000" w:sz="4" w:space="0"/>
              <w:left w:val="single" w:color="000000" w:sz="4" w:space="0"/>
              <w:bottom w:val="single" w:color="000000" w:sz="4" w:space="0"/>
              <w:right w:val="single" w:color="000000" w:sz="4" w:space="0"/>
            </w:tcBorders>
            <w:noWrap/>
            <w:vAlign w:val="center"/>
          </w:tcPr>
          <w:p w14:paraId="3C80B300">
            <w:pPr>
              <w:pStyle w:val="235"/>
              <w:rPr>
                <w:color w:val="auto"/>
              </w:rPr>
            </w:pPr>
            <w:r>
              <w:rPr>
                <w:rFonts w:hint="eastAsia"/>
                <w:color w:val="auto"/>
              </w:rPr>
              <w:t>0~5</w:t>
            </w:r>
          </w:p>
        </w:tc>
      </w:tr>
      <w:tr w14:paraId="2F62AC39">
        <w:tblPrEx>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14:paraId="6A1BDFF2">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4A6B405F">
            <w:pPr>
              <w:pStyle w:val="235"/>
              <w:rPr>
                <w:color w:val="auto"/>
              </w:rPr>
            </w:pPr>
            <w:r>
              <w:rPr>
                <w:rFonts w:hint="eastAsia"/>
                <w:color w:val="auto"/>
              </w:rPr>
              <w:t>一般居住型</w:t>
            </w:r>
          </w:p>
        </w:tc>
        <w:tc>
          <w:tcPr>
            <w:tcW w:w="997" w:type="dxa"/>
            <w:tcBorders>
              <w:top w:val="single" w:color="000000" w:sz="4" w:space="0"/>
              <w:left w:val="single" w:color="000000" w:sz="4" w:space="0"/>
              <w:bottom w:val="single" w:color="000000" w:sz="4" w:space="0"/>
              <w:right w:val="single" w:color="000000" w:sz="4" w:space="0"/>
            </w:tcBorders>
            <w:noWrap/>
            <w:vAlign w:val="center"/>
          </w:tcPr>
          <w:p w14:paraId="0F916736">
            <w:pPr>
              <w:pStyle w:val="235"/>
              <w:rPr>
                <w:color w:val="auto"/>
              </w:rPr>
            </w:pPr>
            <w:r>
              <w:rPr>
                <w:rFonts w:hint="eastAsia"/>
                <w:color w:val="auto"/>
              </w:rPr>
              <w:t>50~70</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14:paraId="58314F45">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76BADCEF">
            <w:pPr>
              <w:pStyle w:val="235"/>
              <w:rPr>
                <w:color w:val="auto"/>
              </w:rPr>
            </w:pPr>
            <w:r>
              <w:rPr>
                <w:rFonts w:hint="eastAsia"/>
                <w:color w:val="auto"/>
              </w:rPr>
              <w:t>10~50</w:t>
            </w: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79BAB8FA">
            <w:pPr>
              <w:pStyle w:val="235"/>
              <w:rPr>
                <w:color w:val="auto"/>
              </w:rPr>
            </w:pPr>
            <w:r>
              <w:rPr>
                <w:rFonts w:hint="eastAsia"/>
                <w:color w:val="auto"/>
              </w:rPr>
              <w:t>1~6</w:t>
            </w:r>
          </w:p>
        </w:tc>
        <w:tc>
          <w:tcPr>
            <w:tcW w:w="627" w:type="dxa"/>
            <w:tcBorders>
              <w:top w:val="single" w:color="000000" w:sz="4" w:space="0"/>
              <w:left w:val="single" w:color="000000" w:sz="4" w:space="0"/>
              <w:bottom w:val="single" w:color="000000" w:sz="4" w:space="0"/>
              <w:right w:val="single" w:color="000000" w:sz="4" w:space="0"/>
            </w:tcBorders>
            <w:noWrap/>
            <w:vAlign w:val="center"/>
          </w:tcPr>
          <w:p w14:paraId="0B574E47">
            <w:pPr>
              <w:pStyle w:val="235"/>
              <w:rPr>
                <w:color w:val="auto"/>
              </w:rPr>
            </w:pPr>
            <w:r>
              <w:rPr>
                <w:rFonts w:hint="eastAsia"/>
                <w:color w:val="auto"/>
              </w:rPr>
              <w:t>0~5</w:t>
            </w:r>
          </w:p>
        </w:tc>
      </w:tr>
      <w:tr w14:paraId="0F3E5DCC">
        <w:tblPrEx>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14:paraId="7775C38C">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7BDBBE94">
            <w:pPr>
              <w:pStyle w:val="235"/>
              <w:rPr>
                <w:color w:val="auto"/>
              </w:rPr>
            </w:pPr>
            <w:r>
              <w:rPr>
                <w:rFonts w:hint="eastAsia"/>
                <w:color w:val="auto"/>
              </w:rPr>
              <w:t>综合型</w:t>
            </w:r>
          </w:p>
        </w:tc>
        <w:tc>
          <w:tcPr>
            <w:tcW w:w="997" w:type="dxa"/>
            <w:tcBorders>
              <w:top w:val="single" w:color="000000" w:sz="4" w:space="0"/>
              <w:left w:val="single" w:color="000000" w:sz="4" w:space="0"/>
              <w:bottom w:val="single" w:color="000000" w:sz="4" w:space="0"/>
              <w:right w:val="single" w:color="000000" w:sz="4" w:space="0"/>
            </w:tcBorders>
            <w:noWrap/>
            <w:vAlign w:val="center"/>
          </w:tcPr>
          <w:p w14:paraId="382B232F">
            <w:pPr>
              <w:pStyle w:val="235"/>
              <w:rPr>
                <w:color w:val="auto"/>
              </w:rPr>
            </w:pPr>
            <w:r>
              <w:rPr>
                <w:rFonts w:hint="eastAsia"/>
                <w:color w:val="auto"/>
              </w:rPr>
              <w:t>35~55</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14:paraId="69F19FCF">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758CAAF4">
            <w:pPr>
              <w:pStyle w:val="235"/>
              <w:rPr>
                <w:color w:val="auto"/>
              </w:rPr>
            </w:pPr>
            <w:r>
              <w:rPr>
                <w:rFonts w:hint="eastAsia"/>
                <w:color w:val="auto"/>
              </w:rPr>
              <w:t>30~50</w:t>
            </w: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30873BEB">
            <w:pPr>
              <w:pStyle w:val="235"/>
              <w:rPr>
                <w:color w:val="auto"/>
              </w:rPr>
            </w:pPr>
            <w:r>
              <w:rPr>
                <w:rFonts w:hint="eastAsia"/>
                <w:color w:val="auto"/>
              </w:rPr>
              <w:t>2~10</w:t>
            </w:r>
          </w:p>
        </w:tc>
        <w:tc>
          <w:tcPr>
            <w:tcW w:w="627" w:type="dxa"/>
            <w:tcBorders>
              <w:top w:val="single" w:color="000000" w:sz="4" w:space="0"/>
              <w:left w:val="single" w:color="000000" w:sz="4" w:space="0"/>
              <w:bottom w:val="single" w:color="000000" w:sz="4" w:space="0"/>
              <w:right w:val="single" w:color="000000" w:sz="4" w:space="0"/>
            </w:tcBorders>
            <w:noWrap/>
            <w:vAlign w:val="center"/>
          </w:tcPr>
          <w:p w14:paraId="4F1261CA">
            <w:pPr>
              <w:pStyle w:val="235"/>
              <w:rPr>
                <w:color w:val="auto"/>
              </w:rPr>
            </w:pPr>
            <w:r>
              <w:rPr>
                <w:rFonts w:hint="eastAsia"/>
                <w:color w:val="auto"/>
              </w:rPr>
              <w:t>0~6</w:t>
            </w:r>
          </w:p>
        </w:tc>
      </w:tr>
      <w:tr w14:paraId="1882B607">
        <w:tblPrEx>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14:paraId="66A125A9">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4F2EBA55">
            <w:pPr>
              <w:pStyle w:val="235"/>
              <w:rPr>
                <w:color w:val="auto"/>
              </w:rPr>
            </w:pPr>
            <w:r>
              <w:rPr>
                <w:rFonts w:hint="eastAsia"/>
                <w:color w:val="auto"/>
              </w:rPr>
              <w:t>商业办公型</w:t>
            </w:r>
          </w:p>
        </w:tc>
        <w:tc>
          <w:tcPr>
            <w:tcW w:w="997" w:type="dxa"/>
            <w:tcBorders>
              <w:top w:val="single" w:color="000000" w:sz="4" w:space="0"/>
              <w:left w:val="single" w:color="000000" w:sz="4" w:space="0"/>
              <w:bottom w:val="single" w:color="000000" w:sz="4" w:space="0"/>
              <w:right w:val="single" w:color="000000" w:sz="4" w:space="0"/>
            </w:tcBorders>
            <w:noWrap/>
            <w:vAlign w:val="center"/>
          </w:tcPr>
          <w:p w14:paraId="4EAF24F9">
            <w:pPr>
              <w:pStyle w:val="235"/>
              <w:rPr>
                <w:color w:val="auto"/>
              </w:rPr>
            </w:pPr>
            <w:r>
              <w:rPr>
                <w:rFonts w:hint="eastAsia"/>
                <w:color w:val="auto"/>
              </w:rPr>
              <w:t>40~70</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14:paraId="302A32FC">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5DF2AECF">
            <w:pPr>
              <w:pStyle w:val="235"/>
              <w:rPr>
                <w:color w:val="auto"/>
              </w:rPr>
            </w:pPr>
            <w:r>
              <w:rPr>
                <w:rFonts w:hint="eastAsia"/>
                <w:color w:val="auto"/>
              </w:rPr>
              <w:t>10~30</w:t>
            </w: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42291D0E">
            <w:pPr>
              <w:pStyle w:val="235"/>
              <w:rPr>
                <w:color w:val="auto"/>
              </w:rPr>
            </w:pPr>
            <w:r>
              <w:rPr>
                <w:rFonts w:hint="eastAsia"/>
                <w:color w:val="auto"/>
              </w:rPr>
              <w:t>1~10</w:t>
            </w:r>
          </w:p>
        </w:tc>
        <w:tc>
          <w:tcPr>
            <w:tcW w:w="627" w:type="dxa"/>
            <w:tcBorders>
              <w:top w:val="single" w:color="000000" w:sz="4" w:space="0"/>
              <w:left w:val="single" w:color="000000" w:sz="4" w:space="0"/>
              <w:bottom w:val="single" w:color="000000" w:sz="4" w:space="0"/>
              <w:right w:val="single" w:color="000000" w:sz="4" w:space="0"/>
            </w:tcBorders>
            <w:noWrap/>
            <w:vAlign w:val="center"/>
          </w:tcPr>
          <w:p w14:paraId="3E4C8478">
            <w:pPr>
              <w:pStyle w:val="235"/>
              <w:rPr>
                <w:color w:val="auto"/>
              </w:rPr>
            </w:pPr>
            <w:r>
              <w:rPr>
                <w:rFonts w:hint="eastAsia"/>
                <w:color w:val="auto"/>
              </w:rPr>
              <w:t>0~10</w:t>
            </w:r>
          </w:p>
        </w:tc>
      </w:tr>
      <w:tr w14:paraId="04E15D57">
        <w:tblPrEx>
          <w:tblCellMar>
            <w:top w:w="0" w:type="dxa"/>
            <w:left w:w="108" w:type="dxa"/>
            <w:bottom w:w="0" w:type="dxa"/>
            <w:right w:w="108" w:type="dxa"/>
          </w:tblCellMar>
        </w:tblPrEx>
        <w:trPr>
          <w:trHeight w:val="285" w:hRule="atLeast"/>
        </w:trPr>
        <w:tc>
          <w:tcPr>
            <w:tcW w:w="923" w:type="dxa"/>
            <w:vMerge w:val="restart"/>
            <w:tcBorders>
              <w:top w:val="single" w:color="000000" w:sz="4" w:space="0"/>
              <w:left w:val="single" w:color="000000" w:sz="4" w:space="0"/>
              <w:bottom w:val="single" w:color="000000" w:sz="4" w:space="0"/>
              <w:right w:val="single" w:color="000000" w:sz="4" w:space="0"/>
            </w:tcBorders>
            <w:noWrap/>
            <w:vAlign w:val="center"/>
          </w:tcPr>
          <w:p w14:paraId="698DFA7D">
            <w:pPr>
              <w:pStyle w:val="235"/>
              <w:rPr>
                <w:color w:val="auto"/>
              </w:rPr>
            </w:pPr>
            <w:r>
              <w:rPr>
                <w:rFonts w:hint="eastAsia"/>
                <w:color w:val="auto"/>
              </w:rPr>
              <w:t>四环外</w:t>
            </w: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06CF8659">
            <w:pPr>
              <w:pStyle w:val="235"/>
              <w:rPr>
                <w:color w:val="auto"/>
              </w:rPr>
            </w:pPr>
            <w:r>
              <w:rPr>
                <w:rFonts w:hint="eastAsia"/>
                <w:color w:val="auto"/>
              </w:rPr>
              <w:t>大型居住型</w:t>
            </w:r>
          </w:p>
        </w:tc>
        <w:tc>
          <w:tcPr>
            <w:tcW w:w="997" w:type="dxa"/>
            <w:tcBorders>
              <w:top w:val="single" w:color="000000" w:sz="4" w:space="0"/>
              <w:left w:val="single" w:color="000000" w:sz="4" w:space="0"/>
              <w:bottom w:val="single" w:color="000000" w:sz="4" w:space="0"/>
              <w:right w:val="single" w:color="000000" w:sz="4" w:space="0"/>
            </w:tcBorders>
            <w:noWrap/>
            <w:vAlign w:val="center"/>
          </w:tcPr>
          <w:p w14:paraId="6261BE40">
            <w:pPr>
              <w:pStyle w:val="235"/>
              <w:rPr>
                <w:color w:val="auto"/>
              </w:rPr>
            </w:pPr>
            <w:r>
              <w:rPr>
                <w:rFonts w:hint="eastAsia"/>
                <w:color w:val="auto"/>
              </w:rPr>
              <w:t>45~65</w:t>
            </w:r>
          </w:p>
        </w:tc>
        <w:tc>
          <w:tcPr>
            <w:tcW w:w="732" w:type="dxa"/>
            <w:vMerge w:val="restart"/>
            <w:tcBorders>
              <w:top w:val="single" w:color="000000" w:sz="4" w:space="0"/>
              <w:left w:val="single" w:color="000000" w:sz="4" w:space="0"/>
              <w:bottom w:val="single" w:color="000000" w:sz="4" w:space="0"/>
              <w:right w:val="single" w:color="000000" w:sz="4" w:space="0"/>
            </w:tcBorders>
            <w:noWrap/>
            <w:vAlign w:val="center"/>
          </w:tcPr>
          <w:p w14:paraId="5ACC86BF">
            <w:pPr>
              <w:pStyle w:val="235"/>
              <w:rPr>
                <w:color w:val="auto"/>
              </w:rPr>
            </w:pPr>
            <w:r>
              <w:rPr>
                <w:rFonts w:hint="eastAsia"/>
                <w:color w:val="auto"/>
              </w:rPr>
              <w:t>20~30</w:t>
            </w: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735A43FF">
            <w:pPr>
              <w:pStyle w:val="235"/>
              <w:rPr>
                <w:color w:val="auto"/>
              </w:rPr>
            </w:pPr>
            <w:r>
              <w:rPr>
                <w:rFonts w:hint="eastAsia"/>
                <w:color w:val="auto"/>
              </w:rPr>
              <w:t>10~60</w:t>
            </w: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68EF7C14">
            <w:pPr>
              <w:pStyle w:val="235"/>
              <w:rPr>
                <w:color w:val="auto"/>
              </w:rPr>
            </w:pPr>
            <w:r>
              <w:rPr>
                <w:rFonts w:hint="eastAsia"/>
                <w:color w:val="auto"/>
              </w:rPr>
              <w:t>1~6</w:t>
            </w:r>
          </w:p>
        </w:tc>
        <w:tc>
          <w:tcPr>
            <w:tcW w:w="627" w:type="dxa"/>
            <w:tcBorders>
              <w:top w:val="single" w:color="000000" w:sz="4" w:space="0"/>
              <w:left w:val="single" w:color="000000" w:sz="4" w:space="0"/>
              <w:bottom w:val="single" w:color="000000" w:sz="4" w:space="0"/>
              <w:right w:val="single" w:color="000000" w:sz="4" w:space="0"/>
            </w:tcBorders>
            <w:noWrap/>
            <w:vAlign w:val="center"/>
          </w:tcPr>
          <w:p w14:paraId="46780194">
            <w:pPr>
              <w:pStyle w:val="235"/>
              <w:rPr>
                <w:color w:val="auto"/>
              </w:rPr>
            </w:pPr>
            <w:r>
              <w:rPr>
                <w:rFonts w:hint="eastAsia"/>
                <w:color w:val="auto"/>
              </w:rPr>
              <w:t>0~5</w:t>
            </w:r>
          </w:p>
        </w:tc>
      </w:tr>
      <w:tr w14:paraId="36F65FFF">
        <w:tblPrEx>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14:paraId="54C68C86">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6009DA2D">
            <w:pPr>
              <w:pStyle w:val="235"/>
              <w:rPr>
                <w:color w:val="auto"/>
              </w:rPr>
            </w:pPr>
            <w:r>
              <w:rPr>
                <w:rFonts w:hint="eastAsia"/>
                <w:color w:val="auto"/>
              </w:rPr>
              <w:t>一般居住型</w:t>
            </w:r>
          </w:p>
        </w:tc>
        <w:tc>
          <w:tcPr>
            <w:tcW w:w="997" w:type="dxa"/>
            <w:tcBorders>
              <w:top w:val="single" w:color="000000" w:sz="4" w:space="0"/>
              <w:left w:val="single" w:color="000000" w:sz="4" w:space="0"/>
              <w:bottom w:val="single" w:color="000000" w:sz="4" w:space="0"/>
              <w:right w:val="single" w:color="000000" w:sz="4" w:space="0"/>
            </w:tcBorders>
            <w:noWrap/>
            <w:vAlign w:val="center"/>
          </w:tcPr>
          <w:p w14:paraId="7503E6F5">
            <w:pPr>
              <w:pStyle w:val="235"/>
              <w:rPr>
                <w:color w:val="auto"/>
              </w:rPr>
            </w:pPr>
            <w:r>
              <w:rPr>
                <w:rFonts w:hint="eastAsia"/>
                <w:color w:val="auto"/>
              </w:rPr>
              <w:t>45~60</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14:paraId="31C03373">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358292BA">
            <w:pPr>
              <w:pStyle w:val="235"/>
              <w:rPr>
                <w:color w:val="auto"/>
              </w:rPr>
            </w:pPr>
            <w:r>
              <w:rPr>
                <w:rFonts w:hint="eastAsia"/>
                <w:color w:val="auto"/>
              </w:rPr>
              <w:t>10~60</w:t>
            </w: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6D43BC24">
            <w:pPr>
              <w:pStyle w:val="235"/>
              <w:rPr>
                <w:color w:val="auto"/>
              </w:rPr>
            </w:pPr>
            <w:r>
              <w:rPr>
                <w:rFonts w:hint="eastAsia"/>
                <w:color w:val="auto"/>
              </w:rPr>
              <w:t>1~6</w:t>
            </w:r>
          </w:p>
        </w:tc>
        <w:tc>
          <w:tcPr>
            <w:tcW w:w="627" w:type="dxa"/>
            <w:tcBorders>
              <w:top w:val="single" w:color="000000" w:sz="4" w:space="0"/>
              <w:left w:val="single" w:color="000000" w:sz="4" w:space="0"/>
              <w:bottom w:val="single" w:color="000000" w:sz="4" w:space="0"/>
              <w:right w:val="single" w:color="000000" w:sz="4" w:space="0"/>
            </w:tcBorders>
            <w:noWrap/>
            <w:vAlign w:val="center"/>
          </w:tcPr>
          <w:p w14:paraId="5A95915C">
            <w:pPr>
              <w:pStyle w:val="235"/>
              <w:rPr>
                <w:color w:val="auto"/>
              </w:rPr>
            </w:pPr>
            <w:r>
              <w:rPr>
                <w:rFonts w:hint="eastAsia"/>
                <w:color w:val="auto"/>
              </w:rPr>
              <w:t>0~5</w:t>
            </w:r>
          </w:p>
        </w:tc>
      </w:tr>
      <w:tr w14:paraId="3CF9CAA0">
        <w:tblPrEx>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14:paraId="24CD90DB">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7D3AE584">
            <w:pPr>
              <w:pStyle w:val="235"/>
              <w:rPr>
                <w:color w:val="auto"/>
              </w:rPr>
            </w:pPr>
            <w:r>
              <w:rPr>
                <w:rFonts w:hint="eastAsia"/>
                <w:color w:val="auto"/>
              </w:rPr>
              <w:t>综合型</w:t>
            </w:r>
          </w:p>
        </w:tc>
        <w:tc>
          <w:tcPr>
            <w:tcW w:w="997" w:type="dxa"/>
            <w:tcBorders>
              <w:top w:val="single" w:color="000000" w:sz="4" w:space="0"/>
              <w:left w:val="single" w:color="000000" w:sz="4" w:space="0"/>
              <w:bottom w:val="single" w:color="000000" w:sz="4" w:space="0"/>
              <w:right w:val="single" w:color="000000" w:sz="4" w:space="0"/>
            </w:tcBorders>
            <w:noWrap/>
            <w:vAlign w:val="center"/>
          </w:tcPr>
          <w:p w14:paraId="5783EF7D">
            <w:pPr>
              <w:pStyle w:val="235"/>
              <w:rPr>
                <w:color w:val="auto"/>
              </w:rPr>
            </w:pPr>
            <w:r>
              <w:rPr>
                <w:rFonts w:hint="eastAsia"/>
                <w:color w:val="auto"/>
              </w:rPr>
              <w:t>30~50</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14:paraId="7B877608">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16C81921">
            <w:pPr>
              <w:pStyle w:val="235"/>
              <w:rPr>
                <w:color w:val="auto"/>
              </w:rPr>
            </w:pPr>
            <w:r>
              <w:rPr>
                <w:rFonts w:hint="eastAsia"/>
                <w:color w:val="auto"/>
              </w:rPr>
              <w:t>35~55</w:t>
            </w: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1578C329">
            <w:pPr>
              <w:pStyle w:val="235"/>
              <w:rPr>
                <w:color w:val="auto"/>
              </w:rPr>
            </w:pPr>
            <w:r>
              <w:rPr>
                <w:rFonts w:hint="eastAsia"/>
                <w:color w:val="auto"/>
              </w:rPr>
              <w:t>2~10</w:t>
            </w:r>
          </w:p>
        </w:tc>
        <w:tc>
          <w:tcPr>
            <w:tcW w:w="627" w:type="dxa"/>
            <w:tcBorders>
              <w:top w:val="single" w:color="000000" w:sz="4" w:space="0"/>
              <w:left w:val="single" w:color="000000" w:sz="4" w:space="0"/>
              <w:bottom w:val="single" w:color="000000" w:sz="4" w:space="0"/>
              <w:right w:val="single" w:color="000000" w:sz="4" w:space="0"/>
            </w:tcBorders>
            <w:noWrap/>
            <w:vAlign w:val="center"/>
          </w:tcPr>
          <w:p w14:paraId="54E3A9E6">
            <w:pPr>
              <w:pStyle w:val="235"/>
              <w:rPr>
                <w:color w:val="auto"/>
              </w:rPr>
            </w:pPr>
            <w:r>
              <w:rPr>
                <w:rFonts w:hint="eastAsia"/>
                <w:color w:val="auto"/>
              </w:rPr>
              <w:t>0~6</w:t>
            </w:r>
          </w:p>
        </w:tc>
      </w:tr>
      <w:tr w14:paraId="5C54BE18">
        <w:tblPrEx>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14:paraId="55DF2F72">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6E2C01A7">
            <w:pPr>
              <w:pStyle w:val="235"/>
              <w:rPr>
                <w:color w:val="auto"/>
              </w:rPr>
            </w:pPr>
            <w:r>
              <w:rPr>
                <w:rFonts w:hint="eastAsia"/>
                <w:color w:val="auto"/>
              </w:rPr>
              <w:t>商业办公型</w:t>
            </w:r>
          </w:p>
        </w:tc>
        <w:tc>
          <w:tcPr>
            <w:tcW w:w="997" w:type="dxa"/>
            <w:tcBorders>
              <w:top w:val="single" w:color="000000" w:sz="4" w:space="0"/>
              <w:left w:val="single" w:color="000000" w:sz="4" w:space="0"/>
              <w:bottom w:val="single" w:color="000000" w:sz="4" w:space="0"/>
              <w:right w:val="single" w:color="000000" w:sz="4" w:space="0"/>
            </w:tcBorders>
            <w:noWrap/>
            <w:vAlign w:val="center"/>
          </w:tcPr>
          <w:p w14:paraId="29484A52">
            <w:pPr>
              <w:pStyle w:val="235"/>
              <w:rPr>
                <w:color w:val="auto"/>
              </w:rPr>
            </w:pPr>
            <w:r>
              <w:rPr>
                <w:rFonts w:hint="eastAsia"/>
                <w:color w:val="auto"/>
              </w:rPr>
              <w:t>30~55</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14:paraId="5557FFEF">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2C024CFE">
            <w:pPr>
              <w:pStyle w:val="235"/>
              <w:rPr>
                <w:color w:val="auto"/>
              </w:rPr>
            </w:pPr>
            <w:r>
              <w:rPr>
                <w:rFonts w:hint="eastAsia"/>
                <w:color w:val="auto"/>
              </w:rPr>
              <w:t>15~35</w:t>
            </w: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6F506597">
            <w:pPr>
              <w:pStyle w:val="235"/>
              <w:rPr>
                <w:color w:val="auto"/>
              </w:rPr>
            </w:pPr>
            <w:r>
              <w:rPr>
                <w:rFonts w:hint="eastAsia"/>
                <w:color w:val="auto"/>
              </w:rPr>
              <w:t>1~10</w:t>
            </w:r>
          </w:p>
        </w:tc>
        <w:tc>
          <w:tcPr>
            <w:tcW w:w="627" w:type="dxa"/>
            <w:tcBorders>
              <w:top w:val="single" w:color="000000" w:sz="4" w:space="0"/>
              <w:left w:val="single" w:color="000000" w:sz="4" w:space="0"/>
              <w:bottom w:val="single" w:color="000000" w:sz="4" w:space="0"/>
              <w:right w:val="single" w:color="000000" w:sz="4" w:space="0"/>
            </w:tcBorders>
            <w:noWrap/>
            <w:vAlign w:val="center"/>
          </w:tcPr>
          <w:p w14:paraId="7A565055">
            <w:pPr>
              <w:pStyle w:val="235"/>
              <w:rPr>
                <w:color w:val="auto"/>
              </w:rPr>
            </w:pPr>
            <w:r>
              <w:rPr>
                <w:rFonts w:hint="eastAsia"/>
                <w:color w:val="auto"/>
              </w:rPr>
              <w:t>0~10</w:t>
            </w:r>
          </w:p>
        </w:tc>
      </w:tr>
    </w:tbl>
    <w:p w14:paraId="3A0D8A3E">
      <w:pPr>
        <w:pStyle w:val="202"/>
        <w:ind w:firstLine="300"/>
        <w:rPr>
          <w:lang w:bidi="ar"/>
        </w:rPr>
      </w:pPr>
      <w:r>
        <w:rPr>
          <w:rFonts w:hint="eastAsia"/>
        </w:rPr>
        <w:t>注：上表仅为各种接驳方式比例的参考区间，具体需根据车站具体位置、周边居民出行习惯、各种交通方式分担率等因素确定。</w:t>
      </w:r>
    </w:p>
    <w:p w14:paraId="347D391A">
      <w:pPr>
        <w:pStyle w:val="4"/>
        <w:tabs>
          <w:tab w:val="clear" w:pos="462"/>
          <w:tab w:val="clear" w:pos="794"/>
        </w:tabs>
      </w:pPr>
      <w:bookmarkStart w:id="2064" w:name="_Toc183888662"/>
      <w:bookmarkStart w:id="2065" w:name="_Toc183882610"/>
      <w:bookmarkStart w:id="2066" w:name="_Toc183790687"/>
      <w:bookmarkStart w:id="2067" w:name="_Toc183765257"/>
      <w:bookmarkStart w:id="2068" w:name="_Toc183683651"/>
      <w:bookmarkStart w:id="2069" w:name="_Toc183888300"/>
      <w:bookmarkStart w:id="2070" w:name="_Toc183882248"/>
      <w:r>
        <w:rPr>
          <w:rFonts w:hint="eastAsia"/>
        </w:rPr>
        <w:t>各类接驳设施设计要求</w:t>
      </w:r>
      <w:bookmarkEnd w:id="2064"/>
      <w:bookmarkEnd w:id="2065"/>
      <w:bookmarkEnd w:id="2066"/>
      <w:bookmarkEnd w:id="2067"/>
      <w:bookmarkEnd w:id="2068"/>
      <w:bookmarkEnd w:id="2069"/>
      <w:bookmarkEnd w:id="2070"/>
    </w:p>
    <w:p w14:paraId="43046659">
      <w:pPr>
        <w:pStyle w:val="5"/>
        <w:tabs>
          <w:tab w:val="left" w:pos="709"/>
          <w:tab w:val="clear" w:pos="630"/>
        </w:tabs>
      </w:pPr>
      <w:r>
        <w:rPr>
          <w:rFonts w:hint="eastAsia"/>
        </w:rPr>
        <w:t>行人接驳设施宜满足下列规定：</w:t>
      </w:r>
    </w:p>
    <w:p w14:paraId="1AD73E40">
      <w:pPr>
        <w:pStyle w:val="7"/>
        <w:ind w:firstLine="420"/>
      </w:pPr>
      <w:r>
        <w:rPr>
          <w:rFonts w:hint="eastAsia"/>
        </w:rPr>
        <w:t>应构建安全、便捷、连续的步行系统；</w:t>
      </w:r>
    </w:p>
    <w:p w14:paraId="4E7BCF87">
      <w:pPr>
        <w:pStyle w:val="7"/>
        <w:ind w:firstLine="420"/>
      </w:pPr>
      <w:r>
        <w:t>行人接驳设施应结合轨道交通车站的位置、相邻道路等级、客流量大小、周边建筑性质与规模等因素进行合理布设</w:t>
      </w:r>
      <w:r>
        <w:rPr>
          <w:rFonts w:hint="eastAsia"/>
        </w:rPr>
        <w:t>；</w:t>
      </w:r>
    </w:p>
    <w:p w14:paraId="7ED5434F">
      <w:pPr>
        <w:pStyle w:val="7"/>
        <w:ind w:firstLine="420"/>
      </w:pPr>
      <w:r>
        <w:t>站前广场应紧邻轨道交通车站出入口布设</w:t>
      </w:r>
      <w:r>
        <w:rPr>
          <w:rFonts w:hint="eastAsia"/>
        </w:rPr>
        <w:t>；</w:t>
      </w:r>
    </w:p>
    <w:p w14:paraId="568422A9">
      <w:pPr>
        <w:pStyle w:val="7"/>
        <w:ind w:firstLine="420"/>
      </w:pPr>
      <w:r>
        <w:t>站前广场设计时应与其他交通接驳设施、人行步道、周边建筑相接，当无法直接衔接时</w:t>
      </w:r>
      <w:r>
        <w:rPr>
          <w:rFonts w:hint="eastAsia"/>
        </w:rPr>
        <w:t>应设</w:t>
      </w:r>
      <w:r>
        <w:t>置人行步道，人行步道通行宽度应</w:t>
      </w:r>
      <w:r>
        <w:rPr>
          <w:rFonts w:hint="eastAsia"/>
        </w:rPr>
        <w:t>不小于</w:t>
      </w:r>
      <w:r>
        <w:t>3m，并满足儿童车、轮椅及残疾人的使用要求</w:t>
      </w:r>
      <w:r>
        <w:rPr>
          <w:rFonts w:hint="eastAsia"/>
        </w:rPr>
        <w:t>，站前广场</w:t>
      </w:r>
      <w:r>
        <w:t>面积应根据客流预测确定</w:t>
      </w:r>
      <w:r>
        <w:rPr>
          <w:rFonts w:hint="eastAsia"/>
        </w:rPr>
        <w:t>且</w:t>
      </w:r>
      <w:r>
        <w:t>不宜小于50m</w:t>
      </w:r>
      <w:r>
        <w:rPr>
          <w:vertAlign w:val="superscript"/>
        </w:rPr>
        <w:t>2</w:t>
      </w:r>
      <w:r>
        <w:rPr>
          <w:rFonts w:hint="eastAsia"/>
        </w:rPr>
        <w:t>。</w:t>
      </w:r>
    </w:p>
    <w:p w14:paraId="26329C11">
      <w:pPr>
        <w:pStyle w:val="5"/>
        <w:tabs>
          <w:tab w:val="left" w:pos="709"/>
          <w:tab w:val="clear" w:pos="630"/>
        </w:tabs>
      </w:pPr>
      <w:r>
        <w:rPr>
          <w:rFonts w:hint="eastAsia"/>
        </w:rPr>
        <w:t>非机动车接驳设施宜满足下列规定：</w:t>
      </w:r>
    </w:p>
    <w:p w14:paraId="7E99F683">
      <w:pPr>
        <w:pStyle w:val="7"/>
        <w:ind w:firstLine="420"/>
      </w:pPr>
      <w:r>
        <w:rPr>
          <w:rFonts w:hint="eastAsia"/>
        </w:rPr>
        <w:t>非机动车停车可结合用地条件集中或分散布局。用地</w:t>
      </w:r>
      <w:r>
        <w:t>条件</w:t>
      </w:r>
      <w:r>
        <w:rPr>
          <w:rFonts w:hint="eastAsia"/>
        </w:rPr>
        <w:t>充足的情况</w:t>
      </w:r>
      <w:r>
        <w:t>下应设置专用场地集中停放</w:t>
      </w:r>
      <w:r>
        <w:rPr>
          <w:rFonts w:hint="eastAsia"/>
        </w:rPr>
        <w:t>非机动车</w:t>
      </w:r>
      <w:r>
        <w:t>，用地条件困难时，可利用行道树池间道路设施带、过街天桥、高架桥桥下</w:t>
      </w:r>
      <w:r>
        <w:rPr>
          <w:rFonts w:hint="eastAsia"/>
        </w:rPr>
        <w:t>、地下</w:t>
      </w:r>
      <w:r>
        <w:t>空间等区域分散布设</w:t>
      </w:r>
      <w:r>
        <w:rPr>
          <w:rFonts w:hint="eastAsia"/>
        </w:rPr>
        <w:t>；</w:t>
      </w:r>
    </w:p>
    <w:p w14:paraId="73930496">
      <w:pPr>
        <w:pStyle w:val="7"/>
        <w:ind w:firstLine="420"/>
      </w:pPr>
      <w:r>
        <w:t>非机动车停车场应根据轨道交通车站周边道路交通条件、用地</w:t>
      </w:r>
      <w:r>
        <w:rPr>
          <w:rFonts w:hint="eastAsia"/>
        </w:rPr>
        <w:t>情况</w:t>
      </w:r>
      <w:r>
        <w:t>、客流需求</w:t>
      </w:r>
      <w:r>
        <w:rPr>
          <w:rFonts w:hint="eastAsia"/>
        </w:rPr>
        <w:t>、各类非机动车的比例等</w:t>
      </w:r>
      <w:r>
        <w:t>合理</w:t>
      </w:r>
      <w:r>
        <w:rPr>
          <w:rFonts w:hint="eastAsia"/>
        </w:rPr>
        <w:t>设置</w:t>
      </w:r>
      <w:r>
        <w:t>，并设置必要的交通安全设施</w:t>
      </w:r>
      <w:r>
        <w:rPr>
          <w:rFonts w:hint="eastAsia"/>
        </w:rPr>
        <w:t>；</w:t>
      </w:r>
    </w:p>
    <w:p w14:paraId="6A23D837">
      <w:pPr>
        <w:pStyle w:val="7"/>
        <w:ind w:firstLine="420"/>
      </w:pPr>
      <w:r>
        <w:rPr>
          <w:rFonts w:hint="eastAsia"/>
        </w:rPr>
        <w:t>应结合不同非机动车的周转率确定停放规模；</w:t>
      </w:r>
    </w:p>
    <w:p w14:paraId="7C2A9B35">
      <w:pPr>
        <w:pStyle w:val="7"/>
        <w:ind w:firstLine="420"/>
      </w:pPr>
      <w:r>
        <w:rPr>
          <w:rFonts w:hint="eastAsia"/>
        </w:rPr>
        <w:t>共享单车宜集中停放于固定区域并结合相应措施加强秩序管理。</w:t>
      </w:r>
    </w:p>
    <w:p w14:paraId="0991294F">
      <w:pPr>
        <w:pStyle w:val="5"/>
        <w:tabs>
          <w:tab w:val="left" w:pos="709"/>
          <w:tab w:val="clear" w:pos="630"/>
        </w:tabs>
      </w:pPr>
      <w:r>
        <w:rPr>
          <w:rFonts w:hint="eastAsia"/>
        </w:rPr>
        <w:t>公交接驳设施宜满足下列规定：</w:t>
      </w:r>
    </w:p>
    <w:p w14:paraId="20EA624A">
      <w:pPr>
        <w:pStyle w:val="7"/>
        <w:ind w:firstLine="420"/>
      </w:pPr>
      <w:r>
        <w:t>公交车停靠站与站前广场结合设置时，应增加站前广场面积</w:t>
      </w:r>
      <w:r>
        <w:rPr>
          <w:rFonts w:hint="eastAsia"/>
        </w:rPr>
        <w:t>；</w:t>
      </w:r>
    </w:p>
    <w:p w14:paraId="5AC97943">
      <w:pPr>
        <w:pStyle w:val="7"/>
        <w:ind w:firstLine="420"/>
      </w:pPr>
      <w:r>
        <w:rPr>
          <w:rFonts w:hint="eastAsia"/>
        </w:rPr>
        <w:t>为保证道路的正常通行，与轨道交通接驳的公交站台</w:t>
      </w:r>
      <w:r>
        <w:t>宜为港湾式公交停靠站</w:t>
      </w:r>
      <w:r>
        <w:rPr>
          <w:rFonts w:hint="eastAsia"/>
        </w:rPr>
        <w:t>；</w:t>
      </w:r>
    </w:p>
    <w:p w14:paraId="7E3DEB02">
      <w:pPr>
        <w:pStyle w:val="7"/>
        <w:ind w:firstLine="420"/>
      </w:pPr>
      <w:r>
        <w:rPr>
          <w:rFonts w:hint="eastAsia"/>
        </w:rPr>
        <w:t>公交场站应考虑车站周边居住、办公、商业等地区的出行需求，宜设置公交微循环线路进行轨道交通接驳，加强公交与轨道的融合；</w:t>
      </w:r>
    </w:p>
    <w:p w14:paraId="286DAC9B">
      <w:pPr>
        <w:pStyle w:val="7"/>
        <w:ind w:firstLine="420"/>
      </w:pPr>
      <w:r>
        <w:rPr>
          <w:rFonts w:hint="eastAsia"/>
        </w:rPr>
        <w:t>公交车停靠站的位置应与轨道交通车站主要客流方向一致，避免主要方向客流绕行进出站；</w:t>
      </w:r>
    </w:p>
    <w:p w14:paraId="128379F9">
      <w:pPr>
        <w:pStyle w:val="7"/>
        <w:ind w:firstLine="420"/>
      </w:pPr>
      <w:r>
        <w:rPr>
          <w:rFonts w:hint="eastAsia"/>
        </w:rPr>
        <w:t>公交停靠站泊位数应由轨道客流及周边开发客流综合确定。</w:t>
      </w:r>
    </w:p>
    <w:p w14:paraId="58EAF9C1">
      <w:pPr>
        <w:pStyle w:val="5"/>
        <w:tabs>
          <w:tab w:val="left" w:pos="709"/>
          <w:tab w:val="clear" w:pos="630"/>
        </w:tabs>
      </w:pPr>
      <w:r>
        <w:rPr>
          <w:rFonts w:hint="eastAsia" w:ascii="宋体" w:hAnsi="宋体" w:cs="宋体"/>
          <w:kern w:val="0"/>
          <w:sz w:val="20"/>
          <w:lang w:bidi="ar"/>
        </w:rPr>
        <w:t>小汽车接驳设施</w:t>
      </w:r>
      <w:r>
        <w:rPr>
          <w:rFonts w:hint="eastAsia"/>
        </w:rPr>
        <w:t>宜满足下列规定：</w:t>
      </w:r>
    </w:p>
    <w:p w14:paraId="497C5913">
      <w:pPr>
        <w:pStyle w:val="7"/>
        <w:ind w:firstLine="420"/>
      </w:pPr>
      <w:r>
        <w:rPr>
          <w:rFonts w:hint="eastAsia"/>
        </w:rPr>
        <w:t>K+R</w:t>
      </w:r>
      <w:r>
        <w:t>停</w:t>
      </w:r>
      <w:r>
        <w:rPr>
          <w:rFonts w:hint="eastAsia"/>
        </w:rPr>
        <w:t>车泊位宜设置在路侧，道路条件允许时宜采用港湾式停车，停车泊位数量应</w:t>
      </w:r>
      <w:r>
        <w:t>结合用地条件、道路交通条件</w:t>
      </w:r>
      <w:r>
        <w:rPr>
          <w:rFonts w:hint="eastAsia"/>
        </w:rPr>
        <w:t>及客流量</w:t>
      </w:r>
      <w:r>
        <w:t>等因素</w:t>
      </w:r>
      <w:r>
        <w:rPr>
          <w:rFonts w:hint="eastAsia"/>
        </w:rPr>
        <w:t>综合</w:t>
      </w:r>
      <w:r>
        <w:t>确定</w:t>
      </w:r>
      <w:r>
        <w:rPr>
          <w:rFonts w:hint="eastAsia"/>
        </w:rPr>
        <w:t>。</w:t>
      </w:r>
    </w:p>
    <w:p w14:paraId="42720053">
      <w:pPr>
        <w:pStyle w:val="7"/>
        <w:numPr>
          <w:ilvl w:val="0"/>
          <w:numId w:val="0"/>
        </w:numPr>
      </w:pPr>
      <w:r>
        <w:rPr>
          <w:rFonts w:hint="eastAsia"/>
        </w:rPr>
        <w:t>小汽车停车场宜设置在城市外围车行接驳需求量大的远端车站，并应根据交通需求、周边用地条件、道路网规划条件等因素综合确定设施的规模及位置。</w:t>
      </w:r>
    </w:p>
    <w:bookmarkEnd w:id="1989"/>
    <w:bookmarkEnd w:id="1990"/>
    <w:bookmarkEnd w:id="1991"/>
    <w:bookmarkEnd w:id="1992"/>
    <w:p w14:paraId="2A834280">
      <w:pPr>
        <w:pStyle w:val="3"/>
        <w:tabs>
          <w:tab w:val="left" w:pos="680"/>
          <w:tab w:val="clear" w:pos="567"/>
        </w:tabs>
      </w:pPr>
      <w:bookmarkStart w:id="2071" w:name="_Toc174462153"/>
      <w:bookmarkStart w:id="2072" w:name="_Toc357929470"/>
      <w:bookmarkStart w:id="2073" w:name="_Toc176189987"/>
      <w:r>
        <w:br w:type="page"/>
      </w:r>
      <w:bookmarkEnd w:id="2071"/>
      <w:bookmarkEnd w:id="2072"/>
      <w:bookmarkEnd w:id="2073"/>
      <w:bookmarkStart w:id="2074" w:name="_Toc183699888"/>
      <w:bookmarkStart w:id="2075" w:name="_Toc183765258"/>
      <w:bookmarkStart w:id="2076" w:name="_Toc183888663"/>
      <w:bookmarkStart w:id="2077" w:name="_Toc183888301"/>
      <w:bookmarkStart w:id="2078" w:name="_Toc183683652"/>
      <w:bookmarkStart w:id="2079" w:name="_Toc183882611"/>
      <w:bookmarkStart w:id="2080" w:name="_Toc5861"/>
      <w:bookmarkStart w:id="2081" w:name="_Toc183882249"/>
      <w:bookmarkStart w:id="2082" w:name="_Toc183790688"/>
      <w:bookmarkStart w:id="2083" w:name="_Toc183735432"/>
      <w:bookmarkStart w:id="2084" w:name="_Hlk182256012"/>
      <w:bookmarkStart w:id="2085" w:name="_Toc174462160"/>
      <w:r>
        <w:rPr>
          <w:rFonts w:hint="eastAsia"/>
        </w:rPr>
        <w:t>防</w:t>
      </w:r>
      <w:r>
        <w:t xml:space="preserve">    </w:t>
      </w:r>
      <w:r>
        <w:rPr>
          <w:rFonts w:hint="eastAsia"/>
        </w:rPr>
        <w:t>灾</w:t>
      </w:r>
      <w:bookmarkEnd w:id="2074"/>
      <w:bookmarkEnd w:id="2075"/>
      <w:bookmarkEnd w:id="2076"/>
      <w:bookmarkEnd w:id="2077"/>
      <w:bookmarkEnd w:id="2078"/>
      <w:bookmarkEnd w:id="2079"/>
      <w:bookmarkEnd w:id="2080"/>
      <w:bookmarkEnd w:id="2081"/>
      <w:bookmarkEnd w:id="2082"/>
      <w:bookmarkEnd w:id="2083"/>
    </w:p>
    <w:bookmarkEnd w:id="2084"/>
    <w:p w14:paraId="089AF3E2">
      <w:pPr>
        <w:pStyle w:val="4"/>
        <w:tabs>
          <w:tab w:val="clear" w:pos="462"/>
          <w:tab w:val="clear" w:pos="794"/>
        </w:tabs>
      </w:pPr>
      <w:bookmarkStart w:id="2086" w:name="_Toc183790689"/>
      <w:bookmarkStart w:id="2087" w:name="_Toc183765259"/>
      <w:bookmarkStart w:id="2088" w:name="_Toc183888664"/>
      <w:bookmarkStart w:id="2089" w:name="_Toc183882250"/>
      <w:bookmarkStart w:id="2090" w:name="_Toc183882612"/>
      <w:bookmarkStart w:id="2091" w:name="_Toc183888302"/>
      <w:r>
        <w:rPr>
          <w:rFonts w:hint="eastAsia"/>
        </w:rPr>
        <w:t>一般规定</w:t>
      </w:r>
      <w:bookmarkEnd w:id="2086"/>
      <w:bookmarkEnd w:id="2087"/>
      <w:bookmarkEnd w:id="2088"/>
      <w:bookmarkEnd w:id="2089"/>
      <w:bookmarkEnd w:id="2090"/>
      <w:bookmarkEnd w:id="2091"/>
    </w:p>
    <w:p w14:paraId="3B8ACE3D">
      <w:pPr>
        <w:numPr>
          <w:ilvl w:val="2"/>
          <w:numId w:val="1"/>
        </w:numPr>
        <w:tabs>
          <w:tab w:val="left" w:pos="794"/>
          <w:tab w:val="left" w:pos="935"/>
          <w:tab w:val="left" w:pos="1502"/>
        </w:tabs>
        <w:outlineLvl w:val="2"/>
        <w:rPr>
          <w:bCs/>
        </w:rPr>
      </w:pPr>
      <w:r>
        <w:rPr>
          <w:rFonts w:hint="eastAsia"/>
          <w:bCs/>
        </w:rPr>
        <w:t>城市轨道交通工程应</w:t>
      </w:r>
      <w:r>
        <w:rPr>
          <w:bCs/>
        </w:rPr>
        <w:t>具有针对火灾、水淹、地震、</w:t>
      </w:r>
      <w:r>
        <w:rPr>
          <w:rFonts w:hint="eastAsia"/>
          <w:bCs/>
        </w:rPr>
        <w:t>风暴</w:t>
      </w:r>
      <w:r>
        <w:rPr>
          <w:bCs/>
        </w:rPr>
        <w:t>、冰雪和雷击等灾害的预防措施。</w:t>
      </w:r>
    </w:p>
    <w:p w14:paraId="5716C949">
      <w:pPr>
        <w:numPr>
          <w:ilvl w:val="2"/>
          <w:numId w:val="1"/>
        </w:numPr>
        <w:tabs>
          <w:tab w:val="left" w:pos="709"/>
          <w:tab w:val="left" w:pos="794"/>
          <w:tab w:val="left" w:pos="935"/>
          <w:tab w:val="left" w:pos="1502"/>
        </w:tabs>
        <w:outlineLvl w:val="2"/>
        <w:rPr>
          <w:bCs/>
        </w:rPr>
      </w:pPr>
      <w:r>
        <w:rPr>
          <w:rFonts w:hint="eastAsia"/>
          <w:bCs/>
        </w:rPr>
        <w:t>城市轨道交通工程的防火设计，应贯彻“预防为主、防消结合”的方针，针对轨道交通工程发生火灾时的特点，采用可靠的防火措施，做到安全适用、技术先进、经济合理，并按一条线路、一座车站、一座换乘车站及其相邻区间在同一时间内发生一次火灾设计。</w:t>
      </w:r>
    </w:p>
    <w:p w14:paraId="2034C82B">
      <w:pPr>
        <w:numPr>
          <w:ilvl w:val="2"/>
          <w:numId w:val="1"/>
        </w:numPr>
        <w:tabs>
          <w:tab w:val="left" w:pos="709"/>
          <w:tab w:val="left" w:pos="794"/>
          <w:tab w:val="left" w:pos="935"/>
          <w:tab w:val="left" w:pos="1502"/>
        </w:tabs>
        <w:outlineLvl w:val="2"/>
        <w:rPr>
          <w:bCs/>
        </w:rPr>
      </w:pPr>
      <w:r>
        <w:rPr>
          <w:rFonts w:hint="eastAsia"/>
          <w:bCs/>
        </w:rPr>
        <w:t>城市轨道交通控制中心应具有所辖线路的防灾调度指挥的功能。</w:t>
      </w:r>
    </w:p>
    <w:p w14:paraId="23EFDA83">
      <w:pPr>
        <w:numPr>
          <w:ilvl w:val="2"/>
          <w:numId w:val="1"/>
        </w:numPr>
        <w:tabs>
          <w:tab w:val="left" w:pos="709"/>
          <w:tab w:val="left" w:pos="794"/>
          <w:tab w:val="left" w:pos="935"/>
          <w:tab w:val="left" w:pos="1502"/>
        </w:tabs>
        <w:outlineLvl w:val="2"/>
        <w:rPr>
          <w:bCs/>
        </w:rPr>
      </w:pPr>
      <w:r>
        <w:rPr>
          <w:rFonts w:hint="eastAsia"/>
          <w:bCs/>
        </w:rPr>
        <w:t>车站应配备防灾设施；车辆基地应配备防灾与救援设施。</w:t>
      </w:r>
    </w:p>
    <w:p w14:paraId="439E929B">
      <w:pPr>
        <w:numPr>
          <w:ilvl w:val="2"/>
          <w:numId w:val="1"/>
        </w:numPr>
        <w:tabs>
          <w:tab w:val="left" w:pos="709"/>
          <w:tab w:val="left" w:pos="794"/>
          <w:tab w:val="left" w:pos="935"/>
          <w:tab w:val="left" w:pos="1502"/>
        </w:tabs>
        <w:outlineLvl w:val="2"/>
        <w:rPr>
          <w:bCs/>
        </w:rPr>
      </w:pPr>
      <w:r>
        <w:rPr>
          <w:rFonts w:hint="eastAsia"/>
          <w:bCs/>
        </w:rPr>
        <w:t>车站安全疏散应符合现行国家标准《地铁设计防火标准》GB 51298的规定，参与车站安全疏散的自动扶梯系统、自动售检票系统、导向标识系统等设备设施应满足安全疏散的联动要求。</w:t>
      </w:r>
    </w:p>
    <w:p w14:paraId="356B14EF">
      <w:pPr>
        <w:numPr>
          <w:ilvl w:val="2"/>
          <w:numId w:val="1"/>
        </w:numPr>
        <w:tabs>
          <w:tab w:val="left" w:pos="709"/>
          <w:tab w:val="left" w:pos="794"/>
          <w:tab w:val="left" w:pos="935"/>
          <w:tab w:val="left" w:pos="1502"/>
        </w:tabs>
        <w:outlineLvl w:val="2"/>
        <w:rPr>
          <w:bCs/>
        </w:rPr>
      </w:pPr>
      <w:r>
        <w:rPr>
          <w:rFonts w:hint="eastAsia"/>
          <w:bCs/>
        </w:rPr>
        <w:t>地铁区间防火安全疏散应以道床面作为疏散通道，可设置疏散平台作为辅助疏散通道。</w:t>
      </w:r>
    </w:p>
    <w:p w14:paraId="680ED962">
      <w:pPr>
        <w:numPr>
          <w:ilvl w:val="2"/>
          <w:numId w:val="1"/>
        </w:numPr>
        <w:tabs>
          <w:tab w:val="left" w:pos="709"/>
          <w:tab w:val="left" w:pos="794"/>
          <w:tab w:val="left" w:pos="935"/>
          <w:tab w:val="left" w:pos="1502"/>
        </w:tabs>
        <w:outlineLvl w:val="2"/>
        <w:rPr>
          <w:szCs w:val="18"/>
        </w:rPr>
      </w:pPr>
      <w:r>
        <w:rPr>
          <w:rFonts w:hint="eastAsia"/>
          <w:szCs w:val="18"/>
        </w:rPr>
        <w:t>防水淹设计应遵循“以防为主，以排为辅”的基本原则，并应加强口部防水淹设计及重点部位监控。</w:t>
      </w:r>
    </w:p>
    <w:p w14:paraId="1CB66629">
      <w:pPr>
        <w:numPr>
          <w:ilvl w:val="2"/>
          <w:numId w:val="1"/>
        </w:numPr>
        <w:tabs>
          <w:tab w:val="left" w:pos="709"/>
          <w:tab w:val="left" w:pos="794"/>
          <w:tab w:val="left" w:pos="935"/>
          <w:tab w:val="left" w:pos="1502"/>
        </w:tabs>
        <w:outlineLvl w:val="2"/>
        <w:rPr>
          <w:szCs w:val="18"/>
        </w:rPr>
      </w:pPr>
      <w:r>
        <w:rPr>
          <w:rFonts w:hint="eastAsia"/>
          <w:szCs w:val="18"/>
        </w:rPr>
        <w:t xml:space="preserve">城市轨道交通规划应根据上位规划条件合理选择线路敷设方式，车站及区间地面附属设施应根据所在区域的防内涝和防洪规划设置。 </w:t>
      </w:r>
    </w:p>
    <w:p w14:paraId="1C79F968">
      <w:pPr>
        <w:numPr>
          <w:ilvl w:val="2"/>
          <w:numId w:val="1"/>
        </w:numPr>
        <w:tabs>
          <w:tab w:val="left" w:pos="709"/>
          <w:tab w:val="left" w:pos="794"/>
          <w:tab w:val="left" w:pos="935"/>
          <w:tab w:val="left" w:pos="1502"/>
        </w:tabs>
        <w:outlineLvl w:val="2"/>
        <w:rPr>
          <w:szCs w:val="18"/>
        </w:rPr>
      </w:pPr>
      <w:r>
        <w:rPr>
          <w:rFonts w:hint="eastAsia"/>
          <w:szCs w:val="18"/>
        </w:rPr>
        <w:t>当城市轨道交通主体、附属及其连通工程进行续建或改建时，应采取保证防水淹体系完整性和设计标准不降低的措施。</w:t>
      </w:r>
    </w:p>
    <w:p w14:paraId="0E61BB57">
      <w:pPr>
        <w:numPr>
          <w:ilvl w:val="2"/>
          <w:numId w:val="1"/>
        </w:numPr>
        <w:tabs>
          <w:tab w:val="left" w:pos="794"/>
          <w:tab w:val="left" w:pos="851"/>
          <w:tab w:val="left" w:pos="935"/>
          <w:tab w:val="left" w:pos="1502"/>
        </w:tabs>
        <w:outlineLvl w:val="2"/>
        <w:rPr>
          <w:bCs/>
        </w:rPr>
      </w:pPr>
      <w:r>
        <w:rPr>
          <w:rFonts w:hint="eastAsia"/>
          <w:bCs/>
        </w:rPr>
        <w:t>除执行相关国家规范标准和本规范另有规定外，与车站联体开发或利用地下车站配线上层进行商业等物业开发的防火设计应符合现行地方标准《站城一体化工程消防安全技术标准》DB11/1889的有关规定,车辆基地上盖综合利用工程的防火设计应符合现行地方标准《城市轨道交通车辆基地上盖综合利用工程设计防火标准》DB11/1762的有关规定。</w:t>
      </w:r>
    </w:p>
    <w:p w14:paraId="565CA0B1">
      <w:pPr>
        <w:pStyle w:val="4"/>
        <w:tabs>
          <w:tab w:val="clear" w:pos="462"/>
          <w:tab w:val="clear" w:pos="794"/>
        </w:tabs>
      </w:pPr>
      <w:bookmarkStart w:id="2092" w:name="_Toc183790690"/>
      <w:bookmarkStart w:id="2093" w:name="_Toc183888665"/>
      <w:bookmarkStart w:id="2094" w:name="_Toc183882251"/>
      <w:bookmarkStart w:id="2095" w:name="_Toc357929472"/>
      <w:bookmarkStart w:id="2096" w:name="_Toc183888303"/>
      <w:bookmarkStart w:id="2097" w:name="_Toc183882613"/>
      <w:bookmarkStart w:id="2098" w:name="_Toc183765260"/>
      <w:r>
        <w:rPr>
          <w:rFonts w:hint="eastAsia"/>
        </w:rPr>
        <w:t>建</w:t>
      </w:r>
      <w:r>
        <w:t xml:space="preserve"> </w:t>
      </w:r>
      <w:r>
        <w:rPr>
          <w:rFonts w:hint="eastAsia"/>
        </w:rPr>
        <w:t>筑</w:t>
      </w:r>
      <w:r>
        <w:t xml:space="preserve"> </w:t>
      </w:r>
      <w:r>
        <w:rPr>
          <w:rFonts w:hint="eastAsia"/>
        </w:rPr>
        <w:t>防</w:t>
      </w:r>
      <w:r>
        <w:t xml:space="preserve"> </w:t>
      </w:r>
      <w:r>
        <w:rPr>
          <w:rFonts w:hint="eastAsia"/>
        </w:rPr>
        <w:t>火</w:t>
      </w:r>
      <w:bookmarkEnd w:id="2092"/>
      <w:bookmarkEnd w:id="2093"/>
      <w:bookmarkEnd w:id="2094"/>
      <w:bookmarkEnd w:id="2095"/>
      <w:bookmarkEnd w:id="2096"/>
      <w:bookmarkEnd w:id="2097"/>
      <w:bookmarkEnd w:id="2098"/>
    </w:p>
    <w:p w14:paraId="3A8D86F5">
      <w:pPr>
        <w:spacing w:before="72" w:after="72" w:line="240" w:lineRule="auto"/>
        <w:ind w:left="438"/>
        <w:jc w:val="center"/>
        <w:outlineLvl w:val="3"/>
        <w:rPr>
          <w:rFonts w:eastAsia="黑体"/>
        </w:rPr>
      </w:pPr>
      <w:r>
        <w:rPr>
          <w:rFonts w:hint="eastAsia" w:eastAsia="黑体"/>
        </w:rPr>
        <w:t>I</w:t>
      </w:r>
      <w:r>
        <w:rPr>
          <w:rFonts w:eastAsia="黑体"/>
        </w:rPr>
        <w:t xml:space="preserve">  </w:t>
      </w:r>
      <w:r>
        <w:rPr>
          <w:rFonts w:hint="eastAsia" w:eastAsia="黑体"/>
        </w:rPr>
        <w:t>总平面布局</w:t>
      </w:r>
    </w:p>
    <w:p w14:paraId="627F4AFB">
      <w:pPr>
        <w:numPr>
          <w:ilvl w:val="2"/>
          <w:numId w:val="1"/>
        </w:numPr>
        <w:tabs>
          <w:tab w:val="left" w:pos="709"/>
          <w:tab w:val="left" w:pos="794"/>
          <w:tab w:val="left" w:pos="935"/>
          <w:tab w:val="left" w:pos="1502"/>
        </w:tabs>
        <w:outlineLvl w:val="2"/>
        <w:rPr>
          <w:bCs/>
        </w:rPr>
      </w:pPr>
      <w:r>
        <w:rPr>
          <w:rFonts w:hint="eastAsia"/>
          <w:bCs/>
        </w:rPr>
        <w:t>地下车站的出入口、风亭、电梯、采光窗井、安全疏散口等附属建筑，地上车站、地下区间附属建筑以及控制中心建筑、主变电所、车辆基地内的各建筑和出入段线敞口段等构筑物之间以及与周边建筑物之间的防火间距和消防车道的设置除了应符合《地铁设计防火标准》GB 51298的相关规定外，还应符合下列规定：</w:t>
      </w:r>
    </w:p>
    <w:p w14:paraId="486C6131">
      <w:pPr>
        <w:pStyle w:val="7"/>
        <w:ind w:firstLine="420"/>
      </w:pPr>
      <w:r>
        <w:rPr>
          <w:rFonts w:hint="eastAsia"/>
        </w:rPr>
        <w:t>与及甲、乙、丙类液体、气体储罐（区）和可燃材料堆场的防火间距应符合现行国家标准《建筑设计防火规范》</w:t>
      </w:r>
      <w:r>
        <w:t>GB 50016</w:t>
      </w:r>
      <w:r>
        <w:rPr>
          <w:rFonts w:hint="eastAsia"/>
        </w:rPr>
        <w:t>的有关规定。</w:t>
      </w:r>
    </w:p>
    <w:p w14:paraId="00D95EC2">
      <w:pPr>
        <w:pStyle w:val="7"/>
        <w:ind w:firstLine="420"/>
      </w:pPr>
      <w:r>
        <w:rPr>
          <w:rFonts w:hint="eastAsia"/>
        </w:rPr>
        <w:t>与汽车加油加气站的防火间距应符合现行国家标准《汽车加油加气站设计与施工规范》</w:t>
      </w:r>
      <w:r>
        <w:t>GB 50156</w:t>
      </w:r>
      <w:r>
        <w:rPr>
          <w:rFonts w:hint="eastAsia"/>
        </w:rPr>
        <w:t>的有关规定。</w:t>
      </w:r>
    </w:p>
    <w:p w14:paraId="2E14F6AB">
      <w:pPr>
        <w:pStyle w:val="7"/>
        <w:ind w:firstLine="420"/>
      </w:pPr>
      <w:r>
        <w:rPr>
          <w:rFonts w:hint="eastAsia"/>
        </w:rPr>
        <w:t>与燃气调压站、液化石油气气化站或混气站、城市液化石油气供应站瓶库等的防火间距应符合现行国家标准《城镇燃气设计规范》</w:t>
      </w:r>
      <w:r>
        <w:t>GB 50028</w:t>
      </w:r>
      <w:r>
        <w:rPr>
          <w:rFonts w:hint="eastAsia"/>
        </w:rPr>
        <w:t>的有关规定。</w:t>
      </w:r>
    </w:p>
    <w:p w14:paraId="7547CED1">
      <w:pPr>
        <w:pStyle w:val="7"/>
        <w:ind w:firstLine="420"/>
      </w:pPr>
      <w:r>
        <w:rPr>
          <w:rFonts w:hint="eastAsia"/>
        </w:rPr>
        <w:t>主变电所的防火间距和消防车道设置要求应符合现行国家标准《火力发电厂与变电站设计防火规范》</w:t>
      </w:r>
      <w:r>
        <w:t>GB 50229</w:t>
      </w:r>
      <w:r>
        <w:rPr>
          <w:rFonts w:hint="eastAsia"/>
        </w:rPr>
        <w:t>的有关规定。</w:t>
      </w:r>
    </w:p>
    <w:p w14:paraId="5ED62551">
      <w:pPr>
        <w:pStyle w:val="7"/>
        <w:ind w:firstLine="420"/>
      </w:pPr>
      <w:r>
        <w:rPr>
          <w:rFonts w:hint="eastAsia"/>
        </w:rPr>
        <w:t>控制中心、车辆基地内的各建筑之间的防火间距和消防车道设置要求应符合现行国家标准《建筑设计防火规范》</w:t>
      </w:r>
      <w:r>
        <w:t>GB 50016</w:t>
      </w:r>
      <w:r>
        <w:rPr>
          <w:rFonts w:hint="eastAsia"/>
        </w:rPr>
        <w:t>的有关规定。</w:t>
      </w:r>
    </w:p>
    <w:p w14:paraId="5862808C">
      <w:pPr>
        <w:numPr>
          <w:ilvl w:val="2"/>
          <w:numId w:val="1"/>
        </w:numPr>
        <w:tabs>
          <w:tab w:val="left" w:pos="709"/>
          <w:tab w:val="left" w:pos="794"/>
          <w:tab w:val="left" w:pos="935"/>
          <w:tab w:val="left" w:pos="1502"/>
        </w:tabs>
        <w:outlineLvl w:val="2"/>
        <w:rPr>
          <w:bCs/>
        </w:rPr>
      </w:pPr>
      <w:r>
        <w:rPr>
          <w:rFonts w:hint="eastAsia"/>
          <w:bCs/>
        </w:rPr>
        <w:t>地上车站、车辆基地内的厂（库）房和其他建筑物，以及主变电所和控制中心等建筑物的消防车道应符合下列规定：</w:t>
      </w:r>
    </w:p>
    <w:p w14:paraId="55EA58D2">
      <w:pPr>
        <w:pStyle w:val="7"/>
        <w:ind w:firstLine="420"/>
      </w:pPr>
      <w:r>
        <w:rPr>
          <w:rFonts w:hint="eastAsia"/>
        </w:rPr>
        <w:t>设于道路红线外的地上车站周围应设环形消防车道，当平行铁路、河道或其它特殊环境设置的地上车站不具备设置两侧消防车道时，可沿车站建筑一长边方向设置消防车道；</w:t>
      </w:r>
    </w:p>
    <w:p w14:paraId="1A5E4197">
      <w:pPr>
        <w:pStyle w:val="7"/>
        <w:ind w:firstLine="420"/>
      </w:pPr>
      <w:r>
        <w:rPr>
          <w:rFonts w:hint="eastAsia"/>
        </w:rPr>
        <w:t>设置在道路中央连续绿化隔离带上的高架车站，宜在车站范围内绿化隔离带上设置供消防车掉头的开口；</w:t>
      </w:r>
    </w:p>
    <w:p w14:paraId="2D06F468">
      <w:pPr>
        <w:pStyle w:val="7"/>
        <w:ind w:firstLine="420"/>
      </w:pPr>
      <w:r>
        <w:rPr>
          <w:rFonts w:hint="eastAsia"/>
          <w:szCs w:val="18"/>
        </w:rPr>
        <w:t>车辆基地停车库、运用库、联合检修库、物资总库及易燃品库周围应设环形消防车道</w:t>
      </w:r>
      <w:r>
        <w:rPr>
          <w:rFonts w:hint="eastAsia"/>
        </w:rPr>
        <w:t>，消防车道与外界道路的连接口不应少于两个；</w:t>
      </w:r>
    </w:p>
    <w:p w14:paraId="7EDAF63F">
      <w:pPr>
        <w:pStyle w:val="7"/>
        <w:ind w:firstLine="420"/>
      </w:pPr>
      <w:r>
        <w:rPr>
          <w:rFonts w:hint="eastAsia"/>
          <w:szCs w:val="18"/>
        </w:rPr>
        <w:t>车辆基地内的消防车道不宜与线路咽喉区及列车进入咽喉区前的出入段线平面相交，当确有困难必须平交时，应设置备用车道，且两车道之间的距离不应小于一列车的长度；</w:t>
      </w:r>
    </w:p>
    <w:p w14:paraId="3125BF21">
      <w:pPr>
        <w:pStyle w:val="7"/>
        <w:ind w:firstLine="420"/>
      </w:pPr>
      <w:r>
        <w:rPr>
          <w:rFonts w:hint="eastAsia"/>
          <w:szCs w:val="18"/>
        </w:rPr>
        <w:t>当车辆基地的停车库、列检库、停车列检库、运用库、联合检修库等设置在地下时，应在地下设置环形消防车道；当库房的总宽度不大于60m时，可沿库房的一条长边设置地下消防车道，但尽头式消防车道应设置回车道或回车场，回车场的面积不应小于15m×15m。</w:t>
      </w:r>
    </w:p>
    <w:p w14:paraId="102232BA">
      <w:pPr>
        <w:pStyle w:val="7"/>
        <w:ind w:firstLine="420"/>
      </w:pPr>
      <w:r>
        <w:rPr>
          <w:rFonts w:hint="eastAsia"/>
          <w:szCs w:val="18"/>
        </w:rPr>
        <w:t>独立建造的控制中心、地上主变电所应设置环形消防车道，确有困难时，可沿建筑的一个长边设置消防车道。</w:t>
      </w:r>
    </w:p>
    <w:p w14:paraId="0B00C5F7">
      <w:pPr>
        <w:numPr>
          <w:ilvl w:val="2"/>
          <w:numId w:val="1"/>
        </w:numPr>
        <w:tabs>
          <w:tab w:val="left" w:pos="709"/>
          <w:tab w:val="left" w:pos="794"/>
          <w:tab w:val="left" w:pos="935"/>
          <w:tab w:val="left" w:pos="1502"/>
        </w:tabs>
        <w:outlineLvl w:val="2"/>
        <w:rPr>
          <w:bCs/>
        </w:rPr>
      </w:pPr>
      <w:r>
        <w:rPr>
          <w:rFonts w:hint="eastAsia"/>
          <w:bCs/>
        </w:rPr>
        <w:t>当风亭在事故工况下用于排烟时，排烟风口与进风亭风口以及排烟风口与出入口地面亭以及安全疏散口的门窗洞口的距离应符合本规范第9.8.7条的规定。风亭与相邻建筑结合时，风井与相邻建筑的防火分隔以及风口与相邻建筑门窗洞口的防火间距等应符合本规范第9.8.8条的规定。</w:t>
      </w:r>
    </w:p>
    <w:p w14:paraId="37B757A4">
      <w:pPr>
        <w:numPr>
          <w:ilvl w:val="2"/>
          <w:numId w:val="1"/>
        </w:numPr>
        <w:tabs>
          <w:tab w:val="left" w:pos="709"/>
          <w:tab w:val="left" w:pos="794"/>
          <w:tab w:val="left" w:pos="935"/>
          <w:tab w:val="left" w:pos="1502"/>
        </w:tabs>
        <w:outlineLvl w:val="2"/>
        <w:rPr>
          <w:bCs/>
        </w:rPr>
      </w:pPr>
      <w:r>
        <w:rPr>
          <w:rFonts w:hint="eastAsia"/>
          <w:bCs/>
        </w:rPr>
        <w:t>控制中心建筑宜独立修建，不得与商业、娱乐等人员密集的建筑混建，并应避开易燃、易爆场所。与其他建筑合建时，应设置独立的安全出口，各层平面与合建的建筑应用防火墙分隔成独立的防火分区，防火墙上不得开设门窗洞口。</w:t>
      </w:r>
    </w:p>
    <w:p w14:paraId="0FAA104A"/>
    <w:p w14:paraId="0A3F94F8">
      <w:pPr>
        <w:spacing w:before="72" w:after="72" w:line="240" w:lineRule="auto"/>
        <w:ind w:left="438"/>
        <w:jc w:val="center"/>
        <w:outlineLvl w:val="3"/>
        <w:rPr>
          <w:rFonts w:eastAsia="黑体"/>
        </w:rPr>
      </w:pPr>
      <w:r>
        <w:rPr>
          <w:rFonts w:hint="eastAsia" w:eastAsia="黑体"/>
        </w:rPr>
        <w:t xml:space="preserve">II </w:t>
      </w:r>
      <w:r>
        <w:rPr>
          <w:rFonts w:eastAsia="黑体"/>
        </w:rPr>
        <w:t xml:space="preserve"> </w:t>
      </w:r>
      <w:r>
        <w:rPr>
          <w:rFonts w:hint="eastAsia" w:eastAsia="黑体"/>
        </w:rPr>
        <w:t>平面布置与防火分隔</w:t>
      </w:r>
    </w:p>
    <w:p w14:paraId="44429668">
      <w:pPr>
        <w:pStyle w:val="5"/>
      </w:pPr>
      <w:r>
        <w:rPr>
          <w:rFonts w:hint="eastAsia"/>
        </w:rPr>
        <w:t>车站站台和站厅公共区可划分为一个防火分区，</w:t>
      </w:r>
      <w:bookmarkStart w:id="2099" w:name="_Hlk94615716"/>
      <w:r>
        <w:rPr>
          <w:rFonts w:hint="eastAsia"/>
        </w:rPr>
        <w:t>单线车站站厅公共区防火分区建筑面积可不控制；当两线或两线以上换乘车站的站厅公共区不符合</w:t>
      </w:r>
      <w:bookmarkStart w:id="2100" w:name="_Hlk94615680"/>
      <w:r>
        <w:rPr>
          <w:rFonts w:hint="eastAsia"/>
        </w:rPr>
        <w:t>现行国家标准《建筑设计防火规范》</w:t>
      </w:r>
      <w:r>
        <w:t>GB 50016</w:t>
      </w:r>
      <w:r>
        <w:rPr>
          <w:rFonts w:hint="eastAsia"/>
        </w:rPr>
        <w:t>和《建筑防烟排烟系统技术标准》</w:t>
      </w:r>
      <w:r>
        <w:t>GB 51251</w:t>
      </w:r>
      <w:bookmarkEnd w:id="2100"/>
      <w:r>
        <w:rPr>
          <w:rFonts w:hint="eastAsia"/>
        </w:rPr>
        <w:t>等规定的自然通风和自然排烟条件时，</w:t>
      </w:r>
      <w:bookmarkEnd w:id="2099"/>
      <w:r>
        <w:rPr>
          <w:rFonts w:hint="eastAsia"/>
        </w:rPr>
        <w:t>其最大允许建筑面积不宜大于</w:t>
      </w:r>
      <w:r>
        <w:t>5000m</w:t>
      </w:r>
      <w:r>
        <w:rPr>
          <w:vertAlign w:val="superscript"/>
        </w:rPr>
        <w:t>2</w:t>
      </w:r>
      <w:r>
        <w:rPr>
          <w:rFonts w:hint="eastAsia"/>
        </w:rPr>
        <w:t>，超过时应符合以下规定：</w:t>
      </w:r>
    </w:p>
    <w:p w14:paraId="4990E2FB">
      <w:pPr>
        <w:pStyle w:val="7"/>
        <w:ind w:firstLine="420"/>
        <w:rPr>
          <w:szCs w:val="18"/>
        </w:rPr>
      </w:pPr>
      <w:r>
        <w:rPr>
          <w:rFonts w:hint="eastAsia"/>
        </w:rPr>
        <w:t>站厅公共区内不宜</w:t>
      </w:r>
      <w:r>
        <w:rPr>
          <w:rFonts w:hint="eastAsia"/>
          <w:lang w:bidi="ar"/>
        </w:rPr>
        <w:t>布置</w:t>
      </w:r>
      <w:r>
        <w:rPr>
          <w:rFonts w:hint="eastAsia"/>
        </w:rPr>
        <w:t>商业，</w:t>
      </w:r>
      <w:r>
        <w:rPr>
          <w:rFonts w:hint="eastAsia"/>
          <w:lang w:bidi="ar"/>
        </w:rPr>
        <w:t>确需布置时，商业设施的设置应符合本规范第29.2.20条的规定。</w:t>
      </w:r>
    </w:p>
    <w:p w14:paraId="566090CC">
      <w:pPr>
        <w:pStyle w:val="7"/>
        <w:ind w:firstLine="420"/>
      </w:pPr>
      <w:r>
        <w:rPr>
          <w:rFonts w:hint="eastAsia"/>
        </w:rPr>
        <w:t>站厅公共区应采取耐火极限不低于3</w:t>
      </w:r>
      <w:r>
        <w:t>.00h</w:t>
      </w:r>
      <w:r>
        <w:rPr>
          <w:rFonts w:hint="eastAsia"/>
        </w:rPr>
        <w:t>的防火隔墙或防火卷帘进行防火分隔，防火卷帘和防火隔墙的比例可不受限制；当确难以采用防火墙或防火卷帘等措施进行防火分隔且需分隔部位有效净高不小于3.5m、有效蓄烟高度不低于1.5m时，可采用宽度不应小于</w:t>
      </w:r>
      <w:r>
        <w:t>6m</w:t>
      </w:r>
      <w:r>
        <w:rPr>
          <w:rFonts w:hint="eastAsia"/>
        </w:rPr>
        <w:t>的防火隔离带，防火隔离带内不应布置任何物体，地面上应设置明显的标示标志，并按照《站城一体化工程消防安全技术规范》DB11/1889的有关规定针对防火分隔、安全疏散和消防设施采取加强措施。</w:t>
      </w:r>
    </w:p>
    <w:p w14:paraId="519FC53D">
      <w:pPr>
        <w:pStyle w:val="7"/>
        <w:ind w:firstLine="420"/>
      </w:pPr>
      <w:r>
        <w:rPr>
          <w:rFonts w:hint="eastAsia"/>
        </w:rPr>
        <w:t>每个防火分隔区内任意一点到安全出口的最大距离及安全出口数量等应符合本规范第</w:t>
      </w:r>
      <w:r>
        <w:t>2</w:t>
      </w:r>
      <w:r>
        <w:rPr>
          <w:rFonts w:hint="eastAsia"/>
        </w:rPr>
        <w:t>9</w:t>
      </w:r>
      <w:r>
        <w:t>.2.</w:t>
      </w:r>
      <w:r>
        <w:rPr>
          <w:rFonts w:hint="eastAsia"/>
        </w:rPr>
        <w:t>3</w:t>
      </w:r>
      <w:r>
        <w:t>4</w:t>
      </w:r>
      <w:r>
        <w:rPr>
          <w:rFonts w:hint="eastAsia"/>
        </w:rPr>
        <w:t>条的有关规定。</w:t>
      </w:r>
    </w:p>
    <w:p w14:paraId="795E9AE9">
      <w:pPr>
        <w:pStyle w:val="7"/>
        <w:ind w:firstLine="420"/>
      </w:pPr>
      <w:r>
        <w:rPr>
          <w:rFonts w:hint="eastAsia"/>
        </w:rPr>
        <w:t>站厅应采用镂空率大于</w:t>
      </w:r>
      <w:r>
        <w:t>30%</w:t>
      </w:r>
      <w:r>
        <w:rPr>
          <w:rFonts w:hint="eastAsia"/>
        </w:rPr>
        <w:t>的吊顶。</w:t>
      </w:r>
    </w:p>
    <w:p w14:paraId="3D69D01C">
      <w:pPr>
        <w:numPr>
          <w:ilvl w:val="2"/>
          <w:numId w:val="1"/>
        </w:numPr>
        <w:tabs>
          <w:tab w:val="left" w:pos="709"/>
          <w:tab w:val="left" w:pos="794"/>
          <w:tab w:val="left" w:pos="935"/>
          <w:tab w:val="left" w:pos="1502"/>
        </w:tabs>
        <w:outlineLvl w:val="2"/>
        <w:rPr>
          <w:bCs/>
        </w:rPr>
      </w:pPr>
      <w:r>
        <w:rPr>
          <w:rFonts w:hint="eastAsia" w:ascii="Arial" w:hAnsi="Arial" w:cs="Arial"/>
          <w:bCs/>
        </w:rPr>
        <w:t>站</w:t>
      </w:r>
      <w:r>
        <w:rPr>
          <w:rFonts w:hint="eastAsia"/>
          <w:bCs/>
        </w:rPr>
        <w:t>台设于站厅下面的地上车站且站台层不具备自然排烟条件时，站台和站厅应划分成不同的防火分区。</w:t>
      </w:r>
    </w:p>
    <w:p w14:paraId="1F619891">
      <w:pPr>
        <w:numPr>
          <w:ilvl w:val="2"/>
          <w:numId w:val="1"/>
        </w:numPr>
        <w:tabs>
          <w:tab w:val="left" w:pos="709"/>
          <w:tab w:val="left" w:pos="794"/>
          <w:tab w:val="left" w:pos="935"/>
          <w:tab w:val="left" w:pos="1502"/>
        </w:tabs>
        <w:outlineLvl w:val="2"/>
        <w:rPr>
          <w:bCs/>
        </w:rPr>
      </w:pPr>
      <w:r>
        <w:rPr>
          <w:rFonts w:hint="eastAsia"/>
          <w:bCs/>
        </w:rPr>
        <w:t>建筑高度不大于</w:t>
      </w:r>
      <w:r>
        <w:rPr>
          <w:bCs/>
        </w:rPr>
        <w:t>24m</w:t>
      </w:r>
      <w:r>
        <w:rPr>
          <w:rFonts w:hint="eastAsia"/>
          <w:bCs/>
        </w:rPr>
        <w:t>的地上车站，站厅公共区和站台层每个防火分区的最大允许建筑面积应符合下列规定：</w:t>
      </w:r>
    </w:p>
    <w:p w14:paraId="7E26B6B5">
      <w:pPr>
        <w:pStyle w:val="7"/>
        <w:ind w:firstLine="416"/>
      </w:pPr>
      <w:r>
        <w:rPr>
          <w:rFonts w:hint="eastAsia" w:ascii="Arial" w:hAnsi="Arial" w:cs="Arial"/>
          <w:spacing w:val="4"/>
          <w:sz w:val="20"/>
          <w:szCs w:val="20"/>
        </w:rPr>
        <w:t>当</w:t>
      </w:r>
      <w:r>
        <w:rPr>
          <w:rFonts w:hint="eastAsia"/>
        </w:rPr>
        <w:t>站厅公共区和站台层的自然排烟口净面积和设置要求符合本规范第</w:t>
      </w:r>
      <w:r>
        <w:t>2</w:t>
      </w:r>
      <w:r>
        <w:rPr>
          <w:rFonts w:hint="eastAsia"/>
        </w:rPr>
        <w:t>9</w:t>
      </w:r>
      <w:r>
        <w:t>.4.15</w:t>
      </w:r>
      <w:r>
        <w:rPr>
          <w:rFonts w:hint="eastAsia"/>
        </w:rPr>
        <w:t>条第</w:t>
      </w:r>
      <w:r>
        <w:t>1</w:t>
      </w:r>
      <w:r>
        <w:rPr>
          <w:rFonts w:hint="eastAsia"/>
        </w:rPr>
        <w:t>款和第</w:t>
      </w:r>
      <w:r>
        <w:t>2</w:t>
      </w:r>
      <w:r>
        <w:rPr>
          <w:rFonts w:hint="eastAsia"/>
        </w:rPr>
        <w:t>9</w:t>
      </w:r>
      <w:r>
        <w:t>.4.16</w:t>
      </w:r>
      <w:r>
        <w:rPr>
          <w:rFonts w:hint="eastAsia"/>
        </w:rPr>
        <w:t>条规定，公共区室内装修符合本规范第</w:t>
      </w:r>
      <w:r>
        <w:t>2</w:t>
      </w:r>
      <w:r>
        <w:rPr>
          <w:rFonts w:hint="eastAsia"/>
        </w:rPr>
        <w:t>9</w:t>
      </w:r>
      <w:r>
        <w:t>.2</w:t>
      </w:r>
      <w:r>
        <w:rPr>
          <w:rFonts w:hint="eastAsia"/>
        </w:rPr>
        <w:t>节第Ⅵ部分的有关规定时，站台设于站厅上面的地上车站，站厅公共区和站台层的防火分区建筑面积不宜大于</w:t>
      </w:r>
      <w:r>
        <w:t>10000m</w:t>
      </w:r>
      <w:r>
        <w:rPr>
          <w:vertAlign w:val="superscript"/>
        </w:rPr>
        <w:t>2</w:t>
      </w:r>
      <w:r>
        <w:rPr>
          <w:rFonts w:hint="eastAsia"/>
        </w:rPr>
        <w:t>，其中站厅公共区的建筑面积不宜大于</w:t>
      </w:r>
      <w:r>
        <w:t>5000m</w:t>
      </w:r>
      <w:r>
        <w:rPr>
          <w:vertAlign w:val="superscript"/>
        </w:rPr>
        <w:t>2</w:t>
      </w:r>
      <w:r>
        <w:rPr>
          <w:rFonts w:hint="eastAsia"/>
        </w:rPr>
        <w:t>。站台设于站厅下面的地上车站，站厅公共区或站台层每个防火分区的建筑面积不宜大于</w:t>
      </w:r>
      <w:r>
        <w:t>5000m</w:t>
      </w:r>
      <w:r>
        <w:rPr>
          <w:vertAlign w:val="superscript"/>
        </w:rPr>
        <w:t>2</w:t>
      </w:r>
      <w:r>
        <w:rPr>
          <w:rFonts w:hint="eastAsia"/>
        </w:rPr>
        <w:t>；</w:t>
      </w:r>
    </w:p>
    <w:p w14:paraId="2E3C3B43">
      <w:pPr>
        <w:pStyle w:val="7"/>
        <w:ind w:firstLine="420"/>
      </w:pPr>
      <w:r>
        <w:rPr>
          <w:rFonts w:hint="eastAsia"/>
        </w:rPr>
        <w:t>当站厅公共区和站台层外墙（屋顶）的敞开面积超过本层所在场所四周墙体总面积的</w:t>
      </w:r>
      <w:r>
        <w:t>25%</w:t>
      </w:r>
      <w:r>
        <w:rPr>
          <w:rFonts w:hint="eastAsia"/>
        </w:rPr>
        <w:t>、且自然排烟口与最不利排烟点的距离符合本规范第</w:t>
      </w:r>
      <w:r>
        <w:t>2</w:t>
      </w:r>
      <w:r>
        <w:rPr>
          <w:rFonts w:hint="eastAsia"/>
        </w:rPr>
        <w:t>9</w:t>
      </w:r>
      <w:r>
        <w:t>.4.16</w:t>
      </w:r>
      <w:r>
        <w:rPr>
          <w:rFonts w:hint="eastAsia"/>
        </w:rPr>
        <w:t>条规定时，每个防火分区的最大允许建筑面积可在本条第</w:t>
      </w:r>
      <w:r>
        <w:t>1</w:t>
      </w:r>
      <w:r>
        <w:rPr>
          <w:rFonts w:hint="eastAsia"/>
        </w:rPr>
        <w:t>款的基础上增加</w:t>
      </w:r>
      <w:r>
        <w:t>1</w:t>
      </w:r>
      <w:r>
        <w:rPr>
          <w:rFonts w:hint="eastAsia"/>
        </w:rPr>
        <w:t>倍。</w:t>
      </w:r>
    </w:p>
    <w:p w14:paraId="57BA3668">
      <w:pPr>
        <w:numPr>
          <w:ilvl w:val="2"/>
          <w:numId w:val="1"/>
        </w:numPr>
        <w:tabs>
          <w:tab w:val="left" w:pos="709"/>
          <w:tab w:val="left" w:pos="794"/>
          <w:tab w:val="left" w:pos="935"/>
          <w:tab w:val="left" w:pos="1502"/>
        </w:tabs>
        <w:outlineLvl w:val="2"/>
        <w:rPr>
          <w:bCs/>
        </w:rPr>
      </w:pPr>
      <w:r>
        <w:rPr>
          <w:rFonts w:hint="eastAsia"/>
          <w:bCs/>
        </w:rPr>
        <w:t>车站设备管理用房区应与公共区划分成不同的防火分区，其防火分区最大允许建筑面积应符合下列规定：</w:t>
      </w:r>
    </w:p>
    <w:p w14:paraId="1DC60F0C">
      <w:pPr>
        <w:pStyle w:val="7"/>
        <w:ind w:firstLine="420"/>
      </w:pPr>
      <w:r>
        <w:rPr>
          <w:rFonts w:hint="eastAsia"/>
        </w:rPr>
        <w:t>地下车站设备管理用房区每个防火分区的最大允许建筑面积不应大于</w:t>
      </w:r>
      <w:r>
        <w:t>1500m</w:t>
      </w:r>
      <w:r>
        <w:rPr>
          <w:vertAlign w:val="superscript"/>
        </w:rPr>
        <w:t>2</w:t>
      </w:r>
      <w:r>
        <w:rPr>
          <w:rFonts w:hint="eastAsia"/>
        </w:rPr>
        <w:t>；</w:t>
      </w:r>
    </w:p>
    <w:p w14:paraId="523BFBFA">
      <w:pPr>
        <w:pStyle w:val="7"/>
        <w:ind w:firstLine="420"/>
      </w:pPr>
      <w:r>
        <w:t xml:space="preserve"> </w:t>
      </w:r>
      <w:r>
        <w:rPr>
          <w:rFonts w:hint="eastAsia"/>
        </w:rPr>
        <w:t>建筑高度不大于</w:t>
      </w:r>
      <w:r>
        <w:t>24m</w:t>
      </w:r>
      <w:r>
        <w:rPr>
          <w:rFonts w:hint="eastAsia"/>
        </w:rPr>
        <w:t>的地上车站，设备管理用房区每个防火分区的最大允许建筑面积不应大于</w:t>
      </w:r>
      <w:r>
        <w:t>2500m</w:t>
      </w:r>
      <w:r>
        <w:rPr>
          <w:vertAlign w:val="superscript"/>
        </w:rPr>
        <w:t>2</w:t>
      </w:r>
      <w:r>
        <w:rPr>
          <w:rFonts w:hint="eastAsia"/>
        </w:rPr>
        <w:t>；建筑高度大于</w:t>
      </w:r>
      <w:r>
        <w:t>24m</w:t>
      </w:r>
      <w:r>
        <w:rPr>
          <w:rFonts w:hint="eastAsia"/>
        </w:rPr>
        <w:t>的地上车站，设备管理用房区每个防火分区的最大允许建筑面积不应大于</w:t>
      </w:r>
      <w:r>
        <w:t>1500m</w:t>
      </w:r>
      <w:r>
        <w:rPr>
          <w:vertAlign w:val="superscript"/>
        </w:rPr>
        <w:t>2</w:t>
      </w:r>
      <w:r>
        <w:rPr>
          <w:rFonts w:hint="eastAsia"/>
        </w:rPr>
        <w:t>；</w:t>
      </w:r>
    </w:p>
    <w:p w14:paraId="623E7DA2">
      <w:pPr>
        <w:pStyle w:val="7"/>
        <w:ind w:firstLine="420"/>
      </w:pPr>
      <w:r>
        <w:t>消防泵房、污水和废水泵房、厕所、盥洗、茶水间、清扫等房间和地下车站风道，其面积可不计入防火分区面积之内。</w:t>
      </w:r>
    </w:p>
    <w:p w14:paraId="1266AB90">
      <w:pPr>
        <w:numPr>
          <w:ilvl w:val="2"/>
          <w:numId w:val="1"/>
        </w:numPr>
        <w:tabs>
          <w:tab w:val="left" w:pos="709"/>
          <w:tab w:val="left" w:pos="794"/>
          <w:tab w:val="left" w:pos="935"/>
          <w:tab w:val="left" w:pos="1502"/>
        </w:tabs>
        <w:outlineLvl w:val="2"/>
        <w:rPr>
          <w:bCs/>
        </w:rPr>
      </w:pPr>
      <w:r>
        <w:rPr>
          <w:rFonts w:hint="eastAsia"/>
          <w:bCs/>
        </w:rPr>
        <w:t>地上车站设备管理用房设于地下时，防火分区、防烟分区、安全出口等要求应符合地下车站设备管理用房的有关规定。</w:t>
      </w:r>
    </w:p>
    <w:p w14:paraId="07D06285">
      <w:pPr>
        <w:numPr>
          <w:ilvl w:val="2"/>
          <w:numId w:val="1"/>
        </w:numPr>
        <w:tabs>
          <w:tab w:val="left" w:pos="794"/>
          <w:tab w:val="left" w:pos="851"/>
          <w:tab w:val="left" w:pos="935"/>
          <w:tab w:val="left" w:pos="1502"/>
        </w:tabs>
        <w:outlineLvl w:val="2"/>
      </w:pPr>
      <w:r>
        <w:rPr>
          <w:rFonts w:hint="eastAsia"/>
        </w:rPr>
        <w:t>车辆基地的厂房上部进行物业开发时，</w:t>
      </w:r>
      <w:r>
        <w:rPr>
          <w:rFonts w:hint="eastAsia"/>
          <w:bCs/>
        </w:rPr>
        <w:t>两者应划分成不同的防火分区。</w:t>
      </w:r>
    </w:p>
    <w:p w14:paraId="60604C6D">
      <w:pPr>
        <w:numPr>
          <w:ilvl w:val="2"/>
          <w:numId w:val="1"/>
        </w:numPr>
        <w:tabs>
          <w:tab w:val="left" w:pos="794"/>
          <w:tab w:val="left" w:pos="851"/>
          <w:tab w:val="left" w:pos="935"/>
          <w:tab w:val="left" w:pos="1502"/>
        </w:tabs>
        <w:outlineLvl w:val="2"/>
        <w:rPr>
          <w:bCs/>
        </w:rPr>
      </w:pPr>
      <w:r>
        <w:rPr>
          <w:rFonts w:hint="eastAsia"/>
          <w:bCs/>
        </w:rPr>
        <w:t>除本规范另有规定外，控制中心建筑以及车辆基地内各建筑的防火分区最大允许建筑面积应符合现行国家标准《建筑设计防火规范》</w:t>
      </w:r>
      <w:r>
        <w:rPr>
          <w:bCs/>
        </w:rPr>
        <w:t>GB 50016</w:t>
      </w:r>
      <w:r>
        <w:rPr>
          <w:rFonts w:hint="eastAsia"/>
          <w:bCs/>
        </w:rPr>
        <w:t>的有关规定。主变电所每个防火分区的最大允许建筑面积应符合现行国家标准《建筑设计防火规范》</w:t>
      </w:r>
      <w:r>
        <w:rPr>
          <w:bCs/>
        </w:rPr>
        <w:t>GB 50016</w:t>
      </w:r>
      <w:r>
        <w:rPr>
          <w:rFonts w:hint="eastAsia"/>
          <w:bCs/>
        </w:rPr>
        <w:t>及《火力发电厂与变电站设计防火规范》</w:t>
      </w:r>
      <w:r>
        <w:rPr>
          <w:bCs/>
        </w:rPr>
        <w:t>GB 50229</w:t>
      </w:r>
      <w:r>
        <w:rPr>
          <w:rFonts w:hint="eastAsia"/>
          <w:bCs/>
        </w:rPr>
        <w:t>的有关规定。</w:t>
      </w:r>
    </w:p>
    <w:p w14:paraId="6960CFB5">
      <w:pPr>
        <w:numPr>
          <w:ilvl w:val="2"/>
          <w:numId w:val="1"/>
        </w:numPr>
        <w:tabs>
          <w:tab w:val="left" w:pos="794"/>
          <w:tab w:val="left" w:pos="851"/>
          <w:tab w:val="left" w:pos="935"/>
          <w:tab w:val="left" w:pos="1502"/>
        </w:tabs>
        <w:outlineLvl w:val="2"/>
        <w:rPr>
          <w:bCs/>
        </w:rPr>
      </w:pPr>
      <w:r>
        <w:rPr>
          <w:rFonts w:hint="eastAsia"/>
          <w:bCs/>
        </w:rPr>
        <w:t>车站</w:t>
      </w:r>
      <w:r>
        <w:rPr>
          <w:rFonts w:hint="eastAsia"/>
        </w:rPr>
        <w:t>主体</w:t>
      </w:r>
      <w:r>
        <w:rPr>
          <w:rFonts w:hint="eastAsia"/>
          <w:bCs/>
        </w:rPr>
        <w:t>公共区的下列部位应进行防火分隔：</w:t>
      </w:r>
    </w:p>
    <w:p w14:paraId="420D31FD">
      <w:pPr>
        <w:pStyle w:val="7"/>
        <w:ind w:firstLine="420"/>
      </w:pPr>
      <w:r>
        <w:rPr>
          <w:rFonts w:hint="eastAsia"/>
        </w:rPr>
        <w:t>上下重叠平行站台的车站，下层站台穿越上层站台至站厅的楼梯或扶梯，应在上层站台楼梯或扶梯开口部位设置耐火极限不低于</w:t>
      </w:r>
      <w:r>
        <w:t>2.00h</w:t>
      </w:r>
      <w:r>
        <w:rPr>
          <w:rFonts w:hint="eastAsia"/>
        </w:rPr>
        <w:t>的防火隔墙；上、下层站台之间的联系楼梯或扶梯，除可在下层站台的楼梯或扶梯开口处人员上下通行的部位采用耐火极限不低于</w:t>
      </w:r>
      <w:r>
        <w:t>3.00h</w:t>
      </w:r>
      <w:r>
        <w:rPr>
          <w:rFonts w:hint="eastAsia"/>
        </w:rPr>
        <w:t>的防火卷帘等进行分隔外，其它非通行部位应设置耐火极限不低于</w:t>
      </w:r>
      <w:r>
        <w:t>2.00h</w:t>
      </w:r>
      <w:r>
        <w:rPr>
          <w:rFonts w:hint="eastAsia"/>
        </w:rPr>
        <w:t>的防火隔墙；</w:t>
      </w:r>
    </w:p>
    <w:p w14:paraId="0F438B95">
      <w:pPr>
        <w:pStyle w:val="7"/>
        <w:ind w:firstLine="420"/>
      </w:pPr>
      <w:r>
        <w:rPr>
          <w:rFonts w:hint="eastAsia"/>
        </w:rPr>
        <w:t>站厅层位于站台层下方时，除可在站厅至站台的楼梯或扶梯开口处人员上下通行的部位采用耐火等级不低于</w:t>
      </w:r>
      <w:r>
        <w:t>3.00h</w:t>
      </w:r>
      <w:r>
        <w:rPr>
          <w:rFonts w:hint="eastAsia"/>
        </w:rPr>
        <w:t>的防火卷帘等进行分隔外，其他非通行部位应设置耐火极限不低于</w:t>
      </w:r>
      <w:r>
        <w:t>2.00h</w:t>
      </w:r>
      <w:r>
        <w:rPr>
          <w:rFonts w:hint="eastAsia"/>
        </w:rPr>
        <w:t>的防火隔墙；</w:t>
      </w:r>
    </w:p>
    <w:p w14:paraId="2D4E9059">
      <w:pPr>
        <w:pStyle w:val="7"/>
        <w:ind w:firstLine="420"/>
      </w:pPr>
      <w:r>
        <w:rPr>
          <w:rFonts w:hint="eastAsia"/>
          <w:szCs w:val="18"/>
        </w:rPr>
        <w:t>端头</w:t>
      </w:r>
      <w:r>
        <w:rPr>
          <w:rFonts w:hint="eastAsia"/>
        </w:rPr>
        <w:t>厅形式的地下车站，除公共区楼扶梯开口处外，站厅与站台、站厅与轨道区的连通处应用耐火极限不低于2.00h的防火隔墙、防火卷帘等分隔；</w:t>
      </w:r>
    </w:p>
    <w:p w14:paraId="3A04692B">
      <w:pPr>
        <w:pStyle w:val="7"/>
        <w:ind w:firstLine="420"/>
      </w:pPr>
      <w:r>
        <w:rPr>
          <w:rFonts w:hint="eastAsia"/>
        </w:rPr>
        <w:t>侧式站台与同层站厅公共区可划为同一防火分区，但站台上任一点至车站直通地面的疏散通道口的最大距离不应大于</w:t>
      </w:r>
      <w:r>
        <w:t>50m</w:t>
      </w:r>
      <w:r>
        <w:rPr>
          <w:rFonts w:hint="eastAsia"/>
        </w:rPr>
        <w:t>，当大于</w:t>
      </w:r>
      <w:r>
        <w:t>50m</w:t>
      </w:r>
      <w:r>
        <w:rPr>
          <w:rFonts w:hint="eastAsia"/>
        </w:rPr>
        <w:t>时，应在与同层站厅的邻接面处或站厅的适当位置采用耐火极限不低于</w:t>
      </w:r>
      <w:r>
        <w:t>3.00h</w:t>
      </w:r>
      <w:r>
        <w:rPr>
          <w:rFonts w:hint="eastAsia"/>
        </w:rPr>
        <w:t>的防火隔墙或防火卷帘分隔，且防火分隔上的安全出口之间的净距不应小于</w:t>
      </w:r>
      <w:r>
        <w:t>10m</w:t>
      </w:r>
      <w:r>
        <w:rPr>
          <w:rFonts w:hint="eastAsia"/>
        </w:rPr>
        <w:t>，安全出口应设挡烟垂壁；</w:t>
      </w:r>
    </w:p>
    <w:p w14:paraId="5643715C">
      <w:pPr>
        <w:pStyle w:val="7"/>
        <w:ind w:firstLine="420"/>
      </w:pPr>
      <w:r>
        <w:rPr>
          <w:rFonts w:hint="eastAsia"/>
        </w:rPr>
        <w:t>地下车站站台位于站厅上面以及地上车站站台位于站厅下面且站台层不具备自然排烟条件时，除可在站台至站厅的楼梯或扶梯开口处人员上下通行的部位采用耐火极限不低于</w:t>
      </w:r>
      <w:r>
        <w:t>3.00h</w:t>
      </w:r>
      <w:r>
        <w:rPr>
          <w:rFonts w:hint="eastAsia"/>
        </w:rPr>
        <w:t>的防火卷帘、防火门等进行分隔外，其他非人员上下通行部位应采用耐火极限不低于</w:t>
      </w:r>
      <w:r>
        <w:t>2.00h</w:t>
      </w:r>
      <w:r>
        <w:rPr>
          <w:rFonts w:hint="eastAsia"/>
        </w:rPr>
        <w:t>的防火隔墙。</w:t>
      </w:r>
    </w:p>
    <w:p w14:paraId="7460AEFC">
      <w:pPr>
        <w:pStyle w:val="7"/>
        <w:ind w:firstLine="420"/>
      </w:pPr>
      <w:r>
        <w:rPr>
          <w:rFonts w:hint="eastAsia"/>
        </w:rPr>
        <w:t>车站公共区疏散楼扶梯穿越设备层或设备管理用房时，应在被穿越层楼扶梯四周的开口部位用耐火极限不低于</w:t>
      </w:r>
      <w:r>
        <w:t>3.00h</w:t>
      </w:r>
      <w:r>
        <w:rPr>
          <w:rFonts w:hint="eastAsia"/>
        </w:rPr>
        <w:t>的防火墙与其他部位分隔，防火墙上不得可设门窗洞口。</w:t>
      </w:r>
    </w:p>
    <w:p w14:paraId="3C25EE36">
      <w:pPr>
        <w:pStyle w:val="7"/>
        <w:ind w:firstLine="420"/>
      </w:pPr>
      <w:r>
        <w:rPr>
          <w:rFonts w:hint="eastAsia"/>
        </w:rPr>
        <w:t>设在车站公共区吊顶内的自动扶梯穿越楼板的下底坑，应用耐火极限不低于</w:t>
      </w:r>
      <w:r>
        <w:t>1.50h</w:t>
      </w:r>
      <w:r>
        <w:rPr>
          <w:rFonts w:hint="eastAsia"/>
        </w:rPr>
        <w:t>的楼板与其他部位分隔，机械传动部分等应用耐火极限不低于</w:t>
      </w:r>
      <w:r>
        <w:t>1.00h</w:t>
      </w:r>
      <w:r>
        <w:rPr>
          <w:rFonts w:hint="eastAsia"/>
        </w:rPr>
        <w:t>的不燃材料包裹与其他部位分隔。车站公共区自动扶梯下设房间时，房间应用耐火极限不低于</w:t>
      </w:r>
      <w:r>
        <w:t>2.00h</w:t>
      </w:r>
      <w:r>
        <w:rPr>
          <w:rFonts w:hint="eastAsia"/>
        </w:rPr>
        <w:t>的防火隔墙和不低于</w:t>
      </w:r>
      <w:r>
        <w:t>1.50h</w:t>
      </w:r>
      <w:r>
        <w:rPr>
          <w:rFonts w:hint="eastAsia"/>
        </w:rPr>
        <w:t>的楼板与扶梯及其他部位分隔，开向公共区的门应采用甲级防火门。</w:t>
      </w:r>
    </w:p>
    <w:p w14:paraId="1630606A">
      <w:pPr>
        <w:pStyle w:val="7"/>
        <w:ind w:firstLine="420"/>
      </w:pPr>
      <w:r>
        <w:rPr>
          <w:rFonts w:hint="eastAsia"/>
        </w:rPr>
        <w:t>地下车站站厅公共区内布置设备管理用房时，应用防火墙与公共区分隔，房间开向公共区的门窗，应设常闭的甲级防火门和固定式甲级防火窗。</w:t>
      </w:r>
    </w:p>
    <w:p w14:paraId="58EF9155">
      <w:pPr>
        <w:pStyle w:val="7"/>
        <w:ind w:firstLine="420"/>
        <w:rPr>
          <w:szCs w:val="18"/>
        </w:rPr>
      </w:pPr>
      <w:r>
        <w:rPr>
          <w:rFonts w:hint="eastAsia"/>
          <w:szCs w:val="18"/>
        </w:rPr>
        <w:t>除本规范另有规定外，车站公共区需进行防火分隔的楼扶梯四周的开口部位，应用耐火极限不低于</w:t>
      </w:r>
      <w:r>
        <w:rPr>
          <w:szCs w:val="18"/>
        </w:rPr>
        <w:t>2.00h</w:t>
      </w:r>
      <w:r>
        <w:rPr>
          <w:rFonts w:hint="eastAsia"/>
          <w:szCs w:val="18"/>
        </w:rPr>
        <w:t>的防火隔墙或防火卷帘与其他部位分隔，楼扶梯口应设防火卷帘。</w:t>
      </w:r>
    </w:p>
    <w:p w14:paraId="79A74703">
      <w:pPr>
        <w:numPr>
          <w:ilvl w:val="2"/>
          <w:numId w:val="1"/>
        </w:numPr>
        <w:tabs>
          <w:tab w:val="left" w:pos="794"/>
          <w:tab w:val="left" w:pos="851"/>
          <w:tab w:val="left" w:pos="935"/>
          <w:tab w:val="left" w:pos="1502"/>
        </w:tabs>
        <w:outlineLvl w:val="2"/>
        <w:rPr>
          <w:bCs/>
        </w:rPr>
      </w:pPr>
      <w:r>
        <w:rPr>
          <w:rFonts w:hint="eastAsia"/>
          <w:bCs/>
        </w:rPr>
        <w:t>车站附属公共区的下列部位应进行防火分隔：</w:t>
      </w:r>
    </w:p>
    <w:p w14:paraId="215C35D4">
      <w:pPr>
        <w:pStyle w:val="7"/>
        <w:ind w:firstLine="420"/>
      </w:pPr>
      <w:r>
        <w:rPr>
          <w:rFonts w:hint="eastAsia"/>
        </w:rPr>
        <w:t>除卫生间、清扫间、母婴室、污水泵房等有水房间及因消防需求设置在出入口通道的排烟机房和加压送风机房等房间外，车站出入口通道内部不应设置与安全疏散无关的房间及开口；</w:t>
      </w:r>
    </w:p>
    <w:p w14:paraId="6989C3AE">
      <w:pPr>
        <w:pStyle w:val="7"/>
        <w:ind w:firstLine="420"/>
      </w:pPr>
      <w:r>
        <w:rPr>
          <w:rFonts w:hint="eastAsia"/>
        </w:rPr>
        <w:t>高架车站的出入口天桥与相邻建筑物连接的门洞处，宜设防止火势蔓延的分隔设施；</w:t>
      </w:r>
    </w:p>
    <w:p w14:paraId="6524D6DB">
      <w:pPr>
        <w:pStyle w:val="7"/>
        <w:ind w:firstLine="420"/>
        <w:rPr>
          <w:rFonts w:ascii="Arial" w:hAnsi="Arial" w:cs="Arial"/>
          <w:spacing w:val="4"/>
          <w:sz w:val="20"/>
          <w:szCs w:val="20"/>
        </w:rPr>
      </w:pPr>
      <w:r>
        <w:rPr>
          <w:rFonts w:hint="eastAsia"/>
        </w:rPr>
        <w:t>地下、半地下车站出入口与相邻建筑合建时，车站出入口通道和楼梯间应与相邻建筑的地下室及首层用耐火极限不低于3.00h的防火墙和不低于1.50h的楼板与相邻建筑分隔并直通室外。</w:t>
      </w:r>
    </w:p>
    <w:p w14:paraId="515377EF">
      <w:pPr>
        <w:numPr>
          <w:ilvl w:val="2"/>
          <w:numId w:val="1"/>
        </w:numPr>
        <w:tabs>
          <w:tab w:val="left" w:pos="794"/>
          <w:tab w:val="left" w:pos="851"/>
          <w:tab w:val="left" w:pos="935"/>
          <w:tab w:val="left" w:pos="1502"/>
        </w:tabs>
        <w:outlineLvl w:val="2"/>
        <w:rPr>
          <w:bCs/>
        </w:rPr>
      </w:pPr>
      <w:r>
        <w:rPr>
          <w:rFonts w:hint="eastAsia"/>
          <w:bCs/>
        </w:rPr>
        <w:t>地下车站设备管理用房内的风道</w:t>
      </w:r>
      <w:r>
        <w:rPr>
          <w:rFonts w:hint="eastAsia"/>
          <w:szCs w:val="18"/>
        </w:rPr>
        <w:t>与其他设备房间应</w:t>
      </w:r>
      <w:r>
        <w:rPr>
          <w:rFonts w:hint="eastAsia"/>
          <w:bCs/>
        </w:rPr>
        <w:t>采用耐火极限</w:t>
      </w:r>
      <w:r>
        <w:rPr>
          <w:rFonts w:hint="eastAsia"/>
          <w:szCs w:val="18"/>
        </w:rPr>
        <w:t>不低于3.00h的防火墙分隔</w:t>
      </w:r>
      <w:r>
        <w:rPr>
          <w:rFonts w:hint="eastAsia"/>
          <w:bCs/>
        </w:rPr>
        <w:t>，车站控制室、变电所、配电室、通信及信号机房、固定灭火装置设备室、消防水泵房、废水泵房、通风机房、环控电控室、站台屏蔽门设备室、蓄电池室等火灾时需运作的房间应采用耐火极限</w:t>
      </w:r>
      <w:r>
        <w:rPr>
          <w:rFonts w:hint="eastAsia"/>
          <w:szCs w:val="18"/>
        </w:rPr>
        <w:t>不低于2.00h的防火隔墙分隔。</w:t>
      </w:r>
    </w:p>
    <w:p w14:paraId="0A2CE6A4">
      <w:pPr>
        <w:numPr>
          <w:ilvl w:val="2"/>
          <w:numId w:val="1"/>
        </w:numPr>
        <w:tabs>
          <w:tab w:val="left" w:pos="794"/>
          <w:tab w:val="left" w:pos="851"/>
          <w:tab w:val="left" w:pos="935"/>
          <w:tab w:val="left" w:pos="1502"/>
        </w:tabs>
        <w:outlineLvl w:val="2"/>
        <w:rPr>
          <w:bCs/>
        </w:rPr>
      </w:pPr>
      <w:r>
        <w:rPr>
          <w:rFonts w:hint="eastAsia"/>
          <w:bCs/>
        </w:rPr>
        <w:t>地下车站站台端部和配线区以及外挂设备管理用房应与站台公共区和轨道区进行防火分隔，并应符合下列规定：</w:t>
      </w:r>
    </w:p>
    <w:p w14:paraId="7798DABF">
      <w:pPr>
        <w:pStyle w:val="7"/>
        <w:ind w:firstLine="420"/>
      </w:pPr>
      <w:r>
        <w:rPr>
          <w:rFonts w:hint="eastAsia"/>
        </w:rPr>
        <w:t>在与站台公共区或轨道区分隔的防火墙上设置的门应为常闭的甲级防火门，并符合本规范第29.2.67条的有关规定；</w:t>
      </w:r>
    </w:p>
    <w:p w14:paraId="3E0CC1EE">
      <w:pPr>
        <w:pStyle w:val="7"/>
        <w:ind w:firstLine="420"/>
      </w:pPr>
      <w:r>
        <w:rPr>
          <w:rFonts w:hint="eastAsia"/>
        </w:rPr>
        <w:t>站台和站台屏蔽门端门以外的同层空间不应设置火灾危险性为甲、乙、丙类的库房，以及与车站无关的商业、库房等用房。当设置商业设备用房时，应用耐火极限不低于3.00h的防火墙与轨道区分隔，防火墙上不得开设门窗洞口。</w:t>
      </w:r>
    </w:p>
    <w:p w14:paraId="0A789AB6">
      <w:pPr>
        <w:numPr>
          <w:ilvl w:val="2"/>
          <w:numId w:val="1"/>
        </w:numPr>
        <w:tabs>
          <w:tab w:val="left" w:pos="794"/>
          <w:tab w:val="left" w:pos="851"/>
          <w:tab w:val="left" w:pos="935"/>
          <w:tab w:val="left" w:pos="1502"/>
        </w:tabs>
        <w:outlineLvl w:val="2"/>
        <w:rPr>
          <w:bCs/>
        </w:rPr>
      </w:pPr>
      <w:r>
        <w:rPr>
          <w:rFonts w:hint="eastAsia"/>
        </w:rPr>
        <w:t>车站综合控制室的设置应满足消防控制室的使用要求，房间的外开门扇开足时，走道净宽不应小于</w:t>
      </w:r>
      <w:r>
        <w:t>1.1m</w:t>
      </w:r>
      <w:r>
        <w:rPr>
          <w:rFonts w:hint="eastAsia"/>
        </w:rPr>
        <w:t>。</w:t>
      </w:r>
    </w:p>
    <w:p w14:paraId="4FD3E406">
      <w:pPr>
        <w:numPr>
          <w:ilvl w:val="2"/>
          <w:numId w:val="1"/>
        </w:numPr>
        <w:tabs>
          <w:tab w:val="left" w:pos="794"/>
          <w:tab w:val="left" w:pos="851"/>
          <w:tab w:val="left" w:pos="935"/>
          <w:tab w:val="left" w:pos="1502"/>
        </w:tabs>
        <w:outlineLvl w:val="2"/>
        <w:rPr>
          <w:bCs/>
          <w:szCs w:val="18"/>
        </w:rPr>
      </w:pPr>
      <w:r>
        <w:rPr>
          <w:rFonts w:hint="eastAsia"/>
          <w:bCs/>
        </w:rPr>
        <w:t>地下车站的消防泵房应设在站厅层设备管理用房有人区内的消防专用通道附近。地上车站的消防泵房设置要求应符合现行国家标准《建筑设计防火规范》</w:t>
      </w:r>
      <w:r>
        <w:rPr>
          <w:bCs/>
        </w:rPr>
        <w:t>GB 50016</w:t>
      </w:r>
      <w:r>
        <w:rPr>
          <w:rFonts w:hint="eastAsia"/>
          <w:bCs/>
        </w:rPr>
        <w:t>的有关规定。</w:t>
      </w:r>
    </w:p>
    <w:p w14:paraId="0EDFA4F5">
      <w:pPr>
        <w:numPr>
          <w:ilvl w:val="2"/>
          <w:numId w:val="1"/>
        </w:numPr>
        <w:tabs>
          <w:tab w:val="left" w:pos="794"/>
          <w:tab w:val="left" w:pos="851"/>
          <w:tab w:val="left" w:pos="935"/>
          <w:tab w:val="left" w:pos="1502"/>
        </w:tabs>
        <w:outlineLvl w:val="2"/>
        <w:rPr>
          <w:bCs/>
        </w:rPr>
      </w:pPr>
      <w:r>
        <w:rPr>
          <w:rFonts w:hint="eastAsia"/>
          <w:bCs/>
        </w:rPr>
        <w:t>地下</w:t>
      </w:r>
      <w:r>
        <w:rPr>
          <w:rFonts w:hint="eastAsia"/>
        </w:rPr>
        <w:t>换乘</w:t>
      </w:r>
      <w:r>
        <w:rPr>
          <w:rFonts w:hint="eastAsia"/>
          <w:bCs/>
        </w:rPr>
        <w:t>车站应根据不同的换乘方式对换乘楼扶梯四周的开口部位和通道口进行防火分隔，并应符合下列规定：</w:t>
      </w:r>
    </w:p>
    <w:p w14:paraId="34C7F843">
      <w:pPr>
        <w:pStyle w:val="7"/>
        <w:ind w:firstLine="420"/>
      </w:pPr>
      <w:r>
        <w:rPr>
          <w:rFonts w:hint="eastAsia"/>
        </w:rPr>
        <w:t>T字型、十字型、L型等节点换乘车站，除可在下层站台的通道、楼梯或扶梯口处人员上下通行的部位采用耐火极限不低于3.00h的防火卷帘等进行分隔外，其他非人员上下通行的部位应设置耐火极限不低于2.00h的防火隔墙；</w:t>
      </w:r>
    </w:p>
    <w:p w14:paraId="768BF116">
      <w:pPr>
        <w:pStyle w:val="7"/>
        <w:ind w:firstLine="420"/>
      </w:pPr>
      <w:r>
        <w:rPr>
          <w:rFonts w:hint="eastAsia"/>
        </w:rPr>
        <w:t>多线同站台平行换乘以及同层多条并列线路站厅换乘的车站在站台的不同线路之间，应设置耐火极限不低于2.00h的纵向防火隔墙，该防火隔墙应延伸至站台有效长度外不小于10m；</w:t>
      </w:r>
    </w:p>
    <w:p w14:paraId="71ACD585">
      <w:pPr>
        <w:pStyle w:val="7"/>
        <w:ind w:firstLine="420"/>
      </w:pPr>
      <w:r>
        <w:rPr>
          <w:rFonts w:hint="eastAsia"/>
        </w:rPr>
        <w:t>通道换乘车站的站间换乘通道在防火分隔处应设置耐火极限不低于2.00h的防火隔墙、防火卷帘或防火门等进行分隔。</w:t>
      </w:r>
    </w:p>
    <w:p w14:paraId="0E884B53">
      <w:pPr>
        <w:numPr>
          <w:ilvl w:val="2"/>
          <w:numId w:val="1"/>
        </w:numPr>
        <w:tabs>
          <w:tab w:val="left" w:pos="794"/>
          <w:tab w:val="left" w:pos="851"/>
          <w:tab w:val="left" w:pos="935"/>
          <w:tab w:val="left" w:pos="1502"/>
        </w:tabs>
        <w:outlineLvl w:val="2"/>
        <w:rPr>
          <w:bCs/>
        </w:rPr>
      </w:pPr>
      <w:r>
        <w:rPr>
          <w:rFonts w:hint="eastAsia"/>
          <w:bCs/>
        </w:rPr>
        <w:t>车站内的商业开发以及与地下商业等非地铁功能的场所相邻的车站应符合下列规定：</w:t>
      </w:r>
    </w:p>
    <w:p w14:paraId="1DBE7A4F">
      <w:pPr>
        <w:numPr>
          <w:ilvl w:val="4"/>
          <w:numId w:val="1"/>
        </w:numPr>
        <w:tabs>
          <w:tab w:val="clear" w:pos="567"/>
        </w:tabs>
        <w:ind w:left="420"/>
        <w:jc w:val="left"/>
        <w:outlineLvl w:val="4"/>
        <w:rPr>
          <w:szCs w:val="18"/>
        </w:rPr>
      </w:pPr>
      <w:r>
        <w:rPr>
          <w:rFonts w:hint="eastAsia"/>
          <w:szCs w:val="18"/>
        </w:rPr>
        <w:t>车站内的商业不得设置在地下三层及以下楼层.</w:t>
      </w:r>
    </w:p>
    <w:p w14:paraId="2F66E34B">
      <w:pPr>
        <w:pStyle w:val="7"/>
        <w:ind w:firstLine="420"/>
      </w:pPr>
      <w:r>
        <w:rPr>
          <w:rFonts w:hint="eastAsia"/>
        </w:rPr>
        <w:t>商业等物业开发与站厅非付费区同层相接时应划分成不同的防火分区，两者之间宜采用通道连接的方式，通道口应设两道耐火极限不低于</w:t>
      </w:r>
      <w:r>
        <w:t>3.00h</w:t>
      </w:r>
      <w:r>
        <w:rPr>
          <w:rFonts w:hint="eastAsia"/>
        </w:rPr>
        <w:t>的防火卷帘，由轨道交通和物业开发分别控制。</w:t>
      </w:r>
    </w:p>
    <w:p w14:paraId="192A8FBC">
      <w:pPr>
        <w:pStyle w:val="7"/>
        <w:ind w:firstLine="420"/>
      </w:pPr>
      <w:r>
        <w:rPr>
          <w:rFonts w:hint="eastAsia"/>
        </w:rPr>
        <w:t>商业开发设在站厅非付费区上层或下层时，应分别在上、下层楼扶梯四周的开口部位用耐火极限不低于</w:t>
      </w:r>
      <w:r>
        <w:t>3.00h</w:t>
      </w:r>
      <w:r>
        <w:rPr>
          <w:rFonts w:hint="eastAsia"/>
        </w:rPr>
        <w:t>的防火墙分隔，楼扶梯口应设防火卷帘，由轨道交通和商业开发分别控制。自动扶梯设备穿过结构楼板的下底坑应用耐火极限不低于</w:t>
      </w:r>
      <w:r>
        <w:t>1.50h</w:t>
      </w:r>
      <w:r>
        <w:rPr>
          <w:rFonts w:hint="eastAsia"/>
        </w:rPr>
        <w:t>的楼板或不燃烧材料与车站其他部位分隔。</w:t>
      </w:r>
    </w:p>
    <w:p w14:paraId="10D8F0D2">
      <w:pPr>
        <w:pStyle w:val="7"/>
        <w:ind w:firstLine="420"/>
      </w:pPr>
      <w:r>
        <w:rPr>
          <w:rFonts w:hint="eastAsia"/>
        </w:rPr>
        <w:t>车站公共区疏散楼扶梯穿越商业等物业开发层时，应在被穿越层的楼扶梯四周开口部位用耐火极限不低于</w:t>
      </w:r>
      <w:r>
        <w:t>3.00h</w:t>
      </w:r>
      <w:r>
        <w:rPr>
          <w:rFonts w:hint="eastAsia"/>
        </w:rPr>
        <w:t>的防火墙与其他部位分隔，防火墙上不得开设门窗洞口；</w:t>
      </w:r>
    </w:p>
    <w:p w14:paraId="6D9B73BD">
      <w:pPr>
        <w:pStyle w:val="7"/>
        <w:ind w:firstLine="420"/>
      </w:pPr>
      <w:r>
        <w:rPr>
          <w:rFonts w:hint="eastAsia"/>
        </w:rPr>
        <w:t>地下车站站厅非付费区或出入口通道不应与超过</w:t>
      </w:r>
      <w:r>
        <w:t>20000</w:t>
      </w:r>
      <w:bookmarkStart w:id="2101" w:name="_Hlk175069873"/>
      <w:r>
        <w:t>m</w:t>
      </w:r>
      <w:r>
        <w:rPr>
          <w:vertAlign w:val="superscript"/>
        </w:rPr>
        <w:t>2</w:t>
      </w:r>
      <w:bookmarkEnd w:id="2101"/>
      <w:r>
        <w:rPr>
          <w:rFonts w:hint="eastAsia"/>
        </w:rPr>
        <w:t>的地下商业相连。无法避免时，连接口部应采取可靠的防火分隔措施，并应符合现行国家标准《地铁设计防火标准》</w:t>
      </w:r>
      <w:r>
        <w:t>GB 51298</w:t>
      </w:r>
      <w:r>
        <w:rPr>
          <w:rFonts w:hint="eastAsia"/>
        </w:rPr>
        <w:t>和《建筑设计防火规范》</w:t>
      </w:r>
      <w:r>
        <w:t>GB 50016</w:t>
      </w:r>
      <w:r>
        <w:rPr>
          <w:rFonts w:hint="eastAsia"/>
        </w:rPr>
        <w:t>的有关规定。</w:t>
      </w:r>
    </w:p>
    <w:p w14:paraId="7FB4167D">
      <w:pPr>
        <w:pStyle w:val="7"/>
        <w:ind w:firstLine="420"/>
        <w:rPr>
          <w:rFonts w:ascii="Arial" w:hAnsi="Arial" w:cs="Arial"/>
          <w:spacing w:val="4"/>
          <w:sz w:val="20"/>
          <w:szCs w:val="20"/>
        </w:rPr>
      </w:pPr>
      <w:r>
        <w:rPr>
          <w:rFonts w:hint="eastAsia" w:ascii="Arial" w:hAnsi="Arial" w:cs="Arial"/>
        </w:rPr>
        <w:t>位于车站主体范围内地下物业开发等非地铁空间的安全出口，当其设置在车站主体外侧并采用楼扶梯并列直达地面的地铁出入口布局模式时，可不计入其所属防火分区的建筑面积。</w:t>
      </w:r>
    </w:p>
    <w:p w14:paraId="3ACFAAED">
      <w:pPr>
        <w:pStyle w:val="7"/>
        <w:ind w:firstLine="420"/>
      </w:pPr>
      <w:r>
        <w:rPr>
          <w:rFonts w:hint="eastAsia"/>
        </w:rPr>
        <w:t>车站内的商业不得经营和储存火灾危险性为甲、乙类和丙类</w:t>
      </w:r>
      <w:r>
        <w:t>1</w:t>
      </w:r>
      <w:r>
        <w:rPr>
          <w:rFonts w:hint="eastAsia"/>
        </w:rPr>
        <w:t>项储存物品属性的商品。</w:t>
      </w:r>
    </w:p>
    <w:p w14:paraId="4BDD2721">
      <w:pPr>
        <w:pStyle w:val="7"/>
        <w:ind w:firstLine="420"/>
      </w:pPr>
      <w:r>
        <w:rPr>
          <w:rFonts w:hint="eastAsia"/>
        </w:rPr>
        <w:t>地下车站配线上层的商业开发区内设库房时，每个防火分区内的丙类</w:t>
      </w:r>
      <w:r>
        <w:t>2</w:t>
      </w:r>
      <w:r>
        <w:rPr>
          <w:rFonts w:hint="eastAsia"/>
        </w:rPr>
        <w:t>项库房最大允许建筑面积不应大于</w:t>
      </w:r>
      <w:r>
        <w:t>100</w:t>
      </w:r>
      <w:bookmarkStart w:id="2102" w:name="_Hlk175069989"/>
      <w:r>
        <w:t>m</w:t>
      </w:r>
      <w:r>
        <w:rPr>
          <w:vertAlign w:val="superscript"/>
        </w:rPr>
        <w:t>2</w:t>
      </w:r>
      <w:bookmarkEnd w:id="2102"/>
      <w:r>
        <w:rPr>
          <w:rFonts w:hint="eastAsia"/>
        </w:rPr>
        <w:t>，丁类物品库房的最大允许建筑面积不应大于</w:t>
      </w:r>
      <w:r>
        <w:t>200m</w:t>
      </w:r>
      <w:r>
        <w:rPr>
          <w:vertAlign w:val="superscript"/>
        </w:rPr>
        <w:t>2</w:t>
      </w:r>
      <w:r>
        <w:rPr>
          <w:rFonts w:hint="eastAsia"/>
        </w:rPr>
        <w:t>，并应用耐火极限不低于</w:t>
      </w:r>
      <w:r>
        <w:t>3.00h</w:t>
      </w:r>
      <w:r>
        <w:rPr>
          <w:rFonts w:hint="eastAsia"/>
        </w:rPr>
        <w:t>的防火墙和不低于</w:t>
      </w:r>
      <w:r>
        <w:t>2.00h</w:t>
      </w:r>
      <w:r>
        <w:rPr>
          <w:rFonts w:hint="eastAsia"/>
        </w:rPr>
        <w:t>的楼板与其他部位分隔，隔墙上的门应为常闭甲级防火门。</w:t>
      </w:r>
    </w:p>
    <w:p w14:paraId="7E32FF71">
      <w:pPr>
        <w:numPr>
          <w:ilvl w:val="2"/>
          <w:numId w:val="1"/>
        </w:numPr>
        <w:tabs>
          <w:tab w:val="left" w:pos="794"/>
          <w:tab w:val="left" w:pos="851"/>
          <w:tab w:val="left" w:pos="935"/>
          <w:tab w:val="left" w:pos="1502"/>
        </w:tabs>
        <w:outlineLvl w:val="2"/>
        <w:rPr>
          <w:bCs/>
        </w:rPr>
      </w:pPr>
      <w:r>
        <w:rPr>
          <w:rFonts w:hint="eastAsia"/>
          <w:bCs/>
        </w:rPr>
        <w:t>车站</w:t>
      </w:r>
      <w:r>
        <w:rPr>
          <w:rFonts w:hint="eastAsia"/>
        </w:rPr>
        <w:t>设置</w:t>
      </w:r>
      <w:r>
        <w:rPr>
          <w:rFonts w:hint="eastAsia"/>
          <w:bCs/>
        </w:rPr>
        <w:t>便民服务用房和设施应符合下列规定：</w:t>
      </w:r>
    </w:p>
    <w:p w14:paraId="057E85D2">
      <w:pPr>
        <w:pStyle w:val="7"/>
        <w:ind w:firstLine="420"/>
      </w:pPr>
      <w:r>
        <w:rPr>
          <w:rFonts w:hint="eastAsia"/>
        </w:rPr>
        <w:t>便民服务用房和设施可设置在站厅和换乘通道的非乘客疏散区；</w:t>
      </w:r>
    </w:p>
    <w:p w14:paraId="61E06ED4">
      <w:pPr>
        <w:pStyle w:val="7"/>
        <w:ind w:firstLine="420"/>
      </w:pPr>
      <w:r>
        <w:rPr>
          <w:rFonts w:hint="eastAsia"/>
        </w:rPr>
        <w:t>地下车站每个站厅便民用房的总建筑面积不应大于100㎡，单处商铺的建筑面积不应大于30㎡。地上车站每个站厅便民用房的总建筑面积不应大于200平米，连续布置的便民用房总建筑面积不应大于60㎡。</w:t>
      </w:r>
    </w:p>
    <w:p w14:paraId="7A0894ED">
      <w:pPr>
        <w:pStyle w:val="7"/>
        <w:ind w:firstLine="420"/>
      </w:pPr>
      <w:r>
        <w:rPr>
          <w:rFonts w:hint="eastAsia"/>
        </w:rPr>
        <w:t>车站小商铺与设备、管理用房区应用防火墙分隔，并应用耐火极限不低于2.00h的隔墙与非付费区的其它部位隔开，铺面开口处防火卷帘的耐火极限不应低于3.00h。地下车站小商铺应设火灾自动报警系统和灭火设施；</w:t>
      </w:r>
    </w:p>
    <w:p w14:paraId="3646471A">
      <w:pPr>
        <w:pStyle w:val="7"/>
        <w:ind w:firstLine="420"/>
      </w:pPr>
      <w:r>
        <w:rPr>
          <w:rFonts w:hint="eastAsia"/>
        </w:rPr>
        <w:t>小商铺经营物品的火灾危险性等级应符合本规范第29.2.26条第8款的规定；</w:t>
      </w:r>
    </w:p>
    <w:p w14:paraId="412285CA">
      <w:pPr>
        <w:numPr>
          <w:ilvl w:val="2"/>
          <w:numId w:val="1"/>
        </w:numPr>
        <w:tabs>
          <w:tab w:val="left" w:pos="794"/>
          <w:tab w:val="left" w:pos="851"/>
          <w:tab w:val="left" w:pos="935"/>
          <w:tab w:val="left" w:pos="1502"/>
        </w:tabs>
        <w:outlineLvl w:val="2"/>
        <w:rPr>
          <w:szCs w:val="18"/>
        </w:rPr>
      </w:pPr>
      <w:r>
        <w:rPr>
          <w:rFonts w:hint="eastAsia"/>
          <w:bCs/>
          <w:lang w:bidi="ar"/>
        </w:rPr>
        <w:t>轨道</w:t>
      </w:r>
      <w:r>
        <w:rPr>
          <w:rFonts w:hint="eastAsia"/>
        </w:rPr>
        <w:t>交通</w:t>
      </w:r>
      <w:r>
        <w:rPr>
          <w:rFonts w:hint="eastAsia"/>
          <w:bCs/>
          <w:lang w:bidi="ar"/>
        </w:rPr>
        <w:t>车站在站台与站厅之间设置楼梯、扶梯、中庭等上下楼层的连通口时，火灾时在该连通口处宜形成逆人员疏散方向且风速等于或大于1.5m/s 的气流。当不满足此要求时应符合</w:t>
      </w:r>
      <w:r>
        <w:rPr>
          <w:rFonts w:hint="eastAsia"/>
          <w:bCs/>
        </w:rPr>
        <w:t>现行地方标准《站城一体化工程消防安全技术标准》DB11/1889的有关规定。</w:t>
      </w:r>
      <w:r>
        <w:rPr>
          <w:rFonts w:ascii="Arial" w:hAnsi="Arial" w:cs="Arial"/>
          <w:spacing w:val="4"/>
          <w:sz w:val="20"/>
          <w:szCs w:val="20"/>
          <w:lang w:bidi="ar"/>
        </w:rPr>
        <w:t xml:space="preserve"> </w:t>
      </w:r>
      <w:r>
        <w:rPr>
          <w:rFonts w:hint="eastAsia"/>
          <w:szCs w:val="18"/>
          <w:lang w:bidi="ar"/>
        </w:rPr>
        <w:t xml:space="preserve"> </w:t>
      </w:r>
    </w:p>
    <w:p w14:paraId="64736BF3">
      <w:pPr>
        <w:numPr>
          <w:ilvl w:val="2"/>
          <w:numId w:val="1"/>
        </w:numPr>
        <w:tabs>
          <w:tab w:val="left" w:pos="794"/>
          <w:tab w:val="left" w:pos="851"/>
          <w:tab w:val="left" w:pos="935"/>
          <w:tab w:val="left" w:pos="1502"/>
        </w:tabs>
        <w:outlineLvl w:val="2"/>
        <w:rPr>
          <w:bCs/>
        </w:rPr>
      </w:pPr>
      <w:r>
        <w:rPr>
          <w:rFonts w:hint="eastAsia"/>
          <w:bCs/>
          <w:lang w:bidi="ar"/>
        </w:rPr>
        <w:t>站台轨行区与站厅连通的地下中庭式轨道交通车站采取的防火措施应符合</w:t>
      </w:r>
      <w:r>
        <w:rPr>
          <w:rFonts w:hint="eastAsia"/>
          <w:bCs/>
        </w:rPr>
        <w:t>现行地方标准《站城一体化工程消防安全技术标准》DB11/1889的有关规定。</w:t>
      </w:r>
      <w:r>
        <w:rPr>
          <w:bCs/>
          <w:lang w:bidi="ar"/>
        </w:rPr>
        <w:t xml:space="preserve"> </w:t>
      </w:r>
    </w:p>
    <w:p w14:paraId="3B0133C0">
      <w:pPr>
        <w:numPr>
          <w:ilvl w:val="2"/>
          <w:numId w:val="1"/>
        </w:numPr>
        <w:tabs>
          <w:tab w:val="left" w:pos="709"/>
          <w:tab w:val="left" w:pos="794"/>
          <w:tab w:val="left" w:pos="935"/>
          <w:tab w:val="left" w:pos="1502"/>
        </w:tabs>
        <w:outlineLvl w:val="2"/>
        <w:rPr>
          <w:bCs/>
          <w:lang w:bidi="ar"/>
        </w:rPr>
      </w:pPr>
      <w:r>
        <w:rPr>
          <w:rFonts w:hint="eastAsia"/>
          <w:bCs/>
          <w:lang w:bidi="ar"/>
        </w:rPr>
        <w:t>控制中心的中央控制室及设备用房应符合下列规定：</w:t>
      </w:r>
    </w:p>
    <w:p w14:paraId="382B2ADC">
      <w:pPr>
        <w:pStyle w:val="7"/>
        <w:ind w:firstLine="420"/>
        <w:rPr>
          <w:lang w:bidi="ar"/>
        </w:rPr>
      </w:pPr>
      <w:r>
        <w:rPr>
          <w:rFonts w:hint="eastAsia"/>
          <w:lang w:bidi="ar"/>
        </w:rPr>
        <w:t>中央控制室应远离高压配电室和电源室等火灾危险性大的房间，室内不得穿越与指挥调度无关的管线；</w:t>
      </w:r>
    </w:p>
    <w:p w14:paraId="6B181927">
      <w:pPr>
        <w:pStyle w:val="7"/>
        <w:ind w:firstLine="420"/>
        <w:rPr>
          <w:lang w:bidi="ar"/>
        </w:rPr>
      </w:pPr>
      <w:r>
        <w:rPr>
          <w:rFonts w:hint="eastAsia"/>
          <w:lang w:bidi="ar"/>
        </w:rPr>
        <w:t>中央控制室、</w:t>
      </w:r>
      <w:r>
        <w:rPr>
          <w:rFonts w:hint="eastAsia"/>
        </w:rPr>
        <w:t>应急指挥室、票务处理、票务储藏和发放以及系统设备用房和楼宇设备机房，</w:t>
      </w:r>
      <w:r>
        <w:rPr>
          <w:rFonts w:hint="eastAsia"/>
          <w:lang w:bidi="ar"/>
        </w:rPr>
        <w:t>应用耐火极限不低于2.00h的防火隔墙和1.50h的楼板与其他部位分隔；</w:t>
      </w:r>
    </w:p>
    <w:p w14:paraId="1689E834">
      <w:pPr>
        <w:pStyle w:val="7"/>
        <w:ind w:firstLine="420"/>
        <w:rPr>
          <w:lang w:bidi="ar"/>
        </w:rPr>
      </w:pPr>
      <w:r>
        <w:rPr>
          <w:rFonts w:hint="eastAsia"/>
          <w:lang w:bidi="ar"/>
        </w:rPr>
        <w:t>应急指挥室与中央控制室之间设置观察窗时，应用固定甲级防火窗分隔。</w:t>
      </w:r>
    </w:p>
    <w:p w14:paraId="439DD042">
      <w:pPr>
        <w:numPr>
          <w:ilvl w:val="2"/>
          <w:numId w:val="1"/>
        </w:numPr>
        <w:tabs>
          <w:tab w:val="left" w:pos="794"/>
          <w:tab w:val="left" w:pos="851"/>
          <w:tab w:val="left" w:pos="935"/>
          <w:tab w:val="left" w:pos="1502"/>
        </w:tabs>
        <w:outlineLvl w:val="2"/>
        <w:rPr>
          <w:bCs/>
          <w:lang w:bidi="ar"/>
        </w:rPr>
      </w:pPr>
      <w:r>
        <w:rPr>
          <w:rFonts w:hint="eastAsia"/>
          <w:bCs/>
          <w:lang w:bidi="ar"/>
        </w:rPr>
        <w:t>车辆基地的物资仓库、运用库和停车列检库内设置办公区、休息室、材料库等附属用房时，应符合现行国家标准《建筑设计防火规范》GB 50016的有关规定。</w:t>
      </w:r>
    </w:p>
    <w:p w14:paraId="184B44C1">
      <w:pPr>
        <w:numPr>
          <w:ilvl w:val="2"/>
          <w:numId w:val="1"/>
        </w:numPr>
        <w:tabs>
          <w:tab w:val="left" w:pos="794"/>
          <w:tab w:val="left" w:pos="851"/>
          <w:tab w:val="left" w:pos="935"/>
          <w:tab w:val="left" w:pos="1502"/>
        </w:tabs>
        <w:outlineLvl w:val="2"/>
        <w:rPr>
          <w:bCs/>
        </w:rPr>
      </w:pPr>
      <w:r>
        <w:rPr>
          <w:rFonts w:hint="eastAsia"/>
          <w:bCs/>
        </w:rPr>
        <w:t>车辆基地内的油漆库及其预处理库宜独立设置，其承重结构宜采用钢筋混凝土或钢框架、排架结构。当符合下列条件时，可设在单层检修厂房靠外墙一侧的泄压设施附近。</w:t>
      </w:r>
    </w:p>
    <w:p w14:paraId="1A994C40">
      <w:pPr>
        <w:pStyle w:val="7"/>
        <w:ind w:firstLine="420"/>
      </w:pPr>
      <w:r>
        <w:rPr>
          <w:rFonts w:hint="eastAsia"/>
        </w:rPr>
        <w:t>油漆库应用防火墙和甲级防火门与车库分隔，并应有直接对外的安全出口；</w:t>
      </w:r>
    </w:p>
    <w:p w14:paraId="060EE635">
      <w:pPr>
        <w:pStyle w:val="7"/>
        <w:ind w:firstLine="420"/>
      </w:pPr>
      <w:r>
        <w:rPr>
          <w:rFonts w:hint="eastAsia"/>
        </w:rPr>
        <w:t>油漆存放间、漆工间、干燥间等房间应采用防火墙和甲级防火门分隔；</w:t>
      </w:r>
    </w:p>
    <w:p w14:paraId="04A22027">
      <w:pPr>
        <w:pStyle w:val="7"/>
        <w:ind w:firstLine="420"/>
      </w:pPr>
      <w:r>
        <w:rPr>
          <w:rFonts w:hint="eastAsia"/>
        </w:rPr>
        <w:t>有爆炸危险的设备宜避开厂房的梁、柱等承重构件布置；</w:t>
      </w:r>
    </w:p>
    <w:p w14:paraId="5AB821AD">
      <w:pPr>
        <w:pStyle w:val="7"/>
        <w:ind w:firstLine="420"/>
      </w:pPr>
      <w:r>
        <w:rPr>
          <w:rFonts w:hint="eastAsia"/>
        </w:rPr>
        <w:t>库内不应设置办公室、休息室或更衣室等用房；</w:t>
      </w:r>
    </w:p>
    <w:p w14:paraId="64F0DBD0">
      <w:pPr>
        <w:pStyle w:val="7"/>
        <w:ind w:firstLine="420"/>
      </w:pPr>
      <w:r>
        <w:rPr>
          <w:rFonts w:hint="eastAsia"/>
        </w:rPr>
        <w:t>地面应采用不发火花的材料；</w:t>
      </w:r>
    </w:p>
    <w:p w14:paraId="072D9EF8">
      <w:pPr>
        <w:pStyle w:val="7"/>
        <w:ind w:firstLine="420"/>
      </w:pPr>
      <w:r>
        <w:rPr>
          <w:rFonts w:hint="eastAsia"/>
        </w:rPr>
        <w:t>库内设检修坑时，坑内应采取降低气雾浓度措施；</w:t>
      </w:r>
    </w:p>
    <w:p w14:paraId="7C3852DA">
      <w:pPr>
        <w:pStyle w:val="7"/>
        <w:ind w:firstLine="420"/>
      </w:pPr>
      <w:r>
        <w:rPr>
          <w:rFonts w:hint="eastAsia"/>
        </w:rPr>
        <w:t>上述房间应设置泄压设施，泄压面积和泄压设施以及其他防火、</w:t>
      </w:r>
      <w:r>
        <w:rPr>
          <w:rFonts w:hint="eastAsia" w:ascii="Arial" w:hAnsi="Arial" w:cs="Arial"/>
        </w:rPr>
        <w:t>防爆</w:t>
      </w:r>
      <w:r>
        <w:rPr>
          <w:rFonts w:hint="eastAsia"/>
        </w:rPr>
        <w:t>等要求应符合现行国家标准《建筑设计防火规范》</w:t>
      </w:r>
      <w:r>
        <w:t>GB 50016</w:t>
      </w:r>
      <w:r>
        <w:rPr>
          <w:rFonts w:hint="eastAsia"/>
        </w:rPr>
        <w:t>的有关规定。</w:t>
      </w:r>
    </w:p>
    <w:p w14:paraId="17CF6F55">
      <w:pPr>
        <w:numPr>
          <w:ilvl w:val="2"/>
          <w:numId w:val="1"/>
        </w:numPr>
        <w:tabs>
          <w:tab w:val="left" w:pos="794"/>
          <w:tab w:val="left" w:pos="851"/>
          <w:tab w:val="left" w:pos="935"/>
          <w:tab w:val="left" w:pos="1502"/>
        </w:tabs>
        <w:outlineLvl w:val="2"/>
        <w:rPr>
          <w:bCs/>
        </w:rPr>
      </w:pPr>
      <w:r>
        <w:rPr>
          <w:rFonts w:hint="eastAsia"/>
          <w:bCs/>
        </w:rPr>
        <w:t>车辆基地内的易燃品库、酸性蓄电池充电间应符合下列规定：</w:t>
      </w:r>
    </w:p>
    <w:p w14:paraId="0BEEC65B">
      <w:pPr>
        <w:pStyle w:val="7"/>
        <w:ind w:firstLine="420"/>
      </w:pPr>
      <w:r>
        <w:rPr>
          <w:rFonts w:hint="eastAsia"/>
        </w:rPr>
        <w:t>易燃品库应独立修建，并按不同火灾危险性等级分库存放；</w:t>
      </w:r>
    </w:p>
    <w:p w14:paraId="623C468E">
      <w:pPr>
        <w:pStyle w:val="7"/>
        <w:ind w:firstLine="420"/>
      </w:pPr>
      <w:r>
        <w:rPr>
          <w:rFonts w:hint="eastAsia"/>
        </w:rPr>
        <w:t>酸性蓄电池充电间应单独设置，当与其他建筑合建时，应靠外墙单层设置，并用防火墙与其它部位分隔。充电间与相邻的值班室、配电室之间不得开设门窗洞口，必须设置时，应采用甲级防火门、窗，并设独立的对外出口；</w:t>
      </w:r>
    </w:p>
    <w:p w14:paraId="3D6BA9F3">
      <w:pPr>
        <w:pStyle w:val="7"/>
        <w:ind w:firstLine="420"/>
      </w:pPr>
      <w:r>
        <w:rPr>
          <w:rFonts w:hint="eastAsia"/>
        </w:rPr>
        <w:t>防火、防爆等要求应符合现行国家标准《建筑设计防火规范》</w:t>
      </w:r>
      <w:r>
        <w:t>GB 50016</w:t>
      </w:r>
      <w:r>
        <w:rPr>
          <w:rFonts w:hint="eastAsia"/>
        </w:rPr>
        <w:t>的有关规定。</w:t>
      </w:r>
    </w:p>
    <w:p w14:paraId="6663AC7C">
      <w:pPr>
        <w:numPr>
          <w:ilvl w:val="2"/>
          <w:numId w:val="1"/>
        </w:numPr>
        <w:tabs>
          <w:tab w:val="left" w:pos="794"/>
          <w:tab w:val="left" w:pos="851"/>
          <w:tab w:val="left" w:pos="935"/>
          <w:tab w:val="left" w:pos="1502"/>
        </w:tabs>
        <w:outlineLvl w:val="2"/>
        <w:rPr>
          <w:szCs w:val="18"/>
        </w:rPr>
      </w:pPr>
      <w:r>
        <w:t>车辆基地内的危废间宜独立布置，</w:t>
      </w:r>
      <w:r>
        <w:rPr>
          <w:rFonts w:hint="eastAsia"/>
        </w:rPr>
        <w:t>当</w:t>
      </w:r>
      <w:r>
        <w:t>与其他建筑合建时，应靠外墙设置</w:t>
      </w:r>
      <w:r>
        <w:rPr>
          <w:rFonts w:hint="eastAsia"/>
        </w:rPr>
        <w:t>，且采用耐火极限不低于2.00h的防火隔墙和1.50h的楼板与其他部位分隔</w:t>
      </w:r>
      <w:r>
        <w:t>。</w:t>
      </w:r>
    </w:p>
    <w:p w14:paraId="18DD0FC1">
      <w:pPr>
        <w:numPr>
          <w:ilvl w:val="2"/>
          <w:numId w:val="1"/>
        </w:numPr>
        <w:tabs>
          <w:tab w:val="left" w:pos="794"/>
          <w:tab w:val="left" w:pos="851"/>
          <w:tab w:val="left" w:pos="935"/>
          <w:tab w:val="left" w:pos="1502"/>
        </w:tabs>
        <w:outlineLvl w:val="2"/>
      </w:pPr>
      <w:r>
        <w:rPr>
          <w:rFonts w:hint="eastAsia"/>
        </w:rPr>
        <w:t>车辆基地不宜设在地下。用地条件困难时除满足《地铁设计防火标准》GB51298外尚应满足如下要求：</w:t>
      </w:r>
    </w:p>
    <w:p w14:paraId="73B21881">
      <w:pPr>
        <w:pStyle w:val="7"/>
        <w:ind w:firstLine="420"/>
      </w:pPr>
      <w:r>
        <w:rPr>
          <w:rFonts w:hint="eastAsia"/>
        </w:rPr>
        <w:t>消防车道应用防火墙与车库等分隔，防火墙以及防火门、窗的设置要求应符合本规范第24.2节第Ⅴ部分的有关规定。车道内应设火灾自动报警系统、防排烟系统；</w:t>
      </w:r>
    </w:p>
    <w:p w14:paraId="12631250">
      <w:pPr>
        <w:pStyle w:val="7"/>
        <w:ind w:firstLine="420"/>
      </w:pPr>
      <w:r>
        <w:rPr>
          <w:rFonts w:hint="eastAsia"/>
        </w:rPr>
        <w:t>停车列检库、运用库、联合检修库等工艺等用房以及附属用房之间应用耐火极限不低于3.00h的防火墙和甲级防火门窗等分隔成不同的防火分区。</w:t>
      </w:r>
    </w:p>
    <w:p w14:paraId="7DC24DDE">
      <w:pPr>
        <w:pStyle w:val="7"/>
        <w:ind w:firstLine="420"/>
      </w:pPr>
      <w:r>
        <w:rPr>
          <w:rFonts w:hint="eastAsia"/>
        </w:rPr>
        <w:t>咽喉区入库区位置的门应采用不低于B1级燃烧性能材料制作，且采用消防供电保证火灾时能够远程控制关闭。</w:t>
      </w:r>
    </w:p>
    <w:p w14:paraId="22323071">
      <w:pPr>
        <w:spacing w:before="72" w:after="72" w:line="240" w:lineRule="auto"/>
        <w:ind w:left="438"/>
        <w:jc w:val="center"/>
        <w:outlineLvl w:val="3"/>
        <w:rPr>
          <w:rFonts w:eastAsia="黑体"/>
        </w:rPr>
      </w:pPr>
    </w:p>
    <w:p w14:paraId="7A791D03">
      <w:pPr>
        <w:spacing w:before="72" w:after="72" w:line="240" w:lineRule="auto"/>
        <w:ind w:left="438"/>
        <w:jc w:val="center"/>
        <w:outlineLvl w:val="3"/>
        <w:rPr>
          <w:rFonts w:eastAsia="黑体"/>
        </w:rPr>
      </w:pPr>
      <w:r>
        <w:rPr>
          <w:rFonts w:hint="eastAsia" w:eastAsia="黑体"/>
        </w:rPr>
        <w:t>III</w:t>
      </w:r>
      <w:r>
        <w:rPr>
          <w:rFonts w:eastAsia="黑体"/>
        </w:rPr>
        <w:t xml:space="preserve">  </w:t>
      </w:r>
      <w:r>
        <w:rPr>
          <w:rFonts w:hint="eastAsia" w:eastAsia="黑体"/>
        </w:rPr>
        <w:t>安</w:t>
      </w:r>
      <w:r>
        <w:rPr>
          <w:rFonts w:eastAsia="黑体"/>
        </w:rPr>
        <w:t xml:space="preserve"> </w:t>
      </w:r>
      <w:r>
        <w:rPr>
          <w:rFonts w:hint="eastAsia" w:eastAsia="黑体"/>
        </w:rPr>
        <w:t>全</w:t>
      </w:r>
      <w:r>
        <w:rPr>
          <w:rFonts w:eastAsia="黑体"/>
        </w:rPr>
        <w:t xml:space="preserve"> </w:t>
      </w:r>
      <w:r>
        <w:rPr>
          <w:rFonts w:hint="eastAsia" w:eastAsia="黑体"/>
        </w:rPr>
        <w:t>疏</w:t>
      </w:r>
      <w:r>
        <w:rPr>
          <w:rFonts w:eastAsia="黑体"/>
        </w:rPr>
        <w:t xml:space="preserve"> </w:t>
      </w:r>
      <w:r>
        <w:rPr>
          <w:rFonts w:hint="eastAsia" w:eastAsia="黑体"/>
        </w:rPr>
        <w:t>散</w:t>
      </w:r>
    </w:p>
    <w:p w14:paraId="135B049D">
      <w:pPr>
        <w:numPr>
          <w:ilvl w:val="2"/>
          <w:numId w:val="1"/>
        </w:numPr>
        <w:tabs>
          <w:tab w:val="left" w:pos="794"/>
          <w:tab w:val="left" w:pos="851"/>
          <w:tab w:val="left" w:pos="935"/>
          <w:tab w:val="left" w:pos="1502"/>
        </w:tabs>
        <w:outlineLvl w:val="2"/>
        <w:rPr>
          <w:rFonts w:ascii="Arial" w:hAnsi="Arial" w:cs="Arial"/>
          <w:spacing w:val="4"/>
          <w:sz w:val="20"/>
          <w:szCs w:val="20"/>
        </w:rPr>
      </w:pPr>
      <w:r>
        <w:rPr>
          <w:rFonts w:hint="eastAsia"/>
          <w:lang w:bidi="ar"/>
        </w:rPr>
        <w:t>在远期或客流控制期中超高峰小时最大客流量时，车站公共区站台至站厅</w:t>
      </w:r>
      <w:r>
        <w:rPr>
          <w:rFonts w:hint="eastAsia"/>
        </w:rPr>
        <w:t>公共</w:t>
      </w:r>
      <w:r>
        <w:rPr>
          <w:rFonts w:hint="eastAsia"/>
          <w:lang w:bidi="ar"/>
        </w:rPr>
        <w:t>区或站台至其他安全区域的疏散楼梯、参与安全疏散的自动扶梯和疏散通道的通过能力，应满足一列进站列车所载乘客及站台上候车乘客全部撤离站台时间不应大于4min，并应能在6min内全部疏散至站厅公共区或其他安全区域。</w:t>
      </w:r>
    </w:p>
    <w:p w14:paraId="25CCACB7">
      <w:pPr>
        <w:numPr>
          <w:ilvl w:val="2"/>
          <w:numId w:val="1"/>
        </w:numPr>
        <w:tabs>
          <w:tab w:val="left" w:pos="794"/>
          <w:tab w:val="left" w:pos="851"/>
          <w:tab w:val="left" w:pos="935"/>
          <w:tab w:val="left" w:pos="1502"/>
        </w:tabs>
        <w:outlineLvl w:val="2"/>
        <w:rPr>
          <w:rFonts w:ascii="仿宋" w:hAnsi="仿宋" w:eastAsia="仿宋"/>
        </w:rPr>
      </w:pPr>
      <w:bookmarkStart w:id="2103" w:name="_Hlk42327068"/>
      <w:r>
        <w:rPr>
          <w:rFonts w:hint="eastAsia"/>
        </w:rPr>
        <w:t>地下多层车站</w:t>
      </w:r>
      <w:bookmarkStart w:id="2104" w:name="_Hlk154675877"/>
      <w:r>
        <w:rPr>
          <w:rFonts w:hint="eastAsia"/>
        </w:rPr>
        <w:t>站台公共区乘客全部撤离站台的时间</w:t>
      </w:r>
      <w:bookmarkEnd w:id="2104"/>
      <w:r>
        <w:rPr>
          <w:rFonts w:hint="eastAsia"/>
        </w:rPr>
        <w:t>，可按下式计算：</w:t>
      </w:r>
    </w:p>
    <w:p w14:paraId="380AAC5E">
      <w:pPr>
        <w:adjustRightInd w:val="0"/>
        <w:snapToGrid w:val="0"/>
        <w:spacing w:line="360" w:lineRule="auto"/>
        <w:ind w:firstLine="420" w:firstLineChars="200"/>
        <w:jc w:val="right"/>
        <w:rPr>
          <w:rFonts w:ascii="宋体" w:hAnsi="宋体"/>
        </w:rPr>
      </w:pPr>
      <w:bookmarkStart w:id="2105" w:name="_Hlk41585662"/>
      <m:oMath>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DX</m:t>
            </m:r>
            <m:ctrlPr>
              <w:rPr>
                <w:rFonts w:ascii="Cambria Math" w:hAnsi="Cambria Math"/>
                <w:i/>
              </w:rPr>
            </m:ctrlP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rPr>
            </m:ctrlPr>
          </m:num>
          <m:den>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1</m:t>
                </m:r>
                <m:ctrlPr>
                  <w:rPr>
                    <w:rFonts w:ascii="Cambria Math" w:hAnsi="Cambria Math"/>
                  </w:rPr>
                </m:ctrlPr>
              </m:sub>
            </m:sSub>
            <m:d>
              <m:dPr>
                <m:ctrlPr>
                  <w:rPr>
                    <w:rFonts w:ascii="Cambria Math" w:hAnsi="Cambria Math"/>
                    <w:i/>
                  </w:rPr>
                </m:ctrlPr>
              </m:dPr>
              <m:e>
                <m:sSub>
                  <m:sSubPr>
                    <m:ctrlPr>
                      <w:rPr>
                        <w:rFonts w:ascii="Cambria Math" w:hAnsi="Cambria Math"/>
                      </w:rPr>
                    </m:ctrlPr>
                  </m:sSubPr>
                  <m:e>
                    <m:r>
                      <m:rPr/>
                      <w:rPr>
                        <w:rFonts w:ascii="Cambria Math" w:hAnsi="Cambria Math"/>
                      </w:rPr>
                      <m:t>N</m:t>
                    </m:r>
                    <m:ctrlPr>
                      <w:rPr>
                        <w:rFonts w:ascii="Cambria Math" w:hAnsi="Cambria Math"/>
                        <w:i/>
                      </w:rPr>
                    </m:ctrlPr>
                  </m:e>
                  <m:sub>
                    <m:r>
                      <m:rPr/>
                      <w:rPr>
                        <w:rFonts w:ascii="Cambria Math" w:hAnsi="Cambria Math"/>
                      </w:rPr>
                      <m:t>dx</m:t>
                    </m:r>
                    <m:ctrlPr>
                      <w:rPr>
                        <w:rFonts w:ascii="Cambria Math" w:hAnsi="Cambria Math"/>
                      </w:rPr>
                    </m:ctrlPr>
                  </m:sub>
                </m:sSub>
                <m:r>
                  <m:rPr>
                    <m:sty m:val="p"/>
                  </m:rPr>
                  <w:rPr>
                    <w:rFonts w:ascii="Cambria Math" w:hAnsi="Cambria Math"/>
                  </w:rPr>
                  <m:t>−1</m:t>
                </m:r>
                <m:ctrlPr>
                  <w:rPr>
                    <w:rFonts w:ascii="Cambria Math" w:hAnsi="Cambria Math"/>
                  </w:rPr>
                </m:ctrlPr>
              </m:e>
            </m:d>
            <m:r>
              <m:rPr>
                <m:sty m:val="p"/>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2</m:t>
                </m:r>
                <m:ctrlPr>
                  <w:rPr>
                    <w:rFonts w:ascii="Cambria Math" w:hAnsi="Cambria Math"/>
                  </w:rPr>
                </m:ctrlPr>
              </m:sub>
            </m:sSub>
            <m:r>
              <m:rPr/>
              <w:rPr>
                <w:rFonts w:ascii="Cambria Math" w:hAnsi="Cambria Math"/>
              </w:rPr>
              <m:t>B</m:t>
            </m:r>
            <m:ctrlPr>
              <w:rPr>
                <w:rFonts w:ascii="Cambria Math" w:hAnsi="Cambria Math"/>
              </w:rPr>
            </m:ctrlPr>
          </m:den>
        </m:f>
        <m:r>
          <m:rPr>
            <m:sty m:val="p"/>
          </m:rPr>
          <w:rPr>
            <w:rFonts w:hint="eastAsia" w:ascii="Cambria Math" w:hAnsi="Cambria Math"/>
          </w:rPr>
          <m:t>≤</m:t>
        </m:r>
        <m:r>
          <m:rPr>
            <m:sty m:val="p"/>
          </m:rPr>
          <w:rPr>
            <w:rFonts w:ascii="Cambria Math" w:hAnsi="Cambria Math"/>
          </w:rPr>
          <m:t>4</m:t>
        </m:r>
        <m:r>
          <m:rPr/>
          <w:rPr>
            <w:rFonts w:ascii="Cambria Math" w:hAnsi="Cambria Math"/>
          </w:rPr>
          <m:t>min</m:t>
        </m:r>
      </m:oMath>
      <w:r>
        <w:rPr>
          <w:rFonts w:hint="eastAsia" w:ascii="宋体" w:hAnsi="宋体"/>
        </w:rPr>
        <w:t xml:space="preserve">      </w:t>
      </w:r>
      <w:r>
        <w:rPr>
          <w:rFonts w:hint="eastAsia" w:ascii="宋体" w:hAnsi="宋体"/>
        </w:rPr>
        <w:fldChar w:fldCharType="begin"/>
      </w:r>
      <w:r>
        <w:rPr>
          <w:rFonts w:hint="eastAsia" w:ascii="宋体" w:hAnsi="宋体"/>
        </w:rPr>
        <w:instrText xml:space="preserve"> QUOTE </w:instrText>
      </w:r>
      <w:r>
        <w:rPr>
          <w:rFonts w:ascii="Cambria Math" w:hAnsi="Cambria Math"/>
        </w:rPr>
        <w:instrText xml:space="preserve">TDX=Q1+Q2A1Ndx-1+A2B</w:instrText>
      </w:r>
      <w:r>
        <w:rPr>
          <w:rFonts w:hint="eastAsia" w:ascii="Cambria Math" w:hAnsi="Cambria Math"/>
        </w:rPr>
        <w:instrText xml:space="preserve">≤</w:instrText>
      </w:r>
      <w:r>
        <w:rPr>
          <w:rFonts w:ascii="Cambria Math" w:hAnsi="Cambria Math"/>
        </w:rPr>
        <w:instrText xml:space="preserve">4min</w:instrText>
      </w:r>
      <w:r>
        <w:rPr>
          <w:rFonts w:hint="eastAsia" w:ascii="宋体" w:hAnsi="宋体"/>
        </w:rPr>
        <w:instrText xml:space="preserve"> </w:instrText>
      </w:r>
      <w:r>
        <w:rPr>
          <w:rFonts w:hint="eastAsia" w:ascii="宋体" w:hAnsi="宋体"/>
        </w:rPr>
        <w:fldChar w:fldCharType="end"/>
      </w:r>
      <w:r>
        <w:rPr>
          <w:rFonts w:hint="eastAsia" w:ascii="宋体" w:hAnsi="宋体"/>
        </w:rPr>
        <w:t xml:space="preserve">    (</w:t>
      </w:r>
      <w:r>
        <w:rPr>
          <w:rFonts w:ascii="宋体" w:hAnsi="宋体"/>
        </w:rPr>
        <w:t>30</w:t>
      </w:r>
      <w:r>
        <w:rPr>
          <w:rFonts w:hint="eastAsia" w:ascii="宋体" w:hAnsi="宋体"/>
        </w:rPr>
        <w:t>.2.</w:t>
      </w:r>
      <w:r>
        <w:rPr>
          <w:rFonts w:ascii="宋体" w:hAnsi="宋体"/>
        </w:rPr>
        <w:t>30</w:t>
      </w:r>
      <w:r>
        <w:rPr>
          <w:rFonts w:hint="eastAsia" w:ascii="宋体" w:hAnsi="宋体"/>
        </w:rPr>
        <w:t>)</w:t>
      </w:r>
      <w:bookmarkEnd w:id="2105"/>
    </w:p>
    <w:p w14:paraId="0C835B5B">
      <w:r>
        <w:rPr>
          <w:rFonts w:hint="eastAsia"/>
        </w:rPr>
        <w:t>式中：</w:t>
      </w:r>
      <w:r>
        <w:rPr>
          <w:i/>
          <w:iCs/>
        </w:rPr>
        <w:t>T</w:t>
      </w:r>
      <w:r>
        <w:rPr>
          <w:i/>
          <w:iCs/>
          <w:vertAlign w:val="subscript"/>
        </w:rPr>
        <w:t>DX</w:t>
      </w:r>
      <w:r>
        <w:t>——</w:t>
      </w:r>
      <w:r>
        <w:rPr>
          <w:rFonts w:hint="eastAsia"/>
        </w:rPr>
        <w:t>地下多层车站远期或客流控制期，超高峰小时一列车进站所载乘客（最大断面客流）及站台上候车乘客，从站台疏散楼梯、参与安全疏散自动扶梯或疏散通道口通过全部疏散设施的时间（</w:t>
      </w:r>
      <w:r>
        <w:t>min</w:t>
      </w:r>
      <w:r>
        <w:rPr>
          <w:rFonts w:hint="eastAsia"/>
        </w:rPr>
        <w:t>）；</w:t>
      </w:r>
    </w:p>
    <w:p w14:paraId="2654774B">
      <w:pPr>
        <w:ind w:firstLine="525" w:firstLineChars="250"/>
        <w:rPr>
          <w:rFonts w:ascii="宋体" w:hAnsi="宋体"/>
        </w:rPr>
      </w:pPr>
      <w:r>
        <w:rPr>
          <w:rFonts w:hint="eastAsia" w:ascii="宋体" w:hAnsi="宋体"/>
          <w:i/>
          <w:iCs/>
        </w:rPr>
        <w:t>Q</w:t>
      </w:r>
      <w:r>
        <w:rPr>
          <w:rFonts w:hint="eastAsia" w:ascii="宋体" w:hAnsi="宋体"/>
          <w:i/>
          <w:iCs/>
          <w:vertAlign w:val="subscript"/>
        </w:rPr>
        <w:t>1</w:t>
      </w:r>
      <w:r>
        <w:rPr>
          <w:rFonts w:hint="eastAsia" w:ascii="宋体" w:hAnsi="宋体"/>
        </w:rPr>
        <w:t>——远期或客流控制期超高峰小时最大客流量时一列进站列车的载客人数（人）；</w:t>
      </w:r>
    </w:p>
    <w:p w14:paraId="11714BCB">
      <w:pPr>
        <w:ind w:firstLine="525" w:firstLineChars="250"/>
        <w:rPr>
          <w:rFonts w:ascii="宋体" w:hAnsi="宋体"/>
        </w:rPr>
      </w:pPr>
      <w:r>
        <w:rPr>
          <w:rFonts w:hint="eastAsia" w:ascii="宋体" w:hAnsi="宋体"/>
          <w:i/>
          <w:iCs/>
        </w:rPr>
        <w:t>Q</w:t>
      </w:r>
      <w:r>
        <w:rPr>
          <w:rFonts w:hint="eastAsia" w:ascii="宋体" w:hAnsi="宋体"/>
          <w:i/>
          <w:iCs/>
          <w:vertAlign w:val="subscript"/>
        </w:rPr>
        <w:t>2</w:t>
      </w:r>
      <w:r>
        <w:rPr>
          <w:rFonts w:hint="eastAsia" w:ascii="宋体" w:hAnsi="宋体"/>
        </w:rPr>
        <w:t>——远期或客流控制期超高峰小时站台上的最大候车乘客人数（人）；</w:t>
      </w:r>
    </w:p>
    <w:p w14:paraId="42757287">
      <w:pPr>
        <w:ind w:firstLine="420" w:firstLineChars="200"/>
        <w:rPr>
          <w:rFonts w:ascii="宋体" w:hAnsi="宋体"/>
        </w:rPr>
      </w:pPr>
      <w:r>
        <w:rPr>
          <w:rFonts w:hint="eastAsia" w:ascii="宋体" w:hAnsi="宋体"/>
          <w:i/>
          <w:iCs/>
        </w:rPr>
        <w:t>A</w:t>
      </w:r>
      <w:r>
        <w:rPr>
          <w:rFonts w:hint="eastAsia" w:ascii="宋体" w:hAnsi="宋体"/>
          <w:i/>
          <w:iCs/>
          <w:vertAlign w:val="subscript"/>
        </w:rPr>
        <w:t>1</w:t>
      </w:r>
      <w:r>
        <w:rPr>
          <w:rFonts w:hint="eastAsia" w:ascii="宋体" w:hAnsi="宋体"/>
        </w:rPr>
        <w:t>——一台自动扶梯的通过能力(人/min·m)；</w:t>
      </w:r>
    </w:p>
    <w:p w14:paraId="2EB77F55">
      <w:pPr>
        <w:ind w:firstLine="420" w:firstLineChars="200"/>
        <w:rPr>
          <w:rFonts w:ascii="宋体" w:hAnsi="宋体"/>
        </w:rPr>
      </w:pPr>
      <w:r>
        <w:rPr>
          <w:rFonts w:hint="eastAsia" w:ascii="宋体" w:hAnsi="宋体"/>
          <w:i/>
          <w:iCs/>
        </w:rPr>
        <w:t>A</w:t>
      </w:r>
      <w:r>
        <w:rPr>
          <w:rFonts w:hint="eastAsia" w:ascii="宋体" w:hAnsi="宋体"/>
          <w:i/>
          <w:iCs/>
          <w:vertAlign w:val="subscript"/>
        </w:rPr>
        <w:t>2</w:t>
      </w:r>
      <w:r>
        <w:rPr>
          <w:rFonts w:hint="eastAsia" w:ascii="宋体" w:hAnsi="宋体"/>
        </w:rPr>
        <w:t>——单位宽度疏散楼梯的通过能力(人/min·m)；</w:t>
      </w:r>
    </w:p>
    <w:p w14:paraId="509CB4FF">
      <w:pPr>
        <w:ind w:firstLine="420" w:firstLineChars="200"/>
        <w:rPr>
          <w:rFonts w:ascii="宋体" w:hAnsi="宋体"/>
        </w:rPr>
      </w:pPr>
      <w:r>
        <w:rPr>
          <w:rFonts w:hint="eastAsia" w:ascii="宋体" w:hAnsi="宋体"/>
          <w:i/>
          <w:iCs/>
        </w:rPr>
        <w:t>N</w:t>
      </w:r>
      <w:r>
        <w:rPr>
          <w:rFonts w:hint="eastAsia" w:ascii="宋体" w:hAnsi="宋体"/>
          <w:i/>
          <w:iCs/>
          <w:vertAlign w:val="subscript"/>
        </w:rPr>
        <w:t>dx</w:t>
      </w:r>
      <w:r>
        <w:rPr>
          <w:rFonts w:hint="eastAsia" w:ascii="宋体" w:hAnsi="宋体"/>
        </w:rPr>
        <w:t>——地下车站参与安全疏散的自动扶梯数量（台）；</w:t>
      </w:r>
    </w:p>
    <w:p w14:paraId="26D881AA">
      <w:pPr>
        <w:ind w:firstLine="420" w:firstLineChars="200"/>
        <w:rPr>
          <w:rFonts w:ascii="宋体" w:hAnsi="宋体"/>
        </w:rPr>
      </w:pPr>
      <w:r>
        <w:rPr>
          <w:rFonts w:hint="eastAsia" w:ascii="宋体" w:hAnsi="宋体"/>
          <w:i/>
          <w:iCs/>
        </w:rPr>
        <w:t>B</w:t>
      </w:r>
      <w:r>
        <w:rPr>
          <w:rFonts w:hint="eastAsia" w:ascii="宋体" w:hAnsi="宋体"/>
        </w:rPr>
        <w:t>——疏散楼梯的总宽度(m)，每组楼梯的宽度应按0.55m的整倍数计算。</w:t>
      </w:r>
    </w:p>
    <w:p w14:paraId="5AF3273B">
      <w:pPr>
        <w:ind w:firstLine="600" w:firstLineChars="400"/>
        <w:rPr>
          <w:bCs/>
          <w:sz w:val="15"/>
          <w:szCs w:val="15"/>
        </w:rPr>
      </w:pPr>
      <w:r>
        <w:rPr>
          <w:rFonts w:hint="eastAsia"/>
          <w:sz w:val="15"/>
          <w:szCs w:val="15"/>
        </w:rPr>
        <w:t>注：  Q1值应考虑客流不均匀造成的影响，则Q2值应考虑车站超高峰系数的影响，</w:t>
      </w:r>
    </w:p>
    <w:p w14:paraId="3D34DF6C">
      <w:pPr>
        <w:numPr>
          <w:ilvl w:val="2"/>
          <w:numId w:val="1"/>
        </w:numPr>
        <w:tabs>
          <w:tab w:val="left" w:pos="794"/>
          <w:tab w:val="left" w:pos="851"/>
          <w:tab w:val="left" w:pos="935"/>
          <w:tab w:val="left" w:pos="1502"/>
        </w:tabs>
        <w:outlineLvl w:val="2"/>
        <w:rPr>
          <w:bCs/>
        </w:rPr>
      </w:pPr>
      <w:r>
        <w:rPr>
          <w:rFonts w:hint="eastAsia"/>
          <w:bCs/>
        </w:rPr>
        <w:t>站台位于站厅上方的地上车站，当站台端部设有通向区间的疏散条件时，</w:t>
      </w:r>
      <w:r>
        <w:rPr>
          <w:rFonts w:hint="eastAsia"/>
        </w:rPr>
        <w:t>站台</w:t>
      </w:r>
      <w:r>
        <w:rPr>
          <w:rFonts w:hint="eastAsia"/>
          <w:bCs/>
        </w:rPr>
        <w:t>屏蔽门端门一侧独立设置开向轨行区的疏散门净宽不小于</w:t>
      </w:r>
      <w:r>
        <w:rPr>
          <w:bCs/>
        </w:rPr>
        <w:t>1.1m</w:t>
      </w:r>
      <w:r>
        <w:rPr>
          <w:rFonts w:hint="eastAsia"/>
          <w:bCs/>
        </w:rPr>
        <w:t>时，可作为站台或区间的安全出口，站台公共区乘客全部撤离站台的时间，可按下式计算：</w:t>
      </w:r>
    </w:p>
    <w:p w14:paraId="306BF5AC">
      <w:pPr>
        <w:adjustRightInd w:val="0"/>
        <w:snapToGrid w:val="0"/>
        <w:spacing w:line="240" w:lineRule="auto"/>
        <w:jc w:val="right"/>
      </w:pPr>
      <m:oMath>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DS</m:t>
            </m:r>
            <m:ctrlPr>
              <w:rPr>
                <w:rFonts w:ascii="Cambria Math" w:hAnsi="Cambria Math"/>
                <w:i/>
              </w:rPr>
            </m:ctrlP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rPr>
            </m:ctrlPr>
          </m:num>
          <m:den>
            <m:r>
              <m:rPr>
                <m:sty m:val="p"/>
              </m:rPr>
              <w:rPr>
                <w:rFonts w:ascii="Cambria Math" w:hAnsi="Cambria Math"/>
              </w:rPr>
              <m:t>0.9</m:t>
            </m:r>
            <m:r>
              <m:rPr>
                <m:sty m:val="p"/>
              </m:rPr>
              <w:rPr>
                <w:rFonts w:hint="eastAsia"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1</m:t>
                </m:r>
                <m:ctrlPr>
                  <w:rPr>
                    <w:rFonts w:ascii="Cambria Math" w:hAnsi="Cambria Math"/>
                  </w:rPr>
                </m:ctrlPr>
              </m:sub>
            </m:sSub>
            <m:d>
              <m:dPr>
                <m:ctrlPr>
                  <w:rPr>
                    <w:rFonts w:ascii="Cambria Math" w:hAnsi="Cambria Math"/>
                  </w:rPr>
                </m:ctrlPr>
              </m:dPr>
              <m:e>
                <m:sSub>
                  <m:sSubPr>
                    <m:ctrlPr>
                      <w:rPr>
                        <w:rFonts w:ascii="Cambria Math" w:hAnsi="Cambria Math"/>
                        <w:i/>
                      </w:rPr>
                    </m:ctrlPr>
                  </m:sSubPr>
                  <m:e>
                    <m:r>
                      <m:rPr/>
                      <w:rPr>
                        <w:rFonts w:ascii="Cambria Math" w:hAnsi="Cambria Math"/>
                      </w:rPr>
                      <m:t>N</m:t>
                    </m:r>
                    <m:ctrlPr>
                      <w:rPr>
                        <w:rFonts w:ascii="Cambria Math" w:hAnsi="Cambria Math"/>
                      </w:rPr>
                    </m:ctrlPr>
                  </m:e>
                  <m:sub>
                    <m:r>
                      <m:rPr/>
                      <w:rPr>
                        <w:rFonts w:ascii="Cambria Math" w:hAnsi="Cambria Math"/>
                      </w:rPr>
                      <m:t>ds</m:t>
                    </m:r>
                    <m:ctrlPr>
                      <w:rPr>
                        <w:rFonts w:ascii="Cambria Math" w:hAnsi="Cambria Math"/>
                        <w:i/>
                      </w:rPr>
                    </m:ctrlPr>
                  </m:sub>
                </m:sSub>
                <m:r>
                  <m:rPr>
                    <m:sty m:val="p"/>
                  </m:rPr>
                  <w:rPr>
                    <w:rFonts w:ascii="Cambria Math" w:hAnsi="Cambria Math" w:eastAsia="微软雅黑" w:cs="微软雅黑"/>
                  </w:rPr>
                  <m:t>−</m:t>
                </m:r>
                <m:r>
                  <m:rPr>
                    <m:sty m:val="p"/>
                  </m:rPr>
                  <w:rPr>
                    <w:rFonts w:ascii="Cambria Math" w:hAnsi="Cambria Math"/>
                  </w:rPr>
                  <m:t>1</m:t>
                </m:r>
                <m:ctrlPr>
                  <w:rPr>
                    <w:rFonts w:ascii="Cambria Math" w:hAnsi="Cambria Math"/>
                  </w:rPr>
                </m:ctrlPr>
              </m:e>
            </m:d>
            <m:r>
              <m:rPr>
                <m:sty m:val="p"/>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2</m:t>
                </m:r>
                <m:ctrlPr>
                  <w:rPr>
                    <w:rFonts w:ascii="Cambria Math" w:hAnsi="Cambria Math"/>
                  </w:rPr>
                </m:ctrlPr>
              </m:sub>
            </m:sSub>
            <m:r>
              <m:rPr/>
              <w:rPr>
                <w:rFonts w:ascii="Cambria Math" w:hAnsi="Cambria Math"/>
              </w:rPr>
              <m:t>B</m:t>
            </m:r>
            <m:r>
              <m:rPr>
                <m:sty m:val="p"/>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dm</m:t>
                </m:r>
                <m:ctrlPr>
                  <w:rPr>
                    <w:rFonts w:ascii="Cambria Math" w:hAnsi="Cambria Math"/>
                  </w:rPr>
                </m:ctrlPr>
              </m:sub>
            </m:sSub>
            <m:sSub>
              <m:sSubPr>
                <m:ctrlPr>
                  <w:rPr>
                    <w:rFonts w:ascii="Cambria Math" w:hAnsi="Cambria Math"/>
                  </w:rPr>
                </m:ctrlPr>
              </m:sSubPr>
              <m:e>
                <m:r>
                  <m:rPr/>
                  <w:rPr>
                    <w:rFonts w:ascii="Cambria Math" w:hAnsi="Cambria Math"/>
                  </w:rPr>
                  <m:t>B</m:t>
                </m:r>
                <m:ctrlPr>
                  <w:rPr>
                    <w:rFonts w:ascii="Cambria Math" w:hAnsi="Cambria Math"/>
                    <w:i/>
                  </w:rPr>
                </m:ctrlPr>
              </m:e>
              <m:sub>
                <m:r>
                  <m:rPr/>
                  <w:rPr>
                    <w:rFonts w:ascii="Cambria Math" w:hAnsi="Cambria Math"/>
                  </w:rPr>
                  <m:t>dm</m:t>
                </m:r>
                <m:ctrlPr>
                  <w:rPr>
                    <w:rFonts w:ascii="Cambria Math" w:hAnsi="Cambria Math"/>
                  </w:rPr>
                </m:ctrlPr>
              </m:sub>
            </m:sSub>
            <m:ctrlPr>
              <w:rPr>
                <w:rFonts w:ascii="Cambria Math" w:hAnsi="Cambria Math"/>
              </w:rPr>
            </m:ctrlPr>
          </m:den>
        </m:f>
        <m:r>
          <m:rPr/>
          <w:rPr>
            <w:rFonts w:hint="eastAsia" w:ascii="Cambria Math" w:hAnsi="Cambria Math"/>
          </w:rPr>
          <m:t>≤</m:t>
        </m:r>
        <m:r>
          <m:rPr/>
          <w:rPr>
            <w:rFonts w:ascii="Cambria Math" w:hAnsi="Cambria Math"/>
          </w:rPr>
          <m:t>4min</m:t>
        </m:r>
      </m:oMath>
      <w:r>
        <w:rPr>
          <w:iCs/>
        </w:rPr>
        <w:t xml:space="preserve"> </w:t>
      </w:r>
      <w:r>
        <w:rPr>
          <w:rFonts w:hint="eastAsia"/>
          <w:iCs/>
        </w:rPr>
        <w:t xml:space="preserve">       </w:t>
      </w:r>
      <w:r>
        <w:rPr>
          <w:iCs/>
        </w:rPr>
        <w:t>(30.2.31)</w:t>
      </w:r>
    </w:p>
    <w:p w14:paraId="38BC8D3E">
      <w:pPr>
        <w:adjustRightInd w:val="0"/>
        <w:snapToGrid w:val="0"/>
      </w:pPr>
      <w:r>
        <w:rPr>
          <w:rFonts w:hint="eastAsia"/>
        </w:rPr>
        <w:t>式中：</w:t>
      </w:r>
      <w:r>
        <w:rPr>
          <w:rFonts w:hint="eastAsia" w:ascii="宋体" w:hAnsi="宋体"/>
          <w:i/>
          <w:iCs/>
        </w:rPr>
        <w:t>T</w:t>
      </w:r>
      <w:r>
        <w:rPr>
          <w:rFonts w:hint="eastAsia" w:ascii="宋体" w:hAnsi="宋体"/>
          <w:i/>
          <w:iCs/>
          <w:vertAlign w:val="subscript"/>
        </w:rPr>
        <w:t>DS</w:t>
      </w:r>
      <w:r>
        <w:t>——</w:t>
      </w:r>
      <w:r>
        <w:rPr>
          <w:rFonts w:hint="eastAsia"/>
        </w:rPr>
        <w:t>站台位于站厅上方的地上车站远期或客流控制期，超高峰小时</w:t>
      </w:r>
      <w:bookmarkStart w:id="2106" w:name="_Hlk94285139"/>
      <w:r>
        <w:rPr>
          <w:rFonts w:hint="eastAsia"/>
        </w:rPr>
        <w:t>一列车进站所载乘客（最大断面客流）及站台上候车乘客，从站台疏散楼梯、参与安全疏散自动扶梯、站台端安全出口或疏散通道口通过全部疏散设施的时间（</w:t>
      </w:r>
      <w:r>
        <w:t>min</w:t>
      </w:r>
      <w:r>
        <w:rPr>
          <w:rFonts w:hint="eastAsia"/>
        </w:rPr>
        <w:t>）</w:t>
      </w:r>
      <w:bookmarkEnd w:id="2106"/>
      <w:r>
        <w:rPr>
          <w:rFonts w:hint="eastAsia"/>
        </w:rPr>
        <w:t>；</w:t>
      </w:r>
    </w:p>
    <w:p w14:paraId="3483617C">
      <w:pPr>
        <w:ind w:firstLine="525" w:firstLineChars="250"/>
      </w:pPr>
      <w:r>
        <w:rPr>
          <w:rFonts w:hint="eastAsia" w:ascii="宋体" w:hAnsi="宋体"/>
          <w:i/>
          <w:iCs/>
        </w:rPr>
        <w:t>N</w:t>
      </w:r>
      <w:r>
        <w:rPr>
          <w:rFonts w:hint="eastAsia" w:ascii="宋体" w:hAnsi="宋体"/>
          <w:i/>
          <w:iCs/>
          <w:vertAlign w:val="subscript"/>
        </w:rPr>
        <w:t>ds</w:t>
      </w:r>
      <w:r>
        <w:rPr>
          <w:rFonts w:hint="eastAsia" w:ascii="宋体" w:hAnsi="宋体"/>
        </w:rPr>
        <w:t>——地上车站参与安全疏散的</w:t>
      </w:r>
      <w:r>
        <w:rPr>
          <w:rFonts w:hint="eastAsia"/>
        </w:rPr>
        <w:t>自动扶梯</w:t>
      </w:r>
      <w:r>
        <w:rPr>
          <w:rFonts w:hint="eastAsia" w:ascii="宋体" w:hAnsi="宋体"/>
        </w:rPr>
        <w:t>数量（台），当单部下行自动扶梯高度大于10m时，不应参与安全疏散；</w:t>
      </w:r>
    </w:p>
    <w:p w14:paraId="2F3FA358">
      <w:pPr>
        <w:ind w:firstLine="525" w:firstLineChars="250"/>
      </w:pPr>
      <w:r>
        <w:rPr>
          <w:rFonts w:hint="eastAsia" w:ascii="宋体" w:hAnsi="宋体"/>
          <w:i/>
          <w:iCs/>
        </w:rPr>
        <w:t>A</w:t>
      </w:r>
      <w:r>
        <w:rPr>
          <w:rFonts w:hint="eastAsia" w:ascii="宋体" w:hAnsi="宋体"/>
          <w:i/>
          <w:iCs/>
          <w:vertAlign w:val="subscript"/>
        </w:rPr>
        <w:t>dm</w:t>
      </w:r>
      <w:r>
        <w:rPr>
          <w:i/>
          <w:iCs/>
        </w:rPr>
        <w:t xml:space="preserve"> </w:t>
      </w:r>
      <w:r>
        <w:rPr>
          <w:rFonts w:hint="eastAsia"/>
        </w:rPr>
        <w:t>——站台屏蔽门端门处开门的通过能力</w:t>
      </w:r>
      <w:r>
        <w:t>(</w:t>
      </w:r>
      <w:r>
        <w:rPr>
          <w:rFonts w:hint="eastAsia"/>
        </w:rPr>
        <w:t>人</w:t>
      </w:r>
      <w:r>
        <w:t>/min</w:t>
      </w:r>
      <w:r>
        <w:rPr>
          <w:rFonts w:hint="eastAsia"/>
        </w:rPr>
        <w:t>·</w:t>
      </w:r>
      <w:r>
        <w:t>m)</w:t>
      </w:r>
      <w:r>
        <w:rPr>
          <w:rFonts w:hint="eastAsia"/>
        </w:rPr>
        <w:t>，</w:t>
      </w:r>
      <w:r>
        <w:rPr>
          <w:rFonts w:hint="eastAsia" w:ascii="宋体" w:hAnsi="宋体"/>
        </w:rPr>
        <w:t>按站端楼梯的通过能力4200人/h</w:t>
      </w:r>
      <w:bookmarkStart w:id="2107" w:name="_Hlk94218264"/>
      <w:r>
        <w:rPr>
          <w:rFonts w:hint="eastAsia" w:ascii="宋体" w:hAnsi="宋体"/>
        </w:rPr>
        <w:t>·</w:t>
      </w:r>
      <w:bookmarkEnd w:id="2107"/>
      <w:r>
        <w:rPr>
          <w:rFonts w:hint="eastAsia" w:ascii="宋体" w:hAnsi="宋体"/>
        </w:rPr>
        <w:t>m计算</w:t>
      </w:r>
      <w:r>
        <w:rPr>
          <w:rFonts w:hint="eastAsia"/>
        </w:rPr>
        <w:t>；</w:t>
      </w:r>
    </w:p>
    <w:p w14:paraId="376A43E1">
      <w:pPr>
        <w:ind w:firstLine="525" w:firstLineChars="250"/>
        <w:rPr>
          <w:bCs/>
        </w:rPr>
      </w:pPr>
      <w:r>
        <w:rPr>
          <w:rFonts w:hint="eastAsia" w:ascii="宋体" w:hAnsi="宋体"/>
          <w:i/>
          <w:iCs/>
        </w:rPr>
        <w:t>B</w:t>
      </w:r>
      <w:r>
        <w:rPr>
          <w:rFonts w:hint="eastAsia" w:ascii="宋体" w:hAnsi="宋体"/>
          <w:i/>
          <w:iCs/>
          <w:vertAlign w:val="subscript"/>
        </w:rPr>
        <w:t>dm</w:t>
      </w:r>
      <w:r>
        <w:rPr>
          <w:rFonts w:hint="eastAsia"/>
        </w:rPr>
        <w:t>——站台屏蔽门端门处开门的宽度</w:t>
      </w:r>
      <w:r>
        <w:t>(m)</w:t>
      </w:r>
      <w:r>
        <w:rPr>
          <w:rFonts w:hint="eastAsia" w:ascii="宋体" w:hAnsi="宋体"/>
        </w:rPr>
        <w:t xml:space="preserve"> ，站端楼梯净宽度按不大于1.1m计。</w:t>
      </w:r>
    </w:p>
    <w:p w14:paraId="02BAF193">
      <w:pPr>
        <w:numPr>
          <w:ilvl w:val="2"/>
          <w:numId w:val="1"/>
        </w:numPr>
        <w:tabs>
          <w:tab w:val="left" w:pos="794"/>
          <w:tab w:val="left" w:pos="851"/>
          <w:tab w:val="left" w:pos="935"/>
          <w:tab w:val="left" w:pos="1502"/>
        </w:tabs>
        <w:outlineLvl w:val="2"/>
        <w:rPr>
          <w:bCs/>
        </w:rPr>
      </w:pPr>
      <w:r>
        <w:rPr>
          <w:rFonts w:hint="eastAsia"/>
          <w:bCs/>
        </w:rPr>
        <w:t>站台乘客全部疏散至站厅公共区或其他安全区域的疏散时间，可按下列公式核验：</w:t>
      </w:r>
      <w:r>
        <w:rPr>
          <w:bCs/>
        </w:rPr>
        <w:t xml:space="preserve"> </w:t>
      </w:r>
    </w:p>
    <w:tbl>
      <w:tblPr>
        <w:tblStyle w:val="88"/>
        <w:tblW w:w="0" w:type="auto"/>
        <w:jc w:val="center"/>
        <w:tblLayout w:type="autofit"/>
        <w:tblCellMar>
          <w:top w:w="0" w:type="dxa"/>
          <w:left w:w="108" w:type="dxa"/>
          <w:bottom w:w="0" w:type="dxa"/>
          <w:right w:w="108" w:type="dxa"/>
        </w:tblCellMar>
      </w:tblPr>
      <w:tblGrid>
        <w:gridCol w:w="4791"/>
        <w:gridCol w:w="1549"/>
      </w:tblGrid>
      <w:tr w14:paraId="174915D4">
        <w:tblPrEx>
          <w:tblCellMar>
            <w:top w:w="0" w:type="dxa"/>
            <w:left w:w="108" w:type="dxa"/>
            <w:bottom w:w="0" w:type="dxa"/>
            <w:right w:w="108" w:type="dxa"/>
          </w:tblCellMar>
        </w:tblPrEx>
        <w:trPr>
          <w:trHeight w:val="850" w:hRule="atLeast"/>
          <w:jc w:val="center"/>
        </w:trPr>
        <w:tc>
          <w:tcPr>
            <w:tcW w:w="4791" w:type="dxa"/>
            <w:vAlign w:val="center"/>
          </w:tcPr>
          <w:p w14:paraId="58D237EB">
            <w:pPr>
              <w:adjustRightInd w:val="0"/>
              <w:snapToGrid w:val="0"/>
              <w:spacing w:line="240" w:lineRule="auto"/>
              <w:jc w:val="center"/>
              <w:rPr>
                <w:rFonts w:ascii="Cambria Math" w:hAnsi="Cambria Math"/>
                <w:oMath/>
              </w:rPr>
            </w:pPr>
            <m:oMathPara>
              <m:oMath>
                <m:r>
                  <m:rPr/>
                  <w:rPr>
                    <w:rFonts w:ascii="Cambria Math" w:hAnsi="Cambria Math"/>
                  </w:rPr>
                  <m:t>T+∆T</m:t>
                </m:r>
                <m:r>
                  <m:rPr/>
                  <w:rPr>
                    <w:rFonts w:hint="eastAsia" w:ascii="Cambria Math" w:hAnsi="Cambria Math"/>
                  </w:rPr>
                  <m:t>≤</m:t>
                </m:r>
                <m:r>
                  <m:rPr/>
                  <w:rPr>
                    <w:rFonts w:ascii="Cambria Math" w:hAnsi="Cambria Math"/>
                  </w:rPr>
                  <m:t xml:space="preserve">6min </m:t>
                </m:r>
              </m:oMath>
            </m:oMathPara>
          </w:p>
        </w:tc>
        <w:tc>
          <w:tcPr>
            <w:tcW w:w="1549" w:type="dxa"/>
            <w:vAlign w:val="center"/>
          </w:tcPr>
          <w:p w14:paraId="13B80FF6">
            <w:pPr>
              <w:jc w:val="right"/>
            </w:pPr>
            <w:r>
              <w:t>(30.2.32-1)</w:t>
            </w:r>
          </w:p>
        </w:tc>
      </w:tr>
      <w:tr w14:paraId="382E3F7C">
        <w:tblPrEx>
          <w:tblCellMar>
            <w:top w:w="0" w:type="dxa"/>
            <w:left w:w="108" w:type="dxa"/>
            <w:bottom w:w="0" w:type="dxa"/>
            <w:right w:w="108" w:type="dxa"/>
          </w:tblCellMar>
        </w:tblPrEx>
        <w:trPr>
          <w:trHeight w:val="659" w:hRule="atLeast"/>
          <w:jc w:val="center"/>
        </w:trPr>
        <w:tc>
          <w:tcPr>
            <w:tcW w:w="4791" w:type="dxa"/>
            <w:vAlign w:val="center"/>
          </w:tcPr>
          <w:p w14:paraId="69D7281A">
            <w:pPr>
              <w:adjustRightInd w:val="0"/>
              <w:snapToGrid w:val="0"/>
              <w:spacing w:line="240" w:lineRule="auto"/>
              <w:jc w:val="center"/>
              <w:rPr>
                <w:rFonts w:ascii="宋体" w:hAnsi="宋体"/>
              </w:rPr>
            </w:pPr>
            <m:oMathPara>
              <m:oMath>
                <m:r>
                  <m:rPr/>
                  <w:rPr>
                    <w:rFonts w:ascii="Cambria Math" w:hAnsi="Cambria Math"/>
                  </w:rPr>
                  <m:t>∆T=</m:t>
                </m:r>
                <m:nary>
                  <m:naryPr>
                    <m:chr m:val="∑"/>
                    <m:limLoc m:val="undOvr"/>
                    <m:supHide m:val="1"/>
                    <m:ctrlPr>
                      <w:rPr>
                        <w:rFonts w:ascii="Cambria Math" w:hAnsi="Cambria Math"/>
                        <w:i/>
                      </w:rPr>
                    </m:ctrlPr>
                  </m:naryPr>
                  <m:sub>
                    <m:r>
                      <m:rPr/>
                      <w:rPr>
                        <w:rFonts w:ascii="Cambria Math" w:hAnsi="Cambria Math"/>
                      </w:rPr>
                      <m:t>i</m:t>
                    </m:r>
                    <m:ctrlPr>
                      <w:rPr>
                        <w:rFonts w:ascii="Cambria Math" w:hAnsi="Cambria Math"/>
                        <w:i/>
                      </w:rPr>
                    </m:ctrlPr>
                  </m:sub>
                  <m:sup>
                    <m:ctrlPr>
                      <w:rPr>
                        <w:rFonts w:ascii="Cambria Math" w:hAnsi="Cambria Math"/>
                        <w:i/>
                      </w:rPr>
                    </m:ctrlPr>
                  </m:sup>
                  <m:e>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r>
                          <m:rPr/>
                          <w:rPr>
                            <w:rFonts w:hint="eastAsia" w:ascii="Cambria Math" w:hAnsi="Cambria Math"/>
                          </w:rPr>
                          <m:t>…</m:t>
                        </m:r>
                        <m:ctrlPr>
                          <w:rPr>
                            <w:rFonts w:ascii="Cambria Math" w:hAnsi="Cambria Math"/>
                            <w:i/>
                          </w:rPr>
                        </m:ctrlPr>
                      </m:num>
                      <m:den>
                        <m:r>
                          <m:rPr/>
                          <w:rPr>
                            <w:rFonts w:ascii="Cambria Math" w:hAnsi="Cambria Math"/>
                          </w:rPr>
                          <m:t>V</m:t>
                        </m:r>
                        <m:ctrlPr>
                          <w:rPr>
                            <w:rFonts w:ascii="Cambria Math" w:hAnsi="Cambria Math"/>
                            <w:i/>
                          </w:rPr>
                        </m:ctrlPr>
                      </m:den>
                    </m:f>
                    <m:ctrlPr>
                      <w:rPr>
                        <w:rFonts w:ascii="Cambria Math" w:hAnsi="Cambria Math"/>
                        <w:i/>
                      </w:rPr>
                    </m:ctrlPr>
                  </m:e>
                </m:nary>
                <m:r>
                  <m:rPr/>
                  <w:rPr>
                    <w:rFonts w:ascii="Cambria Math" w:hAnsi="Cambria Math"/>
                  </w:rPr>
                  <m:t>)+</m:t>
                </m:r>
                <m:nary>
                  <m:naryPr>
                    <m:chr m:val="∑"/>
                    <m:limLoc m:val="undOvr"/>
                    <m:supHide m:val="1"/>
                    <m:ctrlPr>
                      <w:rPr>
                        <w:rFonts w:ascii="Cambria Math" w:hAnsi="Cambria Math"/>
                        <w:i/>
                      </w:rPr>
                    </m:ctrlPr>
                  </m:naryPr>
                  <m:sub>
                    <m:r>
                      <m:rPr/>
                      <w:rPr>
                        <w:rFonts w:ascii="Cambria Math" w:hAnsi="Cambria Math"/>
                      </w:rPr>
                      <m:t>i</m:t>
                    </m:r>
                    <m:ctrlPr>
                      <w:rPr>
                        <w:rFonts w:ascii="Cambria Math" w:hAnsi="Cambria Math"/>
                        <w:i/>
                      </w:rPr>
                    </m:ctrlPr>
                  </m:sub>
                  <m:sup>
                    <m:ctrlPr>
                      <w:rPr>
                        <w:rFonts w:ascii="Cambria Math" w:hAnsi="Cambria Math"/>
                        <w:i/>
                      </w:rPr>
                    </m:ctrlPr>
                  </m:sup>
                  <m:e>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r>
                          <m:rPr/>
                          <w:rPr>
                            <w:rFonts w:hint="eastAsia" w:ascii="Cambria Math" w:hAnsi="Cambria Math"/>
                          </w:rPr>
                          <m:t>…</m:t>
                        </m:r>
                        <m:ctrlPr>
                          <w:rPr>
                            <w:rFonts w:ascii="Cambria Math" w:hAnsi="Cambria Math"/>
                            <w:i/>
                          </w:rPr>
                        </m:ctrlPr>
                      </m:num>
                      <m:den>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w</m:t>
                            </m:r>
                            <m:ctrlPr>
                              <w:rPr>
                                <w:rFonts w:ascii="Cambria Math" w:hAnsi="Cambria Math"/>
                                <w:i/>
                              </w:rPr>
                            </m:ctrlPr>
                          </m:sub>
                        </m:sSub>
                        <m:ctrlPr>
                          <w:rPr>
                            <w:rFonts w:ascii="Cambria Math" w:hAnsi="Cambria Math"/>
                            <w:i/>
                          </w:rPr>
                        </m:ctrlPr>
                      </m:den>
                    </m:f>
                    <m:r>
                      <m:rPr/>
                      <w:rPr>
                        <w:rFonts w:ascii="Cambria Math" w:hAnsi="Cambria Math"/>
                      </w:rPr>
                      <m:t>)</m:t>
                    </m:r>
                    <m:ctrlPr>
                      <w:rPr>
                        <w:rFonts w:ascii="Cambria Math" w:hAnsi="Cambria Math"/>
                        <w:i/>
                      </w:rPr>
                    </m:ctrlPr>
                  </m:e>
                </m:nary>
              </m:oMath>
            </m:oMathPara>
          </w:p>
        </w:tc>
        <w:tc>
          <w:tcPr>
            <w:tcW w:w="1549" w:type="dxa"/>
            <w:vAlign w:val="center"/>
          </w:tcPr>
          <w:p w14:paraId="7E2A4F39">
            <w:pPr>
              <w:jc w:val="right"/>
            </w:pPr>
            <w:r>
              <w:t>(30.2.32-2)</w:t>
            </w:r>
          </w:p>
        </w:tc>
      </w:tr>
    </w:tbl>
    <w:p w14:paraId="61464299">
      <w:pPr>
        <w:ind w:firstLine="1210" w:firstLineChars="550"/>
        <w:rPr>
          <w:sz w:val="22"/>
          <w:szCs w:val="20"/>
        </w:rPr>
      </w:pPr>
      <w:r>
        <w:rPr>
          <w:rFonts w:hint="eastAsia" w:ascii="宋体" w:hAnsi="宋体"/>
          <w:sz w:val="22"/>
          <w:szCs w:val="22"/>
        </w:rPr>
        <w:t>当</w:t>
      </w:r>
      <m:oMath>
        <m:r>
          <m:rPr/>
          <w:rPr>
            <w:rFonts w:ascii="Cambria Math" w:hAnsi="Cambria Math"/>
            <w:sz w:val="22"/>
            <w:szCs w:val="22"/>
          </w:rPr>
          <m:t>T&lt;</m:t>
        </m:r>
        <m:sSub>
          <m:sSubPr>
            <m:ctrlPr>
              <w:rPr>
                <w:rFonts w:ascii="Cambria Math" w:hAnsi="Cambria Math"/>
                <w:i/>
                <w:sz w:val="22"/>
                <w:szCs w:val="22"/>
              </w:rPr>
            </m:ctrlPr>
          </m:sSubPr>
          <m:e>
            <m:r>
              <m:rPr/>
              <w:rPr>
                <w:rFonts w:ascii="Cambria Math" w:hAnsi="Cambria Math"/>
                <w:sz w:val="22"/>
                <w:szCs w:val="22"/>
              </w:rPr>
              <m:t>T</m:t>
            </m:r>
            <m:ctrlPr>
              <w:rPr>
                <w:rFonts w:ascii="Cambria Math" w:hAnsi="Cambria Math"/>
                <w:i/>
                <w:sz w:val="22"/>
                <w:szCs w:val="22"/>
              </w:rPr>
            </m:ctrlPr>
          </m:e>
          <m:sub>
            <m:r>
              <m:rPr/>
              <w:rPr>
                <w:rFonts w:ascii="Cambria Math" w:hAnsi="Cambria Math"/>
                <w:sz w:val="22"/>
                <w:szCs w:val="22"/>
              </w:rPr>
              <m:t>max</m:t>
            </m:r>
            <m:ctrlPr>
              <w:rPr>
                <w:rFonts w:ascii="Cambria Math" w:hAnsi="Cambria Math"/>
                <w:i/>
                <w:sz w:val="22"/>
                <w:szCs w:val="22"/>
              </w:rPr>
            </m:ctrlPr>
          </m:sub>
        </m:sSub>
      </m:oMath>
      <w:r>
        <w:rPr>
          <w:rFonts w:hint="eastAsia" w:ascii="宋体" w:hAnsi="宋体"/>
          <w:sz w:val="22"/>
          <w:szCs w:val="22"/>
        </w:rPr>
        <w:t xml:space="preserve"> 时，则</w:t>
      </w:r>
    </w:p>
    <w:tbl>
      <w:tblPr>
        <w:tblStyle w:val="88"/>
        <w:tblW w:w="0" w:type="auto"/>
        <w:jc w:val="center"/>
        <w:tblLayout w:type="autofit"/>
        <w:tblCellMar>
          <w:top w:w="0" w:type="dxa"/>
          <w:left w:w="108" w:type="dxa"/>
          <w:bottom w:w="0" w:type="dxa"/>
          <w:right w:w="108" w:type="dxa"/>
        </w:tblCellMar>
      </w:tblPr>
      <w:tblGrid>
        <w:gridCol w:w="4744"/>
        <w:gridCol w:w="1596"/>
      </w:tblGrid>
      <w:tr w14:paraId="2DCF43AC">
        <w:tblPrEx>
          <w:tblCellMar>
            <w:top w:w="0" w:type="dxa"/>
            <w:left w:w="108" w:type="dxa"/>
            <w:bottom w:w="0" w:type="dxa"/>
            <w:right w:w="108" w:type="dxa"/>
          </w:tblCellMar>
        </w:tblPrEx>
        <w:trPr>
          <w:trHeight w:val="633" w:hRule="atLeast"/>
          <w:jc w:val="center"/>
        </w:trPr>
        <w:tc>
          <w:tcPr>
            <w:tcW w:w="6516" w:type="dxa"/>
            <w:vAlign w:val="center"/>
          </w:tcPr>
          <w:p w14:paraId="5F75DD84">
            <w:pPr>
              <w:adjustRightInd w:val="0"/>
              <w:snapToGrid w:val="0"/>
              <w:ind w:firstLine="400"/>
              <w:jc w:val="center"/>
              <w:rPr>
                <w:rFonts w:ascii="宋体" w:hAnsi="宋体"/>
              </w:rPr>
            </w:pPr>
            <m:oMathPara>
              <m:oMath>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max</m:t>
                    </m:r>
                    <m:ctrlPr>
                      <w:rPr>
                        <w:rFonts w:ascii="Cambria Math" w:hAnsi="Cambria Math"/>
                        <w:i/>
                      </w:rPr>
                    </m:ctrlPr>
                  </m:sub>
                </m:sSub>
                <m:r>
                  <m:rPr/>
                  <w:rPr>
                    <w:rFonts w:ascii="Cambria Math" w:hAnsi="Cambria Math"/>
                  </w:rPr>
                  <m:t>+∆T</m:t>
                </m:r>
                <m:r>
                  <m:rPr/>
                  <w:rPr>
                    <w:rFonts w:hint="eastAsia" w:ascii="Cambria Math" w:hAnsi="Cambria Math"/>
                  </w:rPr>
                  <m:t>≤</m:t>
                </m:r>
                <m:r>
                  <m:rPr/>
                  <w:rPr>
                    <w:rFonts w:ascii="Cambria Math" w:hAnsi="Cambria Math"/>
                  </w:rPr>
                  <m:t>6min</m:t>
                </m:r>
              </m:oMath>
            </m:oMathPara>
          </w:p>
        </w:tc>
        <w:tc>
          <w:tcPr>
            <w:tcW w:w="1786" w:type="dxa"/>
            <w:vAlign w:val="center"/>
          </w:tcPr>
          <w:p w14:paraId="47C00D69">
            <w:pPr>
              <w:jc w:val="right"/>
            </w:pPr>
            <w:r>
              <w:t>(30.2.32-3)</w:t>
            </w:r>
          </w:p>
        </w:tc>
      </w:tr>
      <w:tr w14:paraId="289F57E8">
        <w:tblPrEx>
          <w:tblCellMar>
            <w:top w:w="0" w:type="dxa"/>
            <w:left w:w="108" w:type="dxa"/>
            <w:bottom w:w="0" w:type="dxa"/>
            <w:right w:w="108" w:type="dxa"/>
          </w:tblCellMar>
        </w:tblPrEx>
        <w:trPr>
          <w:trHeight w:val="632" w:hRule="atLeast"/>
          <w:jc w:val="center"/>
        </w:trPr>
        <w:tc>
          <w:tcPr>
            <w:tcW w:w="6516" w:type="dxa"/>
            <w:vAlign w:val="center"/>
          </w:tcPr>
          <w:p w14:paraId="0363DEC0">
            <w:pPr>
              <w:adjustRightInd w:val="0"/>
              <w:snapToGrid w:val="0"/>
              <w:spacing w:line="240" w:lineRule="auto"/>
              <w:ind w:firstLine="403"/>
              <w:jc w:val="center"/>
              <w:rPr>
                <w:rFonts w:ascii="宋体" w:hAnsi="宋体"/>
              </w:rPr>
            </w:pPr>
            <m:oMathPara>
              <m:oMath>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max</m:t>
                    </m:r>
                    <m:ctrlPr>
                      <w:rPr>
                        <w:rFonts w:ascii="Cambria Math" w:hAnsi="Cambria Math"/>
                        <w:i/>
                      </w:rPr>
                    </m:ctrlPr>
                  </m:sub>
                </m:sSub>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max</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w</m:t>
                        </m:r>
                        <m:ctrlPr>
                          <w:rPr>
                            <w:rFonts w:ascii="Cambria Math" w:hAnsi="Cambria Math"/>
                            <w:i/>
                          </w:rPr>
                        </m:ctrlPr>
                      </m:sub>
                    </m:sSub>
                    <m:ctrlPr>
                      <w:rPr>
                        <w:rFonts w:ascii="Cambria Math" w:hAnsi="Cambria Math"/>
                        <w:i/>
                      </w:rPr>
                    </m:ctrlPr>
                  </m:den>
                </m:f>
              </m:oMath>
            </m:oMathPara>
          </w:p>
        </w:tc>
        <w:tc>
          <w:tcPr>
            <w:tcW w:w="1786" w:type="dxa"/>
            <w:vAlign w:val="center"/>
          </w:tcPr>
          <w:p w14:paraId="2965273F">
            <w:pPr>
              <w:jc w:val="right"/>
            </w:pPr>
            <w:r>
              <w:t>(30.2.32-4)</w:t>
            </w:r>
          </w:p>
        </w:tc>
      </w:tr>
    </w:tbl>
    <w:p w14:paraId="03FC25B8">
      <w:bookmarkStart w:id="2108" w:name="_Hlk19878655"/>
      <w:bookmarkStart w:id="2109" w:name="_Hlk20163444"/>
      <w:bookmarkStart w:id="2110" w:name="_Hlk20163223"/>
      <w:r>
        <w:rPr>
          <w:rFonts w:hint="eastAsia" w:ascii="宋体" w:hAnsi="宋体"/>
        </w:rPr>
        <w:t>式中：</w:t>
      </w:r>
      <w:bookmarkStart w:id="2111" w:name="_Hlk154675107"/>
      <w:r>
        <w:rPr>
          <w:rFonts w:hint="eastAsia" w:ascii="宋体" w:hAnsi="宋体"/>
        </w:rPr>
        <w:fldChar w:fldCharType="begin"/>
      </w:r>
      <w:r>
        <w:rPr>
          <w:rFonts w:hint="eastAsia" w:ascii="宋体" w:hAnsi="宋体"/>
        </w:rPr>
        <w:instrText xml:space="preserve"> QUOTE </w:instrText>
      </w:r>
      <w:r>
        <w:rPr>
          <w:position w:val="-6"/>
        </w:rPr>
        <w:pict>
          <v:shape id="_x0000_i1056" o:spt="75" type="#_x0000_t75" style="height:15pt;width:6.9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73C&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0F673C&quot; wsp:rsidRDefault=&quot;000F673C&quot; wsp:rsidP=&quot;000F673C&quot;&gt;&lt;m:oMathPara&gt;&lt;m:oMath&gt;&lt;m:r&gt;&lt;w:rPr&gt;&lt;w:rFonts w:ascii=&quot;Cambria Math&quot; w:h-ansi=&quot;Cambria Math&quot;/&gt;&lt;wx:font wx:val=&quot;Cambria Math&quot;/&gt;&lt;w:i/&gt;&lt;/w:rPr&gt;&lt;m:t&gt;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chromakey="#FFFFFF" o:title=""/>
            <o:lock v:ext="edit" aspectratio="t"/>
            <w10:wrap type="none"/>
            <w10:anchorlock/>
          </v:shape>
        </w:pict>
      </w:r>
      <w:r>
        <w:rPr>
          <w:rFonts w:hint="eastAsia" w:ascii="宋体" w:hAnsi="宋体"/>
        </w:rPr>
        <w:instrText xml:space="preserve"> </w:instrText>
      </w:r>
      <w:r>
        <w:rPr>
          <w:rFonts w:hint="eastAsia" w:ascii="宋体" w:hAnsi="宋体"/>
        </w:rPr>
        <w:fldChar w:fldCharType="separate"/>
      </w:r>
      <w:r>
        <w:rPr>
          <w:position w:val="-6"/>
        </w:rPr>
        <w:pict>
          <v:shape id="_x0000_i1057" o:spt="75" type="#_x0000_t75" style="height:15pt;width:6.9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73C&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0F673C&quot; wsp:rsidRDefault=&quot;000F673C&quot; wsp:rsidP=&quot;000F673C&quot;&gt;&lt;m:oMathPara&gt;&lt;m:oMath&gt;&lt;m:r&gt;&lt;w:rPr&gt;&lt;w:rFonts w:ascii=&quot;Cambria Math&quot; w:h-ansi=&quot;Cambria Math&quot;/&gt;&lt;wx:font wx:val=&quot;Cambria Math&quot;/&gt;&lt;w:i/&gt;&lt;/w:rPr&gt;&lt;m:t&gt;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14" chromakey="#FFFFFF" o:title=""/>
            <o:lock v:ext="edit" aspectratio="t"/>
            <w10:wrap type="none"/>
            <w10:anchorlock/>
          </v:shape>
        </w:pict>
      </w:r>
      <w:r>
        <w:rPr>
          <w:rFonts w:hint="eastAsia" w:ascii="宋体" w:hAnsi="宋体"/>
        </w:rPr>
        <w:fldChar w:fldCharType="end"/>
      </w:r>
      <w:r>
        <w:rPr>
          <w:rFonts w:hint="eastAsia" w:ascii="宋体" w:hAnsi="宋体"/>
        </w:rPr>
        <w:t>——根据车站型式，按照本标准30.2.1或30.2.2的计算结果，取相对应的</w:t>
      </w:r>
      <w:r>
        <w:rPr>
          <w:rFonts w:hint="eastAsia" w:ascii="宋体" w:hAnsi="宋体"/>
          <w:i/>
          <w:iCs/>
        </w:rPr>
        <w:t>T</w:t>
      </w:r>
      <w:r>
        <w:rPr>
          <w:rFonts w:hint="eastAsia" w:ascii="宋体" w:hAnsi="宋体"/>
          <w:i/>
          <w:iCs/>
          <w:vertAlign w:val="subscript"/>
        </w:rPr>
        <w:t>DX</w:t>
      </w:r>
      <w:r>
        <w:rPr>
          <w:rFonts w:hint="eastAsia" w:ascii="宋体" w:hAnsi="宋体"/>
        </w:rPr>
        <w:t>或</w:t>
      </w:r>
      <w:r>
        <w:rPr>
          <w:rFonts w:hint="eastAsia" w:ascii="宋体" w:hAnsi="宋体"/>
          <w:i/>
          <w:iCs/>
        </w:rPr>
        <w:t>T</w:t>
      </w:r>
      <w:r>
        <w:rPr>
          <w:rFonts w:hint="eastAsia" w:ascii="宋体" w:hAnsi="宋体"/>
          <w:i/>
          <w:iCs/>
          <w:vertAlign w:val="subscript"/>
        </w:rPr>
        <w:t>DS</w:t>
      </w:r>
      <w:r>
        <w:rPr>
          <w:rFonts w:hint="eastAsia" w:ascii="宋体" w:hAnsi="宋体"/>
        </w:rPr>
        <w:t>计算数据</w:t>
      </w:r>
      <w:r>
        <w:rPr>
          <w:rFonts w:hint="eastAsia"/>
        </w:rPr>
        <w:t>；</w:t>
      </w:r>
    </w:p>
    <w:p w14:paraId="7B3FAD6D">
      <w:pPr>
        <w:ind w:firstLine="525" w:firstLineChars="250"/>
      </w:pPr>
      <w:r>
        <w:rPr>
          <w:rFonts w:hint="eastAsia" w:ascii="宋体" w:hAnsi="宋体"/>
        </w:rPr>
        <w:fldChar w:fldCharType="begin"/>
      </w:r>
      <w:r>
        <w:rPr>
          <w:rFonts w:hint="eastAsia" w:ascii="宋体" w:hAnsi="宋体"/>
        </w:rPr>
        <w:instrText xml:space="preserve"> QUOTE </w:instrText>
      </w:r>
      <w:r>
        <w:rPr>
          <w:position w:val="-6"/>
        </w:rPr>
        <w:pict>
          <v:shape id="_x0000_i1058" o:spt="75" type="#_x0000_t75" style="height:15pt;width:11.5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4E41&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E34E41&quot; wsp:rsidRDefault=&quot;00E34E41&quot; wsp:rsidP=&quot;00E34E41&quot;&gt;&lt;m:oMathPara&gt;&lt;m:oMath&gt;&lt;m:r&gt;&lt;w:rPr&gt;&lt;w:rFonts w:ascii=&quot;Cambria Math&quot; w:h-ansi=&quot;Cambria Math&quot;/&gt;&lt;wx:font wx:val=&quot;Cambria Math&quot;/&gt;&lt;w:i/&gt;&lt;/w:rPr&gt;&lt;m:t&gt;鈭員&lt;/m:t&gt;&lt;/m:r&gt;&lt;/m:oMath&gt;&lt;/m:oMathPara&gt;&lt;/w:p&gt;&lt;w:sectPr wsp:rsidR=&quot;00000000&quot;&gt;&lt;w:pgSz w:w=&quot;12240&quot; w:h=&quot;15840&quot;/&gt;&lt;w:pgMar w:top=&quot;1440&quot; w:right=&quot;1800&quot; w:bottom=&quot;1440&quot; w:left=&quot;1800&quot; w:header=&quot;720&quot; w:footer=&quot;720&quot; w:gutter=&quot;0&quot;/&gt;&lt;w:cols w:spthththththththththththththththththththththace=&quot;720&quot;/&gt;&lt;/w:sectPr&gt;&lt;/wx:sect&gt;&lt;/w:body&gt;&lt;/w:wordDocument">
            <v:path/>
            <v:fill on="f" focussize="0,0"/>
            <v:stroke on="f" joinstyle="miter"/>
            <v:imagedata chromakey="#FFFFFF" o:title=""/>
            <o:lock v:ext="edit" aspectratio="t"/>
            <w10:wrap type="none"/>
            <w10:anchorlock/>
          </v:shape>
        </w:pict>
      </w:r>
      <w:r>
        <w:rPr>
          <w:rFonts w:hint="eastAsia" w:ascii="宋体" w:hAnsi="宋体"/>
        </w:rPr>
        <w:instrText xml:space="preserve"> </w:instrText>
      </w:r>
      <w:r>
        <w:rPr>
          <w:rFonts w:hint="eastAsia" w:ascii="宋体" w:hAnsi="宋体"/>
        </w:rPr>
        <w:fldChar w:fldCharType="separate"/>
      </w:r>
      <w:r>
        <w:rPr>
          <w:position w:val="-6"/>
        </w:rPr>
        <w:pict>
          <v:shape id="_x0000_i1059" o:spt="75" type="#_x0000_t75" style="height:15pt;width:11.5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4E41&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E34E41&quot; wsp:rsidRDefault=&quot;00E34E41&quot; wsp:rsidP=&quot;00E34E41&quot;&gt;&lt;m:oMathPara&gt;&lt;m:oMath&gt;&lt;m:r&gt;&lt;w:rPr&gt;&lt;w:rFonts w:ascii=&quot;Cambria Math&quot; w:h-ansi=&quot;Cambria Math&quot;/&gt;&lt;wx:font wx:val=&quot;Cambria Math&quot;/&gt;&lt;w:i/&gt;&lt;/w:rPr&gt;&lt;m:t&gt;鈭員&lt;/m:t&gt;&lt;/m:r&gt;&lt;/m:oMath&gt;&lt;/m:oMathPara&gt;&lt;/w:p&gt;&lt;w:sectPr wsp:rsidR=&quot;00000000&quot;&gt;&lt;w:pgSz w:w=&quot;12240&quot; w:h=&quot;15840&quot;/&gt;&lt;w:pgMar w:top=&quot;1440&quot; w:right=&quot;1800&quot; w:bottom=&quot;1440&quot; w:left=&quot;1800&quot; w:header=&quot;720&quot; w:footer=&quot;720&quot; w:gutter=&quot;0&quot;/&gt;&lt;w:cols w:spthththththththththththththththththththththace=&quot;720&quot;/&gt;&lt;/w:sectPr&gt;&lt;/wx:sect&gt;&lt;/w:body&gt;&lt;/w:wordDocument">
            <v:path/>
            <v:fill on="f" focussize="0,0"/>
            <v:stroke on="f" joinstyle="miter"/>
            <v:imagedata r:id="rId115" chromakey="#FFFFFF" o:title=""/>
            <o:lock v:ext="edit" aspectratio="t"/>
            <w10:wrap type="none"/>
            <w10:anchorlock/>
          </v:shape>
        </w:pict>
      </w:r>
      <w:r>
        <w:rPr>
          <w:rFonts w:hint="eastAsia" w:ascii="宋体" w:hAnsi="宋体"/>
        </w:rPr>
        <w:fldChar w:fldCharType="end"/>
      </w:r>
      <w:r>
        <w:rPr>
          <w:rFonts w:hint="eastAsia" w:ascii="宋体" w:hAnsi="宋体"/>
        </w:rPr>
        <w:t>——自</w:t>
      </w:r>
      <w:r>
        <w:rPr>
          <w:rFonts w:hint="eastAsia"/>
        </w:rPr>
        <w:t>站台公共区至站厅公共区或其他安全区域的疏散路径中，</w:t>
      </w:r>
      <w:r>
        <w:rPr>
          <w:rFonts w:hint="eastAsia" w:ascii="宋体" w:hAnsi="宋体"/>
        </w:rPr>
        <w:t>乘客</w:t>
      </w:r>
      <w:r>
        <w:rPr>
          <w:rFonts w:hint="eastAsia"/>
        </w:rPr>
        <w:t>通过参与疏散的楼梯或自动扶梯所用时间，以及在转换厅或中间转换段的步行时间；</w:t>
      </w:r>
    </w:p>
    <w:p w14:paraId="54ED2788">
      <w:pPr>
        <w:spacing w:line="240" w:lineRule="auto"/>
        <w:ind w:firstLine="525" w:firstLineChars="250"/>
      </w:pPr>
      <m:oMath>
        <m:f>
          <m:fPr>
            <m:ctrlPr>
              <w:rPr>
                <w:rFonts w:ascii="Cambria Math" w:hAnsi="Cambria Math"/>
              </w:rPr>
            </m:ctrlPr>
          </m:fPr>
          <m:num>
            <m:r>
              <m:rPr/>
              <w:rPr>
                <w:rFonts w:ascii="Cambria Math" w:hAnsi="Cambria Math"/>
              </w:rPr>
              <m:t>L</m:t>
            </m:r>
            <m:ctrlPr>
              <w:rPr>
                <w:rFonts w:ascii="Cambria Math" w:hAnsi="Cambria Math"/>
              </w:rPr>
            </m:ctrlPr>
          </m:num>
          <m:den>
            <m:r>
              <m:rPr/>
              <w:rPr>
                <w:rFonts w:ascii="Cambria Math" w:hAnsi="Cambria Math"/>
              </w:rPr>
              <m:t>V</m:t>
            </m:r>
            <m:ctrlPr>
              <w:rPr>
                <w:rFonts w:ascii="Cambria Math" w:hAnsi="Cambria Math"/>
              </w:rPr>
            </m:ctrlPr>
          </m:den>
        </m:f>
      </m:oMath>
      <w:r>
        <w:rPr>
          <w:rFonts w:hint="eastAsia" w:ascii="宋体" w:hAnsi="宋体"/>
        </w:rPr>
        <w:fldChar w:fldCharType="begin"/>
      </w:r>
      <w:r>
        <w:rPr>
          <w:rFonts w:hint="eastAsia" w:ascii="宋体" w:hAnsi="宋体"/>
        </w:rPr>
        <w:instrText xml:space="preserve"> QUOTE </w:instrText>
      </w:r>
      <w:r>
        <w:rPr>
          <w:position w:val="-6"/>
        </w:rPr>
        <w:pict>
          <v:shape id="_x0000_i1060" o:spt="75" type="#_x0000_t75" style="height:15pt;width:6.9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0E9&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4B10E9&quot; wsp:rsidRDefault=&quot;004B10E9&quot; wsp:rsidP=&quot;004B10E9&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L&lt;/m:t&gt;&lt;/m:r&gt;&lt;/m:num&gt;&lt;m:den&gt;&lt;m:r&gt;&lt;w:rPr&gt;&lt;w:rFonts w:ascii=&quot;Cambria Math&quot; w:h-ansi=&quot;Cambria Math&quot;/&gt;&lt;wx:font wx:val=&quot;Cambria Math&quot;/&gt;&lt;w:i/&gt;&lt;w:sz w:val=&quot;28&quot;/&gt;&lt;w:sz-cs w:val=&quot;28&quot;/&gt;&lt;/w:rPr&gt;&lt;m:t&gt;V&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chromakey="#FFFFFF" o:title=""/>
            <o:lock v:ext="edit" aspectratio="t"/>
            <w10:wrap type="none"/>
            <w10:anchorlock/>
          </v:shape>
        </w:pict>
      </w:r>
      <w:r>
        <w:rPr>
          <w:rFonts w:hint="eastAsia" w:ascii="宋体" w:hAnsi="宋体"/>
        </w:rPr>
        <w:instrText xml:space="preserve"> </w:instrText>
      </w:r>
      <w:r>
        <w:rPr>
          <w:rFonts w:hint="eastAsia" w:ascii="宋体" w:hAnsi="宋体"/>
        </w:rPr>
        <w:fldChar w:fldCharType="end"/>
      </w:r>
      <w:r>
        <w:rPr>
          <w:rFonts w:hint="eastAsia" w:ascii="宋体" w:hAnsi="宋体"/>
        </w:rPr>
        <w:t>——自</w:t>
      </w:r>
      <w:r>
        <w:rPr>
          <w:rFonts w:hint="eastAsia"/>
        </w:rPr>
        <w:t>站台公共区至站厅公共区或其他安全区域的疏散路径中，</w:t>
      </w:r>
      <w:r>
        <w:rPr>
          <w:rFonts w:hint="eastAsia" w:ascii="宋体" w:hAnsi="宋体"/>
        </w:rPr>
        <w:t>乘客</w:t>
      </w:r>
      <w:r>
        <w:rPr>
          <w:rFonts w:hint="eastAsia"/>
        </w:rPr>
        <w:t>通过参与疏散的楼梯或自动扶梯的时间，当疏散路径中存在接力式楼梯或自动扶梯分段提升时，需要合计各段提升的时间；</w:t>
      </w:r>
    </w:p>
    <w:p w14:paraId="29126CD7">
      <w:pPr>
        <w:spacing w:line="240" w:lineRule="auto"/>
        <w:ind w:firstLine="525" w:firstLineChars="250"/>
      </w:pPr>
      <m:oMath>
        <m:f>
          <m:fPr>
            <m:ctrlPr>
              <w:rPr>
                <w:rFonts w:ascii="Cambria Math" w:hAnsi="Cambria Math"/>
              </w:rPr>
            </m:ctrlPr>
          </m:fPr>
          <m:num>
            <m:r>
              <m:rPr/>
              <w:rPr>
                <w:rFonts w:ascii="Cambria Math" w:hAnsi="Cambria Math"/>
              </w:rPr>
              <m:t>l</m:t>
            </m:r>
            <m:ctrlPr>
              <w:rPr>
                <w:rFonts w:ascii="Cambria Math" w:hAnsi="Cambria Math"/>
              </w:rPr>
            </m:ctrlPr>
          </m:num>
          <m:den>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w</m:t>
                </m:r>
                <m:ctrlPr>
                  <w:rPr>
                    <w:rFonts w:ascii="Cambria Math" w:hAnsi="Cambria Math"/>
                    <w:i/>
                  </w:rPr>
                </m:ctrlPr>
              </m:sub>
            </m:sSub>
            <m:ctrlPr>
              <w:rPr>
                <w:rFonts w:ascii="Cambria Math" w:hAnsi="Cambria Math"/>
              </w:rPr>
            </m:ctrlPr>
          </m:den>
        </m:f>
      </m:oMath>
      <w:r>
        <w:rPr>
          <w:rFonts w:hint="eastAsia" w:ascii="宋体" w:hAnsi="宋体"/>
        </w:rPr>
        <w:fldChar w:fldCharType="begin"/>
      </w:r>
      <w:r>
        <w:rPr>
          <w:rFonts w:hint="eastAsia" w:ascii="宋体" w:hAnsi="宋体"/>
        </w:rPr>
        <w:instrText xml:space="preserve"> QUOTE </w:instrText>
      </w:r>
      <w:r>
        <w:rPr>
          <w:position w:val="-6"/>
        </w:rPr>
        <w:pict>
          <v:shape id="_x0000_i1061" o:spt="75" type="#_x0000_t75" style="height:15pt;width:11.5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A7E64&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4A7E64&quot; wsp:rsidRDefault=&quot;004A7E64&quot; wsp:rsidP=&quot;004A7E64&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l&lt;/m:t&gt;&lt;/m:r&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w&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chromakey="#FFFFFF" o:title=""/>
            <o:lock v:ext="edit" aspectratio="t"/>
            <w10:wrap type="none"/>
            <w10:anchorlock/>
          </v:shape>
        </w:pict>
      </w:r>
      <w:r>
        <w:rPr>
          <w:rFonts w:hint="eastAsia" w:ascii="宋体" w:hAnsi="宋体"/>
        </w:rPr>
        <w:instrText xml:space="preserve"> </w:instrText>
      </w:r>
      <w:r>
        <w:rPr>
          <w:rFonts w:hint="eastAsia" w:ascii="宋体" w:hAnsi="宋体"/>
        </w:rPr>
        <w:fldChar w:fldCharType="end"/>
      </w:r>
      <w:r>
        <w:rPr>
          <w:rFonts w:hint="eastAsia" w:ascii="宋体" w:hAnsi="宋体"/>
        </w:rPr>
        <w:t>——乘客自</w:t>
      </w:r>
      <w:r>
        <w:rPr>
          <w:rFonts w:hint="eastAsia"/>
        </w:rPr>
        <w:t>站台公共区至站厅公共区或其他安全区域的疏散路径中，在转换厅或中间转换段的步行时间，当存在多段步行时，需要合计各段步行的时间，当不存在转换厅或中间转换段时，此时间不计；</w:t>
      </w:r>
    </w:p>
    <w:p w14:paraId="42E6452E">
      <w:pPr>
        <w:ind w:firstLine="525" w:firstLineChars="250"/>
        <w:rPr>
          <w:rFonts w:ascii="宋体" w:hAnsi="宋体"/>
        </w:rPr>
      </w:pPr>
      <w:r>
        <w:rPr>
          <w:rFonts w:hint="eastAsia" w:ascii="宋体" w:hAnsi="宋体"/>
        </w:rPr>
        <w:fldChar w:fldCharType="begin"/>
      </w:r>
      <w:r>
        <w:rPr>
          <w:rFonts w:hint="eastAsia" w:ascii="宋体" w:hAnsi="宋体"/>
        </w:rPr>
        <w:instrText xml:space="preserve"> QUOTE </w:instrText>
      </w:r>
      <w:r>
        <w:rPr>
          <w:position w:val="-6"/>
        </w:rPr>
        <w:pict>
          <v:shape id="_x0000_i1062" o:spt="75" type="#_x0000_t75" style="height:15pt;width:21.9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4E&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7D144E&quot; wsp:rsidRDefault=&quot;007D144E&quot; wsp:rsidP=&quot;007D144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chromakey="#FFFFFF" o:title=""/>
            <o:lock v:ext="edit" aspectratio="t"/>
            <w10:wrap type="none"/>
            <w10:anchorlock/>
          </v:shape>
        </w:pict>
      </w:r>
      <w:r>
        <w:rPr>
          <w:rFonts w:hint="eastAsia" w:ascii="宋体" w:hAnsi="宋体"/>
        </w:rPr>
        <w:instrText xml:space="preserve"> </w:instrText>
      </w:r>
      <w:r>
        <w:rPr>
          <w:rFonts w:hint="eastAsia" w:ascii="宋体" w:hAnsi="宋体"/>
        </w:rPr>
        <w:fldChar w:fldCharType="separate"/>
      </w:r>
      <w:r>
        <w:rPr>
          <w:position w:val="-6"/>
        </w:rPr>
        <w:pict>
          <v:shape id="_x0000_i1063" o:spt="75" type="#_x0000_t75" style="height:15pt;width:21.9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4E&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7D144E&quot; wsp:rsidRDefault=&quot;007D144E&quot; wsp:rsidP=&quot;007D144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16" chromakey="#FFFFFF" o:title=""/>
            <o:lock v:ext="edit" aspectratio="t"/>
            <w10:wrap type="none"/>
            <w10:anchorlock/>
          </v:shape>
        </w:pict>
      </w:r>
      <w:r>
        <w:rPr>
          <w:rFonts w:hint="eastAsia" w:ascii="宋体" w:hAnsi="宋体"/>
        </w:rPr>
        <w:fldChar w:fldCharType="end"/>
      </w:r>
      <w:r>
        <w:rPr>
          <w:rFonts w:hint="eastAsia" w:ascii="宋体" w:hAnsi="宋体"/>
        </w:rPr>
        <w:t>——</w:t>
      </w:r>
      <w:r>
        <w:rPr>
          <w:rFonts w:hint="eastAsia"/>
        </w:rPr>
        <w:t>乘客自距</w:t>
      </w:r>
      <w:r>
        <w:rPr>
          <w:rFonts w:hint="eastAsia" w:ascii="宋体" w:hAnsi="宋体"/>
        </w:rPr>
        <w:t>离站台公共区安全出口最远的列车车门步行至该安全出口的走行时间(min)；</w:t>
      </w:r>
    </w:p>
    <w:p w14:paraId="16F8BDB8">
      <w:pPr>
        <w:ind w:firstLine="525" w:firstLineChars="250"/>
      </w:pPr>
      <w:r>
        <w:rPr>
          <w:rFonts w:hint="eastAsia" w:ascii="宋体" w:hAnsi="宋体"/>
        </w:rPr>
        <w:fldChar w:fldCharType="begin"/>
      </w:r>
      <w:r>
        <w:rPr>
          <w:rFonts w:hint="eastAsia" w:ascii="宋体" w:hAnsi="宋体"/>
        </w:rPr>
        <w:instrText xml:space="preserve"> QUOTE </w:instrText>
      </w:r>
      <w:r>
        <w:rPr>
          <w:position w:val="-6"/>
        </w:rPr>
        <w:pict>
          <v:shape id="_x0000_i1064" o:spt="75" type="#_x0000_t75" style="height:15pt;width:23.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97F56&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A97F56&quot; wsp:rsidRDefault=&quot;00A97F56&quot; wsp:rsidP=&quot;00A97F5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chromakey="#FFFFFF" o:title=""/>
            <o:lock v:ext="edit" aspectratio="t"/>
            <w10:wrap type="none"/>
            <w10:anchorlock/>
          </v:shape>
        </w:pict>
      </w:r>
      <w:r>
        <w:rPr>
          <w:rFonts w:hint="eastAsia" w:ascii="宋体" w:hAnsi="宋体"/>
        </w:rPr>
        <w:instrText xml:space="preserve"> </w:instrText>
      </w:r>
      <w:r>
        <w:rPr>
          <w:rFonts w:hint="eastAsia" w:ascii="宋体" w:hAnsi="宋体"/>
        </w:rPr>
        <w:fldChar w:fldCharType="separate"/>
      </w:r>
      <w:r>
        <w:rPr>
          <w:position w:val="-6"/>
        </w:rPr>
        <w:pict>
          <v:shape id="_x0000_i1065" o:spt="75" type="#_x0000_t75" style="height:15pt;width:23.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97F56&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A97F56&quot; wsp:rsidRDefault=&quot;00A97F56&quot; wsp:rsidP=&quot;00A97F5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17" chromakey="#FFFFFF" o:title=""/>
            <o:lock v:ext="edit" aspectratio="t"/>
            <w10:wrap type="none"/>
            <w10:anchorlock/>
          </v:shape>
        </w:pict>
      </w:r>
      <w:r>
        <w:rPr>
          <w:rFonts w:hint="eastAsia" w:ascii="宋体" w:hAnsi="宋体"/>
        </w:rPr>
        <w:fldChar w:fldCharType="end"/>
      </w:r>
      <w:r>
        <w:rPr>
          <w:rFonts w:hint="eastAsia" w:ascii="宋体" w:hAnsi="宋体"/>
        </w:rPr>
        <w:t>——</w:t>
      </w:r>
      <w:r>
        <w:rPr>
          <w:rFonts w:hint="eastAsia"/>
        </w:rPr>
        <w:t>距离站台公共区安全出口最远</w:t>
      </w:r>
      <w:r>
        <w:rPr>
          <w:rFonts w:hint="eastAsia" w:ascii="宋体" w:hAnsi="宋体"/>
        </w:rPr>
        <w:t>的列车车门至该安全出口的走行距离（m）</w:t>
      </w:r>
      <w:r>
        <w:rPr>
          <w:rFonts w:hint="eastAsia"/>
        </w:rPr>
        <w:t>。</w:t>
      </w:r>
    </w:p>
    <w:p w14:paraId="5F9304AC">
      <w:pPr>
        <w:spacing w:line="240" w:lineRule="auto"/>
        <w:ind w:left="850" w:leftChars="135" w:hanging="567" w:hangingChars="378"/>
        <w:rPr>
          <w:sz w:val="15"/>
          <w:szCs w:val="15"/>
        </w:rPr>
      </w:pPr>
      <w:r>
        <w:rPr>
          <w:rFonts w:hint="eastAsia"/>
          <w:sz w:val="15"/>
          <w:szCs w:val="15"/>
        </w:rPr>
        <w:t>注：</w:t>
      </w:r>
      <w:r>
        <w:rPr>
          <w:sz w:val="15"/>
          <w:szCs w:val="15"/>
        </w:rPr>
        <w:t>1</w:t>
      </w:r>
      <w:r>
        <w:rPr>
          <w:rFonts w:hint="eastAsia"/>
          <w:sz w:val="15"/>
          <w:szCs w:val="15"/>
        </w:rPr>
        <w:t xml:space="preserve">  在公式</w:t>
      </w:r>
      <w:r>
        <w:rPr>
          <w:sz w:val="15"/>
          <w:szCs w:val="15"/>
        </w:rPr>
        <w:t>30.2.7-2</w:t>
      </w:r>
      <w:r>
        <w:rPr>
          <w:rFonts w:hint="eastAsia"/>
          <w:sz w:val="15"/>
          <w:szCs w:val="15"/>
        </w:rPr>
        <w:t>中，</w:t>
      </w:r>
      <m:oMath>
        <m:f>
          <m:fPr>
            <m:ctrlPr>
              <w:rPr>
                <w:rFonts w:ascii="Cambria Math" w:hAnsi="Cambria Math"/>
                <w:sz w:val="15"/>
                <w:szCs w:val="15"/>
              </w:rPr>
            </m:ctrlPr>
          </m:fPr>
          <m:num>
            <m:r>
              <m:rPr/>
              <w:rPr>
                <w:rFonts w:ascii="Cambria Math" w:hAnsi="Cambria Math"/>
                <w:sz w:val="15"/>
                <w:szCs w:val="15"/>
              </w:rPr>
              <m:t>L</m:t>
            </m:r>
            <m:ctrlPr>
              <w:rPr>
                <w:rFonts w:ascii="Cambria Math" w:hAnsi="Cambria Math"/>
                <w:sz w:val="15"/>
                <w:szCs w:val="15"/>
              </w:rPr>
            </m:ctrlPr>
          </m:num>
          <m:den>
            <m:r>
              <m:rPr/>
              <w:rPr>
                <w:rFonts w:ascii="Cambria Math" w:hAnsi="Cambria Math"/>
                <w:sz w:val="15"/>
                <w:szCs w:val="15"/>
              </w:rPr>
              <m:t>V</m:t>
            </m:r>
            <m:ctrlPr>
              <w:rPr>
                <w:rFonts w:ascii="Cambria Math" w:hAnsi="Cambria Math"/>
                <w:sz w:val="15"/>
                <w:szCs w:val="15"/>
              </w:rPr>
            </m:ctrlPr>
          </m:den>
        </m:f>
      </m:oMath>
      <w:r>
        <w:rPr>
          <w:sz w:val="15"/>
          <w:szCs w:val="15"/>
        </w:rPr>
        <w:fldChar w:fldCharType="begin"/>
      </w:r>
      <w:r>
        <w:rPr>
          <w:sz w:val="15"/>
          <w:szCs w:val="15"/>
        </w:rPr>
        <w:instrText xml:space="preserve"> QUOTE </w:instrText>
      </w:r>
      <w:r>
        <w:rPr>
          <w:sz w:val="15"/>
          <w:szCs w:val="15"/>
        </w:rPr>
        <w:pict>
          <v:shape id="_x0000_i1066" o:spt="75" type="#_x0000_t75" style="height:15pt;width: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3D6&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2423D6&quot; wsp:rsidRDefault=&quot;002423D6&quot; wsp:rsidP=&quot;002423D6&quot;&gt;&lt;m:oMathPara&gt;&lt;m:oMath&gt;&lt;m:f&gt;&lt;m:fPr&gt;&lt;m:ctrlPr&gt;&lt;w:rPr&gt;&lt;w:rFonts w:ascii=&quot;Cambria Math&quot; w:h-ansi=&quot;Cambria Math&quot;/&gt;&lt;wx:font wx:val=&quot;Cambria Math&quot;/&gt;&lt;w:b-cs/&gt;&lt;w:sz w:val=&quot;22&quot;/&gt;&lt;w:sz-cs w:val=&quot;22&quot;/&gt;&lt;/w:rPr&gt;&lt;/m:ctrlPr&gt;&lt;/m:fPr&gt;&lt;m:num&gt;&lt;m:r&gt;&lt;w:rPr&gt;&lt;w:rFonts w:ascii=&quot;Cambria Math&quot; w:h-ansi=&quot;Cambria Math&quot;/&gt;&lt;wx:font wx:val=&quot;Cambria Math&quot;/&gt;&lt;w:b-cs/&gt;&lt;w:i/&gt;&lt;w:sz w:val=&quot;22&quot;/&gt;&lt;w:sz-cs w:val=&quot;22&quot;/&gt;&lt;/w:rPr&gt;&lt;m:t&gt;L&lt;/m:t&gt;&lt;/m:r&gt;&lt;/m:num&gt;&lt;m:den&gt;&lt;m:r&gt;&lt;w:rPr&gt;&lt;w:rFonts w:ascii=&quot;Cambria Math&quot; w:h-ansi=&quot;Cambria Math&quot;/&gt;&lt;wx:font wx:val=&quot;Cambria Math&quot;/&gt;&lt;w:b-cs/&gt;&lt;w:i/&gt;&lt;w:sz w:val=&quot;22&quot;/&gt;&lt;w:sz-cs w:val=&quot;22&quot;/&gt;&lt;/w:rPr&gt;&lt;m:t&gt;V&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chromakey="#FFFFFF" o:title=""/>
            <o:lock v:ext="edit" aspectratio="t"/>
            <w10:wrap type="none"/>
            <w10:anchorlock/>
          </v:shape>
        </w:pict>
      </w:r>
      <w:r>
        <w:rPr>
          <w:sz w:val="15"/>
          <w:szCs w:val="15"/>
        </w:rPr>
        <w:instrText xml:space="preserve"> </w:instrText>
      </w:r>
      <w:r>
        <w:rPr>
          <w:sz w:val="15"/>
          <w:szCs w:val="15"/>
        </w:rPr>
        <w:fldChar w:fldCharType="end"/>
      </w:r>
      <w:r>
        <w:rPr>
          <w:rFonts w:hint="eastAsia"/>
          <w:sz w:val="15"/>
          <w:szCs w:val="15"/>
        </w:rPr>
        <w:t>需要分别核验乘客通过参与疏散的楼梯或自动扶梯的时间，取大者参与计算；</w:t>
      </w:r>
    </w:p>
    <w:p w14:paraId="2627299B">
      <w:pPr>
        <w:spacing w:line="240" w:lineRule="auto"/>
        <w:ind w:left="850" w:leftChars="270" w:hanging="283" w:hangingChars="189"/>
        <w:rPr>
          <w:sz w:val="15"/>
          <w:szCs w:val="15"/>
        </w:rPr>
      </w:pPr>
      <w:r>
        <w:rPr>
          <w:sz w:val="15"/>
          <w:szCs w:val="15"/>
        </w:rPr>
        <w:t>2</w:t>
      </w:r>
      <w:r>
        <w:rPr>
          <w:rFonts w:hint="eastAsia"/>
          <w:sz w:val="15"/>
          <w:szCs w:val="15"/>
        </w:rPr>
        <w:t xml:space="preserve">  在公式</w:t>
      </w:r>
      <w:r>
        <w:rPr>
          <w:sz w:val="15"/>
          <w:szCs w:val="15"/>
        </w:rPr>
        <w:t>30.2.7-2</w:t>
      </w:r>
      <w:r>
        <w:rPr>
          <w:rFonts w:hint="eastAsia"/>
          <w:sz w:val="15"/>
          <w:szCs w:val="15"/>
        </w:rPr>
        <w:t>中，自动扶梯长度（m）按照上下基点之间的斜线距离计，楼梯长度（m）按照梯段起终踏步之间的斜线距离计，楼梯下行速度按平均</w:t>
      </w:r>
      <w:r>
        <w:rPr>
          <w:sz w:val="15"/>
          <w:szCs w:val="15"/>
        </w:rPr>
        <w:t>0.60</w:t>
      </w:r>
      <w:r>
        <w:rPr>
          <w:rFonts w:hint="eastAsia"/>
          <w:sz w:val="15"/>
          <w:szCs w:val="15"/>
        </w:rPr>
        <w:t>m</w:t>
      </w:r>
      <w:r>
        <w:rPr>
          <w:sz w:val="15"/>
          <w:szCs w:val="15"/>
        </w:rPr>
        <w:t>/s</w:t>
      </w:r>
      <w:r>
        <w:rPr>
          <w:rFonts w:hint="eastAsia"/>
          <w:sz w:val="15"/>
          <w:szCs w:val="15"/>
        </w:rPr>
        <w:t>计，楼梯上行速度按平均</w:t>
      </w:r>
      <w:r>
        <w:rPr>
          <w:sz w:val="15"/>
          <w:szCs w:val="15"/>
        </w:rPr>
        <w:t>0.40</w:t>
      </w:r>
      <w:r>
        <w:rPr>
          <w:rFonts w:hint="eastAsia"/>
          <w:sz w:val="15"/>
          <w:szCs w:val="15"/>
        </w:rPr>
        <w:t>m</w:t>
      </w:r>
      <w:r>
        <w:rPr>
          <w:sz w:val="15"/>
          <w:szCs w:val="15"/>
        </w:rPr>
        <w:t>/s</w:t>
      </w:r>
      <w:r>
        <w:rPr>
          <w:rFonts w:hint="eastAsia"/>
          <w:sz w:val="15"/>
          <w:szCs w:val="15"/>
        </w:rPr>
        <w:t>计，乘客的步行速度按平均</w:t>
      </w:r>
      <w:r>
        <w:rPr>
          <w:sz w:val="15"/>
          <w:szCs w:val="15"/>
        </w:rPr>
        <w:t>60m/min</w:t>
      </w:r>
      <w:r>
        <w:rPr>
          <w:rFonts w:hint="eastAsia"/>
          <w:sz w:val="15"/>
          <w:szCs w:val="15"/>
        </w:rPr>
        <w:t>计。</w:t>
      </w:r>
    </w:p>
    <w:bookmarkEnd w:id="2103"/>
    <w:bookmarkEnd w:id="2108"/>
    <w:bookmarkEnd w:id="2109"/>
    <w:bookmarkEnd w:id="2110"/>
    <w:bookmarkEnd w:id="2111"/>
    <w:p w14:paraId="4773E118">
      <w:pPr>
        <w:numPr>
          <w:ilvl w:val="2"/>
          <w:numId w:val="1"/>
        </w:numPr>
        <w:tabs>
          <w:tab w:val="left" w:pos="794"/>
          <w:tab w:val="left" w:pos="851"/>
          <w:tab w:val="left" w:pos="935"/>
          <w:tab w:val="left" w:pos="1502"/>
        </w:tabs>
        <w:outlineLvl w:val="2"/>
      </w:pPr>
      <w:r>
        <w:rPr>
          <w:rFonts w:hint="eastAsia"/>
        </w:rPr>
        <w:t>车站站厅付费区和非付费区之间的栅栏应在不同方向设置疏散门，疏散门应采用向疏散方向开启的平开门；自动检票机和栅栏疏散门的通过能力不应低于</w:t>
      </w:r>
      <w:r>
        <w:rPr>
          <w:rFonts w:hint="eastAsia"/>
          <w:b/>
        </w:rPr>
        <w:t>站台到站厅用于疏散的楼扶梯总</w:t>
      </w:r>
      <w:r>
        <w:rPr>
          <w:rFonts w:hint="eastAsia"/>
        </w:rPr>
        <w:t>通过能力，并应按下列公式计算：</w:t>
      </w:r>
    </w:p>
    <w:p w14:paraId="438F41FE">
      <w:pPr>
        <w:spacing w:after="160" w:line="278" w:lineRule="auto"/>
        <w:jc w:val="right"/>
        <w:rPr>
          <w:szCs w:val="18"/>
        </w:rPr>
      </w:pPr>
      <m:oMath>
        <m:sSub>
          <m:sSubPr>
            <m:ctrlPr>
              <w:rPr>
                <w:rFonts w:ascii="Cambria Math" w:hAnsi="Cambria Math" w:eastAsia="Cambria Math"/>
                <w:i/>
                <w:sz w:val="22"/>
              </w:rPr>
            </m:ctrlPr>
          </m:sSubPr>
          <m:e>
            <m:r>
              <m:rPr/>
              <w:rPr>
                <w:rFonts w:ascii="Cambria Math" w:hAnsi="Cambria Math" w:eastAsia="Cambria Math"/>
                <w:sz w:val="22"/>
              </w:rPr>
              <m:t>A</m:t>
            </m:r>
            <m:ctrlPr>
              <w:rPr>
                <w:rFonts w:ascii="Cambria Math" w:hAnsi="Cambria Math" w:eastAsia="Cambria Math"/>
                <w:i/>
                <w:sz w:val="22"/>
              </w:rPr>
            </m:ctrlPr>
          </m:e>
          <m:sub>
            <m:r>
              <m:rPr/>
              <w:rPr>
                <w:rFonts w:ascii="Cambria Math" w:hAnsi="Cambria Math" w:eastAsia="等线"/>
                <w:sz w:val="22"/>
              </w:rPr>
              <m:t>jm</m:t>
            </m:r>
            <m:ctrlPr>
              <w:rPr>
                <w:rFonts w:ascii="Cambria Math" w:hAnsi="Cambria Math" w:eastAsia="Cambria Math"/>
                <w:i/>
                <w:sz w:val="22"/>
              </w:rPr>
            </m:ctrlPr>
          </m:sub>
        </m:sSub>
        <m:sSub>
          <m:sSubPr>
            <m:ctrlPr>
              <w:rPr>
                <w:rFonts w:ascii="Cambria Math" w:hAnsi="Cambria Math" w:eastAsia="Cambria Math"/>
                <w:i/>
                <w:sz w:val="22"/>
              </w:rPr>
            </m:ctrlPr>
          </m:sSubPr>
          <m:e>
            <m:r>
              <m:rPr/>
              <w:rPr>
                <w:rFonts w:ascii="Cambria Math" w:hAnsi="Cambria Math" w:eastAsia="Cambria Math"/>
                <w:sz w:val="22"/>
              </w:rPr>
              <m:t>N</m:t>
            </m:r>
            <m:ctrlPr>
              <w:rPr>
                <w:rFonts w:ascii="Cambria Math" w:hAnsi="Cambria Math" w:eastAsia="Cambria Math"/>
                <w:i/>
                <w:sz w:val="22"/>
              </w:rPr>
            </m:ctrlPr>
          </m:e>
          <m:sub>
            <m:r>
              <m:rPr/>
              <w:rPr>
                <w:rFonts w:ascii="Cambria Math" w:hAnsi="Cambria Math" w:eastAsia="Cambria Math"/>
                <w:sz w:val="22"/>
              </w:rPr>
              <m:t>j</m:t>
            </m:r>
            <m:ctrlPr>
              <w:rPr>
                <w:rFonts w:ascii="Cambria Math" w:hAnsi="Cambria Math" w:eastAsia="Cambria Math"/>
                <w:i/>
                <w:sz w:val="22"/>
              </w:rPr>
            </m:ctrlPr>
          </m:sub>
        </m:sSub>
        <m:r>
          <m:rPr/>
          <w:rPr>
            <w:rFonts w:ascii="Cambria Math" w:hAnsi="Cambria Math" w:eastAsia="Cambria Math"/>
            <w:sz w:val="22"/>
          </w:rPr>
          <m:t>+</m:t>
        </m:r>
        <m:sSub>
          <m:sSubPr>
            <m:ctrlPr>
              <w:rPr>
                <w:rFonts w:ascii="Cambria Math" w:hAnsi="Cambria Math" w:eastAsia="Cambria Math"/>
                <w:sz w:val="22"/>
              </w:rPr>
            </m:ctrlPr>
          </m:sSubPr>
          <m:e>
            <m:r>
              <m:rPr>
                <m:sty m:val="p"/>
              </m:rPr>
              <w:rPr>
                <w:rFonts w:ascii="Cambria Math" w:hAnsi="Cambria Math" w:eastAsia="Cambria Math"/>
                <w:sz w:val="22"/>
              </w:rPr>
              <m:t>B</m:t>
            </m:r>
            <m:ctrlPr>
              <w:rPr>
                <w:rFonts w:ascii="Cambria Math" w:hAnsi="Cambria Math" w:eastAsia="Cambria Math"/>
                <w:sz w:val="22"/>
              </w:rPr>
            </m:ctrlPr>
          </m:e>
          <m:sub>
            <m:r>
              <m:rPr/>
              <w:rPr>
                <w:rFonts w:ascii="Cambria Math" w:hAnsi="Cambria Math" w:eastAsia="等线"/>
                <w:sz w:val="22"/>
              </w:rPr>
              <m:t>m</m:t>
            </m:r>
            <m:ctrlPr>
              <w:rPr>
                <w:rFonts w:ascii="Cambria Math" w:hAnsi="Cambria Math" w:eastAsia="Cambria Math"/>
                <w:sz w:val="22"/>
              </w:rPr>
            </m:ctrlPr>
          </m:sub>
        </m:sSub>
        <m:sSub>
          <m:sSubPr>
            <m:ctrlPr>
              <w:rPr>
                <w:rFonts w:ascii="Cambria Math" w:hAnsi="Cambria Math" w:eastAsia="等线"/>
                <w:i/>
                <w:sz w:val="22"/>
              </w:rPr>
            </m:ctrlPr>
          </m:sSubPr>
          <m:e>
            <m:r>
              <m:rPr/>
              <w:rPr>
                <w:rFonts w:ascii="Cambria Math" w:hAnsi="Cambria Math" w:eastAsia="等线"/>
                <w:sz w:val="22"/>
              </w:rPr>
              <m:t>A</m:t>
            </m:r>
            <m:ctrlPr>
              <w:rPr>
                <w:rFonts w:ascii="Cambria Math" w:hAnsi="Cambria Math" w:eastAsia="等线"/>
                <w:i/>
                <w:sz w:val="22"/>
              </w:rPr>
            </m:ctrlPr>
          </m:e>
          <m:sub>
            <m:r>
              <m:rPr/>
              <w:rPr>
                <w:rFonts w:ascii="Cambria Math" w:hAnsi="Cambria Math" w:eastAsia="等线"/>
                <w:sz w:val="22"/>
              </w:rPr>
              <m:t>m</m:t>
            </m:r>
            <m:ctrlPr>
              <w:rPr>
                <w:rFonts w:ascii="Cambria Math" w:hAnsi="Cambria Math" w:eastAsia="等线"/>
                <w:i/>
                <w:sz w:val="22"/>
              </w:rPr>
            </m:ctrlPr>
          </m:sub>
        </m:sSub>
        <m:r>
          <m:rPr/>
          <w:rPr>
            <w:rFonts w:hint="eastAsia" w:ascii="Cambria Math" w:hAnsi="Cambria Math" w:eastAsia="Cambria Math"/>
            <w:sz w:val="22"/>
          </w:rPr>
          <m:t>≥</m:t>
        </m:r>
        <m:sSub>
          <m:sSubPr>
            <m:ctrlPr>
              <w:rPr>
                <w:rFonts w:ascii="Cambria Math" w:hAnsi="Cambria Math" w:eastAsia="Cambria Math"/>
                <w:sz w:val="22"/>
              </w:rPr>
            </m:ctrlPr>
          </m:sSubPr>
          <m:e>
            <m:r>
              <m:rPr>
                <m:sty m:val="p"/>
              </m:rPr>
              <w:rPr>
                <w:rFonts w:ascii="Cambria Math" w:hAnsi="Cambria Math" w:eastAsia="Cambria Math"/>
                <w:sz w:val="22"/>
              </w:rPr>
              <m:t>A</m:t>
            </m:r>
            <m:ctrlPr>
              <w:rPr>
                <w:rFonts w:ascii="Cambria Math" w:hAnsi="Cambria Math" w:eastAsia="Cambria Math"/>
                <w:sz w:val="22"/>
              </w:rPr>
            </m:ctrlPr>
          </m:e>
          <m:sub>
            <m:r>
              <m:rPr/>
              <w:rPr>
                <w:rFonts w:ascii="Cambria Math" w:hAnsi="Cambria Math" w:eastAsia="Cambria Math"/>
                <w:sz w:val="22"/>
              </w:rPr>
              <m:t>S</m:t>
            </m:r>
            <m:ctrlPr>
              <w:rPr>
                <w:rFonts w:ascii="Cambria Math" w:hAnsi="Cambria Math" w:eastAsia="Cambria Math"/>
                <w:sz w:val="22"/>
              </w:rPr>
            </m:ctrlPr>
          </m:sub>
        </m:sSub>
        <m:sSub>
          <m:sSubPr>
            <m:ctrlPr>
              <w:rPr>
                <w:rFonts w:ascii="Cambria Math" w:hAnsi="Cambria Math" w:eastAsia="等线"/>
                <w:i/>
                <w:sz w:val="22"/>
              </w:rPr>
            </m:ctrlPr>
          </m:sSubPr>
          <m:e>
            <m:r>
              <m:rPr/>
              <w:rPr>
                <w:rFonts w:ascii="Cambria Math" w:hAnsi="Cambria Math" w:eastAsia="等线"/>
                <w:sz w:val="22"/>
              </w:rPr>
              <m:t>N</m:t>
            </m:r>
            <m:ctrlPr>
              <w:rPr>
                <w:rFonts w:ascii="Cambria Math" w:hAnsi="Cambria Math" w:eastAsia="等线"/>
                <w:i/>
                <w:sz w:val="22"/>
              </w:rPr>
            </m:ctrlPr>
          </m:e>
          <m:sub>
            <m:r>
              <m:rPr/>
              <w:rPr>
                <w:rFonts w:ascii="Cambria Math" w:hAnsi="Cambria Math" w:eastAsia="等线"/>
                <w:sz w:val="22"/>
              </w:rPr>
              <m:t>S</m:t>
            </m:r>
            <m:ctrlPr>
              <w:rPr>
                <w:rFonts w:ascii="Cambria Math" w:hAnsi="Cambria Math" w:eastAsia="等线"/>
                <w:i/>
                <w:sz w:val="22"/>
              </w:rPr>
            </m:ctrlPr>
          </m:sub>
        </m:sSub>
        <m:r>
          <m:rPr/>
          <w:rPr>
            <w:rFonts w:ascii="Cambria Math" w:hAnsi="Cambria Math" w:eastAsia="等线"/>
            <w:sz w:val="22"/>
          </w:rPr>
          <m:t>+</m:t>
        </m:r>
        <m:d>
          <m:dPr>
            <m:begChr m:val="["/>
            <m:endChr m:val="]"/>
            <m:ctrlPr>
              <w:rPr>
                <w:rFonts w:ascii="Cambria Math" w:hAnsi="Cambria Math" w:eastAsia="等线"/>
                <w:i/>
                <w:sz w:val="22"/>
              </w:rPr>
            </m:ctrlPr>
          </m:dPr>
          <m:e>
            <m:r>
              <m:rPr/>
              <w:rPr>
                <w:rFonts w:ascii="Cambria Math" w:hAnsi="Cambria Math" w:eastAsia="等线"/>
                <w:sz w:val="22"/>
              </w:rPr>
              <m:t>0.75</m:t>
            </m:r>
            <m:d>
              <m:dPr>
                <m:ctrlPr>
                  <w:rPr>
                    <w:rFonts w:ascii="Cambria Math" w:hAnsi="Cambria Math" w:eastAsia="等线"/>
                    <w:i/>
                    <w:sz w:val="22"/>
                  </w:rPr>
                </m:ctrlPr>
              </m:dPr>
              <m:e>
                <m:sSub>
                  <m:sSubPr>
                    <m:ctrlPr>
                      <w:rPr>
                        <w:rFonts w:ascii="Cambria Math" w:hAnsi="Cambria Math" w:eastAsia="等线"/>
                        <w:i/>
                        <w:sz w:val="22"/>
                      </w:rPr>
                    </m:ctrlPr>
                  </m:sSubPr>
                  <m:e>
                    <m:r>
                      <m:rPr/>
                      <w:rPr>
                        <w:rFonts w:ascii="Cambria Math" w:hAnsi="Cambria Math" w:eastAsia="等线"/>
                        <w:sz w:val="22"/>
                      </w:rPr>
                      <m:t>N</m:t>
                    </m:r>
                    <m:ctrlPr>
                      <w:rPr>
                        <w:rFonts w:ascii="Cambria Math" w:hAnsi="Cambria Math" w:eastAsia="等线"/>
                        <w:i/>
                        <w:sz w:val="22"/>
                      </w:rPr>
                    </m:ctrlPr>
                  </m:e>
                  <m:sub>
                    <m:r>
                      <m:rPr/>
                      <w:rPr>
                        <w:rFonts w:ascii="Cambria Math" w:hAnsi="Cambria Math" w:eastAsia="等线"/>
                        <w:sz w:val="22"/>
                      </w:rPr>
                      <m:t>X</m:t>
                    </m:r>
                    <m:ctrlPr>
                      <w:rPr>
                        <w:rFonts w:ascii="Cambria Math" w:hAnsi="Cambria Math" w:eastAsia="等线"/>
                        <w:i/>
                        <w:sz w:val="22"/>
                      </w:rPr>
                    </m:ctrlPr>
                  </m:sub>
                </m:sSub>
                <m:r>
                  <m:rPr/>
                  <w:rPr>
                    <w:rFonts w:ascii="Cambria Math" w:hAnsi="Cambria Math" w:eastAsia="等线"/>
                    <w:sz w:val="22"/>
                  </w:rPr>
                  <m:t>−1</m:t>
                </m:r>
                <m:ctrlPr>
                  <w:rPr>
                    <w:rFonts w:ascii="Cambria Math" w:hAnsi="Cambria Math" w:eastAsia="等线"/>
                    <w:i/>
                    <w:sz w:val="22"/>
                  </w:rPr>
                </m:ctrlPr>
              </m:e>
            </m:d>
            <m:r>
              <m:rPr/>
              <w:rPr>
                <w:rFonts w:ascii="Cambria Math" w:hAnsi="Cambria Math" w:eastAsia="等线"/>
                <w:sz w:val="22"/>
              </w:rPr>
              <m:t>+</m:t>
            </m:r>
            <m:sSub>
              <m:sSubPr>
                <m:ctrlPr>
                  <w:rPr>
                    <w:rFonts w:ascii="Cambria Math" w:hAnsi="Cambria Math" w:eastAsia="等线"/>
                    <w:i/>
                    <w:sz w:val="22"/>
                  </w:rPr>
                </m:ctrlPr>
              </m:sSubPr>
              <m:e>
                <m:r>
                  <m:rPr/>
                  <w:rPr>
                    <w:rFonts w:ascii="Cambria Math" w:hAnsi="Cambria Math" w:eastAsia="等线"/>
                    <w:sz w:val="22"/>
                  </w:rPr>
                  <m:t>B</m:t>
                </m:r>
                <m:ctrlPr>
                  <w:rPr>
                    <w:rFonts w:ascii="Cambria Math" w:hAnsi="Cambria Math" w:eastAsia="等线"/>
                    <w:i/>
                    <w:sz w:val="22"/>
                  </w:rPr>
                </m:ctrlPr>
              </m:e>
              <m:sub>
                <m:r>
                  <m:rPr/>
                  <w:rPr>
                    <w:rFonts w:ascii="Cambria Math" w:hAnsi="Cambria Math" w:eastAsia="等线"/>
                    <w:sz w:val="22"/>
                  </w:rPr>
                  <m:t>1</m:t>
                </m:r>
                <m:ctrlPr>
                  <w:rPr>
                    <w:rFonts w:ascii="Cambria Math" w:hAnsi="Cambria Math" w:eastAsia="等线"/>
                    <w:i/>
                    <w:sz w:val="22"/>
                  </w:rPr>
                </m:ctrlPr>
              </m:sub>
            </m:sSub>
            <m:ctrlPr>
              <w:rPr>
                <w:rFonts w:ascii="Cambria Math" w:hAnsi="Cambria Math" w:eastAsia="等线"/>
                <w:i/>
                <w:sz w:val="22"/>
              </w:rPr>
            </m:ctrlPr>
          </m:e>
        </m:d>
        <m:sSub>
          <m:sSubPr>
            <m:ctrlPr>
              <w:rPr>
                <w:rFonts w:ascii="Cambria Math" w:hAnsi="Cambria Math" w:eastAsia="等线"/>
                <w:i/>
                <w:sz w:val="22"/>
              </w:rPr>
            </m:ctrlPr>
          </m:sSubPr>
          <m:e>
            <m:r>
              <m:rPr/>
              <w:rPr>
                <w:rFonts w:ascii="Cambria Math" w:hAnsi="Cambria Math" w:eastAsia="等线"/>
                <w:sz w:val="22"/>
              </w:rPr>
              <m:t>A</m:t>
            </m:r>
            <m:ctrlPr>
              <w:rPr>
                <w:rFonts w:ascii="Cambria Math" w:hAnsi="Cambria Math" w:eastAsia="等线"/>
                <w:i/>
                <w:sz w:val="22"/>
              </w:rPr>
            </m:ctrlPr>
          </m:e>
          <m:sub>
            <m:r>
              <m:rPr/>
              <w:rPr>
                <w:rFonts w:ascii="Cambria Math" w:hAnsi="Cambria Math" w:eastAsia="等线"/>
                <w:sz w:val="22"/>
              </w:rPr>
              <m:t>1</m:t>
            </m:r>
            <m:ctrlPr>
              <w:rPr>
                <w:rFonts w:ascii="Cambria Math" w:hAnsi="Cambria Math" w:eastAsia="等线"/>
                <w:i/>
                <w:sz w:val="22"/>
              </w:rPr>
            </m:ctrlPr>
          </m:sub>
        </m:sSub>
      </m:oMath>
      <w:r>
        <w:rPr>
          <w:rFonts w:hint="eastAsia"/>
          <w:szCs w:val="18"/>
        </w:rPr>
        <w:t>（</w:t>
      </w:r>
      <w:r>
        <w:rPr>
          <w:szCs w:val="18"/>
        </w:rPr>
        <w:t>30.2.33-1</w:t>
      </w:r>
      <w:r>
        <w:rPr>
          <w:rFonts w:hint="eastAsia"/>
          <w:szCs w:val="18"/>
        </w:rPr>
        <w:t>）</w:t>
      </w:r>
      <m:oMath>
        <m:sSub>
          <m:sSubPr>
            <m:ctrlPr>
              <w:rPr>
                <w:rFonts w:ascii="Cambria Math" w:hAnsi="Cambria Math" w:eastAsia="Cambria Math"/>
                <w:i/>
                <w:sz w:val="22"/>
              </w:rPr>
            </m:ctrlPr>
          </m:sSubPr>
          <m:e>
            <m:r>
              <m:rPr/>
              <w:rPr>
                <w:rFonts w:ascii="Cambria Math" w:hAnsi="Cambria Math" w:eastAsia="Cambria Math"/>
                <w:sz w:val="22"/>
              </w:rPr>
              <m:t>A</m:t>
            </m:r>
            <m:ctrlPr>
              <w:rPr>
                <w:rFonts w:ascii="Cambria Math" w:hAnsi="Cambria Math" w:eastAsia="Cambria Math"/>
                <w:i/>
                <w:sz w:val="22"/>
              </w:rPr>
            </m:ctrlPr>
          </m:e>
          <m:sub>
            <m:r>
              <m:rPr/>
              <w:rPr>
                <w:rFonts w:ascii="Cambria Math" w:hAnsi="Cambria Math" w:eastAsia="等线"/>
                <w:sz w:val="22"/>
              </w:rPr>
              <m:t>jm</m:t>
            </m:r>
            <m:ctrlPr>
              <w:rPr>
                <w:rFonts w:ascii="Cambria Math" w:hAnsi="Cambria Math" w:eastAsia="Cambria Math"/>
                <w:i/>
                <w:sz w:val="22"/>
              </w:rPr>
            </m:ctrlPr>
          </m:sub>
        </m:sSub>
        <m:sSub>
          <m:sSubPr>
            <m:ctrlPr>
              <w:rPr>
                <w:rFonts w:ascii="Cambria Math" w:hAnsi="Cambria Math" w:eastAsia="Cambria Math"/>
                <w:i/>
                <w:sz w:val="22"/>
              </w:rPr>
            </m:ctrlPr>
          </m:sSubPr>
          <m:e>
            <m:r>
              <m:rPr/>
              <w:rPr>
                <w:rFonts w:ascii="Cambria Math" w:hAnsi="Cambria Math" w:eastAsia="Cambria Math"/>
                <w:sz w:val="22"/>
              </w:rPr>
              <m:t>N</m:t>
            </m:r>
            <m:ctrlPr>
              <w:rPr>
                <w:rFonts w:ascii="Cambria Math" w:hAnsi="Cambria Math" w:eastAsia="Cambria Math"/>
                <w:i/>
                <w:sz w:val="22"/>
              </w:rPr>
            </m:ctrlPr>
          </m:e>
          <m:sub>
            <m:r>
              <m:rPr/>
              <w:rPr>
                <w:rFonts w:ascii="Cambria Math" w:hAnsi="Cambria Math" w:eastAsia="Cambria Math"/>
                <w:sz w:val="22"/>
              </w:rPr>
              <m:t>j</m:t>
            </m:r>
            <m:ctrlPr>
              <w:rPr>
                <w:rFonts w:ascii="Cambria Math" w:hAnsi="Cambria Math" w:eastAsia="Cambria Math"/>
                <w:i/>
                <w:sz w:val="22"/>
              </w:rPr>
            </m:ctrlPr>
          </m:sub>
        </m:sSub>
        <m:r>
          <m:rPr/>
          <w:rPr>
            <w:rFonts w:ascii="Cambria Math" w:hAnsi="Cambria Math" w:eastAsia="Cambria Math"/>
            <w:sz w:val="22"/>
          </w:rPr>
          <m:t>+</m:t>
        </m:r>
        <m:sSub>
          <m:sSubPr>
            <m:ctrlPr>
              <w:rPr>
                <w:rFonts w:ascii="Cambria Math" w:hAnsi="Cambria Math" w:eastAsia="Cambria Math"/>
                <w:sz w:val="22"/>
              </w:rPr>
            </m:ctrlPr>
          </m:sSubPr>
          <m:e>
            <m:r>
              <m:rPr>
                <m:sty m:val="p"/>
              </m:rPr>
              <w:rPr>
                <w:rFonts w:ascii="Cambria Math" w:hAnsi="Cambria Math" w:eastAsia="Cambria Math"/>
                <w:sz w:val="22"/>
              </w:rPr>
              <m:t>B</m:t>
            </m:r>
            <m:ctrlPr>
              <w:rPr>
                <w:rFonts w:ascii="Cambria Math" w:hAnsi="Cambria Math" w:eastAsia="Cambria Math"/>
                <w:sz w:val="22"/>
              </w:rPr>
            </m:ctrlPr>
          </m:e>
          <m:sub>
            <m:r>
              <m:rPr/>
              <w:rPr>
                <w:rFonts w:ascii="Cambria Math" w:hAnsi="Cambria Math" w:eastAsia="等线"/>
                <w:sz w:val="22"/>
              </w:rPr>
              <m:t>m</m:t>
            </m:r>
            <m:ctrlPr>
              <w:rPr>
                <w:rFonts w:ascii="Cambria Math" w:hAnsi="Cambria Math" w:eastAsia="Cambria Math"/>
                <w:sz w:val="22"/>
              </w:rPr>
            </m:ctrlPr>
          </m:sub>
        </m:sSub>
        <m:sSub>
          <m:sSubPr>
            <m:ctrlPr>
              <w:rPr>
                <w:rFonts w:ascii="Cambria Math" w:hAnsi="Cambria Math" w:eastAsia="等线"/>
                <w:i/>
                <w:sz w:val="22"/>
              </w:rPr>
            </m:ctrlPr>
          </m:sSubPr>
          <m:e>
            <m:r>
              <m:rPr/>
              <w:rPr>
                <w:rFonts w:ascii="Cambria Math" w:hAnsi="Cambria Math" w:eastAsia="等线"/>
                <w:sz w:val="22"/>
              </w:rPr>
              <m:t>A</m:t>
            </m:r>
            <m:ctrlPr>
              <w:rPr>
                <w:rFonts w:ascii="Cambria Math" w:hAnsi="Cambria Math" w:eastAsia="等线"/>
                <w:i/>
                <w:sz w:val="22"/>
              </w:rPr>
            </m:ctrlPr>
          </m:e>
          <m:sub>
            <m:r>
              <m:rPr/>
              <w:rPr>
                <w:rFonts w:ascii="Cambria Math" w:hAnsi="Cambria Math" w:eastAsia="等线"/>
                <w:sz w:val="22"/>
              </w:rPr>
              <m:t>m</m:t>
            </m:r>
            <m:ctrlPr>
              <w:rPr>
                <w:rFonts w:ascii="Cambria Math" w:hAnsi="Cambria Math" w:eastAsia="等线"/>
                <w:i/>
                <w:sz w:val="22"/>
              </w:rPr>
            </m:ctrlPr>
          </m:sub>
        </m:sSub>
        <m:r>
          <m:rPr/>
          <w:rPr>
            <w:rFonts w:hint="eastAsia" w:ascii="Cambria Math" w:hAnsi="Cambria Math" w:eastAsia="Cambria Math"/>
            <w:sz w:val="22"/>
          </w:rPr>
          <m:t>≥</m:t>
        </m:r>
        <m:sSub>
          <m:sSubPr>
            <m:ctrlPr>
              <w:rPr>
                <w:rFonts w:ascii="Cambria Math" w:hAnsi="Cambria Math" w:eastAsia="Cambria Math"/>
                <w:sz w:val="22"/>
              </w:rPr>
            </m:ctrlPr>
          </m:sSubPr>
          <m:e>
            <m:r>
              <m:rPr>
                <m:sty m:val="p"/>
              </m:rPr>
              <w:rPr>
                <w:rFonts w:ascii="Cambria Math" w:hAnsi="Cambria Math" w:eastAsia="Cambria Math"/>
                <w:sz w:val="22"/>
              </w:rPr>
              <m:t>A</m:t>
            </m:r>
            <m:ctrlPr>
              <w:rPr>
                <w:rFonts w:ascii="Cambria Math" w:hAnsi="Cambria Math" w:eastAsia="Cambria Math"/>
                <w:sz w:val="22"/>
              </w:rPr>
            </m:ctrlPr>
          </m:e>
          <m:sub>
            <m:r>
              <m:rPr/>
              <w:rPr>
                <w:rFonts w:ascii="Cambria Math" w:hAnsi="Cambria Math" w:eastAsia="Cambria Math"/>
                <w:sz w:val="22"/>
              </w:rPr>
              <m:t>z</m:t>
            </m:r>
            <m:r>
              <m:rPr/>
              <w:rPr>
                <w:rFonts w:ascii="Cambria Math" w:hAnsi="Cambria Math" w:eastAsia="等线"/>
                <w:sz w:val="22"/>
              </w:rPr>
              <m:t>t</m:t>
            </m:r>
            <m:ctrlPr>
              <w:rPr>
                <w:rFonts w:ascii="Cambria Math" w:hAnsi="Cambria Math" w:eastAsia="Cambria Math"/>
                <w:sz w:val="22"/>
              </w:rPr>
            </m:ctrlPr>
          </m:sub>
        </m:sSub>
        <m:d>
          <m:dPr>
            <m:ctrlPr>
              <w:rPr>
                <w:rFonts w:ascii="Cambria Math" w:hAnsi="Cambria Math" w:eastAsia="等线"/>
                <w:i/>
                <w:sz w:val="22"/>
              </w:rPr>
            </m:ctrlPr>
          </m:dPr>
          <m:e>
            <m:sSub>
              <m:sSubPr>
                <m:ctrlPr>
                  <w:rPr>
                    <w:rFonts w:ascii="Cambria Math" w:hAnsi="Cambria Math" w:eastAsia="等线"/>
                    <w:i/>
                    <w:sz w:val="22"/>
                  </w:rPr>
                </m:ctrlPr>
              </m:sSubPr>
              <m:e>
                <m:r>
                  <m:rPr/>
                  <w:rPr>
                    <w:rFonts w:ascii="Cambria Math" w:hAnsi="Cambria Math" w:eastAsia="等线"/>
                    <w:sz w:val="22"/>
                  </w:rPr>
                  <m:t>N</m:t>
                </m:r>
                <m:ctrlPr>
                  <w:rPr>
                    <w:rFonts w:ascii="Cambria Math" w:hAnsi="Cambria Math" w:eastAsia="等线"/>
                    <w:i/>
                    <w:sz w:val="22"/>
                  </w:rPr>
                </m:ctrlPr>
              </m:e>
              <m:sub>
                <m:r>
                  <m:rPr/>
                  <w:rPr>
                    <w:rFonts w:ascii="Cambria Math" w:hAnsi="Cambria Math" w:eastAsia="等线"/>
                    <w:sz w:val="22"/>
                  </w:rPr>
                  <m:t>z</m:t>
                </m:r>
                <m:ctrlPr>
                  <w:rPr>
                    <w:rFonts w:ascii="Cambria Math" w:hAnsi="Cambria Math" w:eastAsia="等线"/>
                    <w:i/>
                    <w:sz w:val="22"/>
                  </w:rPr>
                </m:ctrlPr>
              </m:sub>
            </m:sSub>
            <m:r>
              <m:rPr/>
              <w:rPr>
                <w:rFonts w:ascii="Cambria Math" w:hAnsi="Cambria Math" w:eastAsia="等线"/>
                <w:sz w:val="22"/>
              </w:rPr>
              <m:t>−1</m:t>
            </m:r>
            <m:ctrlPr>
              <w:rPr>
                <w:rFonts w:ascii="Cambria Math" w:hAnsi="Cambria Math" w:eastAsia="等线"/>
                <w:i/>
                <w:sz w:val="22"/>
              </w:rPr>
            </m:ctrlPr>
          </m:e>
        </m:d>
        <m:r>
          <m:rPr/>
          <w:rPr>
            <w:rFonts w:ascii="Cambria Math" w:hAnsi="Cambria Math" w:eastAsia="等线"/>
            <w:sz w:val="22"/>
          </w:rPr>
          <m:t>+</m:t>
        </m:r>
        <m:sSub>
          <m:sSubPr>
            <m:ctrlPr>
              <w:rPr>
                <w:rFonts w:ascii="Cambria Math" w:hAnsi="Cambria Math" w:eastAsia="等线"/>
                <w:i/>
                <w:sz w:val="22"/>
              </w:rPr>
            </m:ctrlPr>
          </m:sSubPr>
          <m:e>
            <m:r>
              <m:rPr/>
              <w:rPr>
                <w:rFonts w:ascii="Cambria Math" w:hAnsi="Cambria Math" w:eastAsia="等线"/>
                <w:sz w:val="22"/>
              </w:rPr>
              <m:t>A</m:t>
            </m:r>
            <m:ctrlPr>
              <w:rPr>
                <w:rFonts w:ascii="Cambria Math" w:hAnsi="Cambria Math" w:eastAsia="等线"/>
                <w:i/>
                <w:sz w:val="22"/>
              </w:rPr>
            </m:ctrlPr>
          </m:e>
          <m:sub>
            <m:r>
              <m:rPr/>
              <w:rPr>
                <w:rFonts w:ascii="Cambria Math" w:hAnsi="Cambria Math" w:eastAsia="等线"/>
                <w:sz w:val="22"/>
              </w:rPr>
              <m:t>1</m:t>
            </m:r>
            <m:ctrlPr>
              <w:rPr>
                <w:rFonts w:ascii="Cambria Math" w:hAnsi="Cambria Math" w:eastAsia="等线"/>
                <w:i/>
                <w:sz w:val="22"/>
              </w:rPr>
            </m:ctrlPr>
          </m:sub>
        </m:sSub>
        <m:sSub>
          <m:sSubPr>
            <m:ctrlPr>
              <w:rPr>
                <w:rFonts w:ascii="Cambria Math" w:hAnsi="Cambria Math" w:eastAsia="等线"/>
                <w:i/>
                <w:sz w:val="22"/>
              </w:rPr>
            </m:ctrlPr>
          </m:sSubPr>
          <m:e>
            <m:r>
              <m:rPr/>
              <w:rPr>
                <w:rFonts w:ascii="Cambria Math" w:hAnsi="Cambria Math" w:eastAsia="等线"/>
                <w:sz w:val="22"/>
              </w:rPr>
              <m:t>B</m:t>
            </m:r>
            <m:ctrlPr>
              <w:rPr>
                <w:rFonts w:ascii="Cambria Math" w:hAnsi="Cambria Math" w:eastAsia="等线"/>
                <w:i/>
                <w:sz w:val="22"/>
              </w:rPr>
            </m:ctrlPr>
          </m:e>
          <m:sub>
            <m:r>
              <m:rPr/>
              <w:rPr>
                <w:rFonts w:ascii="Cambria Math" w:hAnsi="Cambria Math" w:eastAsia="等线"/>
                <w:sz w:val="22"/>
              </w:rPr>
              <m:t>1</m:t>
            </m:r>
            <m:ctrlPr>
              <w:rPr>
                <w:rFonts w:ascii="Cambria Math" w:hAnsi="Cambria Math" w:eastAsia="等线"/>
                <w:i/>
                <w:sz w:val="22"/>
              </w:rPr>
            </m:ctrlPr>
          </m:sub>
        </m:sSub>
      </m:oMath>
      <w:r>
        <w:rPr>
          <w:rFonts w:hint="eastAsia"/>
          <w:sz w:val="22"/>
        </w:rPr>
        <w:t xml:space="preserve">    </w:t>
      </w:r>
      <w:r>
        <w:rPr>
          <w:rFonts w:hint="eastAsia"/>
          <w:szCs w:val="18"/>
        </w:rPr>
        <w:t>（</w:t>
      </w:r>
      <w:r>
        <w:rPr>
          <w:szCs w:val="18"/>
        </w:rPr>
        <w:t>30.2.33-2</w:t>
      </w:r>
      <w:r>
        <w:rPr>
          <w:rFonts w:hint="eastAsia"/>
          <w:szCs w:val="18"/>
        </w:rPr>
        <w:t>）</w:t>
      </w:r>
    </w:p>
    <w:p w14:paraId="69E372CE">
      <w:pPr>
        <w:rPr>
          <w:szCs w:val="18"/>
        </w:rPr>
      </w:pPr>
      <w:r>
        <w:rPr>
          <w:rFonts w:hint="eastAsia"/>
          <w:szCs w:val="18"/>
        </w:rPr>
        <w:t>式中</w:t>
      </w:r>
      <w:r>
        <w:rPr>
          <w:szCs w:val="18"/>
        </w:rPr>
        <w:t xml:space="preserve">  </w:t>
      </w:r>
      <w:r>
        <w:rPr>
          <w:i/>
          <w:iCs/>
          <w:szCs w:val="18"/>
        </w:rPr>
        <w:t>N</w:t>
      </w:r>
      <w:r>
        <w:rPr>
          <w:szCs w:val="18"/>
          <w:vertAlign w:val="subscript"/>
        </w:rPr>
        <w:t>j</w:t>
      </w:r>
      <w:r>
        <w:rPr>
          <w:rFonts w:hint="eastAsia" w:ascii="Times" w:hAnsi="Times"/>
          <w:szCs w:val="18"/>
        </w:rPr>
        <w:t>——</w:t>
      </w:r>
      <w:r>
        <w:rPr>
          <w:rFonts w:hint="eastAsia"/>
          <w:szCs w:val="18"/>
        </w:rPr>
        <w:t>自动检票机的数量；</w:t>
      </w:r>
    </w:p>
    <w:p w14:paraId="55B83841">
      <w:pPr>
        <w:ind w:firstLine="550" w:firstLineChars="262"/>
        <w:rPr>
          <w:szCs w:val="18"/>
        </w:rPr>
      </w:pPr>
      <w:r>
        <w:rPr>
          <w:i/>
          <w:iCs/>
          <w:szCs w:val="18"/>
        </w:rPr>
        <w:t>A</w:t>
      </w:r>
      <w:r>
        <w:rPr>
          <w:szCs w:val="18"/>
          <w:vertAlign w:val="subscript"/>
        </w:rPr>
        <w:t>jm</w:t>
      </w:r>
      <w:r>
        <w:rPr>
          <w:rFonts w:hint="eastAsia" w:ascii="Times" w:hAnsi="Times"/>
          <w:szCs w:val="18"/>
        </w:rPr>
        <w:t>——</w:t>
      </w:r>
      <w:r>
        <w:rPr>
          <w:rFonts w:hint="eastAsia"/>
          <w:szCs w:val="18"/>
        </w:rPr>
        <w:t>每台自动检票机门打开时的通行能力（人</w:t>
      </w:r>
      <w:r>
        <w:rPr>
          <w:szCs w:val="18"/>
        </w:rPr>
        <w:t>/min</w:t>
      </w:r>
      <w:r>
        <w:rPr>
          <w:rFonts w:hint="eastAsia"/>
          <w:szCs w:val="18"/>
        </w:rPr>
        <w:t>·台）；</w:t>
      </w:r>
    </w:p>
    <w:p w14:paraId="1752F347">
      <w:pPr>
        <w:ind w:firstLine="592" w:firstLineChars="282"/>
        <w:rPr>
          <w:szCs w:val="18"/>
        </w:rPr>
      </w:pPr>
      <w:r>
        <w:rPr>
          <w:i/>
          <w:iCs/>
          <w:szCs w:val="18"/>
        </w:rPr>
        <w:t>A</w:t>
      </w:r>
      <w:r>
        <w:rPr>
          <w:szCs w:val="18"/>
          <w:vertAlign w:val="subscript"/>
        </w:rPr>
        <w:t>m</w:t>
      </w:r>
      <w:r>
        <w:rPr>
          <w:rFonts w:hint="eastAsia" w:ascii="Times" w:hAnsi="Times"/>
          <w:szCs w:val="18"/>
        </w:rPr>
        <w:t>——</w:t>
      </w:r>
      <w:r>
        <w:rPr>
          <w:rFonts w:hint="eastAsia"/>
          <w:szCs w:val="18"/>
        </w:rPr>
        <w:t>栅栏疏散门的通行能力（人</w:t>
      </w:r>
      <w:r>
        <w:rPr>
          <w:szCs w:val="18"/>
        </w:rPr>
        <w:t>/min</w:t>
      </w:r>
      <w:r>
        <w:rPr>
          <w:rFonts w:hint="eastAsia"/>
          <w:szCs w:val="18"/>
        </w:rPr>
        <w:t>·</w:t>
      </w:r>
      <w:r>
        <w:rPr>
          <w:szCs w:val="18"/>
        </w:rPr>
        <w:t>m</w:t>
      </w:r>
      <w:r>
        <w:rPr>
          <w:rFonts w:hint="eastAsia"/>
          <w:szCs w:val="18"/>
        </w:rPr>
        <w:t>）；</w:t>
      </w:r>
    </w:p>
    <w:p w14:paraId="644BA037">
      <w:pPr>
        <w:ind w:firstLine="592" w:firstLineChars="282"/>
        <w:rPr>
          <w:szCs w:val="18"/>
        </w:rPr>
      </w:pPr>
      <w:r>
        <w:rPr>
          <w:i/>
          <w:iCs/>
          <w:szCs w:val="18"/>
        </w:rPr>
        <w:t>B</w:t>
      </w:r>
      <w:r>
        <w:rPr>
          <w:szCs w:val="18"/>
          <w:vertAlign w:val="subscript"/>
        </w:rPr>
        <w:t>m</w:t>
      </w:r>
      <w:r>
        <w:rPr>
          <w:rFonts w:hint="eastAsia" w:ascii="Times" w:hAnsi="Times"/>
          <w:szCs w:val="18"/>
        </w:rPr>
        <w:t>——</w:t>
      </w:r>
      <w:r>
        <w:rPr>
          <w:rFonts w:hint="eastAsia"/>
          <w:szCs w:val="18"/>
        </w:rPr>
        <w:t>栅栏疏散门的净宽总和（</w:t>
      </w:r>
      <w:r>
        <w:rPr>
          <w:szCs w:val="18"/>
        </w:rPr>
        <w:t>m</w:t>
      </w:r>
      <w:r>
        <w:rPr>
          <w:rFonts w:hint="eastAsia"/>
          <w:szCs w:val="18"/>
        </w:rPr>
        <w:t>），宽度按每股疏散人流</w:t>
      </w:r>
      <w:r>
        <w:rPr>
          <w:szCs w:val="18"/>
        </w:rPr>
        <w:t>0.55m</w:t>
      </w:r>
      <w:r>
        <w:rPr>
          <w:rFonts w:hint="eastAsia"/>
          <w:szCs w:val="18"/>
        </w:rPr>
        <w:t>的整倍数计算。</w:t>
      </w:r>
    </w:p>
    <w:p w14:paraId="444E4B60">
      <w:pPr>
        <w:spacing w:line="240" w:lineRule="auto"/>
        <w:ind w:left="850" w:leftChars="135" w:hanging="567" w:hangingChars="378"/>
        <w:rPr>
          <w:sz w:val="15"/>
          <w:szCs w:val="15"/>
        </w:rPr>
      </w:pPr>
      <w:r>
        <w:rPr>
          <w:rFonts w:hint="eastAsia"/>
          <w:sz w:val="15"/>
          <w:szCs w:val="15"/>
        </w:rPr>
        <w:t>注：</w:t>
      </w:r>
      <w:r>
        <w:rPr>
          <w:sz w:val="15"/>
          <w:szCs w:val="15"/>
        </w:rPr>
        <w:t>1</w:t>
      </w:r>
      <w:r>
        <w:rPr>
          <w:rFonts w:hint="eastAsia"/>
          <w:sz w:val="15"/>
          <w:szCs w:val="15"/>
        </w:rPr>
        <w:t xml:space="preserve"> </w:t>
      </w:r>
      <w:r>
        <w:rPr>
          <w:sz w:val="15"/>
          <w:szCs w:val="15"/>
        </w:rPr>
        <w:t xml:space="preserve"> </w:t>
      </w:r>
      <w:r>
        <w:rPr>
          <w:rFonts w:hint="eastAsia"/>
          <w:sz w:val="15"/>
          <w:szCs w:val="15"/>
        </w:rPr>
        <w:t>公式</w:t>
      </w:r>
      <w:r>
        <w:rPr>
          <w:sz w:val="15"/>
          <w:szCs w:val="15"/>
        </w:rPr>
        <w:t>2</w:t>
      </w:r>
      <w:r>
        <w:rPr>
          <w:rFonts w:hint="eastAsia"/>
          <w:sz w:val="15"/>
          <w:szCs w:val="15"/>
        </w:rPr>
        <w:t>8</w:t>
      </w:r>
      <w:r>
        <w:rPr>
          <w:sz w:val="15"/>
          <w:szCs w:val="15"/>
        </w:rPr>
        <w:t>.2.43-1</w:t>
      </w:r>
      <w:r>
        <w:rPr>
          <w:rFonts w:hint="eastAsia"/>
          <w:sz w:val="15"/>
          <w:szCs w:val="15"/>
        </w:rPr>
        <w:t>适用于地下车站，公式</w:t>
      </w:r>
      <w:r>
        <w:rPr>
          <w:sz w:val="15"/>
          <w:szCs w:val="15"/>
        </w:rPr>
        <w:t>2</w:t>
      </w:r>
      <w:r>
        <w:rPr>
          <w:rFonts w:hint="eastAsia"/>
          <w:sz w:val="15"/>
          <w:szCs w:val="15"/>
        </w:rPr>
        <w:t>8</w:t>
      </w:r>
      <w:r>
        <w:rPr>
          <w:sz w:val="15"/>
          <w:szCs w:val="15"/>
        </w:rPr>
        <w:t>.2.43-2</w:t>
      </w:r>
      <w:r>
        <w:rPr>
          <w:rFonts w:hint="eastAsia"/>
          <w:sz w:val="15"/>
          <w:szCs w:val="15"/>
        </w:rPr>
        <w:t>适用于站台设于站厅上部的地上车站；</w:t>
      </w:r>
    </w:p>
    <w:p w14:paraId="0AAE8336">
      <w:pPr>
        <w:spacing w:line="240" w:lineRule="auto"/>
        <w:ind w:firstLine="600" w:firstLineChars="400"/>
        <w:rPr>
          <w:sz w:val="15"/>
          <w:szCs w:val="15"/>
        </w:rPr>
      </w:pPr>
      <w:r>
        <w:rPr>
          <w:rFonts w:hint="eastAsia"/>
          <w:sz w:val="15"/>
          <w:szCs w:val="15"/>
        </w:rPr>
        <w:t>2  每个门扉式自动检票机按开放后的通过能力</w:t>
      </w:r>
      <w:r>
        <w:rPr>
          <w:sz w:val="15"/>
          <w:szCs w:val="15"/>
        </w:rPr>
        <w:t>37</w:t>
      </w:r>
      <w:r>
        <w:rPr>
          <w:rFonts w:hint="eastAsia"/>
          <w:sz w:val="15"/>
          <w:szCs w:val="15"/>
        </w:rPr>
        <w:t>人</w:t>
      </w:r>
      <w:r>
        <w:rPr>
          <w:sz w:val="15"/>
          <w:szCs w:val="15"/>
        </w:rPr>
        <w:t>/min</w:t>
      </w:r>
      <w:r>
        <w:rPr>
          <w:rFonts w:hint="eastAsia"/>
          <w:sz w:val="15"/>
          <w:szCs w:val="15"/>
        </w:rPr>
        <w:t>计算。</w:t>
      </w:r>
    </w:p>
    <w:p w14:paraId="63EC6038">
      <w:pPr>
        <w:numPr>
          <w:ilvl w:val="2"/>
          <w:numId w:val="1"/>
        </w:numPr>
        <w:tabs>
          <w:tab w:val="left" w:pos="794"/>
          <w:tab w:val="left" w:pos="851"/>
          <w:tab w:val="left" w:pos="935"/>
          <w:tab w:val="left" w:pos="1502"/>
        </w:tabs>
        <w:outlineLvl w:val="2"/>
        <w:rPr>
          <w:bCs/>
        </w:rPr>
      </w:pPr>
      <w:r>
        <w:rPr>
          <w:rFonts w:hint="eastAsia"/>
          <w:bCs/>
        </w:rPr>
        <w:t>车站公共区的安全出口应符合下列规定：</w:t>
      </w:r>
    </w:p>
    <w:p w14:paraId="7E34279F">
      <w:pPr>
        <w:pStyle w:val="7"/>
        <w:ind w:firstLine="420"/>
      </w:pPr>
      <w:r>
        <w:t>站厅公共区内任一点至用于疏散的通道口或其他安全出口的疏散距离不应大于</w:t>
      </w:r>
      <w:r>
        <w:rPr>
          <w:rFonts w:hint="eastAsia"/>
        </w:rPr>
        <w:t>50m</w:t>
      </w:r>
      <w:r>
        <w:t>；站台公共区内任一点至用于疏散的站台楼梯口、自动扶梯口、通道口或其他安全出口的疏散距离不应大于</w:t>
      </w:r>
      <w:r>
        <w:rPr>
          <w:rFonts w:hint="eastAsia"/>
        </w:rPr>
        <w:t>50m</w:t>
      </w:r>
      <w:r>
        <w:t>；</w:t>
      </w:r>
    </w:p>
    <w:p w14:paraId="31E0F274">
      <w:pPr>
        <w:pStyle w:val="7"/>
        <w:ind w:firstLine="420"/>
      </w:pPr>
      <w:r>
        <w:t>单线车站站厅公共区直通地面的安全出口数量不应少于</w:t>
      </w:r>
      <w:r>
        <w:rPr>
          <w:rFonts w:hint="eastAsia"/>
        </w:rPr>
        <w:t>2</w:t>
      </w:r>
      <w:r>
        <w:t>个；站厅安全出口应分向均匀布设，同方向相邻的两个安全出口与站厅公共区的接口之间的水平距离不应小于</w:t>
      </w:r>
      <w:r>
        <w:rPr>
          <w:rFonts w:hint="eastAsia"/>
        </w:rPr>
        <w:t>20m</w:t>
      </w:r>
      <w:r>
        <w:t>。</w:t>
      </w:r>
    </w:p>
    <w:p w14:paraId="1DC21101">
      <w:pPr>
        <w:pStyle w:val="7"/>
        <w:ind w:firstLine="420"/>
      </w:pPr>
      <w:r>
        <w:t>端头厅型式的车站，每端站厅安全出口数量不应少于</w:t>
      </w:r>
      <w:r>
        <w:rPr>
          <w:rFonts w:hint="eastAsia"/>
        </w:rPr>
        <w:t>2</w:t>
      </w:r>
      <w:r>
        <w:t>个；站台至站厅或其他安全区域的安全出口数量不得少于</w:t>
      </w:r>
      <w:r>
        <w:rPr>
          <w:rFonts w:hint="eastAsia"/>
        </w:rPr>
        <w:t>2</w:t>
      </w:r>
      <w:r>
        <w:t>个。</w:t>
      </w:r>
    </w:p>
    <w:p w14:paraId="39130411">
      <w:pPr>
        <w:pStyle w:val="7"/>
        <w:ind w:firstLine="420"/>
      </w:pPr>
      <w:r>
        <w:t>地下一层侧式站台车站，每侧站台应至少设置</w:t>
      </w:r>
      <w:r>
        <w:rPr>
          <w:rFonts w:hint="eastAsia"/>
        </w:rPr>
        <w:t>2</w:t>
      </w:r>
      <w:r>
        <w:t>个直通地面或其他室外空间的安全出口。当站台与同层布置的站厅公共区之间设置防火隔墙时，应在该防火隔墙上设置至少</w:t>
      </w:r>
      <w:r>
        <w:rPr>
          <w:rFonts w:hint="eastAsia"/>
        </w:rPr>
        <w:t>2</w:t>
      </w:r>
      <w:r>
        <w:t>个门洞，相邻两门洞之间的水平距离不应小于</w:t>
      </w:r>
      <w:r>
        <w:rPr>
          <w:rFonts w:hint="eastAsia"/>
        </w:rPr>
        <w:t>10m</w:t>
      </w:r>
      <w:r>
        <w:t>；当站台与同层布置的站厅公共区之间未设置防火隔墙时，站台上任一点到站厅出入口楼扶梯口或其它安全出口的距离不得大于</w:t>
      </w:r>
      <w:r>
        <w:rPr>
          <w:rFonts w:hint="eastAsia"/>
        </w:rPr>
        <w:t>50m</w:t>
      </w:r>
      <w:r>
        <w:t>，且至地面或其他室外空间的疏散时间不应大于</w:t>
      </w:r>
      <w:r>
        <w:rPr>
          <w:rFonts w:hint="eastAsia"/>
        </w:rPr>
        <w:t>6min</w:t>
      </w:r>
      <w:r>
        <w:t>。</w:t>
      </w:r>
    </w:p>
    <w:p w14:paraId="298FDC90">
      <w:pPr>
        <w:pStyle w:val="7"/>
        <w:ind w:firstLine="420"/>
      </w:pPr>
      <w:r>
        <w:t>站厅设于站台上层的地下车站，当自动扶梯符合本规范第</w:t>
      </w:r>
      <w:r>
        <w:rPr>
          <w:rFonts w:hint="eastAsia"/>
        </w:rPr>
        <w:t>2</w:t>
      </w:r>
      <w:r>
        <w:t>8</w:t>
      </w:r>
      <w:r>
        <w:rPr>
          <w:rFonts w:hint="eastAsia"/>
        </w:rPr>
        <w:t>.2.69</w:t>
      </w:r>
      <w:r>
        <w:t>条规定时，上行自动扶梯可作为站台火灾工况下的安全出口；站台设于站厅下部的地上车站，站台通向站厅的敞开楼扶梯不得作为站台公共区的安全出口。</w:t>
      </w:r>
    </w:p>
    <w:p w14:paraId="0F0D58BB">
      <w:pPr>
        <w:pStyle w:val="7"/>
        <w:ind w:firstLine="420"/>
      </w:pPr>
      <w:r>
        <w:t>地下侧式站台车站，当上、下行线路之间用耐火极限不低于</w:t>
      </w:r>
      <w:r>
        <w:rPr>
          <w:rFonts w:hint="eastAsia"/>
        </w:rPr>
        <w:t>2.00h</w:t>
      </w:r>
      <w:r>
        <w:t>的防火隔墙等分隔且防火隔墙延伸至站台计算长度外各</w:t>
      </w:r>
      <w:r>
        <w:rPr>
          <w:rFonts w:hint="eastAsia"/>
        </w:rPr>
        <w:t>10m</w:t>
      </w:r>
      <w:r>
        <w:t>时，站台之间的过轨地道可作为站台公共区的非直通室外的安全出口；站台设于站厅下面的地上侧式站台车站，当站台层自然排烟口的有效面积和设置要求符合本规范第</w:t>
      </w:r>
      <w:r>
        <w:rPr>
          <w:rFonts w:hint="eastAsia"/>
        </w:rPr>
        <w:t>2</w:t>
      </w:r>
      <w:r>
        <w:t>8</w:t>
      </w:r>
      <w:r>
        <w:rPr>
          <w:rFonts w:hint="eastAsia"/>
        </w:rPr>
        <w:t>.4</w:t>
      </w:r>
      <w:r>
        <w:t>节的有关规定，且上下行线路之间设置阻止线路间烟气流动设施时，站台之间的过轨地道可做为安全出口；</w:t>
      </w:r>
    </w:p>
    <w:p w14:paraId="0E11BE4D">
      <w:pPr>
        <w:pStyle w:val="7"/>
        <w:ind w:firstLine="420"/>
      </w:pPr>
      <w:r>
        <w:t>地下车站公共区通向避难走道或下沉广场的疏散出口可作为该防火分区的安全出口，避难走道或下沉广场的设置要求应符合</w:t>
      </w:r>
      <w:r>
        <w:rPr>
          <w:rFonts w:hint="eastAsia"/>
        </w:rPr>
        <w:t>现行地方标准《站城一体化工程消防安全技术标准》DB11/1889的有关规定。</w:t>
      </w:r>
      <w:r>
        <w:t xml:space="preserve">  </w:t>
      </w:r>
    </w:p>
    <w:p w14:paraId="59BE4492">
      <w:pPr>
        <w:pStyle w:val="7"/>
        <w:ind w:firstLine="420"/>
      </w:pPr>
      <w:r>
        <w:t>站台两端均应设置从区间疏散至站台的楼梯，地下站不得将该楼梯作为站台区乘客的安全疏散设施，地上站在站台端部设置朝向区间开启的疏散门或站台</w:t>
      </w:r>
      <w:r>
        <w:rPr>
          <w:rFonts w:hint="eastAsia"/>
        </w:rPr>
        <w:t>屏蔽</w:t>
      </w:r>
      <w:r>
        <w:t>门端门可双向开启时，可将该楼梯作为站台区乘客的安全疏散设施，端门净宽不得小于</w:t>
      </w:r>
      <w:r>
        <w:rPr>
          <w:rFonts w:hint="eastAsia"/>
        </w:rPr>
        <w:t>1.1m</w:t>
      </w:r>
      <w:r>
        <w:t>。</w:t>
      </w:r>
    </w:p>
    <w:p w14:paraId="73598282">
      <w:pPr>
        <w:pStyle w:val="7"/>
        <w:ind w:firstLine="420"/>
      </w:pPr>
      <w:r>
        <w:t>站台设于站厅上部的地上车站，当站台</w:t>
      </w:r>
      <w:r>
        <w:rPr>
          <w:rFonts w:hint="eastAsia"/>
        </w:rPr>
        <w:t>屏蔽</w:t>
      </w:r>
      <w:r>
        <w:t>门端门和站台至站厅的疏散楼扶梯能力不满足紧急疏散时间要求时，站台应增设直达地面的疏散楼梯间或直通室外的安全出口。疏散楼梯应符合现行国家标准《建筑设计防火规范》</w:t>
      </w:r>
      <w:r>
        <w:rPr>
          <w:rFonts w:hint="eastAsia"/>
        </w:rPr>
        <w:t>GB 50016</w:t>
      </w:r>
      <w:r>
        <w:t>的有关规定；</w:t>
      </w:r>
    </w:p>
    <w:p w14:paraId="4BF09D87">
      <w:pPr>
        <w:pStyle w:val="7"/>
        <w:ind w:firstLine="420"/>
      </w:pPr>
      <w:r>
        <w:t>车站</w:t>
      </w:r>
      <w:r>
        <w:rPr>
          <w:rFonts w:hint="eastAsia"/>
        </w:rPr>
        <w:t>站厅公共区</w:t>
      </w:r>
      <w:r>
        <w:t>安全出口与</w:t>
      </w:r>
      <w:r>
        <w:rPr>
          <w:rFonts w:hint="eastAsia"/>
        </w:rPr>
        <w:t>同层布置的</w:t>
      </w:r>
      <w:r>
        <w:t>商业等非地铁功能的场所的安全出口应各自独立设置，两者的连通口和上下联系楼梯或扶梯不得作为相互间的安全出口</w:t>
      </w:r>
      <w:r>
        <w:rPr>
          <w:rFonts w:hint="eastAsia"/>
        </w:rPr>
        <w:t>，可采取下沉广场方式连通；当采用防火墙、防火卷帘等措施分隔时，防火卷帘的总宽度和开口范围的宽度比例应符合《建筑设计防火规范》的规定</w:t>
      </w:r>
      <w:r>
        <w:t>。</w:t>
      </w:r>
    </w:p>
    <w:p w14:paraId="68D817E3">
      <w:pPr>
        <w:pStyle w:val="7"/>
        <w:ind w:firstLine="420"/>
      </w:pPr>
      <w:r>
        <w:rPr>
          <w:rFonts w:hint="eastAsia"/>
        </w:rPr>
        <w:t>三层及以上车站公共区设置站台至站厅的折跑型疏散楼梯，当其楼梯口向下气流速度达不到1.5m/s时，应采用防烟楼梯间，开向楼梯间的疏散门总宽度和楼梯净宽应匹配。</w:t>
      </w:r>
    </w:p>
    <w:p w14:paraId="4519431F">
      <w:pPr>
        <w:numPr>
          <w:ilvl w:val="4"/>
          <w:numId w:val="1"/>
        </w:numPr>
        <w:tabs>
          <w:tab w:val="clear" w:pos="567"/>
        </w:tabs>
        <w:ind w:left="420"/>
        <w:jc w:val="left"/>
        <w:outlineLvl w:val="4"/>
        <w:rPr>
          <w:szCs w:val="18"/>
        </w:rPr>
      </w:pPr>
      <w:r>
        <w:rPr>
          <w:rFonts w:hint="eastAsia"/>
          <w:bCs/>
        </w:rPr>
        <w:t>车站公共区专用疏散楼梯净宽度不应小于1.2m；</w:t>
      </w:r>
    </w:p>
    <w:p w14:paraId="7530C610">
      <w:pPr>
        <w:pStyle w:val="7"/>
        <w:ind w:firstLine="420"/>
      </w:pPr>
      <w:r>
        <w:t>电梯、竖井爬梯以及地下车站设备管理用房区的消防专用通道和站端通向区间的楼梯、地面侧式站上跨轨道的通道不得用作乘客的安全疏散设施，地面侧式站</w:t>
      </w:r>
      <w:r>
        <w:rPr>
          <w:rFonts w:hint="eastAsia"/>
        </w:rPr>
        <w:t>下跨轨道的地道可作乘客的安全疏散设施。</w:t>
      </w:r>
    </w:p>
    <w:p w14:paraId="6B2B50CA">
      <w:pPr>
        <w:numPr>
          <w:ilvl w:val="2"/>
          <w:numId w:val="1"/>
        </w:numPr>
        <w:tabs>
          <w:tab w:val="left" w:pos="794"/>
          <w:tab w:val="left" w:pos="851"/>
          <w:tab w:val="left" w:pos="935"/>
          <w:tab w:val="left" w:pos="1502"/>
        </w:tabs>
        <w:outlineLvl w:val="2"/>
        <w:rPr>
          <w:bCs/>
        </w:rPr>
      </w:pPr>
      <w:r>
        <w:rPr>
          <w:rFonts w:hint="eastAsia"/>
          <w:bCs/>
        </w:rPr>
        <w:t>换乘车站公共区的安全出口除符合</w:t>
      </w:r>
      <w:r>
        <w:rPr>
          <w:bCs/>
        </w:rPr>
        <w:t>2</w:t>
      </w:r>
      <w:r>
        <w:rPr>
          <w:rFonts w:hint="eastAsia"/>
          <w:bCs/>
        </w:rPr>
        <w:t>9</w:t>
      </w:r>
      <w:r>
        <w:rPr>
          <w:bCs/>
        </w:rPr>
        <w:t>.2.</w:t>
      </w:r>
      <w:r>
        <w:rPr>
          <w:rFonts w:hint="eastAsia"/>
          <w:bCs/>
        </w:rPr>
        <w:t>34的规定外，还应符合下列规定：</w:t>
      </w:r>
    </w:p>
    <w:p w14:paraId="77C754AF">
      <w:pPr>
        <w:pStyle w:val="7"/>
        <w:ind w:firstLine="420"/>
      </w:pPr>
      <w:r>
        <w:rPr>
          <w:rFonts w:hint="eastAsia"/>
        </w:rPr>
        <w:t>换乘车站共用一个站厅公共区时，安全出口数量应按每条线不少于2个设置。当共用站厅建筑面积超过5000m</w:t>
      </w:r>
      <w:r>
        <w:rPr>
          <w:rFonts w:hint="eastAsia"/>
          <w:vertAlign w:val="superscript"/>
        </w:rPr>
        <w:t>2</w:t>
      </w:r>
      <w:r>
        <w:rPr>
          <w:rFonts w:hint="eastAsia"/>
        </w:rPr>
        <w:t>时，防火分隔后的每个区域直通地面的安全出口数量均不应少于两个，且应分布在不同方向，疏散距离应满足29.2.34第1款要求；</w:t>
      </w:r>
    </w:p>
    <w:p w14:paraId="3508AECB">
      <w:pPr>
        <w:pStyle w:val="7"/>
        <w:ind w:firstLine="420"/>
      </w:pPr>
      <w:r>
        <w:rPr>
          <w:rFonts w:hint="eastAsia"/>
        </w:rPr>
        <w:t>节点换乘地下车站站台之间的换乘楼扶梯和上下重叠站台之间的联系楼扶梯不得作为站台的安全出口；</w:t>
      </w:r>
    </w:p>
    <w:p w14:paraId="292666E8">
      <w:pPr>
        <w:pStyle w:val="7"/>
        <w:ind w:firstLine="420"/>
      </w:pPr>
      <w:r>
        <w:rPr>
          <w:rFonts w:hint="eastAsia"/>
        </w:rPr>
        <w:t>采用通道换乘的地下车站，当换乘通道设置直通室外地面的安全出口时，换乘通道可作为车站公共区的安全出口；采用通道换乘的地上车站，当换乘通道内部用不燃材料装修，并具有自然通风、排烟条件时，换乘通道可作为车站的安全出口；</w:t>
      </w:r>
    </w:p>
    <w:p w14:paraId="41469EDC">
      <w:pPr>
        <w:pStyle w:val="7"/>
        <w:ind w:firstLine="420"/>
      </w:pPr>
      <w:r>
        <w:rPr>
          <w:rFonts w:hint="eastAsia"/>
        </w:rPr>
        <w:t>换乘通道与两端站厅之间应设防火墙、防火门或防火卷帘等防火措施进行分隔。当仅在通道一端与站厅连接位置设防火分隔措施时，换乘通道应视为通道侧公共区的一部分，通道内任意一点至通道侧车站公共区的安全出口距离不应大于50m；当在通道两端与站厅连接位置设防火措施分隔，并具备在任意一条线火灾工况下临近火灾线路侧的防火卷帘降落或防火门关闭时，通道内疏散距离不限。</w:t>
      </w:r>
    </w:p>
    <w:p w14:paraId="4D4929D3">
      <w:pPr>
        <w:pStyle w:val="7"/>
        <w:ind w:firstLine="420"/>
      </w:pPr>
      <w:r>
        <w:rPr>
          <w:rFonts w:hint="eastAsia"/>
        </w:rPr>
        <w:t>作为车站公共区安全出口的换乘通道，在通道与两端站厅之间设置的防火墙上的防火门应朝向通道内开启，通道内配置独立的机械排烟设施和安全疏散引导标识，安全出口与通道两端的防火门以及通道内不同安全出口之间的距离均不应大于100m。</w:t>
      </w:r>
    </w:p>
    <w:p w14:paraId="0AD65D92">
      <w:pPr>
        <w:pStyle w:val="7"/>
        <w:ind w:firstLine="420"/>
      </w:pPr>
      <w:r>
        <w:rPr>
          <w:rFonts w:hint="eastAsia"/>
        </w:rPr>
        <w:t>有独立进出站功能的换乘厅当与站厅公共区通过楼扶梯直接连接时，可视为一个防火分区，上下层任意一点到安全出口的疏散距离</w:t>
      </w:r>
      <w:r>
        <w:t>不应大于</w:t>
      </w:r>
      <w:r>
        <w:rPr>
          <w:rFonts w:hint="eastAsia"/>
        </w:rPr>
        <w:t>50m；当与两线站厅通过换乘通道连接，且在与站厅连接位置的防火墙上设有向站厅开启的防火门时，换乘厅可仅设置一个直出地面的安全出口，并借助朝两侧站厅开启的防火门作为第二安全出口。</w:t>
      </w:r>
    </w:p>
    <w:p w14:paraId="5CD05C51">
      <w:pPr>
        <w:pStyle w:val="7"/>
        <w:ind w:firstLine="420"/>
      </w:pPr>
      <w:r>
        <w:rPr>
          <w:rFonts w:hint="eastAsia"/>
        </w:rPr>
        <w:t xml:space="preserve">无独立进出站功能的换乘厅可视为换乘通道的一部分，按照上述第4款和第5款规定执行。 </w:t>
      </w:r>
    </w:p>
    <w:p w14:paraId="407264B2">
      <w:pPr>
        <w:numPr>
          <w:ilvl w:val="2"/>
          <w:numId w:val="1"/>
        </w:numPr>
        <w:tabs>
          <w:tab w:val="left" w:pos="794"/>
          <w:tab w:val="left" w:pos="851"/>
          <w:tab w:val="left" w:pos="935"/>
          <w:tab w:val="left" w:pos="1502"/>
        </w:tabs>
        <w:outlineLvl w:val="2"/>
        <w:rPr>
          <w:bCs/>
        </w:rPr>
      </w:pPr>
      <w:r>
        <w:rPr>
          <w:rFonts w:hint="eastAsia"/>
          <w:bCs/>
        </w:rPr>
        <w:t>地下</w:t>
      </w:r>
      <w:r>
        <w:rPr>
          <w:rFonts w:hint="eastAsia"/>
        </w:rPr>
        <w:t>车站</w:t>
      </w:r>
      <w:r>
        <w:rPr>
          <w:rFonts w:hint="eastAsia"/>
          <w:bCs/>
        </w:rPr>
        <w:t>设备管理用房区的安全出口应符合下列规定：</w:t>
      </w:r>
    </w:p>
    <w:p w14:paraId="7F8DCF43">
      <w:pPr>
        <w:pStyle w:val="7"/>
        <w:ind w:firstLine="420"/>
      </w:pPr>
      <w:r>
        <w:rPr>
          <w:rFonts w:hint="eastAsia"/>
        </w:rPr>
        <w:t>有人值守的设备管理用房区内，每个防火分区的安全出口数量不应少于两个；当平面上有2个或2个以上防火分区相邻布置时，每个防火分区可利用防火墙上1个通向相邻分区的甲级防火门作为第2个安全出口，但每个防火分区必须有一个直通室外的安全出口；</w:t>
      </w:r>
    </w:p>
    <w:p w14:paraId="7E552BEE">
      <w:pPr>
        <w:pStyle w:val="7"/>
        <w:ind w:firstLine="420"/>
      </w:pPr>
      <w:r>
        <w:rPr>
          <w:rFonts w:hint="eastAsia"/>
        </w:rPr>
        <w:t>无人值守或值守人员不超过3人的设备管理用房区，可利用与相邻防火分区相通的防火门、能通向站厅公共区的出口或与其它防火分区相通的楼梯间作为安全出口；防火分区的建筑面积不大于500㎡时，可只设1个通向相邻防火分区防火墙上的甲级防火门作为安全出口。</w:t>
      </w:r>
    </w:p>
    <w:p w14:paraId="24834D90">
      <w:pPr>
        <w:pStyle w:val="7"/>
        <w:ind w:firstLine="420"/>
      </w:pPr>
      <w:r>
        <w:rPr>
          <w:rFonts w:hint="eastAsia"/>
        </w:rPr>
        <w:t>设备管理用房区内的消防专用通道可作为该设备管理区人员的安全出口；</w:t>
      </w:r>
    </w:p>
    <w:p w14:paraId="5C4349C7">
      <w:pPr>
        <w:pStyle w:val="7"/>
        <w:ind w:firstLine="420"/>
      </w:pPr>
      <w:r>
        <w:rPr>
          <w:rFonts w:hint="eastAsia"/>
        </w:rPr>
        <w:t>设在站台和站厅层之间的设备管理用房区不得利用公共楼梯休息平台作为安全出口；</w:t>
      </w:r>
    </w:p>
    <w:p w14:paraId="1C72478A">
      <w:pPr>
        <w:pStyle w:val="7"/>
        <w:ind w:firstLine="420"/>
      </w:pPr>
      <w:r>
        <w:rPr>
          <w:rFonts w:hint="eastAsia"/>
        </w:rPr>
        <w:t>地下车站的风道可利用防火墙上1个通向相邻防火分区的甲级防火门作为安全出口，但设备管理用房防火分区不得利用通向风道的防火门作为安全出口；</w:t>
      </w:r>
    </w:p>
    <w:p w14:paraId="672F305A">
      <w:pPr>
        <w:pStyle w:val="7"/>
        <w:ind w:firstLine="420"/>
      </w:pPr>
      <w:r>
        <w:rPr>
          <w:rFonts w:hint="eastAsia"/>
        </w:rPr>
        <w:t>位于站台计算长度外的设备管理用房区，通向站台屏蔽门端门外的疏散走道向站台公共区疏散，疏散走道净宽不应小于1.1m；当防火分区内的设备和管理用房区有人值守或经常停留人数超过3人，宜采用内走道方式与通向另一个防火分区的楼梯间连通。</w:t>
      </w:r>
    </w:p>
    <w:p w14:paraId="185EE7E1">
      <w:pPr>
        <w:pStyle w:val="7"/>
        <w:ind w:firstLine="420"/>
      </w:pPr>
      <w:r>
        <w:rPr>
          <w:rFonts w:hint="eastAsia"/>
        </w:rPr>
        <w:t>建筑面积不大于</w:t>
      </w:r>
      <w:r>
        <w:t>200m</w:t>
      </w:r>
      <w:r>
        <w:rPr>
          <w:vertAlign w:val="superscript"/>
        </w:rPr>
        <w:t>2</w:t>
      </w:r>
      <w:r>
        <w:rPr>
          <w:rFonts w:hint="eastAsia"/>
        </w:rPr>
        <w:t>无人值守的设备用房以及建筑面积不大于</w:t>
      </w:r>
      <w:r>
        <w:t>50m</w:t>
      </w:r>
      <w:r>
        <w:rPr>
          <w:vertAlign w:val="superscript"/>
        </w:rPr>
        <w:t>2</w:t>
      </w:r>
      <w:r>
        <w:rPr>
          <w:rFonts w:hint="eastAsia"/>
        </w:rPr>
        <w:t>且经常停留人数不超过</w:t>
      </w:r>
      <w:r>
        <w:t>15</w:t>
      </w:r>
      <w:r>
        <w:rPr>
          <w:rFonts w:hint="eastAsia"/>
        </w:rPr>
        <w:t>人的房间，可设置一个疏散门。</w:t>
      </w:r>
    </w:p>
    <w:p w14:paraId="0BF26DE5">
      <w:pPr>
        <w:pStyle w:val="7"/>
        <w:ind w:firstLine="420"/>
      </w:pPr>
      <w:r>
        <w:rPr>
          <w:rFonts w:hint="eastAsia"/>
        </w:rPr>
        <w:t>设备管理用房的防火分区均不得向无独立疏散路径的防火分区疏散；防火分区分界位置上防火墙设在走廊上防火门的数量和朝向应满足门两侧不同防火分区的疏散需求。</w:t>
      </w:r>
    </w:p>
    <w:p w14:paraId="6E6EA4C8">
      <w:pPr>
        <w:numPr>
          <w:ilvl w:val="2"/>
          <w:numId w:val="1"/>
        </w:numPr>
        <w:tabs>
          <w:tab w:val="left" w:pos="794"/>
          <w:tab w:val="left" w:pos="851"/>
          <w:tab w:val="left" w:pos="935"/>
          <w:tab w:val="left" w:pos="1502"/>
        </w:tabs>
        <w:outlineLvl w:val="2"/>
        <w:rPr>
          <w:bCs/>
        </w:rPr>
      </w:pPr>
      <w:r>
        <w:rPr>
          <w:rFonts w:hint="eastAsia"/>
          <w:bCs/>
        </w:rPr>
        <w:t>建筑高度不超过</w:t>
      </w:r>
      <w:r>
        <w:rPr>
          <w:bCs/>
        </w:rPr>
        <w:t>24m</w:t>
      </w:r>
      <w:r>
        <w:rPr>
          <w:rFonts w:hint="eastAsia"/>
          <w:bCs/>
        </w:rPr>
        <w:t>的地上车站，设备管理用房区的安全出口除符合29.2.36的规定外，还应符合下列规定：</w:t>
      </w:r>
    </w:p>
    <w:p w14:paraId="25B48E82">
      <w:pPr>
        <w:pStyle w:val="7"/>
        <w:ind w:firstLine="420"/>
      </w:pPr>
      <w:r>
        <w:rPr>
          <w:rFonts w:hint="eastAsia"/>
        </w:rPr>
        <w:t>车站层数不超过三层，且经常停留人数不超过</w:t>
      </w:r>
      <w:r>
        <w:t>3</w:t>
      </w:r>
      <w:r>
        <w:rPr>
          <w:rFonts w:hint="eastAsia"/>
        </w:rPr>
        <w:t>人的设备管理用房区，当每层防火分区的建筑面积不大于</w:t>
      </w:r>
      <w:r>
        <w:t>500m</w:t>
      </w:r>
      <w:r>
        <w:rPr>
          <w:vertAlign w:val="superscript"/>
        </w:rPr>
        <w:t>2</w:t>
      </w:r>
      <w:r>
        <w:rPr>
          <w:rFonts w:hint="eastAsia"/>
        </w:rPr>
        <w:t>时，可只设一个与相邻公共区防火墙上的甲级防火门作为安全出口；</w:t>
      </w:r>
    </w:p>
    <w:p w14:paraId="1ACBE2D3">
      <w:pPr>
        <w:pStyle w:val="7"/>
        <w:ind w:firstLine="420"/>
      </w:pPr>
      <w:r>
        <w:rPr>
          <w:rFonts w:hint="eastAsia"/>
        </w:rPr>
        <w:t>有人值守的设备管理用房区内，每个防火分区、一个防火分区的每个楼层，其安全出口的数量不应少于</w:t>
      </w:r>
      <w:r>
        <w:t>2</w:t>
      </w:r>
      <w:r>
        <w:rPr>
          <w:rFonts w:hint="eastAsia"/>
        </w:rPr>
        <w:t>个。当防火分区建筑面积不大于</w:t>
      </w:r>
      <w:r>
        <w:t>1500m</w:t>
      </w:r>
      <w:r>
        <w:rPr>
          <w:vertAlign w:val="superscript"/>
        </w:rPr>
        <w:t>2</w:t>
      </w:r>
      <w:r>
        <w:rPr>
          <w:rFonts w:hint="eastAsia"/>
        </w:rPr>
        <w:t>时，可只设一个直通地面的安全出口，相邻防火分区防火墙上的甲级防火门可作为第</w:t>
      </w:r>
      <w:r>
        <w:t>2</w:t>
      </w:r>
      <w:r>
        <w:rPr>
          <w:rFonts w:hint="eastAsia"/>
        </w:rPr>
        <w:t>个安全出口。</w:t>
      </w:r>
    </w:p>
    <w:p w14:paraId="1AC98B13">
      <w:pPr>
        <w:numPr>
          <w:ilvl w:val="2"/>
          <w:numId w:val="1"/>
        </w:numPr>
        <w:tabs>
          <w:tab w:val="left" w:pos="794"/>
          <w:tab w:val="left" w:pos="851"/>
          <w:tab w:val="left" w:pos="935"/>
          <w:tab w:val="left" w:pos="1502"/>
        </w:tabs>
        <w:outlineLvl w:val="2"/>
        <w:rPr>
          <w:bCs/>
        </w:rPr>
      </w:pPr>
      <w:r>
        <w:rPr>
          <w:rFonts w:hint="eastAsia"/>
          <w:bCs/>
        </w:rPr>
        <w:t>车站</w:t>
      </w:r>
      <w:r>
        <w:rPr>
          <w:rFonts w:hint="eastAsia"/>
        </w:rPr>
        <w:t>设备管理</w:t>
      </w:r>
      <w:r>
        <w:rPr>
          <w:rFonts w:hint="eastAsia"/>
          <w:bCs/>
        </w:rPr>
        <w:t>用房区内直通疏散走道的房间疏散门至最近安全出口的距离应符合下列规定：</w:t>
      </w:r>
    </w:p>
    <w:p w14:paraId="40E92A40">
      <w:pPr>
        <w:pStyle w:val="7"/>
        <w:ind w:firstLine="420"/>
      </w:pPr>
      <w:r>
        <w:rPr>
          <w:rFonts w:hint="eastAsia"/>
        </w:rPr>
        <w:t>当房间疏散门位于两个安全出口之间时，其疏散门至最近安全出口的最大距离不应大于</w:t>
      </w:r>
      <w:r>
        <w:t>40m</w:t>
      </w:r>
      <w:r>
        <w:rPr>
          <w:rFonts w:hint="eastAsia"/>
        </w:rPr>
        <w:t>。当房间位于袋形走道两侧或尽端时，其疏散门至最近安全出口的距离不应大于</w:t>
      </w:r>
      <w:r>
        <w:t>22m</w:t>
      </w:r>
      <w:r>
        <w:rPr>
          <w:rFonts w:hint="eastAsia"/>
        </w:rPr>
        <w:t>；</w:t>
      </w:r>
    </w:p>
    <w:p w14:paraId="4C06A4A1">
      <w:pPr>
        <w:pStyle w:val="7"/>
        <w:ind w:firstLine="420"/>
      </w:pPr>
      <w:r>
        <w:rPr>
          <w:rFonts w:hint="eastAsia"/>
        </w:rPr>
        <w:t>除通风机房外，设备房间内任意一点到该房间直接通向疏散走道的疏散门之间的直线距离不应大于</w:t>
      </w:r>
      <w:r>
        <w:t>22m</w:t>
      </w:r>
      <w:r>
        <w:rPr>
          <w:rFonts w:hint="eastAsia"/>
        </w:rPr>
        <w:t>；</w:t>
      </w:r>
    </w:p>
    <w:p w14:paraId="35E683FD">
      <w:pPr>
        <w:pStyle w:val="7"/>
        <w:ind w:firstLine="420"/>
      </w:pPr>
      <w:r>
        <w:rPr>
          <w:rFonts w:hint="eastAsia"/>
        </w:rPr>
        <w:t>通风机房内任意一点到该房间直接通行疏散走道的疏散门之间的直线距离应不大于60m。风道的疏散距离不做限制。</w:t>
      </w:r>
    </w:p>
    <w:p w14:paraId="67625008">
      <w:pPr>
        <w:numPr>
          <w:ilvl w:val="2"/>
          <w:numId w:val="1"/>
        </w:numPr>
        <w:tabs>
          <w:tab w:val="left" w:pos="794"/>
          <w:tab w:val="left" w:pos="851"/>
          <w:tab w:val="left" w:pos="935"/>
          <w:tab w:val="left" w:pos="1502"/>
        </w:tabs>
        <w:outlineLvl w:val="2"/>
        <w:rPr>
          <w:bCs/>
        </w:rPr>
      </w:pPr>
      <w:r>
        <w:rPr>
          <w:rFonts w:hint="eastAsia"/>
          <w:bCs/>
        </w:rPr>
        <w:t>车站</w:t>
      </w:r>
      <w:r>
        <w:rPr>
          <w:rFonts w:hint="eastAsia"/>
        </w:rPr>
        <w:t>设备管理</w:t>
      </w:r>
      <w:r>
        <w:rPr>
          <w:rFonts w:hint="eastAsia"/>
          <w:bCs/>
        </w:rPr>
        <w:t>用房区的楼梯</w:t>
      </w:r>
      <w:r>
        <w:rPr>
          <w:rFonts w:hint="eastAsia"/>
          <w:b/>
          <w:bCs/>
        </w:rPr>
        <w:t>应符合下列规定：</w:t>
      </w:r>
    </w:p>
    <w:p w14:paraId="41A53BEA">
      <w:pPr>
        <w:pStyle w:val="7"/>
        <w:ind w:firstLine="420"/>
      </w:pPr>
      <w:r>
        <w:rPr>
          <w:rFonts w:hint="eastAsia"/>
        </w:rPr>
        <w:t>地下车站设备管理用房区内的楼梯间，除通向消防专用通道的错位疏散楼梯外，楼梯间在各层的平面位置不宜改变。</w:t>
      </w:r>
    </w:p>
    <w:p w14:paraId="7AF86741">
      <w:pPr>
        <w:pStyle w:val="7"/>
        <w:ind w:firstLine="420"/>
      </w:pPr>
      <w:r>
        <w:rPr>
          <w:rFonts w:hint="eastAsia"/>
        </w:rPr>
        <w:t>大于、等于3层的地下车站设备管理用房区的楼梯间以及室内地饰面与室外出入口地坪高差大于10m的消防专用通道内的楼梯间应为防烟楼梯间。建筑高度不大于24m的地上车站，设备管理用房区内的楼梯间应为封闭楼梯间。</w:t>
      </w:r>
    </w:p>
    <w:p w14:paraId="269E345B">
      <w:pPr>
        <w:numPr>
          <w:ilvl w:val="2"/>
          <w:numId w:val="1"/>
        </w:numPr>
        <w:tabs>
          <w:tab w:val="left" w:pos="794"/>
          <w:tab w:val="left" w:pos="851"/>
          <w:tab w:val="left" w:pos="935"/>
          <w:tab w:val="left" w:pos="1502"/>
        </w:tabs>
        <w:outlineLvl w:val="2"/>
      </w:pPr>
      <w:r>
        <w:rPr>
          <w:rFonts w:hint="eastAsia"/>
        </w:rPr>
        <w:t>车站的出入口通道和天桥、安全疏散口应符合下列规定：</w:t>
      </w:r>
    </w:p>
    <w:p w14:paraId="1E4B57C2">
      <w:pPr>
        <w:pStyle w:val="7"/>
        <w:ind w:firstLine="420"/>
      </w:pPr>
      <w:r>
        <w:t xml:space="preserve"> 乘客出入口通道的疏散路线应各自独立，不得设置门槛、有碍疏散的物体</w:t>
      </w:r>
      <w:r>
        <w:rPr>
          <w:rFonts w:hint="eastAsia"/>
        </w:rPr>
        <w:t>。</w:t>
      </w:r>
    </w:p>
    <w:p w14:paraId="4B727901">
      <w:pPr>
        <w:pStyle w:val="7"/>
        <w:ind w:firstLine="420"/>
      </w:pPr>
      <w:r>
        <w:t>当车站公共区的一个出地面的出入口有两个及以上分支通道</w:t>
      </w:r>
      <w:r>
        <w:rPr>
          <w:rFonts w:hint="eastAsia"/>
        </w:rPr>
        <w:t>连接</w:t>
      </w:r>
      <w:r>
        <w:t>站厅</w:t>
      </w:r>
      <w:r>
        <w:rPr>
          <w:rFonts w:hint="eastAsia"/>
        </w:rPr>
        <w:t>时</w:t>
      </w:r>
      <w:r>
        <w:t>，该出入口</w:t>
      </w:r>
      <w:r>
        <w:rPr>
          <w:rFonts w:hint="eastAsia"/>
        </w:rPr>
        <w:t>通道与站厅的接口均可视为站厅</w:t>
      </w:r>
      <w:r>
        <w:t>的安全出口。</w:t>
      </w:r>
    </w:p>
    <w:p w14:paraId="0198F8CE">
      <w:pPr>
        <w:pStyle w:val="7"/>
        <w:ind w:firstLine="420"/>
      </w:pPr>
      <w:r>
        <w:t>当车站相邻两个安全疏散口的通道相连后共用出地面的疏散楼梯时，共用的疏散楼梯应采用防烟楼梯间，且两个疏散通道与车站主体连接的位置应设置前室，前室应各自独立，并分别配置防烟系统，则两个安全疏散口可视为各自防火分区的疏散口使用。</w:t>
      </w:r>
    </w:p>
    <w:p w14:paraId="648D975A">
      <w:pPr>
        <w:pStyle w:val="7"/>
        <w:ind w:firstLine="420"/>
      </w:pPr>
      <w:r>
        <w:rPr>
          <w:rFonts w:hint="eastAsia"/>
        </w:rPr>
        <w:t>当安全</w:t>
      </w:r>
      <w:r>
        <w:t>疏散口</w:t>
      </w:r>
      <w:r>
        <w:rPr>
          <w:rFonts w:hint="eastAsia"/>
        </w:rPr>
        <w:t>由</w:t>
      </w:r>
      <w:r>
        <w:t>公共区与设备管理区共用</w:t>
      </w:r>
      <w:r>
        <w:rPr>
          <w:rFonts w:hint="eastAsia"/>
        </w:rPr>
        <w:t>时，</w:t>
      </w:r>
      <w:r>
        <w:t>不应作为消防专用通道</w:t>
      </w:r>
      <w:r>
        <w:rPr>
          <w:rFonts w:hint="eastAsia"/>
        </w:rPr>
        <w:t>使用</w:t>
      </w:r>
      <w:r>
        <w:t xml:space="preserve">。 </w:t>
      </w:r>
    </w:p>
    <w:p w14:paraId="26F45175">
      <w:pPr>
        <w:pStyle w:val="7"/>
        <w:ind w:firstLine="420"/>
      </w:pPr>
      <w:r>
        <w:rPr>
          <w:rFonts w:hint="eastAsia"/>
        </w:rPr>
        <w:t>当换乘车站两线公共区的不同防火分区出入口通道汇集成一个通道出地面时，在通道交汇处设有防火分隔和导向标识等安全疏散措施满足两线车站火灾工况时的独立疏散路线的条件下，则该出入口可计为两线车站公共区的安全出口。</w:t>
      </w:r>
    </w:p>
    <w:p w14:paraId="05E5BAD1">
      <w:pPr>
        <w:pStyle w:val="7"/>
        <w:ind w:firstLine="420"/>
      </w:pPr>
      <w:r>
        <w:rPr>
          <w:rFonts w:hint="eastAsia"/>
        </w:rPr>
        <w:t>出入口通道应在与商业等非地铁功能的场所的连通处采用下沉广场、防火隔间、避难走道、防烟楼梯间等方式时，可作为车站公共区的安全出口；当采用防火卷帘时，应在连通处采用双道防火卷帘构成一个长度不小于</w:t>
      </w:r>
      <w:r>
        <w:t>10m</w:t>
      </w:r>
      <w:r>
        <w:rPr>
          <w:rFonts w:hint="eastAsia"/>
        </w:rPr>
        <w:t>、宽度不大于</w:t>
      </w:r>
      <w:r>
        <w:t>8m</w:t>
      </w:r>
      <w:r>
        <w:rPr>
          <w:rFonts w:hint="eastAsia"/>
        </w:rPr>
        <w:t>的防火隔离区，防火卷帘分别设置在防火隔离区的两端，分别有地铁和非地铁设施的火灾自动报警系统联动控制，方可作为车站公共区的安全出口；</w:t>
      </w:r>
    </w:p>
    <w:p w14:paraId="593C9813">
      <w:pPr>
        <w:pStyle w:val="7"/>
        <w:ind w:firstLine="420"/>
      </w:pPr>
      <w:r>
        <w:rPr>
          <w:rFonts w:hint="eastAsia"/>
        </w:rPr>
        <w:t>出入口地下厅在出入口通道与站厅连接位置设置防火墙等分隔措施时，可只设置一个直出地面的安全出口，并将防火墙上设有朝向站厅开启的防火门作为地下厅的第二安全出口，地下厅内任意一点至安全出口的距离不应大于50m，安全出口间距</w:t>
      </w:r>
      <w:r>
        <w:t>不应小</w:t>
      </w:r>
      <w:r>
        <w:rPr>
          <w:rFonts w:hint="eastAsia"/>
        </w:rPr>
        <w:t>20m；</w:t>
      </w:r>
    </w:p>
    <w:p w14:paraId="04A2FAEE">
      <w:pPr>
        <w:pStyle w:val="7"/>
        <w:ind w:firstLine="420"/>
      </w:pPr>
      <w:r>
        <w:rPr>
          <w:rFonts w:hint="eastAsia"/>
        </w:rPr>
        <w:t>车站主体与最近直出室外的出入口地面亭开口边缘的距离不宜超过100m，当大于100m时，应在距离主体接口不大于50m的位置增设安全出口。当出入口通道设置了多个直出室外的出入口时，则第一个直出室外的出入口距离其余出入口以及其余出入口之间的通道长度不限。</w:t>
      </w:r>
    </w:p>
    <w:p w14:paraId="7B8130C2">
      <w:pPr>
        <w:pStyle w:val="7"/>
        <w:ind w:firstLine="420"/>
      </w:pPr>
      <w:r>
        <w:rPr>
          <w:rFonts w:hint="eastAsia"/>
        </w:rPr>
        <w:t>出入口地面厅</w:t>
      </w:r>
      <w:r>
        <w:t>直通</w:t>
      </w:r>
      <w:r>
        <w:rPr>
          <w:rFonts w:hint="eastAsia"/>
        </w:rPr>
        <w:t>室外</w:t>
      </w:r>
      <w:r>
        <w:t>的安全出口数量不</w:t>
      </w:r>
      <w:r>
        <w:rPr>
          <w:rFonts w:hint="eastAsia"/>
        </w:rPr>
        <w:t>宜</w:t>
      </w:r>
      <w:r>
        <w:t>少于</w:t>
      </w:r>
      <w:r>
        <w:rPr>
          <w:rFonts w:hint="eastAsia"/>
        </w:rPr>
        <w:t>2</w:t>
      </w:r>
      <w:r>
        <w:t>个</w:t>
      </w:r>
      <w:r>
        <w:rPr>
          <w:rFonts w:hint="eastAsia"/>
        </w:rPr>
        <w:t>，</w:t>
      </w:r>
      <w:r>
        <w:t>安全出口</w:t>
      </w:r>
      <w:r>
        <w:rPr>
          <w:rFonts w:hint="eastAsia"/>
        </w:rPr>
        <w:t>间距</w:t>
      </w:r>
      <w:r>
        <w:t>不应小</w:t>
      </w:r>
      <w:r>
        <w:rPr>
          <w:rFonts w:hint="eastAsia"/>
        </w:rPr>
        <w:t>5m；</w:t>
      </w:r>
    </w:p>
    <w:p w14:paraId="26387A70">
      <w:pPr>
        <w:pStyle w:val="7"/>
        <w:ind w:firstLine="420"/>
      </w:pPr>
      <w:r>
        <w:t>地上车站与站厅连接的天桥，具有天然采光和自然通风，结构采用不燃烧体，内部装修采用不燃材料，天桥内无商业经营设施并能直通地面时，该天桥可作为连接站厅的安全出口；</w:t>
      </w:r>
    </w:p>
    <w:p w14:paraId="5FBDED2F">
      <w:pPr>
        <w:pStyle w:val="7"/>
        <w:ind w:firstLine="420"/>
      </w:pPr>
      <w:r>
        <w:t>车站地面出口不应采用带有迂回曲折的导向栏杆作为乘客疏散诱导设施。</w:t>
      </w:r>
    </w:p>
    <w:p w14:paraId="1440FD64">
      <w:pPr>
        <w:numPr>
          <w:ilvl w:val="2"/>
          <w:numId w:val="1"/>
        </w:numPr>
        <w:tabs>
          <w:tab w:val="left" w:pos="794"/>
          <w:tab w:val="left" w:pos="851"/>
          <w:tab w:val="left" w:pos="935"/>
          <w:tab w:val="left" w:pos="1502"/>
        </w:tabs>
        <w:outlineLvl w:val="2"/>
        <w:rPr>
          <w:szCs w:val="18"/>
        </w:rPr>
      </w:pPr>
      <w:r>
        <w:rPr>
          <w:rFonts w:hint="eastAsia"/>
          <w:szCs w:val="18"/>
        </w:rPr>
        <w:t>当</w:t>
      </w:r>
      <w:r>
        <w:rPr>
          <w:szCs w:val="18"/>
        </w:rPr>
        <w:t>车站</w:t>
      </w:r>
      <w:r>
        <w:rPr>
          <w:rFonts w:hint="eastAsia"/>
          <w:szCs w:val="18"/>
        </w:rPr>
        <w:t>出入口通道与城市地下人行通道直接连通并符合下列规定时，出入口可作为车站安全出口：</w:t>
      </w:r>
    </w:p>
    <w:p w14:paraId="1C45AC96">
      <w:pPr>
        <w:pStyle w:val="7"/>
        <w:ind w:firstLine="420"/>
      </w:pPr>
      <w:r>
        <w:rPr>
          <w:rFonts w:hint="eastAsia"/>
        </w:rPr>
        <w:t>地下人行通道应仅限行人使用，通道内部不应设置商业设施和其它可燃物，应采用燃烧性能A级的装修材料；</w:t>
      </w:r>
    </w:p>
    <w:p w14:paraId="37FAC65E">
      <w:pPr>
        <w:pStyle w:val="7"/>
        <w:ind w:firstLine="420"/>
      </w:pPr>
      <w:r>
        <w:rPr>
          <w:rFonts w:hint="eastAsia"/>
        </w:rPr>
        <w:t xml:space="preserve">地下人行通道宽度不宜低于出入口通道的最大宽度； </w:t>
      </w:r>
    </w:p>
    <w:p w14:paraId="2A98CFC1">
      <w:pPr>
        <w:pStyle w:val="7"/>
        <w:ind w:firstLine="420"/>
      </w:pPr>
      <w:r>
        <w:rPr>
          <w:rFonts w:hint="eastAsia"/>
        </w:rPr>
        <w:t>除连接地下人行通道的出入口外，车站还应设置不少于一个独立出地面的出入口。。</w:t>
      </w:r>
    </w:p>
    <w:p w14:paraId="4366DD27">
      <w:pPr>
        <w:pStyle w:val="7"/>
        <w:ind w:firstLine="420"/>
      </w:pPr>
      <w:r>
        <w:rPr>
          <w:rFonts w:hint="eastAsia"/>
        </w:rPr>
        <w:t>连接地下人行通道的出入口通道长度不宜大于100m；当长度大于100m时，应在通道距离站厅不大于50m的范围内增设安全出口。</w:t>
      </w:r>
    </w:p>
    <w:p w14:paraId="5C3F0A4A">
      <w:pPr>
        <w:numPr>
          <w:ilvl w:val="2"/>
          <w:numId w:val="1"/>
        </w:numPr>
        <w:tabs>
          <w:tab w:val="left" w:pos="794"/>
          <w:tab w:val="left" w:pos="851"/>
          <w:tab w:val="left" w:pos="935"/>
          <w:tab w:val="left" w:pos="1502"/>
        </w:tabs>
        <w:outlineLvl w:val="2"/>
      </w:pPr>
      <w:r>
        <w:rPr>
          <w:rFonts w:hint="eastAsia"/>
        </w:rPr>
        <w:t xml:space="preserve">车站人员密集场所的紧急疏散专用楼梯宽度不应小于1.2m；兼做乘客日常使用的单向楼梯不应小于1.8m，双向不应小于2.4m。 </w:t>
      </w:r>
    </w:p>
    <w:p w14:paraId="797AB303">
      <w:pPr>
        <w:numPr>
          <w:ilvl w:val="2"/>
          <w:numId w:val="1"/>
        </w:numPr>
        <w:tabs>
          <w:tab w:val="left" w:pos="794"/>
          <w:tab w:val="left" w:pos="851"/>
          <w:tab w:val="left" w:pos="935"/>
          <w:tab w:val="left" w:pos="1502"/>
        </w:tabs>
        <w:outlineLvl w:val="2"/>
      </w:pPr>
      <w:r>
        <w:rPr>
          <w:rFonts w:hint="eastAsia"/>
        </w:rPr>
        <w:t>地下分离岛式车站在站台公共区内，应至少设两个净宽不小于3.5m的横向联络通道，联络通道中心之间的水平净距不宜大于两节列车长度且不宜大于60m。</w:t>
      </w:r>
    </w:p>
    <w:p w14:paraId="73327D23">
      <w:pPr>
        <w:numPr>
          <w:ilvl w:val="2"/>
          <w:numId w:val="1"/>
        </w:numPr>
        <w:tabs>
          <w:tab w:val="left" w:pos="794"/>
          <w:tab w:val="left" w:pos="851"/>
          <w:tab w:val="left" w:pos="935"/>
          <w:tab w:val="left" w:pos="1502"/>
        </w:tabs>
        <w:outlineLvl w:val="2"/>
      </w:pPr>
      <w:r>
        <w:rPr>
          <w:rFonts w:hint="eastAsia"/>
        </w:rPr>
        <w:t>站台计算长度内的侧站台净宽应保证应急门开启的通道宽度不小于1.2m，并核算侧站台在应急门开启时的通过能力。</w:t>
      </w:r>
    </w:p>
    <w:p w14:paraId="72F79C13">
      <w:pPr>
        <w:numPr>
          <w:ilvl w:val="2"/>
          <w:numId w:val="1"/>
        </w:numPr>
        <w:tabs>
          <w:tab w:val="left" w:pos="794"/>
          <w:tab w:val="left" w:pos="851"/>
          <w:tab w:val="left" w:pos="935"/>
          <w:tab w:val="left" w:pos="1502"/>
        </w:tabs>
        <w:outlineLvl w:val="2"/>
        <w:rPr>
          <w:spacing w:val="4"/>
          <w:sz w:val="20"/>
        </w:rPr>
      </w:pPr>
      <w:r>
        <w:t>列车各</w:t>
      </w:r>
      <w:r>
        <w:rPr>
          <w:spacing w:val="4"/>
          <w:sz w:val="20"/>
        </w:rPr>
        <w:t>节</w:t>
      </w:r>
      <w:r>
        <w:rPr>
          <w:rStyle w:val="131"/>
        </w:rPr>
        <w:t>车厢之间应贯通，列车端部车辆应急疏散设施以及车辆防火、报警、灭火等安全与应急设施应符合本规范第</w:t>
      </w:r>
      <w:r>
        <w:rPr>
          <w:rStyle w:val="131"/>
          <w:rFonts w:hint="eastAsia"/>
        </w:rPr>
        <w:t>5</w:t>
      </w:r>
      <w:r>
        <w:rPr>
          <w:rStyle w:val="131"/>
        </w:rPr>
        <w:t>.5.1条和第</w:t>
      </w:r>
      <w:r>
        <w:rPr>
          <w:rStyle w:val="131"/>
          <w:rFonts w:hint="eastAsia"/>
        </w:rPr>
        <w:t>5</w:t>
      </w:r>
      <w:r>
        <w:rPr>
          <w:rStyle w:val="131"/>
        </w:rPr>
        <w:t>.6节的有关规定。</w:t>
      </w:r>
    </w:p>
    <w:p w14:paraId="202B888E">
      <w:pPr>
        <w:numPr>
          <w:ilvl w:val="2"/>
          <w:numId w:val="1"/>
        </w:numPr>
        <w:tabs>
          <w:tab w:val="left" w:pos="794"/>
          <w:tab w:val="left" w:pos="851"/>
          <w:tab w:val="left" w:pos="935"/>
          <w:tab w:val="left" w:pos="1502"/>
        </w:tabs>
        <w:outlineLvl w:val="2"/>
      </w:pPr>
      <w:r>
        <w:rPr>
          <w:rFonts w:hint="eastAsia"/>
        </w:rPr>
        <w:t>控制</w:t>
      </w:r>
      <w:r>
        <w:t>中心</w:t>
      </w:r>
      <w:r>
        <w:rPr>
          <w:rFonts w:hint="eastAsia"/>
        </w:rPr>
        <w:t>中央控制室内的设备布置应方便人员逃生，其安全出口数量不应少于2个。</w:t>
      </w:r>
    </w:p>
    <w:p w14:paraId="4122689B">
      <w:pPr>
        <w:numPr>
          <w:ilvl w:val="2"/>
          <w:numId w:val="1"/>
        </w:numPr>
        <w:tabs>
          <w:tab w:val="left" w:pos="794"/>
          <w:tab w:val="left" w:pos="851"/>
          <w:tab w:val="left" w:pos="935"/>
          <w:tab w:val="left" w:pos="1502"/>
        </w:tabs>
        <w:outlineLvl w:val="2"/>
      </w:pPr>
      <w:r>
        <w:rPr>
          <w:rFonts w:hint="eastAsia"/>
        </w:rPr>
        <w:t>地下车辆基地内最远一点至疏散楼梯间、消防通道或其他安全出口或安全通道的距离不应超过45m，当设置自动灭火系统时，不应大于60m。</w:t>
      </w:r>
    </w:p>
    <w:p w14:paraId="6013E4EA">
      <w:pPr>
        <w:numPr>
          <w:ilvl w:val="2"/>
          <w:numId w:val="1"/>
        </w:numPr>
        <w:tabs>
          <w:tab w:val="left" w:pos="794"/>
          <w:tab w:val="left" w:pos="851"/>
          <w:tab w:val="left" w:pos="935"/>
          <w:tab w:val="left" w:pos="1502"/>
        </w:tabs>
        <w:outlineLvl w:val="2"/>
      </w:pPr>
      <w:r>
        <w:rPr>
          <w:rFonts w:hint="eastAsia"/>
        </w:rPr>
        <w:t>车辆基地厂（库）房和上盖物业开发建筑的安全出口应分别独立设置；上盖物业开发建筑的人员不应通过车辆基地厂（库）房疏散。</w:t>
      </w:r>
    </w:p>
    <w:p w14:paraId="7641C058">
      <w:pPr>
        <w:numPr>
          <w:ilvl w:val="2"/>
          <w:numId w:val="1"/>
        </w:numPr>
        <w:tabs>
          <w:tab w:val="left" w:pos="794"/>
          <w:tab w:val="left" w:pos="851"/>
          <w:tab w:val="left" w:pos="935"/>
          <w:tab w:val="left" w:pos="1502"/>
        </w:tabs>
        <w:outlineLvl w:val="2"/>
        <w:rPr>
          <w:bCs/>
        </w:rPr>
      </w:pPr>
      <w:r>
        <w:rPr>
          <w:rFonts w:hint="eastAsia"/>
        </w:rPr>
        <w:t>车辆基地、控制中心的建筑物安全疏散除本规范另有规定外，应符合现行国家标准</w:t>
      </w:r>
      <w:r>
        <w:rPr>
          <w:rFonts w:hint="eastAsia"/>
          <w:bCs/>
        </w:rPr>
        <w:t>《建筑设计防火规范》</w:t>
      </w:r>
      <w:r>
        <w:rPr>
          <w:bCs/>
        </w:rPr>
        <w:t>GB 50016</w:t>
      </w:r>
      <w:r>
        <w:rPr>
          <w:rFonts w:hint="eastAsia"/>
          <w:bCs/>
        </w:rPr>
        <w:t>和《建筑防火通用规范》GB55037的有关规定。</w:t>
      </w:r>
    </w:p>
    <w:p w14:paraId="537CD9EB">
      <w:pPr>
        <w:spacing w:before="72" w:after="72" w:line="240" w:lineRule="auto"/>
        <w:ind w:left="438"/>
        <w:jc w:val="center"/>
        <w:outlineLvl w:val="3"/>
        <w:rPr>
          <w:rFonts w:eastAsia="黑体"/>
        </w:rPr>
      </w:pPr>
      <w:r>
        <w:rPr>
          <w:rFonts w:hint="eastAsia" w:eastAsia="黑体"/>
        </w:rPr>
        <w:t>IV</w:t>
      </w:r>
      <w:r>
        <w:rPr>
          <w:rFonts w:eastAsia="黑体"/>
        </w:rPr>
        <w:t xml:space="preserve"> </w:t>
      </w:r>
      <w:r>
        <w:rPr>
          <w:rFonts w:hint="eastAsia" w:eastAsia="黑体"/>
        </w:rPr>
        <w:t xml:space="preserve"> 建筑结构耐火</w:t>
      </w:r>
    </w:p>
    <w:p w14:paraId="77C0E036">
      <w:pPr>
        <w:numPr>
          <w:ilvl w:val="2"/>
          <w:numId w:val="1"/>
        </w:numPr>
        <w:tabs>
          <w:tab w:val="left" w:pos="794"/>
          <w:tab w:val="left" w:pos="851"/>
          <w:tab w:val="left" w:pos="935"/>
          <w:tab w:val="left" w:pos="1502"/>
        </w:tabs>
        <w:outlineLvl w:val="2"/>
        <w:rPr>
          <w:rFonts w:ascii="Arial" w:hAnsi="Arial" w:cs="Arial"/>
          <w:spacing w:val="4"/>
          <w:sz w:val="20"/>
          <w:szCs w:val="20"/>
        </w:rPr>
      </w:pPr>
      <w:r>
        <w:rPr>
          <w:rFonts w:hint="eastAsia"/>
          <w:bCs/>
        </w:rPr>
        <w:t>下列</w:t>
      </w:r>
      <w:r>
        <w:rPr>
          <w:rFonts w:hint="eastAsia" w:ascii="Arial" w:hAnsi="Arial" w:cs="Arial"/>
          <w:spacing w:val="4"/>
          <w:sz w:val="20"/>
          <w:szCs w:val="20"/>
        </w:rPr>
        <w:t>建筑的耐火等级应为一级：</w:t>
      </w:r>
    </w:p>
    <w:p w14:paraId="3D6681A3">
      <w:pPr>
        <w:pStyle w:val="7"/>
        <w:ind w:firstLine="420"/>
      </w:pPr>
      <w:r>
        <w:rPr>
          <w:rFonts w:hint="eastAsia"/>
        </w:rPr>
        <w:t>半地下车站、地下车站及其出入口通道、风道，</w:t>
      </w:r>
    </w:p>
    <w:p w14:paraId="2088142C">
      <w:pPr>
        <w:pStyle w:val="7"/>
        <w:ind w:firstLine="420"/>
      </w:pPr>
      <w:r>
        <w:rPr>
          <w:rFonts w:hint="eastAsia"/>
        </w:rPr>
        <w:t>地下区间、联络通道及区间风井和风道，</w:t>
      </w:r>
    </w:p>
    <w:p w14:paraId="1F7A9A2D">
      <w:pPr>
        <w:pStyle w:val="7"/>
        <w:ind w:firstLine="420"/>
      </w:pPr>
      <w:r>
        <w:rPr>
          <w:rFonts w:hint="eastAsia"/>
        </w:rPr>
        <w:t>控制中心；</w:t>
      </w:r>
    </w:p>
    <w:p w14:paraId="3D79810C">
      <w:pPr>
        <w:pStyle w:val="7"/>
        <w:ind w:firstLine="420"/>
      </w:pPr>
      <w:r>
        <w:rPr>
          <w:rFonts w:hint="eastAsia"/>
        </w:rPr>
        <w:t>主变电所；</w:t>
      </w:r>
    </w:p>
    <w:p w14:paraId="795874E2">
      <w:pPr>
        <w:pStyle w:val="7"/>
        <w:ind w:firstLine="420"/>
      </w:pPr>
      <w:r>
        <w:rPr>
          <w:rFonts w:hint="eastAsia"/>
        </w:rPr>
        <w:t>易燃品库、油漆库；</w:t>
      </w:r>
    </w:p>
    <w:p w14:paraId="518905E6">
      <w:pPr>
        <w:pStyle w:val="7"/>
        <w:ind w:firstLine="420"/>
      </w:pPr>
      <w:r>
        <w:rPr>
          <w:rFonts w:hint="eastAsia"/>
        </w:rPr>
        <w:t>地下的停车库、列检库、停车列检库、运用库、联合检修库及其检修用房。</w:t>
      </w:r>
    </w:p>
    <w:p w14:paraId="10B435E1">
      <w:pPr>
        <w:pStyle w:val="7"/>
        <w:ind w:firstLine="420"/>
      </w:pPr>
      <w:r>
        <w:rPr>
          <w:rFonts w:hint="eastAsia"/>
        </w:rPr>
        <w:t>板地下方车辆基地建筑。</w:t>
      </w:r>
    </w:p>
    <w:p w14:paraId="6C83ACBC">
      <w:pPr>
        <w:numPr>
          <w:ilvl w:val="2"/>
          <w:numId w:val="1"/>
        </w:numPr>
        <w:tabs>
          <w:tab w:val="left" w:pos="794"/>
          <w:tab w:val="left" w:pos="851"/>
          <w:tab w:val="left" w:pos="935"/>
          <w:tab w:val="left" w:pos="1502"/>
        </w:tabs>
        <w:outlineLvl w:val="2"/>
        <w:rPr>
          <w:bCs/>
        </w:rPr>
      </w:pPr>
      <w:r>
        <w:rPr>
          <w:rFonts w:hint="eastAsia"/>
          <w:bCs/>
        </w:rPr>
        <w:t>下列建筑的耐火等级应为二级：</w:t>
      </w:r>
    </w:p>
    <w:p w14:paraId="1286AAC0">
      <w:pPr>
        <w:pStyle w:val="7"/>
        <w:ind w:firstLine="420"/>
      </w:pPr>
      <w:r>
        <w:rPr>
          <w:rFonts w:hint="eastAsia"/>
        </w:rPr>
        <w:t>地上车站及地上区间；</w:t>
      </w:r>
    </w:p>
    <w:p w14:paraId="5351445E">
      <w:pPr>
        <w:pStyle w:val="7"/>
        <w:ind w:firstLine="420"/>
      </w:pPr>
      <w:r>
        <w:rPr>
          <w:rFonts w:hint="eastAsia"/>
        </w:rPr>
        <w:t>地下车站出入口地面亭、风亭等地面建（构）筑物；</w:t>
      </w:r>
    </w:p>
    <w:p w14:paraId="6FB8A1F6">
      <w:pPr>
        <w:pStyle w:val="7"/>
        <w:ind w:firstLine="420"/>
      </w:pPr>
      <w:r>
        <w:rPr>
          <w:rFonts w:hint="eastAsia"/>
        </w:rPr>
        <w:t>运用库、检修库、综合维修中心的维修综合楼、物资总库的库房、调机库、牵引降压混合变电所、洗车机库（棚）、不落轮镟库、工程车库和综合办公楼等生活辅助建筑；</w:t>
      </w:r>
    </w:p>
    <w:p w14:paraId="192A5614">
      <w:pPr>
        <w:numPr>
          <w:ilvl w:val="2"/>
          <w:numId w:val="1"/>
        </w:numPr>
        <w:tabs>
          <w:tab w:val="left" w:pos="794"/>
          <w:tab w:val="left" w:pos="851"/>
          <w:tab w:val="left" w:pos="935"/>
          <w:tab w:val="left" w:pos="1502"/>
        </w:tabs>
        <w:outlineLvl w:val="2"/>
      </w:pPr>
      <w:r>
        <w:rPr>
          <w:rFonts w:hint="eastAsia"/>
          <w:bCs/>
        </w:rPr>
        <w:t>车站与相邻</w:t>
      </w:r>
      <w:r>
        <w:rPr>
          <w:rFonts w:hint="eastAsia"/>
        </w:rPr>
        <w:t>建筑物结合时，相邻建筑的地下部分耐火等级不应低于一级，地上部分耐火等级不应低于二级。</w:t>
      </w:r>
    </w:p>
    <w:p w14:paraId="0834EC8D">
      <w:pPr>
        <w:numPr>
          <w:ilvl w:val="2"/>
          <w:numId w:val="1"/>
        </w:numPr>
        <w:tabs>
          <w:tab w:val="left" w:pos="794"/>
          <w:tab w:val="left" w:pos="851"/>
          <w:tab w:val="left" w:pos="935"/>
          <w:tab w:val="left" w:pos="1502"/>
        </w:tabs>
        <w:outlineLvl w:val="2"/>
      </w:pPr>
      <w:r>
        <w:rPr>
          <w:rFonts w:hint="eastAsia"/>
        </w:rPr>
        <w:t>站台设于站厅上部、建筑高度不大于</w:t>
      </w:r>
      <w:r>
        <w:t>24m</w:t>
      </w:r>
      <w:r>
        <w:rPr>
          <w:rFonts w:hint="eastAsia"/>
        </w:rPr>
        <w:t>的地上车站，屋面可采用耐燃性轻质复合屋面板，但该板材表面材料应为不燃材料，内部填充材料的燃烧性能不应低于</w:t>
      </w:r>
      <w:r>
        <w:t>B1</w:t>
      </w:r>
      <w:r>
        <w:rPr>
          <w:rFonts w:hint="eastAsia"/>
        </w:rPr>
        <w:t>级。</w:t>
      </w:r>
    </w:p>
    <w:p w14:paraId="716381EF">
      <w:pPr>
        <w:numPr>
          <w:ilvl w:val="2"/>
          <w:numId w:val="1"/>
        </w:numPr>
        <w:tabs>
          <w:tab w:val="left" w:pos="794"/>
          <w:tab w:val="left" w:pos="851"/>
          <w:tab w:val="left" w:pos="935"/>
          <w:tab w:val="left" w:pos="1502"/>
        </w:tabs>
        <w:outlineLvl w:val="2"/>
        <w:rPr>
          <w:bCs/>
        </w:rPr>
      </w:pPr>
      <w:r>
        <w:rPr>
          <w:rFonts w:hint="eastAsia"/>
        </w:rPr>
        <w:t>车辆基地内</w:t>
      </w:r>
      <w:r>
        <w:rPr>
          <w:rFonts w:hint="eastAsia"/>
          <w:bCs/>
        </w:rPr>
        <w:t>生产厂房建筑的火灾危险性分类应符合下列规定：</w:t>
      </w:r>
    </w:p>
    <w:p w14:paraId="117CAE2E">
      <w:pPr>
        <w:pStyle w:val="7"/>
        <w:ind w:firstLine="420"/>
      </w:pPr>
      <w:r>
        <w:rPr>
          <w:rFonts w:hint="eastAsia"/>
        </w:rPr>
        <w:t>易燃品库、酸性蓄电池充电间为甲类；</w:t>
      </w:r>
    </w:p>
    <w:p w14:paraId="7732D407">
      <w:pPr>
        <w:pStyle w:val="7"/>
        <w:ind w:firstLine="420"/>
      </w:pPr>
      <w:r>
        <w:rPr>
          <w:rFonts w:hint="eastAsia"/>
        </w:rPr>
        <w:t>油漆库、喷漆车间为乙类；</w:t>
      </w:r>
    </w:p>
    <w:p w14:paraId="73FD0F05">
      <w:pPr>
        <w:pStyle w:val="7"/>
        <w:ind w:firstLine="420"/>
      </w:pPr>
      <w:r>
        <w:rPr>
          <w:rFonts w:hint="eastAsia"/>
        </w:rPr>
        <w:t>采用内燃机牵引的内燃机车库、调机车库、轨道车库、工程车库为丙类；</w:t>
      </w:r>
    </w:p>
    <w:p w14:paraId="4E362408">
      <w:pPr>
        <w:pStyle w:val="7"/>
        <w:ind w:firstLine="420"/>
      </w:pPr>
      <w:r>
        <w:rPr>
          <w:rFonts w:hint="eastAsia"/>
        </w:rPr>
        <w:t>采用电力牵引的调机车库、轨道车库、工程车库为丁类；</w:t>
      </w:r>
    </w:p>
    <w:p w14:paraId="0E11326F">
      <w:pPr>
        <w:pStyle w:val="7"/>
        <w:ind w:firstLine="420"/>
      </w:pPr>
      <w:r>
        <w:rPr>
          <w:rFonts w:hint="eastAsia"/>
        </w:rPr>
        <w:t>厂修库、架修库、定修库、临修库和附属车间、静调库、吹扫库、镟轮库、维修车间、废水处理站、电压等级35KV及以上变电所为丁类；</w:t>
      </w:r>
    </w:p>
    <w:p w14:paraId="44C8728A">
      <w:pPr>
        <w:pStyle w:val="7"/>
        <w:ind w:firstLine="420"/>
      </w:pPr>
      <w:r>
        <w:rPr>
          <w:rFonts w:hint="eastAsia"/>
        </w:rPr>
        <w:t>运用库、停车库、列检库、月检库、洗车库、碱性蓄电池室为戊类。</w:t>
      </w:r>
    </w:p>
    <w:p w14:paraId="58DEE409">
      <w:pPr>
        <w:numPr>
          <w:ilvl w:val="2"/>
          <w:numId w:val="1"/>
        </w:numPr>
        <w:tabs>
          <w:tab w:val="left" w:pos="794"/>
          <w:tab w:val="left" w:pos="851"/>
          <w:tab w:val="left" w:pos="935"/>
          <w:tab w:val="left" w:pos="1502"/>
        </w:tabs>
        <w:outlineLvl w:val="2"/>
      </w:pPr>
      <w:r>
        <w:rPr>
          <w:rFonts w:hint="eastAsia"/>
          <w:bCs/>
        </w:rPr>
        <w:t>车辆基地内</w:t>
      </w:r>
      <w:r>
        <w:rPr>
          <w:rFonts w:hint="eastAsia"/>
        </w:rPr>
        <w:t>同一座厂房或厂房的任一防火分区内有不同火灾危险性生产以及同一座仓库或仓库的任一个防火分区内储存不同火灾危险性物品时，该厂房（仓库）或防火分区内的火灾危险性分类应符合现行国家标准《建筑设计防火规范》</w:t>
      </w:r>
      <w:r>
        <w:t>GB 50016</w:t>
      </w:r>
      <w:r>
        <w:rPr>
          <w:rFonts w:hint="eastAsia"/>
        </w:rPr>
        <w:t>的有关规定。</w:t>
      </w:r>
    </w:p>
    <w:p w14:paraId="79DF072E">
      <w:pPr>
        <w:numPr>
          <w:ilvl w:val="2"/>
          <w:numId w:val="1"/>
        </w:numPr>
        <w:tabs>
          <w:tab w:val="left" w:pos="794"/>
          <w:tab w:val="left" w:pos="851"/>
          <w:tab w:val="left" w:pos="935"/>
          <w:tab w:val="left" w:pos="1502"/>
        </w:tabs>
        <w:outlineLvl w:val="2"/>
      </w:pPr>
      <w:r>
        <w:t>车辆</w:t>
      </w:r>
      <w:r>
        <w:rPr>
          <w:rFonts w:hint="eastAsia"/>
        </w:rPr>
        <w:t>基地</w:t>
      </w:r>
      <w:r>
        <w:t>上部进行物业开发时，</w:t>
      </w:r>
      <w:r>
        <w:rPr>
          <w:rFonts w:hint="eastAsia"/>
        </w:rPr>
        <w:t>车辆基地</w:t>
      </w:r>
      <w:r>
        <w:t>与</w:t>
      </w:r>
      <w:r>
        <w:rPr>
          <w:rFonts w:hint="eastAsia"/>
        </w:rPr>
        <w:t>上部其他功能场所之间应采用耐火极限不低于3.00h的板地分隔。板地下方车辆基地的承重柱和承重墙的耐火极限不应低于3.5h，梁的耐火极限不应低于3.00h，层间楼板的耐火极限不应低于2.00h。</w:t>
      </w:r>
    </w:p>
    <w:p w14:paraId="7C236EB6"/>
    <w:p w14:paraId="765B37D2">
      <w:pPr>
        <w:spacing w:before="72" w:after="72" w:line="240" w:lineRule="auto"/>
        <w:ind w:left="438"/>
        <w:jc w:val="center"/>
        <w:outlineLvl w:val="3"/>
        <w:rPr>
          <w:rFonts w:eastAsia="黑体"/>
        </w:rPr>
      </w:pPr>
      <w:r>
        <w:rPr>
          <w:rFonts w:hint="eastAsia" w:eastAsia="黑体"/>
        </w:rPr>
        <w:t>V</w:t>
      </w:r>
      <w:r>
        <w:rPr>
          <w:rFonts w:eastAsia="黑体"/>
        </w:rPr>
        <w:t xml:space="preserve">  </w:t>
      </w:r>
      <w:r>
        <w:rPr>
          <w:rFonts w:hint="eastAsia" w:eastAsia="黑体"/>
        </w:rPr>
        <w:t>建</w:t>
      </w:r>
      <w:r>
        <w:rPr>
          <w:rFonts w:eastAsia="黑体"/>
        </w:rPr>
        <w:t xml:space="preserve"> </w:t>
      </w:r>
      <w:r>
        <w:rPr>
          <w:rFonts w:hint="eastAsia" w:eastAsia="黑体"/>
        </w:rPr>
        <w:t>筑</w:t>
      </w:r>
      <w:r>
        <w:rPr>
          <w:rFonts w:eastAsia="黑体"/>
        </w:rPr>
        <w:t xml:space="preserve"> </w:t>
      </w:r>
      <w:r>
        <w:rPr>
          <w:rFonts w:hint="eastAsia" w:eastAsia="黑体"/>
        </w:rPr>
        <w:t>构</w:t>
      </w:r>
      <w:r>
        <w:rPr>
          <w:rFonts w:eastAsia="黑体"/>
        </w:rPr>
        <w:t xml:space="preserve"> </w:t>
      </w:r>
      <w:r>
        <w:rPr>
          <w:rFonts w:hint="eastAsia" w:eastAsia="黑体"/>
        </w:rPr>
        <w:t>造</w:t>
      </w:r>
    </w:p>
    <w:p w14:paraId="24796F4C">
      <w:pPr>
        <w:numPr>
          <w:ilvl w:val="2"/>
          <w:numId w:val="1"/>
        </w:numPr>
        <w:tabs>
          <w:tab w:val="left" w:pos="794"/>
          <w:tab w:val="left" w:pos="851"/>
          <w:tab w:val="left" w:pos="935"/>
          <w:tab w:val="left" w:pos="1502"/>
        </w:tabs>
        <w:outlineLvl w:val="2"/>
      </w:pPr>
      <w:r>
        <w:rPr>
          <w:rFonts w:hint="eastAsia"/>
        </w:rPr>
        <w:t>车站、控制中心建筑以及车辆基地建筑内的防火分区之间应用防火墙分隔，防火墙上不应开设门、窗、洞口，必须开设时，应设置固定的甲级防火窗和常闭的甲级防火门。防火墙的构造和设置要求以及管线穿越防火墙的防火封堵等要求应符合现行国家标准《建筑设计防火规范》</w:t>
      </w:r>
      <w:r>
        <w:t>GB50016</w:t>
      </w:r>
      <w:r>
        <w:rPr>
          <w:rFonts w:hint="eastAsia"/>
        </w:rPr>
        <w:t>和《建筑防火通用规范》GB55037的有关规定。</w:t>
      </w:r>
    </w:p>
    <w:p w14:paraId="61AF81C3">
      <w:pPr>
        <w:numPr>
          <w:ilvl w:val="2"/>
          <w:numId w:val="1"/>
        </w:numPr>
        <w:tabs>
          <w:tab w:val="left" w:pos="794"/>
          <w:tab w:val="left" w:pos="851"/>
          <w:tab w:val="left" w:pos="935"/>
          <w:tab w:val="left" w:pos="1502"/>
        </w:tabs>
        <w:outlineLvl w:val="2"/>
      </w:pPr>
      <w:r>
        <w:rPr>
          <w:rFonts w:hint="eastAsia"/>
        </w:rPr>
        <w:t>综合控制室、消防控制室、通风空调机房、排烟机房、变电所、配电室、通信机房、信号机房、固定灭火装置设备室、消防泵房、蓄电池室等火灾时需要运作的设备房间，以及可燃物存放量平均值超过</w:t>
      </w:r>
      <w:r>
        <w:t>30</w:t>
      </w:r>
      <w:r>
        <w:rPr>
          <w:rFonts w:hint="eastAsia"/>
        </w:rPr>
        <w:t>㎏</w:t>
      </w:r>
      <w:r>
        <w:t>/</w:t>
      </w:r>
      <w:r>
        <w:rPr>
          <w:rFonts w:hint="eastAsia"/>
        </w:rPr>
        <w:t>㎡火灾荷载密度的房间，应用耐火极限不低于</w:t>
      </w:r>
      <w:r>
        <w:t>2.00h</w:t>
      </w:r>
      <w:r>
        <w:rPr>
          <w:rFonts w:hint="eastAsia"/>
        </w:rPr>
        <w:t>的防火隔墙和不低于</w:t>
      </w:r>
      <w:r>
        <w:t>1.50h</w:t>
      </w:r>
      <w:r>
        <w:rPr>
          <w:rFonts w:hint="eastAsia"/>
        </w:rPr>
        <w:t>的楼板与其他部位隔开，地下车站上述房间隔墙上的门应采用常闭的甲级防火门，窗应采用甲级固定防火窗。地上车站、控制中心和车辆基地内建筑的上述用房，除本规范另有规定外，应符合现行国家标准《建筑设计防火规范》</w:t>
      </w:r>
      <w:r>
        <w:t>GB50016</w:t>
      </w:r>
      <w:r>
        <w:rPr>
          <w:rFonts w:hint="eastAsia"/>
        </w:rPr>
        <w:t>和《建筑防火通用规范》GB55037的有关规定。</w:t>
      </w:r>
    </w:p>
    <w:p w14:paraId="2511F6CD">
      <w:pPr>
        <w:numPr>
          <w:ilvl w:val="2"/>
          <w:numId w:val="1"/>
        </w:numPr>
        <w:tabs>
          <w:tab w:val="left" w:pos="794"/>
          <w:tab w:val="left" w:pos="851"/>
          <w:tab w:val="left" w:pos="935"/>
          <w:tab w:val="left" w:pos="1502"/>
        </w:tabs>
        <w:outlineLvl w:val="2"/>
        <w:rPr>
          <w:szCs w:val="18"/>
        </w:rPr>
      </w:pPr>
      <w:r>
        <w:rPr>
          <w:rFonts w:hint="eastAsia"/>
          <w:szCs w:val="18"/>
        </w:rPr>
        <w:t>车站应满足特种履带式消防车从出入口进入站内扑救的要求。公共区的</w:t>
      </w:r>
      <w:r>
        <w:rPr>
          <w:rFonts w:hint="eastAsia"/>
        </w:rPr>
        <w:t>疏散楼梯</w:t>
      </w:r>
      <w:r>
        <w:rPr>
          <w:rFonts w:hint="eastAsia"/>
          <w:szCs w:val="18"/>
        </w:rPr>
        <w:t>形式和净宽、结构承载力，以及分隔站厅付费区与非付费区栅栏上的栅栏门净宽应符合本规范第10.5.5条、10.6.1条和第10.6.4条的有关规定。</w:t>
      </w:r>
    </w:p>
    <w:p w14:paraId="3D35CB99">
      <w:pPr>
        <w:numPr>
          <w:ilvl w:val="2"/>
          <w:numId w:val="1"/>
        </w:numPr>
        <w:tabs>
          <w:tab w:val="left" w:pos="794"/>
          <w:tab w:val="left" w:pos="851"/>
          <w:tab w:val="left" w:pos="935"/>
          <w:tab w:val="left" w:pos="1502"/>
        </w:tabs>
        <w:outlineLvl w:val="2"/>
        <w:rPr>
          <w:bCs/>
        </w:rPr>
      </w:pPr>
      <w:r>
        <w:rPr>
          <w:rFonts w:hint="eastAsia"/>
          <w:bCs/>
        </w:rPr>
        <w:t>电缆井、管道井等竖向井道应符合下列规定：</w:t>
      </w:r>
    </w:p>
    <w:p w14:paraId="53D07E1A">
      <w:pPr>
        <w:pStyle w:val="7"/>
        <w:ind w:firstLine="420"/>
      </w:pPr>
      <w:r>
        <w:rPr>
          <w:rFonts w:hint="eastAsia"/>
        </w:rPr>
        <w:t>电缆井、管道井等竖向井道应独立设置。地下车站上述井道的井壁耐火极限不应低于</w:t>
      </w:r>
      <w:r>
        <w:t>1.50h</w:t>
      </w:r>
      <w:r>
        <w:rPr>
          <w:rFonts w:hint="eastAsia"/>
        </w:rPr>
        <w:t>，井壁上的检查门应为乙级防火门；地上车站、控制中心建筑和车辆基地各建筑内的电缆井、管道井等井壁的耐火极限不应低于</w:t>
      </w:r>
      <w:r>
        <w:t>1.00h</w:t>
      </w:r>
      <w:r>
        <w:rPr>
          <w:rFonts w:hint="eastAsia"/>
        </w:rPr>
        <w:t>，井壁上的检查门应为丙级防火门；</w:t>
      </w:r>
    </w:p>
    <w:p w14:paraId="00829D44">
      <w:pPr>
        <w:pStyle w:val="7"/>
        <w:ind w:firstLine="420"/>
      </w:pPr>
      <w:r>
        <w:rPr>
          <w:rFonts w:hint="eastAsia"/>
        </w:rPr>
        <w:t>电缆井、管道井等竖向井道应独立设置。缆井、管道井的井壁均应采用耐火极限不应低于</w:t>
      </w:r>
      <w:r>
        <w:t>1.00h</w:t>
      </w:r>
      <w:r>
        <w:rPr>
          <w:rFonts w:hint="eastAsia"/>
        </w:rPr>
        <w:t>的不燃性实体墙。</w:t>
      </w:r>
    </w:p>
    <w:p w14:paraId="2DD7E9CF">
      <w:pPr>
        <w:numPr>
          <w:ilvl w:val="2"/>
          <w:numId w:val="1"/>
        </w:numPr>
        <w:tabs>
          <w:tab w:val="left" w:pos="794"/>
          <w:tab w:val="left" w:pos="851"/>
          <w:tab w:val="left" w:pos="935"/>
          <w:tab w:val="left" w:pos="1502"/>
        </w:tabs>
        <w:outlineLvl w:val="2"/>
        <w:rPr>
          <w:bCs/>
        </w:rPr>
      </w:pPr>
      <w:r>
        <w:rPr>
          <w:rFonts w:hint="eastAsia"/>
          <w:bCs/>
        </w:rPr>
        <w:t>车站、</w:t>
      </w:r>
      <w:r>
        <w:rPr>
          <w:rFonts w:hint="eastAsia"/>
        </w:rPr>
        <w:t>控制中心</w:t>
      </w:r>
      <w:r>
        <w:rPr>
          <w:rFonts w:hint="eastAsia"/>
          <w:bCs/>
        </w:rPr>
        <w:t>建筑和车辆基地各建筑内的防、排烟风管和通风、空气调节系统中的管道以及建筑内的其他管道穿越防火隔墙、楼板和防火分区时的孔隙应采用防火封堵材料封堵。其防火设计应符合现行国家标准《建筑设计防火规范》</w:t>
      </w:r>
      <w:r>
        <w:rPr>
          <w:bCs/>
        </w:rPr>
        <w:t>GB 50016</w:t>
      </w:r>
      <w:r>
        <w:rPr>
          <w:rFonts w:hint="eastAsia"/>
          <w:bCs/>
        </w:rPr>
        <w:t>的有关规定。</w:t>
      </w:r>
    </w:p>
    <w:p w14:paraId="4F317534">
      <w:pPr>
        <w:numPr>
          <w:ilvl w:val="2"/>
          <w:numId w:val="1"/>
        </w:numPr>
        <w:tabs>
          <w:tab w:val="left" w:pos="794"/>
          <w:tab w:val="left" w:pos="851"/>
          <w:tab w:val="left" w:pos="935"/>
          <w:tab w:val="left" w:pos="1502"/>
        </w:tabs>
        <w:outlineLvl w:val="2"/>
        <w:rPr>
          <w:bCs/>
        </w:rPr>
      </w:pPr>
      <w:r>
        <w:rPr>
          <w:rFonts w:hint="eastAsia"/>
          <w:bCs/>
        </w:rPr>
        <w:t>车站内专用设备吊装孔在设备吊装后，应进行防火封堵，并达到楼板的耐火极限要求。</w:t>
      </w:r>
    </w:p>
    <w:p w14:paraId="376A2A6A">
      <w:pPr>
        <w:numPr>
          <w:ilvl w:val="2"/>
          <w:numId w:val="1"/>
        </w:numPr>
        <w:tabs>
          <w:tab w:val="left" w:pos="794"/>
          <w:tab w:val="left" w:pos="851"/>
          <w:tab w:val="left" w:pos="935"/>
          <w:tab w:val="left" w:pos="1502"/>
        </w:tabs>
        <w:outlineLvl w:val="2"/>
        <w:rPr>
          <w:bCs/>
        </w:rPr>
      </w:pPr>
      <w:r>
        <w:rPr>
          <w:rFonts w:hint="eastAsia"/>
          <w:bCs/>
        </w:rPr>
        <w:t>车站</w:t>
      </w:r>
      <w:r>
        <w:rPr>
          <w:rFonts w:hint="eastAsia"/>
        </w:rPr>
        <w:t>变形缝</w:t>
      </w:r>
      <w:r>
        <w:rPr>
          <w:rFonts w:hint="eastAsia"/>
          <w:bCs/>
        </w:rPr>
        <w:t>应符合下列规定：</w:t>
      </w:r>
    </w:p>
    <w:p w14:paraId="7EE9F07B">
      <w:pPr>
        <w:pStyle w:val="7"/>
        <w:ind w:firstLine="420"/>
      </w:pPr>
      <w:r>
        <w:rPr>
          <w:rFonts w:hint="eastAsia"/>
        </w:rPr>
        <w:t>变形缝构造基层应采用不燃烧材料；</w:t>
      </w:r>
    </w:p>
    <w:p w14:paraId="6FBBA5ED">
      <w:pPr>
        <w:pStyle w:val="7"/>
        <w:ind w:firstLine="420"/>
      </w:pPr>
      <w:r>
        <w:rPr>
          <w:rFonts w:hint="eastAsia"/>
        </w:rPr>
        <w:t>电线、电缆穿越变形缝时，应在穿越处加设不燃材料制作的套管或采取其他防变形措施，其空隙应采用防火封堵材料封堵。</w:t>
      </w:r>
    </w:p>
    <w:p w14:paraId="0CD9700F">
      <w:pPr>
        <w:numPr>
          <w:ilvl w:val="2"/>
          <w:numId w:val="1"/>
        </w:numPr>
        <w:tabs>
          <w:tab w:val="left" w:pos="794"/>
          <w:tab w:val="left" w:pos="851"/>
          <w:tab w:val="left" w:pos="935"/>
          <w:tab w:val="left" w:pos="1502"/>
        </w:tabs>
        <w:outlineLvl w:val="2"/>
        <w:rPr>
          <w:bCs/>
        </w:rPr>
      </w:pPr>
      <w:r>
        <w:rPr>
          <w:rFonts w:hint="eastAsia"/>
          <w:bCs/>
        </w:rPr>
        <w:t>防火门、窗的设置应符合下列规定：</w:t>
      </w:r>
    </w:p>
    <w:p w14:paraId="0CACA5C7">
      <w:pPr>
        <w:pStyle w:val="7"/>
        <w:ind w:firstLine="420"/>
      </w:pPr>
      <w:r>
        <w:rPr>
          <w:rFonts w:hint="eastAsia"/>
        </w:rPr>
        <w:t>设于地下区间联络通道和区间风井内防烟楼梯间前室以及车站站台端门外的设备管理用房外墙上的防火门和风道内的防火门应有可靠的连接措施，防火门在过往列车及隧道通风的正、负压力作用下不应自动开启；</w:t>
      </w:r>
    </w:p>
    <w:p w14:paraId="56606ADB">
      <w:pPr>
        <w:pStyle w:val="7"/>
        <w:ind w:firstLine="420"/>
      </w:pPr>
      <w:r>
        <w:rPr>
          <w:rFonts w:hint="eastAsia"/>
        </w:rPr>
        <w:t>疏散门、安全疏散口、联络通道和区间风井处的防火门，应保证火灾时不需要使用钥匙等工具即能向疏散方向开启，并应在显著位置设置标识和使用提示。</w:t>
      </w:r>
    </w:p>
    <w:p w14:paraId="4BF029CD">
      <w:pPr>
        <w:pStyle w:val="7"/>
        <w:ind w:firstLine="420"/>
      </w:pPr>
      <w:r>
        <w:rPr>
          <w:rFonts w:hint="eastAsia"/>
        </w:rPr>
        <w:t>设置在建筑变形缝附近的防火门，门扇启闭时不应骑跨变形缝。</w:t>
      </w:r>
    </w:p>
    <w:p w14:paraId="578079EF">
      <w:pPr>
        <w:pStyle w:val="7"/>
        <w:ind w:firstLine="420"/>
      </w:pPr>
      <w:r>
        <w:rPr>
          <w:rFonts w:hint="eastAsia"/>
        </w:rPr>
        <w:t>防火墙上的窗口应采用固定式甲级防火窗；防火隔墙上的窗口应采用固定式乙级防火窗，必须设置活动式防火窗时，应具备火灾时自动关闭功能。</w:t>
      </w:r>
    </w:p>
    <w:p w14:paraId="76D2A534">
      <w:pPr>
        <w:pStyle w:val="7"/>
        <w:ind w:firstLine="420"/>
        <w:rPr>
          <w:rFonts w:ascii="Arial" w:hAnsi="Arial" w:cs="Arial"/>
          <w:spacing w:val="4"/>
          <w:sz w:val="20"/>
          <w:szCs w:val="20"/>
        </w:rPr>
      </w:pPr>
      <w:r>
        <w:rPr>
          <w:rFonts w:hint="eastAsia"/>
        </w:rPr>
        <w:t>防火墙上、防烟楼梯间和避难走道的前室入口处、联络通道处的门均应采用甲级防火门，防火隔墙上的门、管道井的检查门及其他部位的疏散门均应采用乙级防火门。</w:t>
      </w:r>
    </w:p>
    <w:p w14:paraId="0A18C4DD">
      <w:pPr>
        <w:numPr>
          <w:ilvl w:val="2"/>
          <w:numId w:val="1"/>
        </w:numPr>
        <w:tabs>
          <w:tab w:val="left" w:pos="794"/>
          <w:tab w:val="left" w:pos="851"/>
          <w:tab w:val="left" w:pos="935"/>
          <w:tab w:val="left" w:pos="1502"/>
        </w:tabs>
        <w:outlineLvl w:val="2"/>
        <w:rPr>
          <w:bCs/>
        </w:rPr>
      </w:pPr>
      <w:r>
        <w:rPr>
          <w:rFonts w:hint="eastAsia"/>
          <w:bCs/>
        </w:rPr>
        <w:t>地下车站的防烟楼梯间、防火间隔、避难走道前室以及区间联络通道等处的防火门应为甲级防火门。地上车站以及控制中心建筑、车辆基地内各建筑的疏散楼梯除本规范另有规定外，应符合现行国家标准《建筑设计防火规范》</w:t>
      </w:r>
      <w:r>
        <w:rPr>
          <w:bCs/>
        </w:rPr>
        <w:t>GB 50016</w:t>
      </w:r>
      <w:r>
        <w:rPr>
          <w:rFonts w:hint="eastAsia"/>
          <w:bCs/>
        </w:rPr>
        <w:t>的有关规定。</w:t>
      </w:r>
    </w:p>
    <w:p w14:paraId="73450742">
      <w:pPr>
        <w:numPr>
          <w:ilvl w:val="2"/>
          <w:numId w:val="1"/>
        </w:numPr>
        <w:tabs>
          <w:tab w:val="left" w:pos="794"/>
          <w:tab w:val="left" w:pos="851"/>
          <w:tab w:val="left" w:pos="935"/>
          <w:tab w:val="left" w:pos="1502"/>
        </w:tabs>
        <w:outlineLvl w:val="2"/>
        <w:rPr>
          <w:bCs/>
        </w:rPr>
      </w:pPr>
      <w:r>
        <w:rPr>
          <w:rFonts w:hint="eastAsia"/>
          <w:bCs/>
        </w:rPr>
        <w:t>车站用于安全疏散的自动扶梯除应满足本规范19.2的相关要求外，还应符合下列规定：</w:t>
      </w:r>
    </w:p>
    <w:p w14:paraId="3A3458ED">
      <w:pPr>
        <w:pStyle w:val="7"/>
        <w:ind w:firstLine="420"/>
      </w:pPr>
      <w:r>
        <w:rPr>
          <w:rFonts w:hint="eastAsia"/>
        </w:rPr>
        <w:t>自动扶梯应按一级负荷供电；</w:t>
      </w:r>
    </w:p>
    <w:p w14:paraId="05444FF2">
      <w:pPr>
        <w:pStyle w:val="7"/>
        <w:ind w:firstLine="420"/>
      </w:pPr>
      <w:r>
        <w:rPr>
          <w:rFonts w:hint="eastAsia"/>
        </w:rPr>
        <w:t>自动扶梯的运行方向应与人员疏散方向一致；</w:t>
      </w:r>
    </w:p>
    <w:p w14:paraId="28BBB435">
      <w:pPr>
        <w:pStyle w:val="7"/>
        <w:ind w:firstLine="420"/>
      </w:pPr>
      <w:r>
        <w:rPr>
          <w:rFonts w:hint="eastAsia"/>
        </w:rPr>
        <w:t>自动扶梯上、下平层畅通区域不应设置阻挡安全疏散的装置或设施；</w:t>
      </w:r>
    </w:p>
    <w:p w14:paraId="43FD1F0F">
      <w:pPr>
        <w:pStyle w:val="7"/>
        <w:ind w:firstLine="420"/>
      </w:pPr>
      <w:r>
        <w:rPr>
          <w:rFonts w:hint="eastAsia"/>
        </w:rPr>
        <w:t>自动扶梯的下方和侧面应采取耐火极限不低于2.00h的防火分隔措施与其他部位分隔。</w:t>
      </w:r>
    </w:p>
    <w:p w14:paraId="609D5911">
      <w:pPr>
        <w:numPr>
          <w:ilvl w:val="2"/>
          <w:numId w:val="1"/>
        </w:numPr>
        <w:tabs>
          <w:tab w:val="left" w:pos="794"/>
          <w:tab w:val="left" w:pos="851"/>
          <w:tab w:val="left" w:pos="935"/>
          <w:tab w:val="left" w:pos="1502"/>
        </w:tabs>
        <w:outlineLvl w:val="2"/>
        <w:rPr>
          <w:bCs/>
        </w:rPr>
      </w:pPr>
      <w:r>
        <w:rPr>
          <w:rFonts w:hint="eastAsia"/>
          <w:szCs w:val="18"/>
        </w:rPr>
        <w:t>车站</w:t>
      </w:r>
      <w:r>
        <w:rPr>
          <w:rFonts w:hint="eastAsia"/>
          <w:bCs/>
        </w:rPr>
        <w:t>电梯的</w:t>
      </w:r>
      <w:r>
        <w:rPr>
          <w:rFonts w:hint="eastAsia"/>
        </w:rPr>
        <w:t>设置</w:t>
      </w:r>
      <w:r>
        <w:rPr>
          <w:rFonts w:hint="eastAsia"/>
          <w:bCs/>
        </w:rPr>
        <w:t>应符合下列规定：</w:t>
      </w:r>
    </w:p>
    <w:p w14:paraId="0F6EBA1E">
      <w:pPr>
        <w:pStyle w:val="7"/>
        <w:ind w:firstLine="420"/>
      </w:pPr>
      <w:r>
        <w:rPr>
          <w:rFonts w:hint="eastAsia"/>
        </w:rPr>
        <w:t>站台至站厅公共区的垂直电梯应设置不燃性围护结构；</w:t>
      </w:r>
    </w:p>
    <w:p w14:paraId="25E6DBAE">
      <w:pPr>
        <w:pStyle w:val="7"/>
        <w:ind w:firstLine="420"/>
      </w:pPr>
      <w:r>
        <w:rPr>
          <w:rFonts w:hint="eastAsia"/>
        </w:rPr>
        <w:t>围护结构及其支撑结构的耐火极限不满足挡烟垂壁要求时，应在站台层电梯井壁四周设置挡烟垂壁；当穿越设备层时，应采用耐火极限不小于3h的防火墙与设备层分隔；当在设备层需开门时，应在其四周围护的防火墙上设置防火门，通过前室与设备区走廊相连；</w:t>
      </w:r>
    </w:p>
    <w:p w14:paraId="24866054">
      <w:pPr>
        <w:numPr>
          <w:ilvl w:val="2"/>
          <w:numId w:val="1"/>
        </w:numPr>
        <w:tabs>
          <w:tab w:val="left" w:pos="794"/>
          <w:tab w:val="left" w:pos="851"/>
          <w:tab w:val="left" w:pos="935"/>
          <w:tab w:val="left" w:pos="1502"/>
        </w:tabs>
        <w:outlineLvl w:val="2"/>
        <w:rPr>
          <w:bCs/>
        </w:rPr>
      </w:pPr>
      <w:r>
        <w:rPr>
          <w:rFonts w:hint="eastAsia"/>
          <w:bCs/>
        </w:rPr>
        <w:t>车辆基地、</w:t>
      </w:r>
      <w:r>
        <w:rPr>
          <w:rFonts w:hint="eastAsia"/>
        </w:rPr>
        <w:t>控制中心</w:t>
      </w:r>
      <w:r>
        <w:rPr>
          <w:rFonts w:hint="eastAsia"/>
          <w:bCs/>
        </w:rPr>
        <w:t>的电梯作为消防电梯使用时，应符合《建筑设计防火规范》GB50016的相关规定。</w:t>
      </w:r>
    </w:p>
    <w:p w14:paraId="522A403F">
      <w:pPr>
        <w:numPr>
          <w:ilvl w:val="2"/>
          <w:numId w:val="1"/>
        </w:numPr>
        <w:tabs>
          <w:tab w:val="left" w:pos="794"/>
          <w:tab w:val="left" w:pos="851"/>
          <w:tab w:val="left" w:pos="935"/>
          <w:tab w:val="left" w:pos="1502"/>
        </w:tabs>
        <w:outlineLvl w:val="2"/>
        <w:rPr>
          <w:bCs/>
        </w:rPr>
      </w:pPr>
      <w:r>
        <w:rPr>
          <w:rFonts w:hint="eastAsia"/>
          <w:bCs/>
        </w:rPr>
        <w:t>防火分隔部位设置防火卷帘时，应符合下列规定：</w:t>
      </w:r>
    </w:p>
    <w:p w14:paraId="39EF8089">
      <w:pPr>
        <w:pStyle w:val="7"/>
        <w:ind w:firstLine="420"/>
      </w:pPr>
      <w:r>
        <w:rPr>
          <w:rFonts w:hint="eastAsia"/>
        </w:rPr>
        <w:t>防火卷帘的下降路线上不应有其他物体遮挡；</w:t>
      </w:r>
    </w:p>
    <w:p w14:paraId="3422E4D5">
      <w:pPr>
        <w:pStyle w:val="7"/>
        <w:ind w:firstLine="420"/>
        <w:rPr>
          <w:rFonts w:ascii="Arial" w:hAnsi="Arial" w:cs="Arial"/>
          <w:spacing w:val="4"/>
          <w:sz w:val="20"/>
          <w:szCs w:val="20"/>
        </w:rPr>
      </w:pPr>
      <w:r>
        <w:rPr>
          <w:rFonts w:hint="eastAsia"/>
        </w:rPr>
        <w:t>防火卷帘应在卷帘两侧设置启闭装置，并应具有自动、手动功能。需火灾时自动降落的防火卷帘，应具有二级停滞和信号反馈功能；</w:t>
      </w:r>
    </w:p>
    <w:p w14:paraId="39B189C9">
      <w:pPr>
        <w:numPr>
          <w:ilvl w:val="2"/>
          <w:numId w:val="1"/>
        </w:numPr>
        <w:tabs>
          <w:tab w:val="left" w:pos="794"/>
          <w:tab w:val="left" w:pos="851"/>
          <w:tab w:val="left" w:pos="935"/>
          <w:tab w:val="left" w:pos="1502"/>
        </w:tabs>
        <w:outlineLvl w:val="2"/>
      </w:pPr>
      <w:r>
        <w:rPr>
          <w:rFonts w:hint="eastAsia"/>
          <w:bCs/>
        </w:rPr>
        <w:t>出入口地</w:t>
      </w:r>
      <w:r>
        <w:rPr>
          <w:rFonts w:hint="eastAsia"/>
        </w:rPr>
        <w:t>面亭口部设置管理卷帘门等夜间安防隔离设施，在运营期间不应封闭，并设置防止设施意外坠落的措施和保证卷帘具有手动开启功能。</w:t>
      </w:r>
    </w:p>
    <w:p w14:paraId="6AFFA5A8">
      <w:pPr>
        <w:numPr>
          <w:ilvl w:val="2"/>
          <w:numId w:val="1"/>
        </w:numPr>
        <w:tabs>
          <w:tab w:val="left" w:pos="794"/>
          <w:tab w:val="left" w:pos="851"/>
          <w:tab w:val="left" w:pos="935"/>
          <w:tab w:val="left" w:pos="1502"/>
        </w:tabs>
        <w:outlineLvl w:val="2"/>
        <w:rPr>
          <w:bCs/>
        </w:rPr>
      </w:pPr>
      <w:r>
        <w:rPr>
          <w:rFonts w:hint="eastAsia"/>
        </w:rPr>
        <w:t>车站在防</w:t>
      </w:r>
      <w:r>
        <w:rPr>
          <w:rFonts w:hint="eastAsia"/>
          <w:bCs/>
        </w:rPr>
        <w:t>烟分区分界处和重点部位设置挡烟垂壁应符合下列规定：</w:t>
      </w:r>
    </w:p>
    <w:p w14:paraId="6C82FC5D">
      <w:pPr>
        <w:pStyle w:val="7"/>
        <w:ind w:firstLine="420"/>
      </w:pPr>
      <w:r>
        <w:rPr>
          <w:rFonts w:hint="eastAsia"/>
        </w:rPr>
        <w:t>防烟分区分界处应采用隔墙、顶棚下凸出不小于</w:t>
      </w:r>
      <w:r>
        <w:t>500mm</w:t>
      </w:r>
      <w:r>
        <w:rPr>
          <w:rFonts w:hint="eastAsia"/>
        </w:rPr>
        <w:t>的结构梁以及顶棚或吊顶下凸出不小于</w:t>
      </w:r>
      <w:r>
        <w:t>500mm</w:t>
      </w:r>
      <w:r>
        <w:rPr>
          <w:rFonts w:hint="eastAsia"/>
        </w:rPr>
        <w:t>的不燃烧体等档烟垂壁进行分隔。设有吊顶的地下车站，挡烟垂壁应从吊顶下突出不小于</w:t>
      </w:r>
      <w:r>
        <w:t>500mm</w:t>
      </w:r>
      <w:r>
        <w:rPr>
          <w:rFonts w:hint="eastAsia"/>
        </w:rPr>
        <w:t>且升至结构板底；</w:t>
      </w:r>
    </w:p>
    <w:p w14:paraId="78186FFF">
      <w:pPr>
        <w:pStyle w:val="7"/>
        <w:ind w:firstLine="420"/>
      </w:pPr>
      <w:r>
        <w:rPr>
          <w:rFonts w:hint="eastAsia"/>
        </w:rPr>
        <w:t>站厅设于站台上部的地下车站，应在站台层楼扶梯四周的开口部位设挡烟垂壁（或垂帘）；</w:t>
      </w:r>
    </w:p>
    <w:p w14:paraId="5C8D7F59">
      <w:pPr>
        <w:pStyle w:val="7"/>
        <w:ind w:firstLine="420"/>
      </w:pPr>
      <w:r>
        <w:rPr>
          <w:rFonts w:hint="eastAsia"/>
        </w:rPr>
        <w:t>车站公共区内的电梯井道采用安全玻璃作围护结构时，位于下层的电梯井四周应设挡烟垂壁；</w:t>
      </w:r>
    </w:p>
    <w:p w14:paraId="3B5B60F5">
      <w:pPr>
        <w:pStyle w:val="7"/>
        <w:ind w:firstLine="420"/>
      </w:pPr>
      <w:r>
        <w:rPr>
          <w:rFonts w:hint="eastAsia"/>
        </w:rPr>
        <w:t>站台设于站厅上部的地上车站，应在站厅层楼扶梯四周的开口部位设置挡烟垂壁；</w:t>
      </w:r>
    </w:p>
    <w:p w14:paraId="3BA378DC">
      <w:pPr>
        <w:pStyle w:val="7"/>
        <w:ind w:firstLine="420"/>
      </w:pPr>
      <w:r>
        <w:rPr>
          <w:rFonts w:hint="eastAsia"/>
        </w:rPr>
        <w:t>挡烟垂壁应采用不燃材料，并符合公安部行业标准《挡烟垂壁》</w:t>
      </w:r>
      <w:r>
        <w:t>GA 533</w:t>
      </w:r>
      <w:r>
        <w:rPr>
          <w:rFonts w:hint="eastAsia"/>
        </w:rPr>
        <w:t>的有关规定。</w:t>
      </w:r>
    </w:p>
    <w:p w14:paraId="0960724E">
      <w:pPr>
        <w:numPr>
          <w:ilvl w:val="2"/>
          <w:numId w:val="1"/>
        </w:numPr>
        <w:tabs>
          <w:tab w:val="left" w:pos="794"/>
          <w:tab w:val="left" w:pos="851"/>
          <w:tab w:val="left" w:pos="935"/>
          <w:tab w:val="left" w:pos="1502"/>
        </w:tabs>
        <w:outlineLvl w:val="2"/>
      </w:pPr>
      <w:r>
        <w:rPr>
          <w:rFonts w:hint="eastAsia"/>
        </w:rPr>
        <w:t>当车站采取</w:t>
      </w:r>
      <w:r>
        <w:rPr>
          <w:rFonts w:hint="eastAsia"/>
          <w:lang w:bidi="ar"/>
        </w:rPr>
        <w:t>防</w:t>
      </w:r>
      <w:r>
        <w:rPr>
          <w:rFonts w:hint="eastAsia"/>
        </w:rPr>
        <w:t>火隔间、避难走道、用于人员疏散或兼灭火救援操作场地的下沉广场等措施时，应符合现行地方标准《站城一体化工程消防安全技术标准》DB11/1889的有关规定。</w:t>
      </w:r>
      <w:r>
        <w:t xml:space="preserve"> </w:t>
      </w:r>
    </w:p>
    <w:p w14:paraId="540DE0C5">
      <w:pPr>
        <w:numPr>
          <w:ilvl w:val="2"/>
          <w:numId w:val="1"/>
        </w:numPr>
        <w:tabs>
          <w:tab w:val="left" w:pos="794"/>
          <w:tab w:val="left" w:pos="851"/>
          <w:tab w:val="left" w:pos="935"/>
          <w:tab w:val="left" w:pos="1502"/>
        </w:tabs>
        <w:outlineLvl w:val="2"/>
        <w:rPr>
          <w:bCs/>
        </w:rPr>
      </w:pPr>
      <w:r>
        <w:rPr>
          <w:rFonts w:hint="eastAsia"/>
        </w:rPr>
        <w:t>地下车站钢管柱等承重构件的表面及节点外露部位应采取防火保护措施，且经</w:t>
      </w:r>
      <w:r>
        <w:rPr>
          <w:rFonts w:hint="eastAsia"/>
          <w:bCs/>
        </w:rPr>
        <w:t>防火保护后的耐火极限不应低于相应构件的耐火极限。地上车辆基地厂（库）房采用钢结构等承重构件时，应符合现行国家标准《建筑设计防火规范》</w:t>
      </w:r>
      <w:r>
        <w:rPr>
          <w:bCs/>
        </w:rPr>
        <w:t>GB 50016</w:t>
      </w:r>
      <w:r>
        <w:rPr>
          <w:rFonts w:hint="eastAsia"/>
          <w:bCs/>
        </w:rPr>
        <w:t>的有关规定。</w:t>
      </w:r>
    </w:p>
    <w:p w14:paraId="3374B584">
      <w:pPr>
        <w:spacing w:before="72" w:after="72" w:line="240" w:lineRule="auto"/>
        <w:ind w:left="438"/>
        <w:jc w:val="center"/>
        <w:outlineLvl w:val="3"/>
        <w:rPr>
          <w:rFonts w:eastAsia="黑体"/>
        </w:rPr>
      </w:pPr>
      <w:r>
        <w:rPr>
          <w:rFonts w:hint="eastAsia" w:eastAsia="黑体"/>
        </w:rPr>
        <w:t>VI</w:t>
      </w:r>
      <w:r>
        <w:rPr>
          <w:rFonts w:eastAsia="黑体"/>
        </w:rPr>
        <w:t xml:space="preserve">  </w:t>
      </w:r>
      <w:r>
        <w:rPr>
          <w:rFonts w:hint="eastAsia" w:eastAsia="黑体"/>
        </w:rPr>
        <w:t>内</w:t>
      </w:r>
      <w:r>
        <w:rPr>
          <w:rFonts w:eastAsia="黑体"/>
        </w:rPr>
        <w:t xml:space="preserve"> </w:t>
      </w:r>
      <w:r>
        <w:rPr>
          <w:rFonts w:hint="eastAsia" w:eastAsia="黑体"/>
        </w:rPr>
        <w:t>部</w:t>
      </w:r>
      <w:r>
        <w:rPr>
          <w:rFonts w:eastAsia="黑体"/>
        </w:rPr>
        <w:t xml:space="preserve"> </w:t>
      </w:r>
      <w:r>
        <w:rPr>
          <w:rFonts w:hint="eastAsia" w:eastAsia="黑体"/>
        </w:rPr>
        <w:t>装</w:t>
      </w:r>
      <w:r>
        <w:rPr>
          <w:rFonts w:eastAsia="黑体"/>
        </w:rPr>
        <w:t xml:space="preserve"> </w:t>
      </w:r>
      <w:r>
        <w:rPr>
          <w:rFonts w:hint="eastAsia" w:eastAsia="黑体"/>
        </w:rPr>
        <w:t>修</w:t>
      </w:r>
    </w:p>
    <w:p w14:paraId="1F645B87">
      <w:pPr>
        <w:numPr>
          <w:ilvl w:val="2"/>
          <w:numId w:val="1"/>
        </w:numPr>
        <w:tabs>
          <w:tab w:val="left" w:pos="794"/>
          <w:tab w:val="left" w:pos="851"/>
          <w:tab w:val="left" w:pos="935"/>
          <w:tab w:val="left" w:pos="1502"/>
        </w:tabs>
        <w:outlineLvl w:val="2"/>
      </w:pPr>
      <w:r>
        <w:rPr>
          <w:rFonts w:hint="eastAsia"/>
        </w:rPr>
        <w:t>车站、车辆基地、控制中心各个部位的顶棚、墙面、地面装修的燃烧性能应满足现行《地铁设计防火标准》</w:t>
      </w:r>
      <w:r>
        <w:t>GB51298</w:t>
      </w:r>
      <w:r>
        <w:rPr>
          <w:rFonts w:hint="eastAsia"/>
        </w:rPr>
        <w:t>的有关规定。</w:t>
      </w:r>
    </w:p>
    <w:p w14:paraId="681803F6">
      <w:pPr>
        <w:numPr>
          <w:ilvl w:val="2"/>
          <w:numId w:val="1"/>
        </w:numPr>
        <w:tabs>
          <w:tab w:val="left" w:pos="794"/>
          <w:tab w:val="left" w:pos="851"/>
          <w:tab w:val="left" w:pos="935"/>
          <w:tab w:val="left" w:pos="1502"/>
        </w:tabs>
        <w:outlineLvl w:val="2"/>
      </w:pPr>
      <w:r>
        <w:rPr>
          <w:rFonts w:hint="eastAsia"/>
        </w:rPr>
        <w:t>地下车站小商铺内和配线区上部商业内的货架、售货柜台应采用</w:t>
      </w:r>
      <w:r>
        <w:t>A</w:t>
      </w:r>
      <w:r>
        <w:rPr>
          <w:rFonts w:hint="eastAsia"/>
        </w:rPr>
        <w:t>级装修材料，地上车站小商铺内的商业货架、售货柜台应采用不低于</w:t>
      </w:r>
      <w:r>
        <w:t>B1</w:t>
      </w:r>
      <w:r>
        <w:rPr>
          <w:rFonts w:hint="eastAsia"/>
        </w:rPr>
        <w:t>级的装修材料。</w:t>
      </w:r>
    </w:p>
    <w:p w14:paraId="7C5CDDDD">
      <w:pPr>
        <w:numPr>
          <w:ilvl w:val="2"/>
          <w:numId w:val="1"/>
        </w:numPr>
        <w:tabs>
          <w:tab w:val="left" w:pos="794"/>
          <w:tab w:val="left" w:pos="851"/>
          <w:tab w:val="left" w:pos="935"/>
          <w:tab w:val="left" w:pos="1502"/>
        </w:tabs>
        <w:outlineLvl w:val="2"/>
        <w:rPr>
          <w:bCs/>
        </w:rPr>
      </w:pPr>
      <w:r>
        <w:rPr>
          <w:rFonts w:hint="eastAsia"/>
        </w:rPr>
        <w:t>地上、地下车</w:t>
      </w:r>
      <w:r>
        <w:rPr>
          <w:rFonts w:hint="eastAsia"/>
          <w:bCs/>
        </w:rPr>
        <w:t>站公共区的垃圾箱应采用不燃材料，客服中心、补票亭、座椅、电话亭、售检票机、广告灯箱、导向标志等应采用不低于</w:t>
      </w:r>
      <w:r>
        <w:rPr>
          <w:bCs/>
        </w:rPr>
        <w:t>B</w:t>
      </w:r>
      <w:r>
        <w:rPr>
          <w:bCs/>
          <w:vertAlign w:val="subscript"/>
        </w:rPr>
        <w:t>1</w:t>
      </w:r>
      <w:r>
        <w:rPr>
          <w:rFonts w:hint="eastAsia"/>
          <w:bCs/>
        </w:rPr>
        <w:t>级的装修材料。</w:t>
      </w:r>
    </w:p>
    <w:p w14:paraId="11B85DE6">
      <w:pPr>
        <w:numPr>
          <w:ilvl w:val="2"/>
          <w:numId w:val="1"/>
        </w:numPr>
        <w:tabs>
          <w:tab w:val="left" w:pos="794"/>
          <w:tab w:val="left" w:pos="851"/>
          <w:tab w:val="left" w:pos="935"/>
          <w:tab w:val="left" w:pos="1502"/>
        </w:tabs>
        <w:outlineLvl w:val="2"/>
      </w:pPr>
      <w:r>
        <w:rPr>
          <w:rFonts w:hint="eastAsia"/>
          <w:bCs/>
        </w:rPr>
        <w:t>车站和区间</w:t>
      </w:r>
      <w:r>
        <w:rPr>
          <w:rFonts w:hint="eastAsia"/>
        </w:rPr>
        <w:t>隧道内不得采用石棉等有害人体健康的制品及塑料类等火灾时能产生大量有毒气体和烟气的制品。</w:t>
      </w:r>
    </w:p>
    <w:p w14:paraId="68F708B5">
      <w:pPr>
        <w:numPr>
          <w:ilvl w:val="2"/>
          <w:numId w:val="1"/>
        </w:numPr>
        <w:tabs>
          <w:tab w:val="left" w:pos="794"/>
          <w:tab w:val="left" w:pos="851"/>
          <w:tab w:val="left" w:pos="935"/>
          <w:tab w:val="left" w:pos="1502"/>
        </w:tabs>
        <w:outlineLvl w:val="2"/>
      </w:pPr>
      <w:r>
        <w:rPr>
          <w:rFonts w:hint="eastAsia"/>
        </w:rPr>
        <w:t>中央控制室、应急指挥室、控制中心的设备用房的隔断、调度台椅、窗帘以及其他装饰材料应采用不低于B1级的装饰材料。</w:t>
      </w:r>
    </w:p>
    <w:p w14:paraId="681604E2">
      <w:pPr>
        <w:numPr>
          <w:ilvl w:val="2"/>
          <w:numId w:val="1"/>
        </w:numPr>
        <w:tabs>
          <w:tab w:val="left" w:pos="794"/>
          <w:tab w:val="left" w:pos="851"/>
          <w:tab w:val="left" w:pos="935"/>
          <w:tab w:val="left" w:pos="1502"/>
        </w:tabs>
        <w:outlineLvl w:val="2"/>
      </w:pPr>
      <w:r>
        <w:rPr>
          <w:rFonts w:hint="eastAsia"/>
        </w:rPr>
        <w:t>车站建筑内部装修不应遮挡消防设施和疏散指示标志及安全出口，并不应仿碍消防设施和疏散走道的正常使用，以及减少安全出口、疏散出口和疏散走道所需的宽度。</w:t>
      </w:r>
    </w:p>
    <w:p w14:paraId="2FC638FB">
      <w:pPr>
        <w:numPr>
          <w:ilvl w:val="2"/>
          <w:numId w:val="1"/>
        </w:numPr>
        <w:tabs>
          <w:tab w:val="left" w:pos="794"/>
          <w:tab w:val="left" w:pos="851"/>
          <w:tab w:val="left" w:pos="935"/>
          <w:tab w:val="left" w:pos="1502"/>
        </w:tabs>
        <w:outlineLvl w:val="2"/>
        <w:rPr>
          <w:bCs/>
        </w:rPr>
      </w:pPr>
      <w:r>
        <w:rPr>
          <w:rFonts w:hint="eastAsia"/>
        </w:rPr>
        <w:t>变形缝、照明</w:t>
      </w:r>
      <w:r>
        <w:rPr>
          <w:rFonts w:hint="eastAsia"/>
          <w:bCs/>
        </w:rPr>
        <w:t>灯具应符合下列规定：</w:t>
      </w:r>
    </w:p>
    <w:p w14:paraId="6284B7B8">
      <w:pPr>
        <w:pStyle w:val="7"/>
        <w:ind w:firstLine="420"/>
      </w:pPr>
      <w:r>
        <w:rPr>
          <w:rFonts w:hint="eastAsia"/>
        </w:rPr>
        <w:t>变形缝（包括沉降缝、伸缩缝、抗震缝等）两侧的基层应采用</w:t>
      </w:r>
      <w:r>
        <w:t>A</w:t>
      </w:r>
      <w:r>
        <w:rPr>
          <w:rFonts w:hint="eastAsia"/>
        </w:rPr>
        <w:t>级材料。地下车站变形缝的表面装修应采用</w:t>
      </w:r>
      <w:r>
        <w:t>A</w:t>
      </w:r>
      <w:r>
        <w:rPr>
          <w:rFonts w:hint="eastAsia"/>
        </w:rPr>
        <w:t>级材料，地上车站应采用不低于</w:t>
      </w:r>
      <w:r>
        <w:t>B</w:t>
      </w:r>
      <w:r>
        <w:rPr>
          <w:vertAlign w:val="subscript"/>
        </w:rPr>
        <w:t>1</w:t>
      </w:r>
      <w:r>
        <w:rPr>
          <w:rFonts w:hint="eastAsia"/>
        </w:rPr>
        <w:t>级的装修材料；</w:t>
      </w:r>
    </w:p>
    <w:p w14:paraId="1888F313">
      <w:pPr>
        <w:pStyle w:val="7"/>
        <w:ind w:firstLine="420"/>
      </w:pPr>
      <w:r>
        <w:rPr>
          <w:rFonts w:hint="eastAsia"/>
        </w:rPr>
        <w:t>照明灯具应采用不燃材料、灯饰的燃烧性能等级不应低于</w:t>
      </w:r>
      <w:r>
        <w:t>B</w:t>
      </w:r>
      <w:r>
        <w:rPr>
          <w:vertAlign w:val="subscript"/>
        </w:rPr>
        <w:t>1</w:t>
      </w:r>
      <w:r>
        <w:rPr>
          <w:rFonts w:hint="eastAsia"/>
        </w:rPr>
        <w:t>级。</w:t>
      </w:r>
    </w:p>
    <w:p w14:paraId="58E1E296">
      <w:pPr>
        <w:numPr>
          <w:ilvl w:val="2"/>
          <w:numId w:val="1"/>
        </w:numPr>
        <w:tabs>
          <w:tab w:val="left" w:pos="794"/>
          <w:tab w:val="left" w:pos="851"/>
          <w:tab w:val="left" w:pos="935"/>
          <w:tab w:val="left" w:pos="1502"/>
        </w:tabs>
        <w:outlineLvl w:val="2"/>
        <w:rPr>
          <w:bCs/>
        </w:rPr>
      </w:pPr>
      <w:r>
        <w:rPr>
          <w:rFonts w:hint="eastAsia"/>
          <w:bCs/>
        </w:rPr>
        <w:t>广告制品和浮雕等装饰品应符合下列规定：</w:t>
      </w:r>
    </w:p>
    <w:p w14:paraId="6CBE87A8">
      <w:pPr>
        <w:pStyle w:val="7"/>
        <w:ind w:firstLine="420"/>
      </w:pPr>
      <w:r>
        <w:rPr>
          <w:rFonts w:hint="eastAsia"/>
        </w:rPr>
        <w:t>广告灯箱的位置和色彩不得干扰导向、事故疏散和服务乘客的标志；</w:t>
      </w:r>
    </w:p>
    <w:p w14:paraId="646718D6">
      <w:pPr>
        <w:pStyle w:val="7"/>
        <w:ind w:firstLine="420"/>
      </w:pPr>
      <w:r>
        <w:rPr>
          <w:rFonts w:hint="eastAsia"/>
        </w:rPr>
        <w:t>地下车站公共区采用的浮雕等装饰品应采用</w:t>
      </w:r>
      <w:r>
        <w:t>A</w:t>
      </w:r>
      <w:r>
        <w:rPr>
          <w:rFonts w:hint="eastAsia"/>
        </w:rPr>
        <w:t>级装修材料；地上车站应采用不低于</w:t>
      </w:r>
      <w:r>
        <w:t>B1</w:t>
      </w:r>
      <w:r>
        <w:rPr>
          <w:rFonts w:hint="eastAsia"/>
        </w:rPr>
        <w:t>级装修材料。</w:t>
      </w:r>
    </w:p>
    <w:p w14:paraId="6230BDA8">
      <w:pPr>
        <w:numPr>
          <w:ilvl w:val="2"/>
          <w:numId w:val="1"/>
        </w:numPr>
        <w:tabs>
          <w:tab w:val="left" w:pos="794"/>
          <w:tab w:val="left" w:pos="851"/>
          <w:tab w:val="left" w:pos="935"/>
          <w:tab w:val="left" w:pos="1502"/>
        </w:tabs>
        <w:outlineLvl w:val="2"/>
      </w:pPr>
      <w:r>
        <w:rPr>
          <w:rFonts w:hint="eastAsia"/>
          <w:bCs/>
        </w:rPr>
        <w:t>车站内部消</w:t>
      </w:r>
      <w:r>
        <w:rPr>
          <w:rFonts w:hint="eastAsia"/>
        </w:rPr>
        <w:t>火栓应有明显标志，消火栓的门不应被装饰物遮掩，消火栓四周的装饰材料颜色应与消火栓门的颜色有明显区别。</w:t>
      </w:r>
    </w:p>
    <w:p w14:paraId="02E8AFCD">
      <w:pPr>
        <w:numPr>
          <w:ilvl w:val="2"/>
          <w:numId w:val="1"/>
        </w:numPr>
        <w:tabs>
          <w:tab w:val="left" w:pos="794"/>
          <w:tab w:val="left" w:pos="851"/>
          <w:tab w:val="left" w:pos="935"/>
          <w:tab w:val="left" w:pos="1502"/>
        </w:tabs>
        <w:outlineLvl w:val="2"/>
      </w:pPr>
      <w:r>
        <w:rPr>
          <w:rFonts w:hint="eastAsia"/>
        </w:rPr>
        <w:t>车站公共区及出入口通道内不得采用具有镜面效果的装修饰面及假门。</w:t>
      </w:r>
    </w:p>
    <w:p w14:paraId="33ACEFD0">
      <w:pPr>
        <w:numPr>
          <w:ilvl w:val="2"/>
          <w:numId w:val="1"/>
        </w:numPr>
        <w:tabs>
          <w:tab w:val="left" w:pos="794"/>
          <w:tab w:val="left" w:pos="851"/>
          <w:tab w:val="left" w:pos="935"/>
          <w:tab w:val="left" w:pos="1502"/>
        </w:tabs>
        <w:outlineLvl w:val="2"/>
        <w:rPr>
          <w:bCs/>
        </w:rPr>
      </w:pPr>
      <w:r>
        <w:rPr>
          <w:rFonts w:hint="eastAsia"/>
        </w:rPr>
        <w:t>车辆内部设施和装修材料应采用不燃或低烟、无卤的阻燃材料，并不得采用燃烧时会产生大量有毒气体和烟气的材料和制品。车体和其他隔热、</w:t>
      </w:r>
      <w:r>
        <w:rPr>
          <w:rFonts w:hint="eastAsia"/>
          <w:bCs/>
        </w:rPr>
        <w:t>隔声材料应采用不燃材料，地板结构应具有防火屏障功能。</w:t>
      </w:r>
    </w:p>
    <w:p w14:paraId="0C78DC14">
      <w:pPr>
        <w:numPr>
          <w:ilvl w:val="2"/>
          <w:numId w:val="1"/>
        </w:numPr>
        <w:tabs>
          <w:tab w:val="left" w:pos="794"/>
          <w:tab w:val="left" w:pos="851"/>
          <w:tab w:val="left" w:pos="935"/>
          <w:tab w:val="left" w:pos="1502"/>
        </w:tabs>
        <w:outlineLvl w:val="2"/>
        <w:rPr>
          <w:bCs/>
        </w:rPr>
      </w:pPr>
      <w:r>
        <w:rPr>
          <w:rFonts w:hint="eastAsia"/>
          <w:bCs/>
        </w:rPr>
        <w:t>除本规范另有规定外，室内装修尚应符合现行国家标准</w:t>
      </w:r>
      <w:r>
        <w:rPr>
          <w:rFonts w:hint="eastAsia"/>
        </w:rPr>
        <w:t>《建筑内部装修设计防火规范》</w:t>
      </w:r>
      <w:r>
        <w:rPr>
          <w:rFonts w:hint="eastAsia"/>
          <w:bCs/>
        </w:rPr>
        <w:t>GB50222的有关规定。</w:t>
      </w:r>
    </w:p>
    <w:p w14:paraId="139FA9C2">
      <w:pPr>
        <w:spacing w:before="72" w:after="72" w:line="240" w:lineRule="auto"/>
        <w:ind w:left="438"/>
        <w:jc w:val="center"/>
        <w:outlineLvl w:val="3"/>
        <w:rPr>
          <w:rFonts w:eastAsia="黑体"/>
        </w:rPr>
      </w:pPr>
      <w:r>
        <w:rPr>
          <w:rFonts w:hint="eastAsia" w:eastAsia="黑体"/>
        </w:rPr>
        <w:t>Ⅶ</w:t>
      </w:r>
      <w:r>
        <w:rPr>
          <w:rFonts w:eastAsia="黑体"/>
        </w:rPr>
        <w:t xml:space="preserve">  </w:t>
      </w:r>
      <w:r>
        <w:rPr>
          <w:rFonts w:hint="eastAsia" w:eastAsia="黑体"/>
        </w:rPr>
        <w:t>消防安全疏散标志</w:t>
      </w:r>
    </w:p>
    <w:p w14:paraId="6F403DAF">
      <w:pPr>
        <w:numPr>
          <w:ilvl w:val="2"/>
          <w:numId w:val="1"/>
        </w:numPr>
        <w:tabs>
          <w:tab w:val="left" w:pos="794"/>
          <w:tab w:val="left" w:pos="851"/>
          <w:tab w:val="left" w:pos="935"/>
          <w:tab w:val="left" w:pos="1502"/>
        </w:tabs>
        <w:outlineLvl w:val="2"/>
        <w:rPr>
          <w:bCs/>
        </w:rPr>
      </w:pPr>
      <w:r>
        <w:rPr>
          <w:rFonts w:hint="eastAsia"/>
          <w:bCs/>
        </w:rPr>
        <w:t>消防安全</w:t>
      </w:r>
      <w:r>
        <w:rPr>
          <w:rFonts w:hint="eastAsia"/>
        </w:rPr>
        <w:t>疏散</w:t>
      </w:r>
      <w:r>
        <w:rPr>
          <w:rFonts w:hint="eastAsia"/>
          <w:bCs/>
        </w:rPr>
        <w:t>标志应符合下列规定：</w:t>
      </w:r>
    </w:p>
    <w:p w14:paraId="0E8B43FC">
      <w:pPr>
        <w:pStyle w:val="7"/>
        <w:ind w:firstLine="420"/>
      </w:pPr>
      <w:r>
        <w:rPr>
          <w:rFonts w:hint="eastAsia"/>
        </w:rPr>
        <w:t>消防安全疏散标志应采用“安全出口”作为指示标志的内置灯光指示，并应采用不燃材料制成的保护罩；</w:t>
      </w:r>
    </w:p>
    <w:p w14:paraId="0FBBD31F">
      <w:pPr>
        <w:pStyle w:val="7"/>
        <w:ind w:firstLine="420"/>
      </w:pPr>
      <w:r>
        <w:rPr>
          <w:rFonts w:hint="eastAsia"/>
        </w:rPr>
        <w:t>消防安全疏散标志应设在醒目位置，疏散标志的字型、颜色、大小应醒目、简洁、明确，清晰可辨，表达方式应统一；</w:t>
      </w:r>
    </w:p>
    <w:p w14:paraId="339F050F">
      <w:pPr>
        <w:pStyle w:val="7"/>
        <w:ind w:firstLine="420"/>
      </w:pPr>
      <w:r>
        <w:rPr>
          <w:rFonts w:hint="eastAsia"/>
        </w:rPr>
        <w:t>消防安全疏散标志除本规范另有规定外，其要求应符合现行国家标准《消防安全标志》</w:t>
      </w:r>
      <w:r>
        <w:t>GB 13495</w:t>
      </w:r>
      <w:r>
        <w:rPr>
          <w:rFonts w:hint="eastAsia"/>
        </w:rPr>
        <w:t>、《</w:t>
      </w:r>
      <w:r>
        <w:rPr>
          <w:rFonts w:hint="eastAsia"/>
          <w:spacing w:val="10"/>
        </w:rPr>
        <w:t>消防应急照明和疏散指示系统》</w:t>
      </w:r>
      <w:r>
        <w:rPr>
          <w:spacing w:val="10"/>
        </w:rPr>
        <w:t>GB 17945</w:t>
      </w:r>
      <w:r>
        <w:rPr>
          <w:rFonts w:hint="eastAsia"/>
          <w:spacing w:val="10"/>
        </w:rPr>
        <w:t>和北京市地方标准《消防安全疏散标志设置标准》</w:t>
      </w:r>
      <w:r>
        <w:t>DBJ 01</w:t>
      </w:r>
      <w:r>
        <w:rPr>
          <w:rFonts w:hint="eastAsia"/>
        </w:rPr>
        <w:t>—</w:t>
      </w:r>
      <w:r>
        <w:t>611</w:t>
      </w:r>
      <w:r>
        <w:rPr>
          <w:rFonts w:hint="eastAsia"/>
        </w:rPr>
        <w:t>的有关规定。</w:t>
      </w:r>
    </w:p>
    <w:p w14:paraId="7691DE26">
      <w:pPr>
        <w:numPr>
          <w:ilvl w:val="2"/>
          <w:numId w:val="1"/>
        </w:numPr>
        <w:tabs>
          <w:tab w:val="left" w:pos="794"/>
          <w:tab w:val="left" w:pos="851"/>
          <w:tab w:val="left" w:pos="935"/>
          <w:tab w:val="left" w:pos="1502"/>
        </w:tabs>
        <w:outlineLvl w:val="2"/>
        <w:rPr>
          <w:bCs/>
        </w:rPr>
      </w:pPr>
      <w:r>
        <w:rPr>
          <w:rFonts w:hint="eastAsia"/>
          <w:bCs/>
        </w:rPr>
        <w:t>车站下列</w:t>
      </w:r>
      <w:r>
        <w:rPr>
          <w:rFonts w:hint="eastAsia"/>
        </w:rPr>
        <w:t>部位</w:t>
      </w:r>
      <w:r>
        <w:rPr>
          <w:rFonts w:hint="eastAsia"/>
          <w:bCs/>
        </w:rPr>
        <w:t>应设置电光源型疏散标志：</w:t>
      </w:r>
    </w:p>
    <w:p w14:paraId="55043F81">
      <w:pPr>
        <w:pStyle w:val="7"/>
        <w:ind w:firstLine="420"/>
      </w:pPr>
      <w:r>
        <w:rPr>
          <w:rFonts w:hint="eastAsia"/>
        </w:rPr>
        <w:t>车站公共区：站台和站厅公共区、自动扶梯和疏散楼梯口，出入口通道及其转角处，安全出口和避难走道；</w:t>
      </w:r>
    </w:p>
    <w:p w14:paraId="1F0520B1">
      <w:pPr>
        <w:pStyle w:val="7"/>
        <w:ind w:firstLine="420"/>
      </w:pPr>
      <w:r>
        <w:rPr>
          <w:rFonts w:hint="eastAsia"/>
        </w:rPr>
        <w:t>设备管理区：疏散走道、封闭楼梯间、防烟楼梯间及其前室、消防专用通道、安全出口、环控机房以及变电所等处；</w:t>
      </w:r>
    </w:p>
    <w:p w14:paraId="22C3DE33">
      <w:pPr>
        <w:pStyle w:val="7"/>
        <w:ind w:firstLine="420"/>
      </w:pPr>
      <w:r>
        <w:rPr>
          <w:rFonts w:hint="eastAsia"/>
        </w:rPr>
        <w:t>区间：地下或地上区间的入口处，以及地下区间横向联络通道洞口和区间风井内的防烟楼梯间等安全出口处。</w:t>
      </w:r>
    </w:p>
    <w:p w14:paraId="4F301155">
      <w:pPr>
        <w:numPr>
          <w:ilvl w:val="2"/>
          <w:numId w:val="1"/>
        </w:numPr>
        <w:tabs>
          <w:tab w:val="left" w:pos="794"/>
          <w:tab w:val="left" w:pos="851"/>
          <w:tab w:val="left" w:pos="935"/>
          <w:tab w:val="left" w:pos="1502"/>
        </w:tabs>
        <w:outlineLvl w:val="2"/>
        <w:rPr>
          <w:bCs/>
        </w:rPr>
      </w:pPr>
      <w:r>
        <w:rPr>
          <w:rFonts w:hint="eastAsia"/>
          <w:bCs/>
        </w:rPr>
        <w:t>电光源型</w:t>
      </w:r>
      <w:r>
        <w:rPr>
          <w:rFonts w:hint="eastAsia"/>
        </w:rPr>
        <w:t>疏散</w:t>
      </w:r>
      <w:r>
        <w:rPr>
          <w:rFonts w:hint="eastAsia"/>
          <w:bCs/>
        </w:rPr>
        <w:t>标志应符合下列规定：</w:t>
      </w:r>
    </w:p>
    <w:p w14:paraId="0215DCAC">
      <w:pPr>
        <w:pStyle w:val="7"/>
        <w:ind w:firstLine="420"/>
      </w:pPr>
      <w:r>
        <w:rPr>
          <w:rFonts w:hint="eastAsia"/>
        </w:rPr>
        <w:t>站台、站厅乘客疏散区以及疏散楼扶梯口部的疏散指示标志应设置在柱面或墙面上，标志上边缘距地面高度不应大于1.0m，间距不应大于20m且不应大于两跨柱间距；</w:t>
      </w:r>
    </w:p>
    <w:p w14:paraId="1BBF7074">
      <w:pPr>
        <w:pStyle w:val="7"/>
        <w:ind w:firstLine="420"/>
      </w:pPr>
      <w:r>
        <w:rPr>
          <w:rFonts w:hint="eastAsia"/>
        </w:rPr>
        <w:t>设置在顶棚下的疏散指示标志，其下边缘距地面的高度不应小于2.2m且不宜大于2.5m，上边缘距吊顶面不应小于0.5m，间距不应大于20m；</w:t>
      </w:r>
    </w:p>
    <w:p w14:paraId="1A49CDF0">
      <w:pPr>
        <w:pStyle w:val="7"/>
        <w:ind w:firstLine="420"/>
      </w:pPr>
      <w:r>
        <w:rPr>
          <w:rFonts w:hint="eastAsia"/>
        </w:rPr>
        <w:t>安全出口和疏散通道出口处的疏散指示标志应设置在门洞边缘或门洞的上部，标志的上边缘距吊顶面不应小于0.5m，下边缘距地面不应小于2m。</w:t>
      </w:r>
    </w:p>
    <w:p w14:paraId="1C6E38B8">
      <w:pPr>
        <w:pStyle w:val="7"/>
        <w:ind w:firstLine="420"/>
      </w:pPr>
      <w:r>
        <w:rPr>
          <w:rFonts w:hint="eastAsia"/>
        </w:rPr>
        <w:t>疏散通道两侧及转角处的疏散指示标志，应设置在墙面上，标志的上边缘距地面不应大于1m、间距不应大于10m；通道转角处的标志间距不应大于1m。</w:t>
      </w:r>
    </w:p>
    <w:p w14:paraId="4B82BE17">
      <w:pPr>
        <w:numPr>
          <w:ilvl w:val="2"/>
          <w:numId w:val="1"/>
        </w:numPr>
        <w:tabs>
          <w:tab w:val="left" w:pos="794"/>
          <w:tab w:val="left" w:pos="851"/>
          <w:tab w:val="left" w:pos="935"/>
          <w:tab w:val="left" w:pos="1502"/>
        </w:tabs>
        <w:outlineLvl w:val="2"/>
      </w:pPr>
      <w:r>
        <w:rPr>
          <w:rFonts w:hint="eastAsia"/>
        </w:rPr>
        <w:t>车站公共区的站台、站厅乘客疏散路线和疏散通道的地面上、自动扶梯起点侧面、人行楼梯起步的</w:t>
      </w:r>
      <w:r>
        <w:t>3</w:t>
      </w:r>
      <w:r>
        <w:rPr>
          <w:rFonts w:hint="eastAsia"/>
        </w:rPr>
        <w:t>阶踏步立面处应设置蓄光型疏散标志，在地面上宜沿疏散路线的中心线布置，并保持视觉连续性，间距不应超过</w:t>
      </w:r>
      <w:r>
        <w:t>1.2m</w:t>
      </w:r>
      <w:r>
        <w:rPr>
          <w:rFonts w:hint="eastAsia"/>
        </w:rPr>
        <w:t>。除本规范另有规定外，蓄光型疏散标志的设置要求应符合现行北京市《消防安全疏散标志设置标准》</w:t>
      </w:r>
      <w:r>
        <w:t>DBJ01</w:t>
      </w:r>
      <w:r>
        <w:rPr>
          <w:rFonts w:hint="eastAsia"/>
        </w:rPr>
        <w:t>—</w:t>
      </w:r>
      <w:r>
        <w:t>611</w:t>
      </w:r>
      <w:r>
        <w:rPr>
          <w:rFonts w:hint="eastAsia"/>
        </w:rPr>
        <w:t>的有关规定。</w:t>
      </w:r>
    </w:p>
    <w:p w14:paraId="71C34AA0">
      <w:pPr>
        <w:numPr>
          <w:ilvl w:val="2"/>
          <w:numId w:val="1"/>
        </w:numPr>
        <w:tabs>
          <w:tab w:val="left" w:pos="794"/>
          <w:tab w:val="left" w:pos="851"/>
          <w:tab w:val="left" w:pos="935"/>
          <w:tab w:val="left" w:pos="1502"/>
        </w:tabs>
        <w:outlineLvl w:val="2"/>
      </w:pPr>
      <w:r>
        <w:t xml:space="preserve"> </w:t>
      </w:r>
      <w:r>
        <w:rPr>
          <w:rFonts w:hint="eastAsia"/>
        </w:rPr>
        <w:t>控制中心及车辆基地内的建筑，电光源型疏散标志的设置要求应符合现行北京市《消防安全疏散标志设置标准》</w:t>
      </w:r>
      <w:r>
        <w:t>DBJ 01</w:t>
      </w:r>
      <w:r>
        <w:rPr>
          <w:rFonts w:hint="eastAsia"/>
        </w:rPr>
        <w:t>—</w:t>
      </w:r>
      <w:r>
        <w:t>611</w:t>
      </w:r>
      <w:r>
        <w:rPr>
          <w:rFonts w:hint="eastAsia"/>
        </w:rPr>
        <w:t>的有关规定。</w:t>
      </w:r>
    </w:p>
    <w:p w14:paraId="6C12C6E5">
      <w:pPr>
        <w:numPr>
          <w:ilvl w:val="2"/>
          <w:numId w:val="1"/>
        </w:numPr>
        <w:tabs>
          <w:tab w:val="left" w:pos="794"/>
          <w:tab w:val="left" w:pos="851"/>
          <w:tab w:val="left" w:pos="935"/>
          <w:tab w:val="left" w:pos="1502"/>
        </w:tabs>
        <w:outlineLvl w:val="2"/>
        <w:rPr>
          <w:bCs/>
        </w:rPr>
      </w:pPr>
      <w:r>
        <w:rPr>
          <w:rFonts w:hint="eastAsia"/>
        </w:rPr>
        <w:t>出入口地</w:t>
      </w:r>
      <w:r>
        <w:rPr>
          <w:rFonts w:hint="eastAsia"/>
          <w:bCs/>
        </w:rPr>
        <w:t>面亭口部设置非运营期使用的防盗</w:t>
      </w:r>
      <w:r>
        <w:rPr>
          <w:bCs/>
        </w:rPr>
        <w:t>/</w:t>
      </w:r>
      <w:r>
        <w:rPr>
          <w:rFonts w:hint="eastAsia"/>
          <w:bCs/>
        </w:rPr>
        <w:t>管理卷帘时，应设置防止卷帘门意外坠落的措施，并保证卷帘具有手动开启功能。</w:t>
      </w:r>
    </w:p>
    <w:p w14:paraId="27653940">
      <w:pPr>
        <w:pStyle w:val="4"/>
        <w:tabs>
          <w:tab w:val="clear" w:pos="462"/>
          <w:tab w:val="clear" w:pos="794"/>
        </w:tabs>
      </w:pPr>
      <w:bookmarkStart w:id="2112" w:name="_Toc183790691"/>
      <w:bookmarkStart w:id="2113" w:name="_Toc183765261"/>
      <w:bookmarkStart w:id="2114" w:name="_Toc183882614"/>
      <w:bookmarkStart w:id="2115" w:name="_Toc183888666"/>
      <w:bookmarkStart w:id="2116" w:name="_Toc183888304"/>
      <w:bookmarkStart w:id="2117" w:name="_Toc176189981"/>
      <w:bookmarkStart w:id="2118" w:name="_Toc183882252"/>
      <w:bookmarkStart w:id="2119" w:name="_Toc357929473"/>
      <w:bookmarkStart w:id="2120" w:name="_Toc357929474"/>
      <w:r>
        <w:t>消防给水和灭火设施</w:t>
      </w:r>
      <w:bookmarkEnd w:id="2112"/>
      <w:bookmarkEnd w:id="2113"/>
      <w:bookmarkEnd w:id="2114"/>
      <w:bookmarkEnd w:id="2115"/>
      <w:bookmarkEnd w:id="2116"/>
      <w:bookmarkEnd w:id="2117"/>
      <w:bookmarkEnd w:id="2118"/>
    </w:p>
    <w:bookmarkEnd w:id="2119"/>
    <w:p w14:paraId="7152220A">
      <w:pPr>
        <w:numPr>
          <w:ilvl w:val="2"/>
          <w:numId w:val="1"/>
        </w:numPr>
        <w:tabs>
          <w:tab w:val="left" w:pos="709"/>
          <w:tab w:val="left" w:pos="851"/>
          <w:tab w:val="left" w:pos="1502"/>
        </w:tabs>
        <w:outlineLvl w:val="2"/>
      </w:pPr>
      <w:r>
        <w:t>消火栓用水量定额应符合下列规定：</w:t>
      </w:r>
    </w:p>
    <w:p w14:paraId="76F0D902">
      <w:pPr>
        <w:pStyle w:val="7"/>
        <w:ind w:firstLine="420"/>
      </w:pPr>
      <w:r>
        <w:t>地下车站(含换乘车站) 室内消火栓用水量不应小于20L/s</w:t>
      </w:r>
      <w:r>
        <w:rPr>
          <w:rFonts w:hint="eastAsia"/>
        </w:rPr>
        <w:t>，</w:t>
      </w:r>
      <w:r>
        <w:t>室外消火栓用水量不应小于20L/S；</w:t>
      </w:r>
    </w:p>
    <w:p w14:paraId="10C219D7">
      <w:pPr>
        <w:pStyle w:val="7"/>
        <w:ind w:firstLine="420"/>
      </w:pPr>
      <w:r>
        <w:t>地下车站出入口通道、换乘通道、折返线、停车线及地下区间隧道、区间风井消火栓用水量不应小于10L/s；</w:t>
      </w:r>
    </w:p>
    <w:p w14:paraId="0166072E">
      <w:pPr>
        <w:pStyle w:val="7"/>
        <w:ind w:firstLine="420"/>
      </w:pPr>
      <w:r>
        <w:t>地上车站、控制中心、车辆基地消防用水量应符合现行国家标准《建筑设计防火规范》GB50016、《消防给水及消火栓系统技术规范》GB50974及《自动喷水灭火系统设计规范》GB50084的有关规定；</w:t>
      </w:r>
    </w:p>
    <w:p w14:paraId="422E1A6C">
      <w:pPr>
        <w:pStyle w:val="7"/>
        <w:ind w:firstLine="420"/>
      </w:pPr>
      <w:r>
        <w:t>消火栓系统火灾延续时间不应小于2h。</w:t>
      </w:r>
    </w:p>
    <w:p w14:paraId="7DB8693D">
      <w:pPr>
        <w:numPr>
          <w:ilvl w:val="2"/>
          <w:numId w:val="1"/>
        </w:numPr>
        <w:tabs>
          <w:tab w:val="left" w:pos="709"/>
          <w:tab w:val="left" w:pos="851"/>
          <w:tab w:val="left" w:pos="1502"/>
        </w:tabs>
        <w:outlineLvl w:val="2"/>
      </w:pPr>
      <w:r>
        <w:t>消防给水系统</w:t>
      </w:r>
      <w:r>
        <w:rPr>
          <w:rFonts w:hint="eastAsia"/>
        </w:rPr>
        <w:t>设计</w:t>
      </w:r>
      <w:r>
        <w:t>应符合下列规定：</w:t>
      </w:r>
    </w:p>
    <w:p w14:paraId="26AA43D2">
      <w:pPr>
        <w:pStyle w:val="7"/>
        <w:ind w:firstLine="420"/>
      </w:pPr>
      <w:r>
        <w:t>消防给水水源应采用城市自来水，当沿线无城市自来水时，可采用其他可靠的消防给水水源。</w:t>
      </w:r>
    </w:p>
    <w:p w14:paraId="6CF8901A">
      <w:pPr>
        <w:pStyle w:val="7"/>
        <w:ind w:firstLine="420"/>
      </w:pPr>
      <w:r>
        <w:rPr>
          <w:rFonts w:hint="eastAsia"/>
          <w:szCs w:val="18"/>
        </w:rPr>
        <w:t>当城市自来水供水量不能满足室内外消防用水量要求时，应设消防水池，当城市自来水只提供一路消防供水，室外消火栓设计流量不大于20L/s时，不设室外消防水池。</w:t>
      </w:r>
    </w:p>
    <w:p w14:paraId="16BD13DC">
      <w:pPr>
        <w:pStyle w:val="7"/>
        <w:ind w:firstLine="420"/>
        <w:rPr>
          <w:szCs w:val="18"/>
        </w:rPr>
      </w:pPr>
      <w:r>
        <w:rPr>
          <w:rFonts w:hint="eastAsia"/>
          <w:szCs w:val="18"/>
        </w:rPr>
        <w:t>当车站周围城市自来水能提供两路消防供水且供水量满足消防用水需求，但供水压力不能满足消防用水压力要求时，应设消防增压、稳压设施；当市政自来水部门同意从市政给水管道上直接抽水时，可不设消防水池，设置市政超越管利用市政自来水压力稳压。</w:t>
      </w:r>
    </w:p>
    <w:p w14:paraId="6EAF8D4D">
      <w:pPr>
        <w:pStyle w:val="7"/>
        <w:ind w:firstLine="420"/>
      </w:pPr>
      <w:r>
        <w:t>当车站周围城市自来水管网为环状管网但只能提供一根给水引入管时，应设消防增压、稳压设施和消防水池</w:t>
      </w:r>
      <w:r>
        <w:rPr>
          <w:rFonts w:hint="eastAsia"/>
        </w:rPr>
        <w:t>，</w:t>
      </w:r>
      <w:r>
        <w:rPr>
          <w:rFonts w:hint="eastAsia"/>
          <w:szCs w:val="18"/>
        </w:rPr>
        <w:t>地下车站也可采用邻站消防水源作为备用水源。</w:t>
      </w:r>
    </w:p>
    <w:p w14:paraId="5FCCAD85">
      <w:pPr>
        <w:pStyle w:val="7"/>
        <w:ind w:firstLine="420"/>
      </w:pPr>
      <w:r>
        <w:rPr>
          <w:rFonts w:hint="eastAsia"/>
          <w:szCs w:val="18"/>
        </w:rPr>
        <w:t>换乘车站（不属于通道换乘）消防给水系统宜采用一套系统，先建线宜为后建线预留消防与生产生活给水条件。</w:t>
      </w:r>
    </w:p>
    <w:p w14:paraId="4A29AC8B">
      <w:pPr>
        <w:pStyle w:val="7"/>
        <w:ind w:firstLine="420"/>
      </w:pPr>
      <w:r>
        <w:rPr>
          <w:rFonts w:hint="eastAsia"/>
          <w:szCs w:val="18"/>
        </w:rPr>
        <w:t>地下车站应在出入口设置室外消火栓，设置室外消火栓的出入口数量不应少于2个，且车站大端参与消防救援的疏散口宜设置室外消火栓。</w:t>
      </w:r>
    </w:p>
    <w:p w14:paraId="3BCD398C">
      <w:pPr>
        <w:pStyle w:val="7"/>
        <w:ind w:firstLine="420"/>
      </w:pPr>
      <w:r>
        <w:rPr>
          <w:rFonts w:hint="eastAsia"/>
          <w:szCs w:val="18"/>
        </w:rPr>
        <w:t>全地下或半地下车辆基地，以及车辆基地上盖设置其他非地铁功能建筑的盖下运用库、联合检修库、工程车库、物资总库应设置自动喷水灭火系统；当库室高度超过自动喷水灭火系统的设计要求时，应设置固定消防炮或自动跟踪定位射流灭火系统等其他自动灭火系统。</w:t>
      </w:r>
    </w:p>
    <w:p w14:paraId="4B257CA9">
      <w:pPr>
        <w:pStyle w:val="7"/>
        <w:ind w:firstLine="420"/>
      </w:pPr>
      <w:r>
        <w:rPr>
          <w:rFonts w:hint="eastAsia"/>
          <w:szCs w:val="18"/>
        </w:rPr>
        <w:t>地下车站设置的商铺总面积超过500m</w:t>
      </w:r>
      <w:r>
        <w:rPr>
          <w:rFonts w:hint="eastAsia"/>
          <w:szCs w:val="18"/>
          <w:vertAlign w:val="superscript"/>
        </w:rPr>
        <w:t>2</w:t>
      </w:r>
      <w:r>
        <w:rPr>
          <w:rFonts w:hint="eastAsia"/>
          <w:szCs w:val="18"/>
        </w:rPr>
        <w:t>时，应按照现行国家标准</w:t>
      </w:r>
      <w:r>
        <w:rPr>
          <w:rFonts w:hint="eastAsia"/>
        </w:rPr>
        <w:t>《自动喷水灭火系统设计规范》</w:t>
      </w:r>
      <w:r>
        <w:rPr>
          <w:rFonts w:hint="eastAsia"/>
          <w:szCs w:val="18"/>
        </w:rPr>
        <w:t>GB 50084的要求设置自动喷水灭火系统，并应设置消防增压、稳压设施；当地下车站站厅层非付费区设置小商铺时，应在商铺内设置局部应用系统。</w:t>
      </w:r>
    </w:p>
    <w:p w14:paraId="782C4033">
      <w:pPr>
        <w:pStyle w:val="7"/>
        <w:ind w:firstLine="420"/>
      </w:pPr>
      <w:r>
        <w:rPr>
          <w:rFonts w:hint="eastAsia"/>
        </w:rPr>
        <w:t>地上车站消火栓给水系统采用临时高压给水系统时，应设置稳压装置及气压罐，三层及以上单体总建筑面积大于10000</w:t>
      </w:r>
      <w:r>
        <w:t xml:space="preserve"> m</w:t>
      </w:r>
      <w:r>
        <w:rPr>
          <w:vertAlign w:val="superscript"/>
        </w:rPr>
        <w:t>2</w:t>
      </w:r>
      <w:r>
        <w:rPr>
          <w:rFonts w:hint="eastAsia"/>
        </w:rPr>
        <w:t>的地上车站应增设高位消防水箱，地下车站消火栓给水系统可不设高位消防水箱</w:t>
      </w:r>
      <w:r>
        <w:t>。</w:t>
      </w:r>
    </w:p>
    <w:p w14:paraId="54A7D871">
      <w:pPr>
        <w:pStyle w:val="7"/>
        <w:ind w:firstLine="420"/>
      </w:pPr>
      <w:r>
        <w:t>地下车站及连接的地下区间、长度大于20m的出入口通道、长度大于500m的独立地下区间应设室内消火栓给水系统。</w:t>
      </w:r>
    </w:p>
    <w:p w14:paraId="462740E4">
      <w:pPr>
        <w:pStyle w:val="7"/>
        <w:ind w:firstLine="420"/>
        <w:rPr>
          <w:szCs w:val="18"/>
        </w:rPr>
      </w:pPr>
      <w:r>
        <w:rPr>
          <w:rFonts w:hint="eastAsia"/>
          <w:szCs w:val="18"/>
        </w:rPr>
        <w:t>地上车站非供暖区域的室内消火栓系统，可采用干式系统，干式消火栓系统的充水时间不应大于 5min，并在进水管上宜设置电磁阀、电动阀等快速启闭装置，管道最高处应设置自动排气阀，当采用电动阀时开启时间不应超过 30s。</w:t>
      </w:r>
    </w:p>
    <w:p w14:paraId="6AF13C7F">
      <w:pPr>
        <w:pStyle w:val="7"/>
        <w:ind w:firstLine="420"/>
      </w:pPr>
      <w:r>
        <w:t>当车辆基地消防给水系统采用临时高压给水系统时，应在车辆基地和停车场内建筑物最高处设置消防水箱，消防水箱的设置应符合现行国家标准《建筑设计防火规范》GB50016、《消防给水及消火栓系统技术规范》GB50974的有关规定。</w:t>
      </w:r>
    </w:p>
    <w:p w14:paraId="43AAD3E4">
      <w:pPr>
        <w:numPr>
          <w:ilvl w:val="2"/>
          <w:numId w:val="1"/>
        </w:numPr>
        <w:tabs>
          <w:tab w:val="left" w:pos="709"/>
          <w:tab w:val="left" w:pos="851"/>
          <w:tab w:val="left" w:pos="1502"/>
        </w:tabs>
        <w:outlineLvl w:val="2"/>
      </w:pPr>
      <w:r>
        <w:t>管道布置、附件及管材应符合下列规定：</w:t>
      </w:r>
    </w:p>
    <w:p w14:paraId="0B8FA022">
      <w:pPr>
        <w:pStyle w:val="7"/>
        <w:ind w:firstLine="420"/>
      </w:pPr>
      <w:r>
        <w:t>地下车站和地下区间的室内消火栓给水系统应设计为环状管网；地下区间上下行线应各从地下车站引入1根消防给水管，并宜在区间中部联络通道处连通，且在车站端部与车站环状管网相接。</w:t>
      </w:r>
    </w:p>
    <w:p w14:paraId="1FFEE4B6">
      <w:pPr>
        <w:pStyle w:val="7"/>
        <w:ind w:firstLine="420"/>
      </w:pPr>
      <w:r>
        <w:t>消防给水引入管应按照现行国家标准《建筑给水排水设计规范》GB50015的要求设置倒流防止器。</w:t>
      </w:r>
    </w:p>
    <w:p w14:paraId="1098E1FA">
      <w:pPr>
        <w:pStyle w:val="7"/>
        <w:ind w:firstLine="420"/>
      </w:pPr>
      <w:r>
        <w:t>车站室内消火栓环状管网应有2根进水管与城市自来水环状管网或消防水泵连接。</w:t>
      </w:r>
    </w:p>
    <w:p w14:paraId="5421EEB7">
      <w:pPr>
        <w:pStyle w:val="7"/>
        <w:ind w:firstLine="420"/>
      </w:pPr>
      <w:r>
        <w:t>地下车站连接地下区间的消防给水立管上应设置电动和手动阀门，其位置应便于操作。</w:t>
      </w:r>
    </w:p>
    <w:p w14:paraId="34CFB37B">
      <w:pPr>
        <w:pStyle w:val="7"/>
        <w:ind w:firstLine="420"/>
      </w:pPr>
      <w:r>
        <w:t>当消火栓系统由消防水泵加压供给时，消火栓处应设水泵启动按钮。</w:t>
      </w:r>
    </w:p>
    <w:p w14:paraId="1F2536B9">
      <w:pPr>
        <w:pStyle w:val="7"/>
        <w:ind w:firstLine="420"/>
      </w:pPr>
      <w:r>
        <w:t>当消防给水系统管网存在超压可能时，应采取防超压措施。</w:t>
      </w:r>
    </w:p>
    <w:p w14:paraId="71B12428">
      <w:pPr>
        <w:pStyle w:val="7"/>
        <w:ind w:firstLine="420"/>
      </w:pPr>
      <w:r>
        <w:t>消防给水管道最高点应设置排气阀，最低点应设置泄水阀。</w:t>
      </w:r>
    </w:p>
    <w:p w14:paraId="33C50147">
      <w:pPr>
        <w:pStyle w:val="7"/>
        <w:ind w:firstLine="420"/>
      </w:pPr>
      <w:r>
        <w:rPr>
          <w:rFonts w:hint="eastAsia"/>
          <w:szCs w:val="18"/>
        </w:rPr>
        <w:t>消防泵的设置应符合现行国家标准《消防给水及消火栓系统技术规范》GB50974的有关规定，消防泵房应执行《建筑设计防火规范》GB50016的规定。</w:t>
      </w:r>
    </w:p>
    <w:p w14:paraId="27CEC641">
      <w:pPr>
        <w:pStyle w:val="7"/>
        <w:ind w:firstLine="420"/>
        <w:rPr>
          <w:szCs w:val="18"/>
        </w:rPr>
      </w:pPr>
      <w:r>
        <w:rPr>
          <w:rFonts w:hint="eastAsia"/>
          <w:szCs w:val="18"/>
        </w:rPr>
        <w:t>消防给水管道应采用阀门分成若干独立管段，阀门布置应保证检修管道时关闭停用消火栓的数量不大于5个，消防给水系统其他管段上阀门的设置，应符合现行国家标准《建筑设计防火规范》GB50016、《消防给水及消火栓系统技术规范》GB50974及《自动喷水灭火系统设计规范》GB50084的有关规定。</w:t>
      </w:r>
    </w:p>
    <w:p w14:paraId="42986DB3">
      <w:pPr>
        <w:pStyle w:val="7"/>
        <w:ind w:firstLine="420"/>
      </w:pPr>
      <w:r>
        <w:t>消防给水管穿越变形缝时，应设置补偿管道伸缩和剪切变形的装置。</w:t>
      </w:r>
    </w:p>
    <w:p w14:paraId="6CB54DCE">
      <w:pPr>
        <w:pStyle w:val="7"/>
        <w:ind w:firstLine="420"/>
      </w:pPr>
      <w:r>
        <w:rPr>
          <w:rFonts w:hint="eastAsia"/>
          <w:szCs w:val="18"/>
        </w:rPr>
        <w:t>消防水泵吸水管与扬水管上均应采用闸阀，其他管段宜采用双向承压蝶阀，阀门均应常开，并有明显启闭标志。</w:t>
      </w:r>
    </w:p>
    <w:p w14:paraId="0276D99E">
      <w:pPr>
        <w:pStyle w:val="7"/>
        <w:ind w:firstLine="420"/>
      </w:pPr>
      <w:r>
        <w:t>地下区间消防给水管固定应采用混凝土支墩或支架固定，支架的固定锚栓应固定在道床或主体结构上。</w:t>
      </w:r>
    </w:p>
    <w:p w14:paraId="24872697">
      <w:pPr>
        <w:pStyle w:val="7"/>
        <w:ind w:firstLine="420"/>
      </w:pPr>
      <w:r>
        <w:t>地下区间消防给水管道接口宜采用柔性连接方式，并在转弯处设置固定设施或采用法兰接口。</w:t>
      </w:r>
    </w:p>
    <w:p w14:paraId="6FE03E6E">
      <w:pPr>
        <w:pStyle w:val="7"/>
        <w:ind w:firstLine="420"/>
      </w:pPr>
      <w:r>
        <w:t>地下区间消防给水干管宜设在接触轨的对侧，若必须与接触轨同侧，则管道与接触轨的最小净距不应小于150mm。</w:t>
      </w:r>
    </w:p>
    <w:p w14:paraId="08C7EF0F">
      <w:pPr>
        <w:pStyle w:val="7"/>
        <w:ind w:firstLine="420"/>
      </w:pPr>
      <w:r>
        <w:t>地下车站站台板下，地下区间消防给水管应采用球墨铸铁给水管，其他位置消防给水管应采用热镀锌钢管，当采用其他新型管材时，必须符合国家现行的相关标准，并经国家固定灭火系统质量监督检验测试中心检测合格。</w:t>
      </w:r>
    </w:p>
    <w:p w14:paraId="792AD7E8">
      <w:pPr>
        <w:pStyle w:val="7"/>
        <w:ind w:firstLine="420"/>
      </w:pPr>
      <w:r>
        <w:t>室外埋地给水管道应采用球墨铸铁给水管。</w:t>
      </w:r>
    </w:p>
    <w:p w14:paraId="7BA9C7BA">
      <w:pPr>
        <w:pStyle w:val="7"/>
        <w:ind w:firstLine="420"/>
      </w:pPr>
      <w:r>
        <w:t>过轨敷设的管道宜采用球墨铸铁给水管、厚壁不锈钢管和无缝钢管等耐腐蚀、防杂散电流性能较好的管材。</w:t>
      </w:r>
    </w:p>
    <w:p w14:paraId="3B6032DE">
      <w:pPr>
        <w:numPr>
          <w:ilvl w:val="2"/>
          <w:numId w:val="1"/>
        </w:numPr>
        <w:tabs>
          <w:tab w:val="left" w:pos="709"/>
          <w:tab w:val="left" w:pos="851"/>
          <w:tab w:val="left" w:pos="1502"/>
        </w:tabs>
        <w:outlineLvl w:val="2"/>
      </w:pPr>
      <w:r>
        <w:t>消火栓的设置应符合下列规定：</w:t>
      </w:r>
    </w:p>
    <w:p w14:paraId="748C31B5">
      <w:pPr>
        <w:pStyle w:val="7"/>
        <w:ind w:firstLine="420"/>
      </w:pPr>
      <w:r>
        <w:t>室内消火栓口径均为DN65，水枪喷嘴直径为19mm，每根水龙带长度为25m，栓口距地面装修完成面或道床面高度宜为1.1m；</w:t>
      </w:r>
    </w:p>
    <w:p w14:paraId="415BDC66">
      <w:pPr>
        <w:pStyle w:val="7"/>
        <w:ind w:firstLine="420"/>
      </w:pPr>
      <w:r>
        <w:rPr>
          <w:rFonts w:hint="eastAsia"/>
        </w:rPr>
        <w:t>车站站厅、侧式站台和设备用房宜设单栓消火栓，岛式站台宜设置两只单口单阀为一组的消火栓；</w:t>
      </w:r>
    </w:p>
    <w:p w14:paraId="7C230167">
      <w:pPr>
        <w:pStyle w:val="7"/>
        <w:ind w:firstLine="420"/>
      </w:pPr>
      <w:r>
        <w:t>地下区间隧道的消火栓，宜设消火栓口，不设消火栓箱，但应将水龙带放在邻近车站站台端部专用消火栓箱内，箱内配备衬胶水龙带和水枪。专用消火栓箱应有专用标识；</w:t>
      </w:r>
    </w:p>
    <w:p w14:paraId="65F9D024">
      <w:pPr>
        <w:pStyle w:val="7"/>
        <w:ind w:firstLine="420"/>
      </w:pPr>
      <w:r>
        <w:t>消火栓的布置应保证每个防火分区同层有两只水枪的充实水柱同时到达室内任何部位；</w:t>
      </w:r>
    </w:p>
    <w:p w14:paraId="3BB2DB81">
      <w:pPr>
        <w:pStyle w:val="7"/>
        <w:ind w:firstLine="420"/>
      </w:pPr>
      <w:r>
        <w:t>地下车站水枪充实水柱长度不应小于10m，地上车站水枪充实水柱长度应符合现行国家标准《建筑设计防火规范》GB50016的有关规定；</w:t>
      </w:r>
    </w:p>
    <w:p w14:paraId="579BC951">
      <w:pPr>
        <w:pStyle w:val="7"/>
        <w:ind w:firstLine="420"/>
      </w:pPr>
      <w:r>
        <w:t>消火栓的间距应按计算确定，但单栓消火栓不应超过30m，双栓不应超过50m，出入口通道消火栓间距不应超过20m，地下区间隧道内消火栓的间距不应超过50m；</w:t>
      </w:r>
    </w:p>
    <w:p w14:paraId="0E870005">
      <w:pPr>
        <w:pStyle w:val="7"/>
        <w:ind w:firstLine="420"/>
      </w:pPr>
      <w:r>
        <w:t>消火栓口的静水压力、消火栓充实水柱、消火栓栓口压力均应满足现行国家标准《消防给水及消火栓系统技术规范》GB50974的有关要求；</w:t>
      </w:r>
    </w:p>
    <w:p w14:paraId="6C188041">
      <w:pPr>
        <w:pStyle w:val="7"/>
        <w:ind w:firstLine="420"/>
      </w:pPr>
      <w:r>
        <w:t>车站消火栓与灭火器宜共箱设置，且采用薄型消火栓，箱内配备衬胶水龙带和水枪、自救式消防软管卷盘和灭火器；</w:t>
      </w:r>
    </w:p>
    <w:p w14:paraId="02FD1F8C">
      <w:pPr>
        <w:pStyle w:val="7"/>
        <w:ind w:firstLine="420"/>
      </w:pPr>
      <w:r>
        <w:rPr>
          <w:rFonts w:hint="eastAsia"/>
        </w:rPr>
        <w:t>地下车站和设置室内消火栓系统的地上车站及附属用房、车辆基地，应设置消防水泵接合器，设置在便于消防车取用处，地下车站宜设置在出入口、新风亭附近等明显位置，应距离室外消火栓或消防水池取水口宜为15m~40m；</w:t>
      </w:r>
    </w:p>
    <w:p w14:paraId="43B000EC">
      <w:pPr>
        <w:pStyle w:val="7"/>
        <w:ind w:firstLine="420"/>
      </w:pPr>
      <w:r>
        <w:rPr>
          <w:rFonts w:hint="eastAsia"/>
        </w:rPr>
        <w:t>消防水泵接合器的数量应按室内消防用水量计算确定，每个消防水泵接合器的流量应按10L/S~15L/S计算；</w:t>
      </w:r>
    </w:p>
    <w:p w14:paraId="52202704">
      <w:pPr>
        <w:pStyle w:val="7"/>
        <w:ind w:firstLine="420"/>
      </w:pPr>
      <w:r>
        <w:t>室外消火栓、阀门及水泵接合器应采用地下式，并采取防冻措施，并设置</w:t>
      </w:r>
      <w:r>
        <w:rPr>
          <w:rFonts w:hint="eastAsia"/>
        </w:rPr>
        <w:t>地铁专用</w:t>
      </w:r>
      <w:r>
        <w:t>永久性固定标识；</w:t>
      </w:r>
    </w:p>
    <w:p w14:paraId="3685A7A9">
      <w:pPr>
        <w:pStyle w:val="7"/>
        <w:ind w:firstLine="420"/>
      </w:pPr>
      <w:r>
        <w:t>车辆基地室外消火栓的间距不应大于120m，全地下、半地下、带上盖开发的车辆基地咽喉区周围的消防车道室外消火栓布置间距</w:t>
      </w:r>
      <w:r>
        <w:rPr>
          <w:rFonts w:hint="eastAsia"/>
        </w:rPr>
        <w:t>宜</w:t>
      </w:r>
      <w:r>
        <w:t>在50-80m之间；</w:t>
      </w:r>
    </w:p>
    <w:p w14:paraId="407DC4C1">
      <w:pPr>
        <w:pStyle w:val="7"/>
        <w:ind w:firstLine="420"/>
      </w:pPr>
      <w:r>
        <w:t>车站公共区、出入口通道和设备用房走道的消火栓均应暗装。</w:t>
      </w:r>
    </w:p>
    <w:p w14:paraId="33F1E918">
      <w:pPr>
        <w:numPr>
          <w:ilvl w:val="2"/>
          <w:numId w:val="1"/>
        </w:numPr>
        <w:tabs>
          <w:tab w:val="left" w:pos="709"/>
          <w:tab w:val="left" w:pos="851"/>
          <w:tab w:val="left" w:pos="1502"/>
        </w:tabs>
        <w:outlineLvl w:val="2"/>
        <w:rPr>
          <w:bCs/>
        </w:rPr>
      </w:pPr>
      <w:r>
        <w:rPr>
          <w:bCs/>
        </w:rPr>
        <w:t>自动灭火系统</w:t>
      </w:r>
      <w:r>
        <w:rPr>
          <w:rFonts w:hint="eastAsia"/>
          <w:bCs/>
        </w:rPr>
        <w:t>设计</w:t>
      </w:r>
      <w:r>
        <w:rPr>
          <w:bCs/>
        </w:rPr>
        <w:t>应符合下列规定：</w:t>
      </w:r>
    </w:p>
    <w:p w14:paraId="62881469">
      <w:pPr>
        <w:pStyle w:val="7"/>
        <w:ind w:firstLine="420"/>
      </w:pPr>
      <w:r>
        <w:t>设置在地下车站和地下区间的通信</w:t>
      </w:r>
      <w:r>
        <w:rPr>
          <w:rFonts w:hint="eastAsia"/>
        </w:rPr>
        <w:t>设备室（含电源室）</w:t>
      </w:r>
      <w:r>
        <w:t>、</w:t>
      </w:r>
      <w:r>
        <w:rPr>
          <w:rFonts w:hint="eastAsia"/>
        </w:rPr>
        <w:t>信号设备室（含电源室）、</w:t>
      </w:r>
      <w:r>
        <w:t>环控电控室、</w:t>
      </w:r>
      <w:r>
        <w:rPr>
          <w:rFonts w:hint="eastAsia"/>
        </w:rPr>
        <w:t>公网机房、</w:t>
      </w:r>
      <w:r>
        <w:t>变电所及其控制室、综控设备室、蓄电池室、站台门控制室、自动售检票</w:t>
      </w:r>
      <w:r>
        <w:rPr>
          <w:rFonts w:hint="eastAsia"/>
        </w:rPr>
        <w:t>设备室</w:t>
      </w:r>
      <w:r>
        <w:t>应设置自动灭火系统；</w:t>
      </w:r>
    </w:p>
    <w:p w14:paraId="1983E00E">
      <w:pPr>
        <w:pStyle w:val="7"/>
        <w:ind w:firstLine="420"/>
      </w:pPr>
      <w:r>
        <w:t>运营控制中心的通信及信号机房、</w:t>
      </w:r>
      <w:r>
        <w:rPr>
          <w:rFonts w:hint="eastAsia"/>
        </w:rPr>
        <w:t>综合监控</w:t>
      </w:r>
      <w:r>
        <w:t>设备室、自动售检票机房、计算机数据中心</w:t>
      </w:r>
      <w:r>
        <w:rPr>
          <w:rFonts w:hint="eastAsia"/>
        </w:rPr>
        <w:t>、电源室等无人值守的重要电气设备用房</w:t>
      </w:r>
      <w:r>
        <w:t>应设置自动灭火系统；</w:t>
      </w:r>
    </w:p>
    <w:p w14:paraId="73373FBE">
      <w:pPr>
        <w:pStyle w:val="7"/>
        <w:ind w:firstLine="420"/>
      </w:pPr>
      <w:r>
        <w:t>自动灭火系统宜采用气体灭火系统或高压细水雾灭火系统</w:t>
      </w:r>
      <w:r>
        <w:rPr>
          <w:rFonts w:hint="eastAsia"/>
        </w:rPr>
        <w:t>，高压细水雾系统灭火系统形式的确定，应经相关专业确认</w:t>
      </w:r>
      <w:r>
        <w:t>；</w:t>
      </w:r>
    </w:p>
    <w:p w14:paraId="299540E1">
      <w:pPr>
        <w:pStyle w:val="7"/>
        <w:ind w:firstLine="420"/>
      </w:pPr>
      <w:r>
        <w:rPr>
          <w:rFonts w:hint="eastAsia"/>
        </w:rPr>
        <w:t>为设备管理用房区服务的气体灭火管道可穿越电气设备用房；</w:t>
      </w:r>
    </w:p>
    <w:p w14:paraId="5DE6BE18">
      <w:pPr>
        <w:pStyle w:val="7"/>
        <w:ind w:firstLine="420"/>
      </w:pPr>
      <w:r>
        <w:t>自动灭火系统保护房间内宜配置空气呼吸器。</w:t>
      </w:r>
    </w:p>
    <w:p w14:paraId="78178E0F">
      <w:pPr>
        <w:numPr>
          <w:ilvl w:val="2"/>
          <w:numId w:val="1"/>
        </w:numPr>
        <w:tabs>
          <w:tab w:val="left" w:pos="709"/>
          <w:tab w:val="left" w:pos="851"/>
          <w:tab w:val="left" w:pos="1502"/>
        </w:tabs>
        <w:outlineLvl w:val="2"/>
      </w:pPr>
      <w:r>
        <w:t>灭火器的配置应符合下列规定：</w:t>
      </w:r>
    </w:p>
    <w:p w14:paraId="3AB1D281">
      <w:pPr>
        <w:pStyle w:val="7"/>
        <w:ind w:firstLine="420"/>
      </w:pPr>
      <w:r>
        <w:t>车站、车辆基地和控制中心的灭火器配置应符合现行国家标准《建筑灭火器配置设计规范》GB50140</w:t>
      </w:r>
      <w:r>
        <w:rPr>
          <w:rFonts w:hint="eastAsia"/>
        </w:rPr>
        <w:t>《地铁设计防火标准》GB51298</w:t>
      </w:r>
      <w:r>
        <w:t>的有关规定；</w:t>
      </w:r>
    </w:p>
    <w:p w14:paraId="52E57ED8">
      <w:pPr>
        <w:pStyle w:val="7"/>
        <w:ind w:firstLine="420"/>
      </w:pPr>
      <w:r>
        <w:t>主变电所的危险等级和灭火器的配置应符合现行国家标准《火力发电厂与变电站设计防火规范》GB50229的有关规定；</w:t>
      </w:r>
    </w:p>
    <w:p w14:paraId="49401875">
      <w:pPr>
        <w:pStyle w:val="7"/>
        <w:ind w:firstLine="420"/>
      </w:pPr>
      <w:r>
        <w:t>地下区间主排水泵房、隧道洞口雨水泵房</w:t>
      </w:r>
      <w:r>
        <w:rPr>
          <w:rFonts w:hint="eastAsia"/>
          <w:szCs w:val="18"/>
        </w:rPr>
        <w:t>、配电室等局部设备机房</w:t>
      </w:r>
      <w:r>
        <w:t>内宜设灭火器保护；</w:t>
      </w:r>
    </w:p>
    <w:p w14:paraId="3AF7213D">
      <w:pPr>
        <w:pStyle w:val="7"/>
        <w:ind w:firstLine="420"/>
      </w:pPr>
      <w:r>
        <w:rPr>
          <w:rFonts w:hint="eastAsia"/>
        </w:rPr>
        <w:t>带电设备电压超过1kV且灭火时不能断电的场所不应使用灭火器带电扑救；带电设备电压超过1kV场所，须在工作人员确认断电后方可采用灭火器扑救。</w:t>
      </w:r>
    </w:p>
    <w:p w14:paraId="35C2E7BE">
      <w:pPr>
        <w:numPr>
          <w:ilvl w:val="2"/>
          <w:numId w:val="1"/>
        </w:numPr>
        <w:tabs>
          <w:tab w:val="left" w:pos="709"/>
          <w:tab w:val="left" w:pos="851"/>
          <w:tab w:val="left" w:pos="1502"/>
        </w:tabs>
        <w:outlineLvl w:val="2"/>
      </w:pPr>
      <w:r>
        <w:t>保温应符合下列规定：</w:t>
      </w:r>
    </w:p>
    <w:p w14:paraId="114141E9">
      <w:pPr>
        <w:pStyle w:val="7"/>
        <w:ind w:firstLine="420"/>
      </w:pPr>
      <w:r>
        <w:t>地下车站出入口通道、风道、隧道出洞口及区间风井附近、不设供暖设施</w:t>
      </w:r>
      <w:r>
        <w:rPr>
          <w:rFonts w:hint="eastAsia"/>
        </w:rPr>
        <w:t>的</w:t>
      </w:r>
      <w:r>
        <w:t>地上车站生活和消防给水管道、阀门及消火栓口等应设置电保温；</w:t>
      </w:r>
    </w:p>
    <w:p w14:paraId="0F8A51FA">
      <w:pPr>
        <w:pStyle w:val="7"/>
        <w:ind w:firstLine="420"/>
      </w:pPr>
      <w:r>
        <w:t>地下车站出入口通道、风道的压力污水管和主废水泵房的压力废水管，地下车站站厅吊顶内的生产、生活给水管及消防给水管，地上车站设备用房走道、卫生间的生活给水管、消防给水管和排水管及管道上的阀门、消火栓口等应设置常规保温；</w:t>
      </w:r>
    </w:p>
    <w:p w14:paraId="48779E7D">
      <w:pPr>
        <w:pStyle w:val="7"/>
        <w:ind w:firstLine="420"/>
      </w:pPr>
      <w:r>
        <w:t>地下车站设备用房吊顶内的生产、生活给水管应设防结露保温；</w:t>
      </w:r>
    </w:p>
    <w:p w14:paraId="300803DE">
      <w:pPr>
        <w:pStyle w:val="7"/>
        <w:ind w:firstLine="420"/>
      </w:pPr>
      <w:r>
        <w:t>室外水泵房、消防水池、消防水箱应采取防冻保温措施，设置在有可能冻结区域的室外消防给水管、消火栓、水泵接合器等应采取防冻措施。</w:t>
      </w:r>
    </w:p>
    <w:bookmarkEnd w:id="2120"/>
    <w:p w14:paraId="3E89290D">
      <w:pPr>
        <w:pStyle w:val="4"/>
        <w:tabs>
          <w:tab w:val="clear" w:pos="462"/>
          <w:tab w:val="clear" w:pos="794"/>
        </w:tabs>
      </w:pPr>
      <w:bookmarkStart w:id="2121" w:name="_Toc183765262"/>
      <w:bookmarkStart w:id="2122" w:name="_Toc183888667"/>
      <w:bookmarkStart w:id="2123" w:name="_Toc183882615"/>
      <w:bookmarkStart w:id="2124" w:name="_Toc183882253"/>
      <w:bookmarkStart w:id="2125" w:name="_Toc183790692"/>
      <w:bookmarkStart w:id="2126" w:name="_Toc183888305"/>
      <w:bookmarkStart w:id="2127" w:name="_Toc357929475"/>
      <w:r>
        <w:rPr>
          <w:rFonts w:hint="eastAsia"/>
        </w:rPr>
        <w:t>防排烟与事故通风</w:t>
      </w:r>
      <w:bookmarkEnd w:id="2121"/>
      <w:bookmarkEnd w:id="2122"/>
      <w:bookmarkEnd w:id="2123"/>
      <w:bookmarkEnd w:id="2124"/>
      <w:bookmarkEnd w:id="2125"/>
      <w:bookmarkEnd w:id="2126"/>
    </w:p>
    <w:p w14:paraId="2EF8A38D">
      <w:pPr>
        <w:numPr>
          <w:ilvl w:val="2"/>
          <w:numId w:val="1"/>
        </w:numPr>
        <w:tabs>
          <w:tab w:val="left" w:pos="709"/>
          <w:tab w:val="left" w:pos="851"/>
          <w:tab w:val="left" w:pos="1502"/>
        </w:tabs>
        <w:outlineLvl w:val="2"/>
      </w:pPr>
      <w:r>
        <w:rPr>
          <w:rFonts w:hint="eastAsia"/>
        </w:rPr>
        <w:t>防排烟与事故通风系统应与车站周围以及配线上层的商业等物业开发空间的系统分开独立设置。</w:t>
      </w:r>
    </w:p>
    <w:p w14:paraId="13A72B2C">
      <w:pPr>
        <w:numPr>
          <w:ilvl w:val="2"/>
          <w:numId w:val="1"/>
        </w:numPr>
        <w:tabs>
          <w:tab w:val="left" w:pos="709"/>
          <w:tab w:val="left" w:pos="851"/>
          <w:tab w:val="left" w:pos="1502"/>
        </w:tabs>
        <w:outlineLvl w:val="2"/>
      </w:pPr>
      <w:r>
        <w:rPr>
          <w:rFonts w:hint="eastAsia"/>
        </w:rPr>
        <w:t>不具备自然排烟条件时，封闭楼梯间、防烟楼梯间及其前室应设置机械防烟设施。</w:t>
      </w:r>
    </w:p>
    <w:p w14:paraId="0F2FED63">
      <w:pPr>
        <w:numPr>
          <w:ilvl w:val="2"/>
          <w:numId w:val="1"/>
        </w:numPr>
        <w:tabs>
          <w:tab w:val="left" w:pos="709"/>
          <w:tab w:val="left" w:pos="851"/>
          <w:tab w:val="left" w:pos="1502"/>
        </w:tabs>
        <w:outlineLvl w:val="2"/>
      </w:pPr>
      <w:r>
        <w:rPr>
          <w:rFonts w:hint="eastAsia"/>
        </w:rPr>
        <w:t>不具备自然排烟条件时，下列场所应设置机械排烟设施：</w:t>
      </w:r>
    </w:p>
    <w:p w14:paraId="3CB29D7F">
      <w:pPr>
        <w:pStyle w:val="7"/>
        <w:ind w:firstLine="420"/>
      </w:pPr>
      <w:r>
        <w:rPr>
          <w:rFonts w:hint="eastAsia"/>
        </w:rPr>
        <w:t>地下车站或封闭的地上车站的站厅和站台公共区；</w:t>
      </w:r>
    </w:p>
    <w:p w14:paraId="2B50E342">
      <w:pPr>
        <w:pStyle w:val="7"/>
        <w:ind w:firstLine="416"/>
        <w:rPr>
          <w:rFonts w:ascii="Arial" w:hAnsi="Arial" w:cs="Arial"/>
          <w:spacing w:val="4"/>
          <w:sz w:val="20"/>
          <w:szCs w:val="20"/>
        </w:rPr>
      </w:pPr>
      <w:r>
        <w:rPr>
          <w:rFonts w:hint="eastAsia" w:ascii="Arial" w:hAnsi="Arial" w:cs="Arial"/>
          <w:spacing w:val="4"/>
          <w:sz w:val="20"/>
          <w:szCs w:val="20"/>
        </w:rPr>
        <w:t>长度大于一列列车长度的区间隧道和全封闭车道；</w:t>
      </w:r>
    </w:p>
    <w:p w14:paraId="592B37D0">
      <w:pPr>
        <w:pStyle w:val="7"/>
        <w:ind w:firstLine="420"/>
      </w:pPr>
      <w:r>
        <w:rPr>
          <w:rFonts w:hint="eastAsia"/>
        </w:rPr>
        <w:t>同一个防火分区内的地下车站设备及管理用房的总建筑面积超过</w:t>
      </w:r>
      <w:r>
        <w:t>200m</w:t>
      </w:r>
      <w:r>
        <w:rPr>
          <w:vertAlign w:val="superscript"/>
        </w:rPr>
        <w:t>2</w:t>
      </w:r>
      <w:r>
        <w:rPr>
          <w:rFonts w:hint="eastAsia"/>
        </w:rPr>
        <w:t>，或面积超过</w:t>
      </w:r>
      <w:r>
        <w:t>50m</w:t>
      </w:r>
      <w:r>
        <w:rPr>
          <w:vertAlign w:val="superscript"/>
        </w:rPr>
        <w:t>2</w:t>
      </w:r>
      <w:r>
        <w:rPr>
          <w:rFonts w:hint="eastAsia"/>
        </w:rPr>
        <w:t>且经常有人停留或可燃物较多的单个房间；</w:t>
      </w:r>
    </w:p>
    <w:p w14:paraId="6A09026C">
      <w:pPr>
        <w:pStyle w:val="7"/>
        <w:ind w:firstLine="420"/>
        <w:rPr>
          <w:rFonts w:ascii="Arial" w:hAnsi="Arial" w:cs="Arial"/>
          <w:spacing w:val="4"/>
          <w:sz w:val="20"/>
          <w:szCs w:val="20"/>
        </w:rPr>
      </w:pPr>
      <w:r>
        <w:t>车站设备管理区内长度大于20m的</w:t>
      </w:r>
      <w:r>
        <w:rPr>
          <w:rFonts w:hint="eastAsia"/>
        </w:rPr>
        <w:t>疏散</w:t>
      </w:r>
      <w:r>
        <w:t>走道，</w:t>
      </w:r>
      <w:r>
        <w:rPr>
          <w:rFonts w:hint="eastAsia"/>
        </w:rPr>
        <w:t>连续</w:t>
      </w:r>
      <w:r>
        <w:t>长度大于60m的地下换乘通道、连接通道和出入口通道</w:t>
      </w:r>
      <w:r>
        <w:rPr>
          <w:rFonts w:hint="eastAsia"/>
        </w:rPr>
        <w:t>；</w:t>
      </w:r>
    </w:p>
    <w:p w14:paraId="76AEDD98">
      <w:pPr>
        <w:pStyle w:val="7"/>
        <w:ind w:firstLine="420"/>
      </w:pPr>
      <w:r>
        <w:t>地上车站设备及管理用房内经常有人停留</w:t>
      </w:r>
      <w:r>
        <w:rPr>
          <w:rFonts w:hint="eastAsia"/>
        </w:rPr>
        <w:t>建筑面积大于1</w:t>
      </w:r>
      <w:r>
        <w:t>00m</w:t>
      </w:r>
      <w:r>
        <w:rPr>
          <w:vertAlign w:val="superscript"/>
        </w:rPr>
        <w:t>2</w:t>
      </w:r>
      <w:r>
        <w:rPr>
          <w:rFonts w:hint="eastAsia"/>
        </w:rPr>
        <w:t>,或可燃物较多建筑面积大于</w:t>
      </w:r>
      <w:r>
        <w:t>300m</w:t>
      </w:r>
      <w:r>
        <w:rPr>
          <w:vertAlign w:val="superscript"/>
        </w:rPr>
        <w:t>2</w:t>
      </w:r>
      <w:r>
        <w:rPr>
          <w:rFonts w:hint="eastAsia"/>
        </w:rPr>
        <w:t>的房间。</w:t>
      </w:r>
    </w:p>
    <w:p w14:paraId="2D7813CB">
      <w:pPr>
        <w:pStyle w:val="7"/>
        <w:ind w:firstLine="420"/>
      </w:pPr>
      <w:r>
        <w:t>车辆基地的位于地下或上盖进行物业开发的停车库、列检库、停车列检库、运用库、检修库、镟轮库、轨道车库、工程车库、内燃机车库、材料库等建筑。</w:t>
      </w:r>
    </w:p>
    <w:p w14:paraId="729C2B15">
      <w:pPr>
        <w:numPr>
          <w:ilvl w:val="2"/>
          <w:numId w:val="1"/>
        </w:numPr>
        <w:tabs>
          <w:tab w:val="left" w:pos="709"/>
          <w:tab w:val="left" w:pos="851"/>
          <w:tab w:val="left" w:pos="1502"/>
        </w:tabs>
        <w:outlineLvl w:val="2"/>
      </w:pPr>
      <w:r>
        <w:rPr>
          <w:rFonts w:hint="eastAsia"/>
        </w:rPr>
        <w:t>当防烟、排烟系统与事故通风系统和正常通风与空调系统合用时，通风与空调系统应采用可靠的防火措施，且应符合防烟、排烟系统的要求和具备事故工况下的快速转换功能。</w:t>
      </w:r>
    </w:p>
    <w:p w14:paraId="6C2DCAC0">
      <w:pPr>
        <w:numPr>
          <w:ilvl w:val="2"/>
          <w:numId w:val="1"/>
        </w:numPr>
        <w:tabs>
          <w:tab w:val="left" w:pos="709"/>
          <w:tab w:val="left" w:pos="851"/>
          <w:tab w:val="left" w:pos="1502"/>
        </w:tabs>
        <w:outlineLvl w:val="2"/>
      </w:pPr>
      <w:r>
        <w:rPr>
          <w:rFonts w:hint="eastAsia"/>
        </w:rPr>
        <w:t>疏散高度大于10m的防烟楼梯间不应采用自然通风方式防烟；疏散高度大于50m的地下防烟楼梯间及其前室应分别独立设置机械加压送风系统。</w:t>
      </w:r>
    </w:p>
    <w:p w14:paraId="33C806FC">
      <w:pPr>
        <w:numPr>
          <w:ilvl w:val="2"/>
          <w:numId w:val="1"/>
        </w:numPr>
        <w:tabs>
          <w:tab w:val="left" w:pos="709"/>
          <w:tab w:val="left" w:pos="851"/>
          <w:tab w:val="left" w:pos="1502"/>
        </w:tabs>
        <w:outlineLvl w:val="2"/>
      </w:pPr>
      <w:r>
        <w:rPr>
          <w:rFonts w:hint="eastAsia"/>
        </w:rPr>
        <w:t>排烟系统与阻塞通风系统应符合下列规定：</w:t>
      </w:r>
    </w:p>
    <w:p w14:paraId="1BC0C64B">
      <w:pPr>
        <w:pStyle w:val="86"/>
        <w:ind w:firstLine="422"/>
        <w:rPr>
          <w:color w:val="auto"/>
        </w:rPr>
      </w:pPr>
      <w:r>
        <w:rPr>
          <w:rFonts w:hint="eastAsia"/>
          <w:b/>
          <w:color w:val="auto"/>
        </w:rPr>
        <w:t xml:space="preserve">1  </w:t>
      </w:r>
      <w:r>
        <w:rPr>
          <w:rFonts w:hint="eastAsia"/>
          <w:color w:val="auto"/>
        </w:rPr>
        <w:t>当站厅公共区进行排烟时，应排除烟气并防止烟气进入站台、出入口通道、换乘通道、连接通道等邻近区域；</w:t>
      </w:r>
    </w:p>
    <w:p w14:paraId="4D83EF6E">
      <w:pPr>
        <w:pStyle w:val="86"/>
        <w:ind w:firstLine="422"/>
        <w:rPr>
          <w:color w:val="auto"/>
        </w:rPr>
      </w:pPr>
      <w:r>
        <w:rPr>
          <w:rFonts w:hint="eastAsia"/>
          <w:b/>
          <w:color w:val="auto"/>
        </w:rPr>
        <w:t xml:space="preserve">2  </w:t>
      </w:r>
      <w:r>
        <w:rPr>
          <w:rFonts w:hint="eastAsia"/>
          <w:color w:val="auto"/>
        </w:rPr>
        <w:t>当站台公共区进行排烟时，应排除烟气并防止烟气进入站厅、车站相邻区间、换乘通道等邻近区域；</w:t>
      </w:r>
    </w:p>
    <w:p w14:paraId="5985340A">
      <w:pPr>
        <w:pStyle w:val="86"/>
        <w:ind w:firstLine="422"/>
        <w:rPr>
          <w:color w:val="auto"/>
        </w:rPr>
      </w:pPr>
      <w:r>
        <w:rPr>
          <w:rFonts w:hint="eastAsia"/>
          <w:b/>
          <w:color w:val="auto"/>
        </w:rPr>
        <w:t xml:space="preserve">3 </w:t>
      </w:r>
      <w:r>
        <w:rPr>
          <w:rFonts w:hint="eastAsia"/>
          <w:color w:val="auto"/>
        </w:rPr>
        <w:t xml:space="preserve"> 当区间隧道进行纵向排烟时，应控制烟气流动方向与乘客疏散方向相反，并应防止烟气逆流和进入相邻车站与区间；</w:t>
      </w:r>
    </w:p>
    <w:p w14:paraId="662A3EBE">
      <w:pPr>
        <w:pStyle w:val="86"/>
        <w:ind w:firstLine="422"/>
        <w:rPr>
          <w:color w:val="auto"/>
        </w:rPr>
      </w:pPr>
      <w:r>
        <w:rPr>
          <w:rFonts w:hint="eastAsia"/>
          <w:b/>
          <w:color w:val="auto"/>
        </w:rPr>
        <w:t xml:space="preserve">4  </w:t>
      </w:r>
      <w:r>
        <w:rPr>
          <w:rFonts w:hint="eastAsia"/>
          <w:color w:val="auto"/>
        </w:rPr>
        <w:t>当列车阻塞在区间隧道和全封闭车道时，事故通风系统应对阻塞区间进行有效通风。</w:t>
      </w:r>
    </w:p>
    <w:p w14:paraId="7DB5FA6D">
      <w:pPr>
        <w:numPr>
          <w:ilvl w:val="2"/>
          <w:numId w:val="1"/>
        </w:numPr>
        <w:tabs>
          <w:tab w:val="left" w:pos="709"/>
          <w:tab w:val="left" w:pos="851"/>
          <w:tab w:val="left" w:pos="1502"/>
        </w:tabs>
        <w:outlineLvl w:val="2"/>
      </w:pPr>
      <w:r>
        <w:rPr>
          <w:rFonts w:hint="eastAsia"/>
        </w:rPr>
        <w:t>车站站厅公共区和设备与管理用房区应划分防烟分区，并应符合下列规定：</w:t>
      </w:r>
    </w:p>
    <w:p w14:paraId="49552E05">
      <w:pPr>
        <w:pStyle w:val="86"/>
        <w:ind w:firstLine="422"/>
        <w:rPr>
          <w:color w:val="auto"/>
        </w:rPr>
      </w:pPr>
      <w:r>
        <w:rPr>
          <w:rFonts w:hint="eastAsia"/>
          <w:b/>
          <w:color w:val="auto"/>
        </w:rPr>
        <w:t xml:space="preserve">1 </w:t>
      </w:r>
      <w:r>
        <w:rPr>
          <w:rFonts w:hint="eastAsia"/>
          <w:color w:val="auto"/>
        </w:rPr>
        <w:t xml:space="preserve"> 防烟分区不得跨越防火分区；</w:t>
      </w:r>
    </w:p>
    <w:p w14:paraId="63D34A8F">
      <w:pPr>
        <w:pStyle w:val="86"/>
        <w:ind w:firstLine="422"/>
        <w:rPr>
          <w:color w:val="auto"/>
        </w:rPr>
      </w:pPr>
      <w:r>
        <w:rPr>
          <w:rFonts w:hint="eastAsia"/>
          <w:b/>
          <w:color w:val="auto"/>
        </w:rPr>
        <w:t xml:space="preserve">2 </w:t>
      </w:r>
      <w:r>
        <w:rPr>
          <w:rFonts w:hint="eastAsia"/>
          <w:color w:val="auto"/>
        </w:rPr>
        <w:t xml:space="preserve"> 地下车站的站厅公共区每个防烟分区建筑面积不应大于2000m</w:t>
      </w:r>
      <w:r>
        <w:rPr>
          <w:rFonts w:hint="eastAsia"/>
          <w:color w:val="auto"/>
          <w:vertAlign w:val="superscript"/>
        </w:rPr>
        <w:t>2</w:t>
      </w:r>
      <w:r>
        <w:rPr>
          <w:rFonts w:hint="eastAsia"/>
          <w:color w:val="auto"/>
        </w:rPr>
        <w:t>；</w:t>
      </w:r>
    </w:p>
    <w:p w14:paraId="3BE03A7F">
      <w:pPr>
        <w:pStyle w:val="86"/>
        <w:ind w:firstLine="422"/>
        <w:rPr>
          <w:color w:val="auto"/>
        </w:rPr>
      </w:pPr>
      <w:r>
        <w:rPr>
          <w:rFonts w:hint="eastAsia"/>
          <w:b/>
          <w:color w:val="auto"/>
        </w:rPr>
        <w:t xml:space="preserve">3  </w:t>
      </w:r>
      <w:r>
        <w:rPr>
          <w:rFonts w:hint="eastAsia"/>
          <w:color w:val="auto"/>
        </w:rPr>
        <w:t>设备与管理用房区每个防烟分区的建筑面积不应大于750m</w:t>
      </w:r>
      <w:r>
        <w:rPr>
          <w:rFonts w:hint="eastAsia"/>
          <w:color w:val="auto"/>
          <w:vertAlign w:val="superscript"/>
        </w:rPr>
        <w:t>2</w:t>
      </w:r>
      <w:r>
        <w:rPr>
          <w:rFonts w:hint="eastAsia"/>
          <w:color w:val="auto"/>
        </w:rPr>
        <w:t>；</w:t>
      </w:r>
    </w:p>
    <w:p w14:paraId="2430FF38">
      <w:pPr>
        <w:pStyle w:val="86"/>
        <w:ind w:firstLine="422"/>
        <w:rPr>
          <w:color w:val="auto"/>
        </w:rPr>
      </w:pPr>
      <w:r>
        <w:rPr>
          <w:rFonts w:hint="eastAsia"/>
          <w:b/>
          <w:color w:val="auto"/>
        </w:rPr>
        <w:t xml:space="preserve">4  </w:t>
      </w:r>
      <w:r>
        <w:rPr>
          <w:rFonts w:hint="eastAsia"/>
          <w:color w:val="auto"/>
        </w:rPr>
        <w:t>车站地下换乘、连接和出入口通道、设备与管理用房区疏散走道的防烟分区长边长度不应大于60m。</w:t>
      </w:r>
    </w:p>
    <w:p w14:paraId="06BBBC19">
      <w:pPr>
        <w:numPr>
          <w:ilvl w:val="2"/>
          <w:numId w:val="1"/>
        </w:numPr>
        <w:tabs>
          <w:tab w:val="left" w:pos="709"/>
          <w:tab w:val="left" w:pos="851"/>
          <w:tab w:val="left" w:pos="1502"/>
        </w:tabs>
        <w:outlineLvl w:val="2"/>
      </w:pPr>
      <w:r>
        <w:rPr>
          <w:rFonts w:hint="eastAsia"/>
        </w:rPr>
        <w:t>地下车站的公共区与设备及管理用房应划分防烟分区，且防烟分区不得跨越防火分区。挡烟垂壁设置要求应符合本规范第</w:t>
      </w:r>
      <w:r>
        <w:t>2</w:t>
      </w:r>
      <w:r>
        <w:rPr>
          <w:rFonts w:hint="eastAsia"/>
        </w:rPr>
        <w:t>9</w:t>
      </w:r>
      <w:r>
        <w:t>.2</w:t>
      </w:r>
      <w:r>
        <w:rPr>
          <w:rFonts w:hint="eastAsia"/>
        </w:rPr>
        <w:t>节的有关规定。</w:t>
      </w:r>
    </w:p>
    <w:p w14:paraId="6B2BB9C3">
      <w:pPr>
        <w:numPr>
          <w:ilvl w:val="2"/>
          <w:numId w:val="1"/>
        </w:numPr>
        <w:tabs>
          <w:tab w:val="left" w:pos="709"/>
          <w:tab w:val="left" w:pos="851"/>
          <w:tab w:val="left" w:pos="1502"/>
        </w:tabs>
        <w:outlineLvl w:val="2"/>
      </w:pPr>
      <w:r>
        <w:t>地下车站站台、站厅火灾时的最小机械排烟量，应根据一个防烟分区的建筑面积按1m</w:t>
      </w:r>
      <w:r>
        <w:rPr>
          <w:vertAlign w:val="superscript"/>
        </w:rPr>
        <w:t>3</w:t>
      </w:r>
      <w:r>
        <w:t>/min·m</w:t>
      </w:r>
      <w:r>
        <w:rPr>
          <w:vertAlign w:val="superscript"/>
        </w:rPr>
        <w:t>2</w:t>
      </w:r>
      <w:r>
        <w:t>计算。</w:t>
      </w:r>
      <w:r>
        <w:rPr>
          <w:rFonts w:hint="eastAsia"/>
        </w:rPr>
        <w:t>排烟风机的风量应按所负担的防烟分区中最大一个防烟分区的排烟量、风管（道）的漏风量及其他防烟分区的排烟口或排烟阀的漏风量之和计算。</w:t>
      </w:r>
      <w:r>
        <w:t>当车站站台发生火灾时，应保证站厅到站台的楼梯和扶梯口处具有能够有效阻止烟气向上蔓延的气流，且向下气流速度不应小于1.5m/s。</w:t>
      </w:r>
    </w:p>
    <w:p w14:paraId="07824DE7">
      <w:pPr>
        <w:numPr>
          <w:ilvl w:val="2"/>
          <w:numId w:val="1"/>
        </w:numPr>
        <w:tabs>
          <w:tab w:val="left" w:pos="851"/>
          <w:tab w:val="left" w:pos="1502"/>
        </w:tabs>
        <w:outlineLvl w:val="2"/>
      </w:pPr>
      <w:r>
        <w:t>中庭排烟量</w:t>
      </w:r>
      <w:r>
        <w:rPr>
          <w:rFonts w:hint="eastAsia"/>
        </w:rPr>
        <w:t>按照《站城一体化工程消防安全技术标准》DB11/889的相关规定执行。</w:t>
      </w:r>
    </w:p>
    <w:p w14:paraId="2CF3454D">
      <w:pPr>
        <w:numPr>
          <w:ilvl w:val="2"/>
          <w:numId w:val="1"/>
        </w:numPr>
        <w:tabs>
          <w:tab w:val="left" w:pos="851"/>
          <w:tab w:val="left" w:pos="1502"/>
        </w:tabs>
        <w:outlineLvl w:val="2"/>
      </w:pPr>
      <w:r>
        <w:t>地下车站的设备及管理用房、内走道、长通道和出入口通道等需设置机械排烟时，地下车站的设备及管理用房机械排烟量应不小于15000m</w:t>
      </w:r>
      <w:r>
        <w:rPr>
          <w:vertAlign w:val="superscript"/>
        </w:rPr>
        <w:t>3</w:t>
      </w:r>
      <w:r>
        <w:t>/h计算，内走道、长通道和出入口通道机械排烟量应不小于13000m</w:t>
      </w:r>
      <w:r>
        <w:rPr>
          <w:vertAlign w:val="superscript"/>
        </w:rPr>
        <w:t>3</w:t>
      </w:r>
      <w:r>
        <w:t>/h计算，排烟区域的补风量不应小于排烟量的50%。当排烟设备负担两个或两个以上防烟分区时，其设备能力应根据相邻最大两个防烟分区的</w:t>
      </w:r>
      <w:bookmarkStart w:id="3422" w:name="_GoBack"/>
      <w:bookmarkEnd w:id="3422"/>
      <w:r>
        <w:t>排烟量配置。</w:t>
      </w:r>
    </w:p>
    <w:p w14:paraId="0BB65F29">
      <w:pPr>
        <w:numPr>
          <w:ilvl w:val="2"/>
          <w:numId w:val="1"/>
        </w:numPr>
        <w:tabs>
          <w:tab w:val="left" w:pos="851"/>
          <w:tab w:val="left" w:pos="1502"/>
        </w:tabs>
        <w:outlineLvl w:val="2"/>
      </w:pPr>
      <w:r>
        <w:rPr>
          <w:rFonts w:hint="eastAsia"/>
        </w:rPr>
        <w:t>当区间隧道采用纵向通风排烟时，列车载客区间隧道的排烟断面风速不应小于2m/s和临界风速，且不得大于11m/s；列车非载客区间隧道的排烟断面风速不应小于临界风速。</w:t>
      </w:r>
    </w:p>
    <w:p w14:paraId="6E6D669B">
      <w:pPr>
        <w:numPr>
          <w:ilvl w:val="2"/>
          <w:numId w:val="1"/>
        </w:numPr>
        <w:tabs>
          <w:tab w:val="left" w:pos="851"/>
          <w:tab w:val="left" w:pos="1502"/>
        </w:tabs>
        <w:outlineLvl w:val="2"/>
        <w:rPr>
          <w:szCs w:val="18"/>
        </w:rPr>
      </w:pPr>
      <w:r>
        <w:rPr>
          <w:rFonts w:hint="eastAsia"/>
        </w:rPr>
        <w:t>当长大区间隧道采用纵向通风排烟时，宜利用中间风井等措施划分通风区段，每个通风区段的长度不宜大于在系统设计最大能力条件下的列车正常运行追踪间距。</w:t>
      </w:r>
    </w:p>
    <w:p w14:paraId="760649C8">
      <w:pPr>
        <w:numPr>
          <w:ilvl w:val="2"/>
          <w:numId w:val="1"/>
        </w:numPr>
        <w:tabs>
          <w:tab w:val="left" w:pos="851"/>
          <w:tab w:val="left" w:pos="1502"/>
        </w:tabs>
        <w:outlineLvl w:val="2"/>
      </w:pPr>
      <w:r>
        <w:t>地下区间隧道、车站站厅、站台、设备及管理用房排烟风机应保证在280</w:t>
      </w:r>
      <w:r>
        <w:rPr>
          <w:rFonts w:hint="eastAsia" w:ascii="宋体" w:hAnsi="宋体" w:cs="宋体"/>
        </w:rPr>
        <w:t>℃</w:t>
      </w:r>
      <w:r>
        <w:t>时能连续有效工作1h。烟气流经的辅助设备如风阀及消声器等应具有与排烟风机相同的耐火性能。</w:t>
      </w:r>
    </w:p>
    <w:p w14:paraId="6A497910">
      <w:pPr>
        <w:numPr>
          <w:ilvl w:val="2"/>
          <w:numId w:val="1"/>
        </w:numPr>
        <w:tabs>
          <w:tab w:val="left" w:pos="851"/>
          <w:tab w:val="left" w:pos="1502"/>
        </w:tabs>
        <w:outlineLvl w:val="2"/>
      </w:pPr>
      <w:r>
        <w:rPr>
          <w:rFonts w:hint="eastAsia"/>
        </w:rPr>
        <w:t>列车阻塞在区间隧道时的送风量，应按区间隧道断面风速不小于</w:t>
      </w:r>
      <w:r>
        <w:t>2m/s</w:t>
      </w:r>
      <w:r>
        <w:rPr>
          <w:rFonts w:hint="eastAsia"/>
        </w:rPr>
        <w:t>计算，并按控制列车顶部最不利点的隧道温度低于</w:t>
      </w:r>
      <w:r>
        <w:t>45</w:t>
      </w:r>
      <w:r>
        <w:rPr>
          <w:rFonts w:hint="eastAsia"/>
        </w:rPr>
        <w:t>℃校核确定，但风速不得大于</w:t>
      </w:r>
      <w:r>
        <w:t>11m/s</w:t>
      </w:r>
      <w:r>
        <w:rPr>
          <w:rFonts w:hint="eastAsia"/>
        </w:rPr>
        <w:t>。</w:t>
      </w:r>
    </w:p>
    <w:p w14:paraId="1FB63AF3">
      <w:pPr>
        <w:numPr>
          <w:ilvl w:val="2"/>
          <w:numId w:val="1"/>
        </w:numPr>
        <w:tabs>
          <w:tab w:val="left" w:pos="851"/>
          <w:tab w:val="left" w:pos="1502"/>
        </w:tabs>
        <w:outlineLvl w:val="2"/>
      </w:pPr>
      <w:r>
        <w:rPr>
          <w:rFonts w:hint="eastAsia"/>
        </w:rPr>
        <w:t>为设备管理用房区服务的通风空调风管可穿越电气设备用房；当为公共区服务的通风空调风管穿越电气设备用房时，风管耐火极限不应低于1h。</w:t>
      </w:r>
    </w:p>
    <w:p w14:paraId="2D00317A">
      <w:pPr>
        <w:numPr>
          <w:ilvl w:val="2"/>
          <w:numId w:val="1"/>
        </w:numPr>
        <w:tabs>
          <w:tab w:val="left" w:pos="851"/>
          <w:tab w:val="left" w:pos="1502"/>
        </w:tabs>
        <w:outlineLvl w:val="2"/>
      </w:pPr>
      <w:r>
        <w:rPr>
          <w:rFonts w:hint="eastAsia"/>
        </w:rPr>
        <w:t>在事故工况下参与运转的设备，从静止状态转换为事故工况状态所需的时间不应超过</w:t>
      </w:r>
      <w:r>
        <w:t>30s</w:t>
      </w:r>
      <w:r>
        <w:rPr>
          <w:rFonts w:hint="eastAsia"/>
        </w:rPr>
        <w:t>，从运转状态转换为事故工况状态所需的时间不应超过</w:t>
      </w:r>
      <w:r>
        <w:t>60s</w:t>
      </w:r>
      <w:r>
        <w:rPr>
          <w:rFonts w:hint="eastAsia"/>
        </w:rPr>
        <w:t>。</w:t>
      </w:r>
    </w:p>
    <w:p w14:paraId="7B76EDCF">
      <w:pPr>
        <w:numPr>
          <w:ilvl w:val="2"/>
          <w:numId w:val="1"/>
        </w:numPr>
        <w:tabs>
          <w:tab w:val="left" w:pos="851"/>
          <w:tab w:val="left" w:pos="1502"/>
        </w:tabs>
        <w:outlineLvl w:val="2"/>
      </w:pPr>
      <w:r>
        <w:rPr>
          <w:rFonts w:hint="eastAsia"/>
        </w:rPr>
        <w:t>在事故工况下需要开启或关闭的设备，启、闭所需的时间不应超过</w:t>
      </w:r>
      <w:r>
        <w:t>30s</w:t>
      </w:r>
      <w:r>
        <w:rPr>
          <w:rFonts w:hint="eastAsia"/>
        </w:rPr>
        <w:t>。</w:t>
      </w:r>
    </w:p>
    <w:p w14:paraId="1C8E0BE6">
      <w:pPr>
        <w:numPr>
          <w:ilvl w:val="2"/>
          <w:numId w:val="1"/>
        </w:numPr>
        <w:tabs>
          <w:tab w:val="left" w:pos="851"/>
          <w:tab w:val="left" w:pos="1502"/>
        </w:tabs>
        <w:outlineLvl w:val="2"/>
      </w:pPr>
      <w:r>
        <w:rPr>
          <w:rFonts w:hint="eastAsia"/>
        </w:rPr>
        <w:t>通风空调系统在下列部位应设置防火阀：</w:t>
      </w:r>
    </w:p>
    <w:p w14:paraId="106B2709">
      <w:pPr>
        <w:pStyle w:val="7"/>
        <w:ind w:firstLine="420"/>
      </w:pPr>
      <w:r>
        <w:rPr>
          <w:rFonts w:hint="eastAsia"/>
        </w:rPr>
        <w:t>穿越防火分区处；</w:t>
      </w:r>
    </w:p>
    <w:p w14:paraId="79C54BBF">
      <w:pPr>
        <w:pStyle w:val="7"/>
        <w:ind w:firstLine="420"/>
      </w:pPr>
      <w:r>
        <w:rPr>
          <w:rFonts w:hint="eastAsia"/>
        </w:rPr>
        <w:t>穿越通风空调机房的隔墙和楼板处；</w:t>
      </w:r>
    </w:p>
    <w:p w14:paraId="20F7E988">
      <w:pPr>
        <w:pStyle w:val="7"/>
        <w:ind w:firstLine="420"/>
      </w:pPr>
      <w:r>
        <w:rPr>
          <w:rFonts w:hint="eastAsia"/>
        </w:rPr>
        <w:t>竖向风管与每层水平风管交接处的水平管段上；</w:t>
      </w:r>
    </w:p>
    <w:p w14:paraId="61C6C5B8">
      <w:pPr>
        <w:pStyle w:val="7"/>
        <w:ind w:firstLine="420"/>
      </w:pPr>
      <w:r>
        <w:rPr>
          <w:rFonts w:hint="eastAsia"/>
        </w:rPr>
        <w:t>穿越防火分隔处的变形缝两侧；</w:t>
      </w:r>
    </w:p>
    <w:p w14:paraId="219C1058">
      <w:pPr>
        <w:pStyle w:val="7"/>
        <w:ind w:firstLine="420"/>
      </w:pPr>
      <w:r>
        <w:rPr>
          <w:rFonts w:hint="eastAsia"/>
        </w:rPr>
        <w:t>穿越商业用房防火隔墙处。</w:t>
      </w:r>
    </w:p>
    <w:p w14:paraId="7B2BB40A">
      <w:pPr>
        <w:pStyle w:val="7"/>
        <w:numPr>
          <w:ilvl w:val="4"/>
          <w:numId w:val="0"/>
        </w:numPr>
        <w:ind w:firstLine="420" w:firstLineChars="200"/>
      </w:pPr>
      <w:r>
        <w:rPr>
          <w:rFonts w:hint="eastAsia"/>
        </w:rPr>
        <w:t>当每个防火分区的通风空调系统均独立设置时，水平风管与竖向总管交接处可不设置防火阀。</w:t>
      </w:r>
    </w:p>
    <w:p w14:paraId="56A6ED0D">
      <w:pPr>
        <w:numPr>
          <w:ilvl w:val="2"/>
          <w:numId w:val="1"/>
        </w:numPr>
        <w:tabs>
          <w:tab w:val="left" w:pos="851"/>
          <w:tab w:val="left" w:pos="1502"/>
        </w:tabs>
        <w:outlineLvl w:val="2"/>
      </w:pPr>
      <w:r>
        <w:rPr>
          <w:rFonts w:hint="eastAsia"/>
        </w:rPr>
        <w:t>排烟管道在下列部位应设置排烟防火阀：</w:t>
      </w:r>
    </w:p>
    <w:p w14:paraId="5CE0EAA8">
      <w:pPr>
        <w:pStyle w:val="7"/>
        <w:ind w:firstLine="420"/>
      </w:pPr>
      <w:r>
        <w:rPr>
          <w:rFonts w:hint="eastAsia"/>
        </w:rPr>
        <w:t>垂直主排烟管道与每层水平排烟管道连接处的水平管段上；</w:t>
      </w:r>
    </w:p>
    <w:p w14:paraId="3B970E31">
      <w:pPr>
        <w:pStyle w:val="7"/>
        <w:ind w:firstLine="420"/>
      </w:pPr>
      <w:r>
        <w:rPr>
          <w:rFonts w:hint="eastAsia"/>
        </w:rPr>
        <w:t>一个排烟系统负担多个防烟分区的排烟支管上；</w:t>
      </w:r>
    </w:p>
    <w:p w14:paraId="2D083B81">
      <w:pPr>
        <w:pStyle w:val="7"/>
        <w:ind w:firstLine="420"/>
      </w:pPr>
      <w:r>
        <w:rPr>
          <w:rFonts w:hint="eastAsia"/>
        </w:rPr>
        <w:t>排烟风机入口处应设置具有与排烟风机、补风机连锁的排烟防火阀；</w:t>
      </w:r>
    </w:p>
    <w:p w14:paraId="2FDF8534">
      <w:pPr>
        <w:pStyle w:val="7"/>
        <w:ind w:firstLine="420"/>
      </w:pPr>
      <w:r>
        <w:rPr>
          <w:rFonts w:hint="eastAsia"/>
        </w:rPr>
        <w:t>排烟管道穿越防火分区处。</w:t>
      </w:r>
    </w:p>
    <w:p w14:paraId="2D05DE5A">
      <w:pPr>
        <w:numPr>
          <w:ilvl w:val="1"/>
          <w:numId w:val="1"/>
        </w:numPr>
        <w:tabs>
          <w:tab w:val="left" w:pos="794"/>
        </w:tabs>
        <w:snapToGrid w:val="0"/>
        <w:spacing w:before="156" w:after="156" w:line="240" w:lineRule="auto"/>
        <w:jc w:val="center"/>
        <w:outlineLvl w:val="1"/>
        <w:rPr>
          <w:rFonts w:eastAsia="黑体"/>
          <w:bCs/>
          <w:szCs w:val="28"/>
        </w:rPr>
      </w:pPr>
      <w:bookmarkStart w:id="2128" w:name="_Toc183765263"/>
      <w:bookmarkStart w:id="2129" w:name="_Toc183790693"/>
      <w:bookmarkStart w:id="2130" w:name="_Toc183888668"/>
      <w:bookmarkStart w:id="2131" w:name="_Toc183882254"/>
      <w:bookmarkStart w:id="2132" w:name="_Toc183882616"/>
      <w:bookmarkStart w:id="2133" w:name="_Toc183888306"/>
      <w:r>
        <w:rPr>
          <w:rFonts w:hint="eastAsia" w:eastAsia="黑体"/>
          <w:bCs/>
          <w:szCs w:val="28"/>
        </w:rPr>
        <w:t>电</w:t>
      </w:r>
      <w:r>
        <w:rPr>
          <w:rFonts w:eastAsia="黑体"/>
          <w:bCs/>
          <w:szCs w:val="28"/>
        </w:rPr>
        <w:t xml:space="preserve">    </w:t>
      </w:r>
      <w:r>
        <w:rPr>
          <w:rFonts w:hint="eastAsia" w:eastAsia="黑体"/>
          <w:bCs/>
          <w:szCs w:val="28"/>
        </w:rPr>
        <w:t>气</w:t>
      </w:r>
      <w:bookmarkEnd w:id="2127"/>
      <w:bookmarkEnd w:id="2128"/>
      <w:bookmarkEnd w:id="2129"/>
      <w:bookmarkEnd w:id="2130"/>
      <w:bookmarkEnd w:id="2131"/>
      <w:bookmarkEnd w:id="2132"/>
      <w:bookmarkEnd w:id="2133"/>
    </w:p>
    <w:p w14:paraId="553000F4">
      <w:pPr>
        <w:numPr>
          <w:ilvl w:val="2"/>
          <w:numId w:val="1"/>
        </w:numPr>
        <w:tabs>
          <w:tab w:val="left" w:pos="709"/>
          <w:tab w:val="left" w:pos="1502"/>
        </w:tabs>
        <w:outlineLvl w:val="2"/>
      </w:pPr>
      <w:r>
        <w:rPr>
          <w:rFonts w:hint="eastAsia"/>
        </w:rPr>
        <w:t>消防设备与非消防设备配电自成系统，消防设备应采用专用的供电回路，其配电设备应有明显标志，并应符合以下条件：</w:t>
      </w:r>
    </w:p>
    <w:p w14:paraId="2DA17DD0">
      <w:pPr>
        <w:pStyle w:val="7"/>
        <w:ind w:firstLine="420"/>
      </w:pPr>
      <w:r>
        <w:rPr>
          <w:rFonts w:hint="eastAsia"/>
        </w:rPr>
        <w:t>车站、区间以及控制中心大楼的消防用电设备的电源应直接取自变电所低压母线；</w:t>
      </w:r>
    </w:p>
    <w:p w14:paraId="276460FE">
      <w:pPr>
        <w:pStyle w:val="7"/>
        <w:ind w:firstLine="420"/>
      </w:pPr>
      <w:r>
        <w:rPr>
          <w:rFonts w:hint="eastAsia"/>
        </w:rPr>
        <w:t>车辆综合基地的消防用电设备的电源应直接取自变电所低压母线或本建筑物内配电室。</w:t>
      </w:r>
    </w:p>
    <w:p w14:paraId="50E9AE3D">
      <w:pPr>
        <w:numPr>
          <w:ilvl w:val="2"/>
          <w:numId w:val="1"/>
        </w:numPr>
        <w:tabs>
          <w:tab w:val="left" w:pos="709"/>
          <w:tab w:val="left" w:pos="1502"/>
        </w:tabs>
        <w:outlineLvl w:val="2"/>
      </w:pPr>
      <w:r>
        <w:rPr>
          <w:rFonts w:hint="eastAsia"/>
        </w:rPr>
        <w:t>车站、车辆基地、控制中心的消防动力设备配电系统宜采用以下形式：</w:t>
      </w:r>
    </w:p>
    <w:p w14:paraId="2FCE3C51">
      <w:pPr>
        <w:pStyle w:val="7"/>
        <w:ind w:firstLine="420"/>
      </w:pPr>
      <w:r>
        <w:rPr>
          <w:rFonts w:hint="eastAsia"/>
        </w:rPr>
        <w:t>消防控制室、消防水泵房的消防用电设备及消防电梯等的供电，应在其配电线路的最末一级配电箱内设置自动切换装置。</w:t>
      </w:r>
    </w:p>
    <w:p w14:paraId="15ECC752">
      <w:pPr>
        <w:pStyle w:val="7"/>
        <w:ind w:firstLine="420"/>
      </w:pPr>
      <w:r>
        <w:rPr>
          <w:rFonts w:hint="eastAsia"/>
        </w:rPr>
        <w:t>车站内设置在同一侧(端)的火灾事故风机、防排烟风机及相关风阀等消防负荷,其供电电源应由该侧(端)同一防火分区内的双重电源自切柜单回路放射式供电﹔当供电距离较长时,宜采用由变电所双重电源直接供电﹐并应在最末一级配电箱处自动切换。</w:t>
      </w:r>
    </w:p>
    <w:p w14:paraId="37A74ABD">
      <w:pPr>
        <w:pStyle w:val="7"/>
        <w:ind w:firstLine="420"/>
      </w:pPr>
      <w:r>
        <w:rPr>
          <w:rFonts w:hint="eastAsia"/>
        </w:rPr>
        <w:t>对于防火卷帘、电动挡烟垂壁/帘、电动排烟窗、自动灭火设备等容量较小的消防设备设施，应由同一防火分区共用双电源自切箱供电，每个分支回路所供设备不应超过5台，总计容量不宜超过10kW。</w:t>
      </w:r>
    </w:p>
    <w:p w14:paraId="27EB061C">
      <w:pPr>
        <w:numPr>
          <w:ilvl w:val="2"/>
          <w:numId w:val="1"/>
        </w:numPr>
        <w:tabs>
          <w:tab w:val="left" w:pos="709"/>
          <w:tab w:val="left" w:pos="1502"/>
        </w:tabs>
        <w:outlineLvl w:val="2"/>
      </w:pPr>
      <w:r>
        <w:rPr>
          <w:rFonts w:hint="eastAsia"/>
        </w:rPr>
        <w:t>非消防设备回路切除应满足如下要求：</w:t>
      </w:r>
    </w:p>
    <w:p w14:paraId="7E5624A7">
      <w:pPr>
        <w:pStyle w:val="7"/>
        <w:ind w:firstLine="420"/>
      </w:pPr>
      <w:r>
        <w:rPr>
          <w:rFonts w:hint="eastAsia"/>
        </w:rPr>
        <w:t>非消防设备在火灾工况下，宜在变电所低压柜出线处切除。</w:t>
      </w:r>
    </w:p>
    <w:p w14:paraId="49C91B9F">
      <w:pPr>
        <w:pStyle w:val="7"/>
        <w:ind w:firstLine="420"/>
      </w:pPr>
      <w:r>
        <w:rPr>
          <w:rFonts w:hint="eastAsia"/>
        </w:rPr>
        <w:t>公共区照明负荷在火灾状态下不宜直接切除，应结合车站人员疏散要求延时切除。</w:t>
      </w:r>
    </w:p>
    <w:p w14:paraId="43356D77">
      <w:pPr>
        <w:numPr>
          <w:ilvl w:val="2"/>
          <w:numId w:val="1"/>
        </w:numPr>
        <w:tabs>
          <w:tab w:val="left" w:pos="709"/>
          <w:tab w:val="left" w:pos="1502"/>
        </w:tabs>
        <w:outlineLvl w:val="2"/>
      </w:pPr>
      <w:r>
        <w:rPr>
          <w:rFonts w:hint="eastAsia"/>
        </w:rPr>
        <w:t>对于因过负荷引起断电而造成更大损失的供电回路，过负荷保护应作用于信号报警，不应切断电源。</w:t>
      </w:r>
    </w:p>
    <w:p w14:paraId="73B54BBD">
      <w:pPr>
        <w:numPr>
          <w:ilvl w:val="2"/>
          <w:numId w:val="1"/>
        </w:numPr>
        <w:tabs>
          <w:tab w:val="left" w:pos="709"/>
          <w:tab w:val="left" w:pos="1502"/>
        </w:tabs>
        <w:outlineLvl w:val="2"/>
      </w:pPr>
      <w:r>
        <w:rPr>
          <w:rFonts w:hint="eastAsia"/>
        </w:rPr>
        <w:t>专用消防设备不得采用变频调压调速装置。兼正常使用功能的非专用消防设备采用变频调压调速装置时，火灾下应转为工频控制模式。</w:t>
      </w:r>
    </w:p>
    <w:p w14:paraId="0D2785E1">
      <w:pPr>
        <w:numPr>
          <w:ilvl w:val="2"/>
          <w:numId w:val="1"/>
        </w:numPr>
        <w:tabs>
          <w:tab w:val="left" w:pos="709"/>
          <w:tab w:val="left" w:pos="1502"/>
        </w:tabs>
        <w:outlineLvl w:val="2"/>
      </w:pPr>
      <w:r>
        <w:rPr>
          <w:rFonts w:hint="eastAsia"/>
        </w:rPr>
        <w:t>车站、车辆基地及控制中心电气火灾监控系统应符合下列规定：</w:t>
      </w:r>
    </w:p>
    <w:p w14:paraId="4047B1B9">
      <w:pPr>
        <w:pStyle w:val="7"/>
        <w:ind w:firstLine="420"/>
      </w:pPr>
      <w:r>
        <w:rPr>
          <w:rFonts w:hint="eastAsia"/>
        </w:rPr>
        <w:t>车站、控制中心变电所低压侧出线应设置剩余电流式电气火灾探测器、测温式电气火灾探测器；</w:t>
      </w:r>
    </w:p>
    <w:p w14:paraId="1979EDC3">
      <w:pPr>
        <w:pStyle w:val="7"/>
        <w:ind w:firstLine="420"/>
      </w:pPr>
      <w:r>
        <w:rPr>
          <w:rFonts w:hint="eastAsia"/>
        </w:rPr>
        <w:t>车辆段单体内设置变电所时，变电所低压侧出线应设置剩余电流式电气火灾探测器、测温式电气火灾探测器；</w:t>
      </w:r>
    </w:p>
    <w:p w14:paraId="75A3065D">
      <w:pPr>
        <w:pStyle w:val="7"/>
        <w:ind w:firstLine="420"/>
      </w:pPr>
      <w:r>
        <w:rPr>
          <w:rFonts w:hint="eastAsia"/>
        </w:rPr>
        <w:t>车辆段单体内没有设置变电所时，在总进线柜出线设置剩余电流式电气火灾探测器、测温式电气火灾探测器，当单体进线数量小于等于2回路时，可在进线开关处设置；</w:t>
      </w:r>
    </w:p>
    <w:p w14:paraId="0A38044A">
      <w:pPr>
        <w:pStyle w:val="7"/>
        <w:ind w:firstLine="420"/>
      </w:pPr>
      <w:r>
        <w:rPr>
          <w:rFonts w:hint="eastAsia"/>
        </w:rPr>
        <w:t>当配电回路为封闭母线槽或预制分支电缆时，宜在分支线路总开关下端口测量；</w:t>
      </w:r>
    </w:p>
    <w:p w14:paraId="220950F1">
      <w:pPr>
        <w:pStyle w:val="7"/>
        <w:ind w:firstLine="420"/>
      </w:pPr>
      <w:r>
        <w:rPr>
          <w:rFonts w:hint="eastAsia"/>
        </w:rPr>
        <w:t>已设置直接及间接接触电击防护的剩余电流保护电器的配电回路，不应重复设置剩余电流式电气火灾监控器；</w:t>
      </w:r>
    </w:p>
    <w:p w14:paraId="5A730105">
      <w:pPr>
        <w:pStyle w:val="7"/>
        <w:ind w:firstLine="420"/>
      </w:pPr>
      <w:r>
        <w:rPr>
          <w:rFonts w:hint="eastAsia"/>
        </w:rPr>
        <w:t>高度大于12米的空间场所的照明线路上应设置探测故障电弧功能的电气火灾监控探测器。</w:t>
      </w:r>
    </w:p>
    <w:p w14:paraId="08FB03FF">
      <w:pPr>
        <w:numPr>
          <w:ilvl w:val="2"/>
          <w:numId w:val="1"/>
        </w:numPr>
        <w:tabs>
          <w:tab w:val="left" w:pos="709"/>
          <w:tab w:val="left" w:pos="1502"/>
        </w:tabs>
        <w:outlineLvl w:val="2"/>
      </w:pPr>
      <w:r>
        <w:rPr>
          <w:rFonts w:hint="eastAsia"/>
        </w:rPr>
        <w:t>车站、车辆段及控制中心的消防设备配电箱进线处应设置消防电源监控系统。</w:t>
      </w:r>
    </w:p>
    <w:p w14:paraId="20D505AF">
      <w:pPr>
        <w:numPr>
          <w:ilvl w:val="2"/>
          <w:numId w:val="1"/>
        </w:numPr>
        <w:tabs>
          <w:tab w:val="left" w:pos="709"/>
          <w:tab w:val="left" w:pos="1502"/>
        </w:tabs>
        <w:outlineLvl w:val="2"/>
      </w:pPr>
      <w:r>
        <w:rPr>
          <w:rFonts w:hint="eastAsia"/>
        </w:rPr>
        <w:t>车站公共区疏散照明宜兼做安全照明，地面的最低水平照度不应低于5.0lx，平均照度不低于正常照明照度的10%，疏散的楼梯间、前室或合用前室、避难走道，厅/台楼扶梯处最低水平照度不应低于10.0lx，区间隧道道床面、具备消防疏散使用的区间风井地面的最低水平照度不应低于3.0 lx ，其余场所疏散照明地面的最低水平照度不应低于1.0lx。控制中心控制大厅地面的最低水平照度不应低于3.0lx，其他区域参照GB 55037、GB51348、GB/T16275的相关规定。</w:t>
      </w:r>
    </w:p>
    <w:p w14:paraId="2747DF52">
      <w:pPr>
        <w:numPr>
          <w:ilvl w:val="2"/>
          <w:numId w:val="1"/>
        </w:numPr>
        <w:tabs>
          <w:tab w:val="left" w:pos="709"/>
          <w:tab w:val="left" w:pos="1502"/>
        </w:tabs>
        <w:outlineLvl w:val="2"/>
      </w:pPr>
      <w:r>
        <w:rPr>
          <w:rFonts w:hint="eastAsia"/>
        </w:rPr>
        <w:t>地下车站应设置集中电源集中控制型消防应急照明和疏散指示系统，集中控制器蓄电池组持续供电时间不小于180分钟；集中电源蓄电池组持续供电时间不小于90分钟。</w:t>
      </w:r>
    </w:p>
    <w:p w14:paraId="0B4F10FA">
      <w:pPr>
        <w:numPr>
          <w:ilvl w:val="2"/>
          <w:numId w:val="1"/>
        </w:numPr>
        <w:tabs>
          <w:tab w:val="left" w:pos="851"/>
          <w:tab w:val="left" w:pos="1502"/>
        </w:tabs>
        <w:outlineLvl w:val="2"/>
      </w:pPr>
      <w:r>
        <w:rPr>
          <w:rFonts w:hint="eastAsia"/>
        </w:rPr>
        <w:t>地上车站及车辆基地应设置集中电源集中控制型消防应急照明和疏散指示系统，集中控制器蓄电池组持续供电时间不小于180分钟；集中电源蓄电池组持续供电时间不小于60分钟。</w:t>
      </w:r>
    </w:p>
    <w:p w14:paraId="734B0588">
      <w:pPr>
        <w:numPr>
          <w:ilvl w:val="2"/>
          <w:numId w:val="1"/>
        </w:numPr>
        <w:tabs>
          <w:tab w:val="left" w:pos="851"/>
          <w:tab w:val="left" w:pos="1502"/>
        </w:tabs>
        <w:outlineLvl w:val="2"/>
      </w:pPr>
      <w:r>
        <w:rPr>
          <w:rFonts w:hint="eastAsia"/>
        </w:rPr>
        <w:t>地下车站、地下区间及上盖开发车辆综合基地备用照明的设置应满足以下要求：</w:t>
      </w:r>
    </w:p>
    <w:p w14:paraId="202033E2">
      <w:pPr>
        <w:pStyle w:val="7"/>
        <w:ind w:firstLine="420"/>
      </w:pPr>
      <w:r>
        <w:rPr>
          <w:rFonts w:hint="eastAsia"/>
        </w:rPr>
        <w:t>车站综合控制室、消防控制室、消防水泵房、喷淋水泵房、气瓶室、站长室、低压配电室、专用通信机房、防烟与排烟机房以及发生火灾时仍需正常工作的其他场所备用照明照度不应低于正常照明照度，备用照明的应急电源火灾时连续供电时间不应少于120min；</w:t>
      </w:r>
    </w:p>
    <w:p w14:paraId="0E733A26">
      <w:pPr>
        <w:pStyle w:val="7"/>
        <w:ind w:firstLine="420"/>
      </w:pPr>
      <w:r>
        <w:rPr>
          <w:rFonts w:hint="eastAsia"/>
        </w:rPr>
        <w:t>其余设置备用照明场所照度不应低于正常照明照度的10%，备用照明的应急电源火灾时连续供电时间不应少于60min。</w:t>
      </w:r>
    </w:p>
    <w:p w14:paraId="758A7D7F">
      <w:pPr>
        <w:numPr>
          <w:ilvl w:val="2"/>
          <w:numId w:val="1"/>
        </w:numPr>
        <w:tabs>
          <w:tab w:val="left" w:pos="851"/>
          <w:tab w:val="left" w:pos="1502"/>
        </w:tabs>
        <w:outlineLvl w:val="2"/>
      </w:pPr>
      <w:r>
        <w:rPr>
          <w:rFonts w:hint="eastAsia"/>
        </w:rPr>
        <w:t>应急照明电源应符合以下条件：</w:t>
      </w:r>
    </w:p>
    <w:p w14:paraId="5CFD6C18">
      <w:pPr>
        <w:pStyle w:val="7"/>
        <w:ind w:firstLine="420"/>
      </w:pPr>
      <w:r>
        <w:rPr>
          <w:rFonts w:hint="eastAsia"/>
        </w:rPr>
        <w:t>应急照明配电装置应采用双重电源供电，在每个防火分区内设置双电源切换装置；</w:t>
      </w:r>
    </w:p>
    <w:p w14:paraId="0128B169">
      <w:pPr>
        <w:pStyle w:val="7"/>
        <w:ind w:firstLine="420"/>
      </w:pPr>
      <w:r>
        <w:rPr>
          <w:rFonts w:hint="eastAsia"/>
        </w:rPr>
        <w:t>地下车站应急电源宜采用蓄电池；</w:t>
      </w:r>
    </w:p>
    <w:p w14:paraId="112AB0B6">
      <w:pPr>
        <w:pStyle w:val="7"/>
        <w:ind w:firstLine="420"/>
      </w:pPr>
      <w:r>
        <w:rPr>
          <w:rFonts w:hint="eastAsia"/>
        </w:rPr>
        <w:t>地面及高架车站、车辆综合基地、控制中心一般区域的备用照明宜采用双重电源切换后供电。</w:t>
      </w:r>
    </w:p>
    <w:p w14:paraId="2DC9E600">
      <w:pPr>
        <w:numPr>
          <w:ilvl w:val="2"/>
          <w:numId w:val="1"/>
        </w:numPr>
        <w:tabs>
          <w:tab w:val="left" w:pos="851"/>
          <w:tab w:val="left" w:pos="1502"/>
        </w:tabs>
        <w:outlineLvl w:val="2"/>
      </w:pPr>
      <w:r>
        <w:rPr>
          <w:rFonts w:hint="eastAsia"/>
        </w:rPr>
        <w:t>车站、车辆基地、控制中心的疏散照明及疏散指示系统、地下区间疏散指示系统设置应满足GB51309及GB55024的相关要求。</w:t>
      </w:r>
    </w:p>
    <w:p w14:paraId="35894F9A">
      <w:pPr>
        <w:numPr>
          <w:ilvl w:val="2"/>
          <w:numId w:val="1"/>
        </w:numPr>
        <w:tabs>
          <w:tab w:val="left" w:pos="851"/>
          <w:tab w:val="left" w:pos="1502"/>
        </w:tabs>
        <w:outlineLvl w:val="2"/>
      </w:pPr>
      <w:r>
        <w:rPr>
          <w:rFonts w:hint="eastAsia"/>
        </w:rPr>
        <w:t>地下区间疏散照明宜采用DC220V配电至灯具，灯具安装应距疏散平台2.5m以上，且应同时满足下列要求：</w:t>
      </w:r>
    </w:p>
    <w:p w14:paraId="6FBF8E9D">
      <w:pPr>
        <w:pStyle w:val="7"/>
        <w:ind w:firstLine="420"/>
      </w:pPr>
      <w:r>
        <w:rPr>
          <w:rFonts w:hint="eastAsia"/>
        </w:rPr>
        <w:t>给区间疏散照明配电的集中电源低压系统的接地型式应采用IT系统，且所有灯具外壳可导电部分采用一组PE线相连后集中接地的IT系统，并满足GB/T 16895.21之4.11.6.4相关要求；</w:t>
      </w:r>
    </w:p>
    <w:p w14:paraId="22CF0018">
      <w:pPr>
        <w:pStyle w:val="7"/>
        <w:ind w:firstLine="420"/>
      </w:pPr>
      <w:r>
        <w:rPr>
          <w:rFonts w:hint="eastAsia"/>
        </w:rPr>
        <w:t>给区间疏散照明供电的集中电源应设置绝缘检测定位系统，当检测到正（或负极）出现绝缘故障时，发出报警，当出现正极和负极同时或先后发生绝缘故障时，通过集中电源控制系统切断集中电源相应的配电回路。</w:t>
      </w:r>
    </w:p>
    <w:p w14:paraId="7A435149">
      <w:pPr>
        <w:numPr>
          <w:ilvl w:val="2"/>
          <w:numId w:val="1"/>
        </w:numPr>
        <w:tabs>
          <w:tab w:val="left" w:pos="851"/>
          <w:tab w:val="left" w:pos="1502"/>
        </w:tabs>
        <w:outlineLvl w:val="2"/>
      </w:pPr>
      <w:r>
        <w:rPr>
          <w:rFonts w:hint="eastAsia"/>
        </w:rPr>
        <w:t>应急照明支线回路不得跨越防火分区。</w:t>
      </w:r>
    </w:p>
    <w:p w14:paraId="0392630C">
      <w:pPr>
        <w:numPr>
          <w:ilvl w:val="2"/>
          <w:numId w:val="1"/>
        </w:numPr>
        <w:tabs>
          <w:tab w:val="left" w:pos="851"/>
          <w:tab w:val="left" w:pos="1502"/>
        </w:tabs>
        <w:outlineLvl w:val="2"/>
      </w:pPr>
      <w:r>
        <w:rPr>
          <w:rFonts w:hint="eastAsia"/>
        </w:rPr>
        <w:t>应急照明应采用瞬时点亮光源。</w:t>
      </w:r>
    </w:p>
    <w:p w14:paraId="21EE6AD9">
      <w:pPr>
        <w:numPr>
          <w:ilvl w:val="2"/>
          <w:numId w:val="1"/>
        </w:numPr>
        <w:tabs>
          <w:tab w:val="left" w:pos="851"/>
          <w:tab w:val="left" w:pos="1502"/>
        </w:tabs>
        <w:outlineLvl w:val="2"/>
      </w:pPr>
      <w:r>
        <w:rPr>
          <w:rFonts w:hint="eastAsia"/>
        </w:rPr>
        <w:t>应急照明回路不得设置插座。</w:t>
      </w:r>
    </w:p>
    <w:p w14:paraId="5285D61B">
      <w:pPr>
        <w:numPr>
          <w:ilvl w:val="2"/>
          <w:numId w:val="1"/>
        </w:numPr>
        <w:tabs>
          <w:tab w:val="left" w:pos="851"/>
          <w:tab w:val="left" w:pos="1502"/>
        </w:tabs>
        <w:outlineLvl w:val="2"/>
      </w:pPr>
      <w:r>
        <w:rPr>
          <w:rFonts w:hint="eastAsia"/>
        </w:rPr>
        <w:t>消防安全疏散标志应符合本规范第</w:t>
      </w:r>
      <w:r>
        <w:t>2</w:t>
      </w:r>
      <w:r>
        <w:rPr>
          <w:rFonts w:hint="eastAsia"/>
        </w:rPr>
        <w:t>9</w:t>
      </w:r>
      <w:r>
        <w:t>.2</w:t>
      </w:r>
      <w:r>
        <w:rPr>
          <w:rFonts w:hint="eastAsia"/>
        </w:rPr>
        <w:t>节第Ⅶ部分的有关规定。</w:t>
      </w:r>
    </w:p>
    <w:p w14:paraId="7373AA63">
      <w:pPr>
        <w:numPr>
          <w:ilvl w:val="2"/>
          <w:numId w:val="1"/>
        </w:numPr>
        <w:tabs>
          <w:tab w:val="left" w:pos="851"/>
          <w:tab w:val="left" w:pos="1502"/>
        </w:tabs>
        <w:outlineLvl w:val="2"/>
      </w:pPr>
      <w:r>
        <w:rPr>
          <w:rFonts w:hint="eastAsia"/>
        </w:rPr>
        <w:t>备用照明、疏散照明、消防安全疏散标志应选用耐热、耐寒、抗振动光源。</w:t>
      </w:r>
    </w:p>
    <w:p w14:paraId="375C9D57">
      <w:pPr>
        <w:numPr>
          <w:ilvl w:val="2"/>
          <w:numId w:val="1"/>
        </w:numPr>
        <w:tabs>
          <w:tab w:val="left" w:pos="851"/>
          <w:tab w:val="left" w:pos="1502"/>
        </w:tabs>
        <w:outlineLvl w:val="2"/>
      </w:pPr>
      <w:r>
        <w:rPr>
          <w:rFonts w:hint="eastAsia"/>
        </w:rPr>
        <w:t>设在建筑物内、外的配电变压器，高、低压侧各相应安装避雷器或浪涌保护器（</w:t>
      </w:r>
      <w:r>
        <w:t>SPD</w:t>
      </w:r>
      <w:r>
        <w:rPr>
          <w:rFonts w:hint="eastAsia"/>
        </w:rPr>
        <w:t>）。</w:t>
      </w:r>
    </w:p>
    <w:p w14:paraId="770CD25E">
      <w:pPr>
        <w:numPr>
          <w:ilvl w:val="2"/>
          <w:numId w:val="1"/>
        </w:numPr>
        <w:tabs>
          <w:tab w:val="left" w:pos="851"/>
          <w:tab w:val="left" w:pos="1502"/>
        </w:tabs>
        <w:outlineLvl w:val="2"/>
      </w:pPr>
      <w:r>
        <w:rPr>
          <w:rFonts w:hint="eastAsia"/>
        </w:rPr>
        <w:t>设在地上及相邻洞口地下的牵引变电所，上网开关下口、直流馈出开关下口及负极母线应设置直流避雷器。</w:t>
      </w:r>
    </w:p>
    <w:p w14:paraId="41EF5017">
      <w:pPr>
        <w:numPr>
          <w:ilvl w:val="2"/>
          <w:numId w:val="1"/>
        </w:numPr>
        <w:tabs>
          <w:tab w:val="left" w:pos="851"/>
          <w:tab w:val="left" w:pos="1502"/>
        </w:tabs>
        <w:outlineLvl w:val="2"/>
      </w:pPr>
      <w:r>
        <w:rPr>
          <w:rFonts w:hint="eastAsia"/>
        </w:rPr>
        <w:t>地面建筑物防雷接地应与电气装置共用接地装置。</w:t>
      </w:r>
    </w:p>
    <w:p w14:paraId="14E06A95">
      <w:pPr>
        <w:numPr>
          <w:ilvl w:val="2"/>
          <w:numId w:val="1"/>
        </w:numPr>
        <w:tabs>
          <w:tab w:val="left" w:pos="851"/>
          <w:tab w:val="left" w:pos="1502"/>
        </w:tabs>
        <w:outlineLvl w:val="2"/>
      </w:pPr>
      <w:r>
        <w:rPr>
          <w:rFonts w:hint="eastAsia"/>
        </w:rPr>
        <w:t>高架区间应采取防雷措施。采用接触轨的线路，宜利用桥面上金属构筑物（如栏杆、路灯、声屏障）做接闪器，兼做回流的走行轨通过放电间隙与防雷引下线电气连接，桥墩内结构钢筋宜兼做防雷引下线，桥墩桩基结构钢筋宜兼做自然接地体，防雷引下线间距不宜大于</w:t>
      </w:r>
      <w:r>
        <w:t>300m</w:t>
      </w:r>
      <w:r>
        <w:rPr>
          <w:rFonts w:hint="eastAsia"/>
        </w:rPr>
        <w:t>。</w:t>
      </w:r>
    </w:p>
    <w:p w14:paraId="0065A302">
      <w:pPr>
        <w:numPr>
          <w:ilvl w:val="2"/>
          <w:numId w:val="1"/>
        </w:numPr>
        <w:tabs>
          <w:tab w:val="left" w:pos="851"/>
          <w:tab w:val="left" w:pos="1502"/>
        </w:tabs>
        <w:outlineLvl w:val="2"/>
      </w:pPr>
      <w:r>
        <w:rPr>
          <w:rFonts w:hint="eastAsia"/>
        </w:rPr>
        <w:t>车辆综合基地路灯及高杆塔灯宜兼顾整体防雷功能。高杆灯基础周围应有防止跨步电压危害的措施。</w:t>
      </w:r>
    </w:p>
    <w:p w14:paraId="562B4523">
      <w:pPr>
        <w:numPr>
          <w:ilvl w:val="2"/>
          <w:numId w:val="1"/>
        </w:numPr>
        <w:tabs>
          <w:tab w:val="left" w:pos="851"/>
          <w:tab w:val="left" w:pos="1502"/>
        </w:tabs>
        <w:outlineLvl w:val="2"/>
      </w:pPr>
      <w:r>
        <w:rPr>
          <w:rFonts w:hint="eastAsia"/>
        </w:rPr>
        <w:t>车辆综合基地内路灯及高杆灯，控制中心室外照明的配电箱进线端应设置浪涌保护器。</w:t>
      </w:r>
    </w:p>
    <w:p w14:paraId="55083F82">
      <w:pPr>
        <w:numPr>
          <w:ilvl w:val="2"/>
          <w:numId w:val="1"/>
        </w:numPr>
        <w:tabs>
          <w:tab w:val="left" w:pos="851"/>
          <w:tab w:val="left" w:pos="1502"/>
        </w:tabs>
        <w:outlineLvl w:val="2"/>
      </w:pPr>
      <w:r>
        <w:rPr>
          <w:rFonts w:hint="eastAsia"/>
        </w:rPr>
        <w:t>防雷的其他要求应符合现行国家及行业标准《建筑物防雷设计规范》GB50057、《建筑物电子信息系统防雷技术规范》GB50343、《交流电气装置的过电压保护和绝缘配合设计规范》GB/T 50064的规定。</w:t>
      </w:r>
    </w:p>
    <w:p w14:paraId="387946C1">
      <w:pPr>
        <w:numPr>
          <w:ilvl w:val="1"/>
          <w:numId w:val="1"/>
        </w:numPr>
        <w:tabs>
          <w:tab w:val="left" w:pos="794"/>
        </w:tabs>
        <w:snapToGrid w:val="0"/>
        <w:spacing w:before="156" w:after="156" w:line="240" w:lineRule="auto"/>
        <w:jc w:val="center"/>
        <w:outlineLvl w:val="1"/>
        <w:rPr>
          <w:rFonts w:eastAsia="黑体"/>
          <w:bCs/>
          <w:szCs w:val="28"/>
        </w:rPr>
      </w:pPr>
      <w:bookmarkStart w:id="2134" w:name="_Toc183888307"/>
      <w:bookmarkStart w:id="2135" w:name="_Toc183765264"/>
      <w:bookmarkStart w:id="2136" w:name="_Toc357929476"/>
      <w:bookmarkStart w:id="2137" w:name="_Toc183882255"/>
      <w:bookmarkStart w:id="2138" w:name="_Toc183888669"/>
      <w:bookmarkStart w:id="2139" w:name="_Toc183882617"/>
      <w:bookmarkStart w:id="2140" w:name="_Toc183790694"/>
      <w:r>
        <w:rPr>
          <w:rFonts w:hint="eastAsia" w:eastAsia="黑体"/>
          <w:bCs/>
          <w:szCs w:val="28"/>
        </w:rPr>
        <w:t>防</w:t>
      </w:r>
      <w:r>
        <w:rPr>
          <w:rFonts w:eastAsia="黑体"/>
          <w:bCs/>
          <w:szCs w:val="28"/>
        </w:rPr>
        <w:t xml:space="preserve"> </w:t>
      </w:r>
      <w:r>
        <w:rPr>
          <w:rFonts w:hint="eastAsia" w:eastAsia="黑体"/>
          <w:bCs/>
          <w:szCs w:val="28"/>
        </w:rPr>
        <w:t>灾</w:t>
      </w:r>
      <w:r>
        <w:rPr>
          <w:rFonts w:eastAsia="黑体"/>
          <w:bCs/>
          <w:szCs w:val="28"/>
        </w:rPr>
        <w:t xml:space="preserve"> </w:t>
      </w:r>
      <w:r>
        <w:rPr>
          <w:rFonts w:hint="eastAsia" w:eastAsia="黑体"/>
          <w:bCs/>
          <w:szCs w:val="28"/>
        </w:rPr>
        <w:t>通</w:t>
      </w:r>
      <w:r>
        <w:rPr>
          <w:rFonts w:eastAsia="黑体"/>
          <w:bCs/>
          <w:szCs w:val="28"/>
        </w:rPr>
        <w:t xml:space="preserve"> </w:t>
      </w:r>
      <w:r>
        <w:rPr>
          <w:rFonts w:hint="eastAsia" w:eastAsia="黑体"/>
          <w:bCs/>
          <w:szCs w:val="28"/>
        </w:rPr>
        <w:t>信</w:t>
      </w:r>
      <w:bookmarkEnd w:id="2134"/>
      <w:bookmarkEnd w:id="2135"/>
      <w:bookmarkEnd w:id="2136"/>
      <w:bookmarkEnd w:id="2137"/>
      <w:bookmarkEnd w:id="2138"/>
      <w:bookmarkEnd w:id="2139"/>
      <w:bookmarkEnd w:id="2140"/>
    </w:p>
    <w:p w14:paraId="1F9C1C81">
      <w:pPr>
        <w:numPr>
          <w:ilvl w:val="2"/>
          <w:numId w:val="1"/>
        </w:numPr>
        <w:tabs>
          <w:tab w:val="left" w:pos="709"/>
          <w:tab w:val="left" w:pos="794"/>
          <w:tab w:val="left" w:pos="935"/>
          <w:tab w:val="left" w:pos="1502"/>
        </w:tabs>
        <w:outlineLvl w:val="2"/>
        <w:rPr>
          <w:bCs/>
        </w:rPr>
      </w:pPr>
      <w:r>
        <w:rPr>
          <w:rFonts w:hint="eastAsia"/>
          <w:bCs/>
        </w:rPr>
        <w:t>公务电话系统应具有将“1</w:t>
      </w:r>
      <w:r>
        <w:rPr>
          <w:bCs/>
        </w:rPr>
        <w:t>19</w:t>
      </w:r>
      <w:r>
        <w:rPr>
          <w:rFonts w:hint="eastAsia"/>
          <w:bCs/>
        </w:rPr>
        <w:t>（火警）”呼叫自动转移到市话网“</w:t>
      </w:r>
      <w:r>
        <w:rPr>
          <w:bCs/>
        </w:rPr>
        <w:t>119</w:t>
      </w:r>
      <w:r>
        <w:rPr>
          <w:rFonts w:hint="eastAsia"/>
          <w:bCs/>
        </w:rPr>
        <w:t>”的功能。</w:t>
      </w:r>
    </w:p>
    <w:p w14:paraId="42FE31CB">
      <w:pPr>
        <w:numPr>
          <w:ilvl w:val="2"/>
          <w:numId w:val="1"/>
        </w:numPr>
        <w:tabs>
          <w:tab w:val="left" w:pos="709"/>
          <w:tab w:val="left" w:pos="794"/>
          <w:tab w:val="left" w:pos="935"/>
          <w:tab w:val="left" w:pos="1502"/>
        </w:tabs>
        <w:outlineLvl w:val="2"/>
        <w:rPr>
          <w:bCs/>
        </w:rPr>
      </w:pPr>
      <w:r>
        <w:rPr>
          <w:rFonts w:hint="eastAsia"/>
          <w:bCs/>
        </w:rPr>
        <w:t>应配备在发生灾害时供救援人员进行地上、地下联络的无线通信设施。</w:t>
      </w:r>
    </w:p>
    <w:p w14:paraId="2CC903AD">
      <w:pPr>
        <w:numPr>
          <w:ilvl w:val="2"/>
          <w:numId w:val="1"/>
        </w:numPr>
        <w:tabs>
          <w:tab w:val="left" w:pos="709"/>
          <w:tab w:val="left" w:pos="794"/>
          <w:tab w:val="left" w:pos="935"/>
          <w:tab w:val="left" w:pos="1502"/>
        </w:tabs>
        <w:outlineLvl w:val="2"/>
        <w:rPr>
          <w:bCs/>
          <w:szCs w:val="18"/>
        </w:rPr>
      </w:pPr>
      <w:r>
        <w:rPr>
          <w:rFonts w:hint="eastAsia"/>
          <w:bCs/>
          <w:szCs w:val="18"/>
        </w:rPr>
        <w:t>控制中心应设置防灾无线调度台，列车司机室设置的无线车载台应能与防灾无线调度台通信，车站控制室、站长室及车辆综合基地值班室等处应设置无线通信设备。</w:t>
      </w:r>
    </w:p>
    <w:p w14:paraId="369ECFE7">
      <w:pPr>
        <w:numPr>
          <w:ilvl w:val="2"/>
          <w:numId w:val="1"/>
        </w:numPr>
        <w:tabs>
          <w:tab w:val="left" w:pos="709"/>
          <w:tab w:val="left" w:pos="794"/>
          <w:tab w:val="left" w:pos="935"/>
          <w:tab w:val="left" w:pos="1502"/>
        </w:tabs>
        <w:outlineLvl w:val="2"/>
        <w:rPr>
          <w:bCs/>
          <w:szCs w:val="18"/>
        </w:rPr>
      </w:pPr>
      <w:r>
        <w:rPr>
          <w:rFonts w:hint="eastAsia"/>
          <w:bCs/>
          <w:szCs w:val="18"/>
        </w:rPr>
        <w:t>控制中心应设置防灾广播控制台，车站控制室、车辆综合基地值班室应设置防灾广播控制盒。</w:t>
      </w:r>
    </w:p>
    <w:p w14:paraId="059A9269">
      <w:pPr>
        <w:numPr>
          <w:ilvl w:val="2"/>
          <w:numId w:val="1"/>
        </w:numPr>
        <w:tabs>
          <w:tab w:val="left" w:pos="709"/>
          <w:tab w:val="left" w:pos="794"/>
          <w:tab w:val="left" w:pos="935"/>
          <w:tab w:val="left" w:pos="1502"/>
        </w:tabs>
        <w:outlineLvl w:val="2"/>
        <w:rPr>
          <w:bCs/>
          <w:szCs w:val="18"/>
        </w:rPr>
      </w:pPr>
      <w:r>
        <w:rPr>
          <w:rFonts w:hint="eastAsia"/>
          <w:bCs/>
          <w:szCs w:val="18"/>
        </w:rPr>
        <w:t>控制中心和车站控制室应设置视频监控终端，供防灾调度员监视。</w:t>
      </w:r>
    </w:p>
    <w:p w14:paraId="15EF702F">
      <w:pPr>
        <w:numPr>
          <w:ilvl w:val="2"/>
          <w:numId w:val="1"/>
        </w:numPr>
        <w:tabs>
          <w:tab w:val="left" w:pos="709"/>
          <w:tab w:val="left" w:pos="794"/>
          <w:tab w:val="left" w:pos="935"/>
          <w:tab w:val="left" w:pos="1502"/>
        </w:tabs>
        <w:outlineLvl w:val="2"/>
        <w:rPr>
          <w:bCs/>
          <w:szCs w:val="18"/>
        </w:rPr>
      </w:pPr>
      <w:r>
        <w:rPr>
          <w:rFonts w:hint="eastAsia"/>
          <w:bCs/>
          <w:szCs w:val="18"/>
        </w:rPr>
        <w:t>应设防灾专用调度电话，防灾调度电话系统应在控制中心设调度电话总机，在车站及车辆综合基地设防灾分机。</w:t>
      </w:r>
    </w:p>
    <w:p w14:paraId="1DAF6ABB">
      <w:pPr>
        <w:numPr>
          <w:ilvl w:val="2"/>
          <w:numId w:val="1"/>
        </w:numPr>
        <w:tabs>
          <w:tab w:val="left" w:pos="709"/>
          <w:tab w:val="left" w:pos="794"/>
          <w:tab w:val="left" w:pos="935"/>
          <w:tab w:val="left" w:pos="1502"/>
        </w:tabs>
        <w:outlineLvl w:val="2"/>
        <w:rPr>
          <w:bCs/>
          <w:szCs w:val="18"/>
        </w:rPr>
      </w:pPr>
      <w:r>
        <w:rPr>
          <w:rFonts w:hint="eastAsia"/>
          <w:bCs/>
          <w:szCs w:val="18"/>
        </w:rPr>
        <w:t>火灾情况下，专用通信系统的设计应具备为火灾事故处理提供保证的功能。</w:t>
      </w:r>
    </w:p>
    <w:p w14:paraId="6D9E4F7D">
      <w:pPr>
        <w:numPr>
          <w:ilvl w:val="1"/>
          <w:numId w:val="1"/>
        </w:numPr>
        <w:tabs>
          <w:tab w:val="left" w:pos="794"/>
        </w:tabs>
        <w:snapToGrid w:val="0"/>
        <w:spacing w:before="156" w:after="156" w:line="240" w:lineRule="auto"/>
        <w:jc w:val="center"/>
        <w:outlineLvl w:val="1"/>
        <w:rPr>
          <w:rFonts w:eastAsia="黑体"/>
          <w:bCs/>
          <w:szCs w:val="28"/>
        </w:rPr>
      </w:pPr>
      <w:bookmarkStart w:id="2141" w:name="_Toc183765265"/>
      <w:bookmarkStart w:id="2142" w:name="_Toc183882618"/>
      <w:bookmarkStart w:id="2143" w:name="_Toc183888670"/>
      <w:bookmarkStart w:id="2144" w:name="_Toc183790695"/>
      <w:bookmarkStart w:id="2145" w:name="_Toc183888308"/>
      <w:bookmarkStart w:id="2146" w:name="_Toc183882256"/>
      <w:bookmarkStart w:id="2147" w:name="_Toc357929477"/>
      <w:r>
        <w:rPr>
          <w:rFonts w:hint="eastAsia" w:eastAsia="黑体"/>
          <w:bCs/>
          <w:szCs w:val="28"/>
        </w:rPr>
        <w:t>区间安全疏散</w:t>
      </w:r>
      <w:bookmarkEnd w:id="2141"/>
      <w:bookmarkEnd w:id="2142"/>
      <w:bookmarkEnd w:id="2143"/>
      <w:bookmarkEnd w:id="2144"/>
      <w:bookmarkEnd w:id="2145"/>
      <w:bookmarkEnd w:id="2146"/>
    </w:p>
    <w:p w14:paraId="6D5C5A28">
      <w:pPr>
        <w:numPr>
          <w:ilvl w:val="2"/>
          <w:numId w:val="1"/>
        </w:numPr>
        <w:tabs>
          <w:tab w:val="left" w:pos="709"/>
          <w:tab w:val="left" w:pos="794"/>
          <w:tab w:val="left" w:pos="935"/>
          <w:tab w:val="left" w:pos="1502"/>
        </w:tabs>
        <w:outlineLvl w:val="2"/>
        <w:rPr>
          <w:bCs/>
        </w:rPr>
      </w:pPr>
      <w:r>
        <w:rPr>
          <w:rFonts w:hint="eastAsia"/>
          <w:bCs/>
        </w:rPr>
        <w:t>载客运营区间的安全疏散应符合下列规定：</w:t>
      </w:r>
    </w:p>
    <w:p w14:paraId="0AFB922B">
      <w:pPr>
        <w:pStyle w:val="7"/>
        <w:ind w:firstLine="420"/>
      </w:pPr>
      <w:r>
        <w:rPr>
          <w:rFonts w:hint="eastAsia"/>
        </w:rPr>
        <w:t>地下区间和高架区间应具备纵向紧急疏散条件，区间轨道中心道床面（或中心水沟）应作为应急疏散主通道，列车应配置端门，保证列车上的乘客在火灾时从端门疏散至道床面，沿线路撤离至安全地区；</w:t>
      </w:r>
    </w:p>
    <w:p w14:paraId="702322CE">
      <w:pPr>
        <w:pStyle w:val="7"/>
        <w:ind w:firstLine="420"/>
      </w:pPr>
      <w:r>
        <w:rPr>
          <w:rFonts w:hint="eastAsia"/>
        </w:rPr>
        <w:t>区间隧道宜设置纵向连续的疏散平台作为乘客的辅助疏散通道，当联络通道距离小于300m时，可不设疏散平台；</w:t>
      </w:r>
    </w:p>
    <w:p w14:paraId="0EFB38F7">
      <w:pPr>
        <w:pStyle w:val="7"/>
        <w:ind w:firstLine="420"/>
      </w:pPr>
      <w:r>
        <w:rPr>
          <w:rFonts w:hint="eastAsia"/>
        </w:rPr>
        <w:t>区间隧道的道床面应平整、连续、无障碍物，并应满足人员疏散行走的要求。配线区道床面应铺设宽度不小于700mm的连续通道与正线连接；</w:t>
      </w:r>
    </w:p>
    <w:p w14:paraId="56C52695">
      <w:pPr>
        <w:pStyle w:val="7"/>
        <w:ind w:firstLine="420"/>
      </w:pPr>
      <w:r>
        <w:rPr>
          <w:rFonts w:hint="eastAsia"/>
        </w:rPr>
        <w:t>区间乘客疏散至车站后，应具备至少一条可通过车站站台端部的楼梯、设备区侧走廊和公共区的站台门端门进入公共区的疏散路径，净宽不得小于1.1m；</w:t>
      </w:r>
    </w:p>
    <w:p w14:paraId="64660D93">
      <w:pPr>
        <w:numPr>
          <w:ilvl w:val="2"/>
          <w:numId w:val="1"/>
        </w:numPr>
        <w:tabs>
          <w:tab w:val="left" w:pos="709"/>
          <w:tab w:val="left" w:pos="794"/>
          <w:tab w:val="left" w:pos="935"/>
          <w:tab w:val="left" w:pos="1502"/>
        </w:tabs>
        <w:outlineLvl w:val="2"/>
        <w:rPr>
          <w:bCs/>
        </w:rPr>
      </w:pPr>
      <w:r>
        <w:rPr>
          <w:rFonts w:hint="eastAsia"/>
          <w:bCs/>
          <w:szCs w:val="18"/>
        </w:rPr>
        <w:t>两条单线载客运营区间隧道长度超过</w:t>
      </w:r>
      <w:r>
        <w:rPr>
          <w:bCs/>
          <w:szCs w:val="18"/>
        </w:rPr>
        <w:t>600m</w:t>
      </w:r>
      <w:r>
        <w:rPr>
          <w:rFonts w:hint="eastAsia"/>
          <w:bCs/>
          <w:szCs w:val="18"/>
        </w:rPr>
        <w:t>时，应设横向联络通道，作为本区间的安全出口，并符合下列规定：</w:t>
      </w:r>
    </w:p>
    <w:p w14:paraId="3A23AC60">
      <w:pPr>
        <w:pStyle w:val="7"/>
        <w:ind w:firstLine="420"/>
      </w:pPr>
      <w:r>
        <w:rPr>
          <w:rFonts w:hint="eastAsia"/>
        </w:rPr>
        <w:t>相邻两个联络通道之间的距离不应大于600m；</w:t>
      </w:r>
    </w:p>
    <w:p w14:paraId="0598AEE7">
      <w:pPr>
        <w:pStyle w:val="7"/>
        <w:ind w:firstLine="420"/>
      </w:pPr>
      <w:r>
        <w:rPr>
          <w:rFonts w:hint="eastAsia"/>
        </w:rPr>
        <w:t>联络通道地面与隧道轨顶面宜平齐，如有高差则应采取措施方便隧道内疏散乘客快速进入通道疏散至对侧区间。当两条单线区间隧道之间存在高差时，联络通道的坡度不宜大于1︰8。</w:t>
      </w:r>
    </w:p>
    <w:p w14:paraId="4D7A8718">
      <w:pPr>
        <w:pStyle w:val="7"/>
        <w:ind w:firstLine="420"/>
      </w:pPr>
      <w:r>
        <w:rPr>
          <w:rFonts w:hint="eastAsia"/>
        </w:rPr>
        <w:t>联络通道内应设并列二樘且反向开启的甲级防火门或火灾时向非火灾区间加压送风等措施防止火灾时烟气通过联络通道蔓延至非火灾区间。</w:t>
      </w:r>
    </w:p>
    <w:p w14:paraId="709D7FE1">
      <w:pPr>
        <w:pStyle w:val="7"/>
        <w:ind w:firstLine="420"/>
      </w:pPr>
      <w:r>
        <w:rPr>
          <w:rFonts w:hint="eastAsia"/>
        </w:rPr>
        <w:t>联络通道内设置的防火门门扇开启后不得侵入限界并不得阻挡人员疏散，并应符合现行国家标准《地铁设计防火规范》GB 51298的有关规定；当采用向非火灾区间加压送风方式时，区间宜为联络通道数量不超过2个的无配线区间，且联络通道内流向火灾区间的风速不应小于2m/s。</w:t>
      </w:r>
    </w:p>
    <w:p w14:paraId="653FC49C">
      <w:pPr>
        <w:pStyle w:val="7"/>
        <w:ind w:firstLine="420"/>
        <w:rPr>
          <w:bCs w:val="0"/>
        </w:rPr>
      </w:pPr>
      <w:r>
        <w:rPr>
          <w:rFonts w:hint="eastAsia"/>
        </w:rPr>
        <w:t>单洞双线载客</w:t>
      </w:r>
      <w:r>
        <w:rPr>
          <w:rFonts w:hint="eastAsia"/>
          <w:bCs w:val="0"/>
        </w:rPr>
        <w:t>运营地下区间的线路间宜设置耐火极限不小于</w:t>
      </w:r>
      <w:r>
        <w:rPr>
          <w:bCs w:val="0"/>
        </w:rPr>
        <w:t>3.00h</w:t>
      </w:r>
      <w:r>
        <w:rPr>
          <w:rFonts w:hint="eastAsia"/>
          <w:bCs w:val="0"/>
        </w:rPr>
        <w:t>的防火墙，防火墙上每隔</w:t>
      </w:r>
      <w:r>
        <w:rPr>
          <w:bCs w:val="0"/>
        </w:rPr>
        <w:t>300m</w:t>
      </w:r>
      <w:r>
        <w:rPr>
          <w:rFonts w:hint="eastAsia"/>
          <w:bCs w:val="0"/>
        </w:rPr>
        <w:t>应设并列二樘且反向开启的甲级防火门</w:t>
      </w:r>
      <w:r>
        <w:rPr>
          <w:rFonts w:hint="eastAsia"/>
          <w:bCs w:val="0"/>
          <w:szCs w:val="18"/>
        </w:rPr>
        <w:t>作为区间的安全出口</w:t>
      </w:r>
      <w:r>
        <w:rPr>
          <w:rFonts w:hint="eastAsia"/>
          <w:bCs w:val="0"/>
        </w:rPr>
        <w:t>。上下行线路间不设防火墙分隔且不能敷设排烟道（管）时，在地下区间内每隔</w:t>
      </w:r>
      <w:r>
        <w:rPr>
          <w:bCs w:val="0"/>
        </w:rPr>
        <w:t>800m</w:t>
      </w:r>
      <w:r>
        <w:rPr>
          <w:rFonts w:hint="eastAsia"/>
          <w:bCs w:val="0"/>
        </w:rPr>
        <w:t>设置直通地面的疏散通道或疏散井作为安全出口，井内应设防烟楼梯间；</w:t>
      </w:r>
    </w:p>
    <w:p w14:paraId="5A6687D6">
      <w:pPr>
        <w:numPr>
          <w:ilvl w:val="2"/>
          <w:numId w:val="1"/>
        </w:numPr>
        <w:tabs>
          <w:tab w:val="left" w:pos="709"/>
          <w:tab w:val="left" w:pos="794"/>
          <w:tab w:val="left" w:pos="935"/>
          <w:tab w:val="left" w:pos="1502"/>
        </w:tabs>
        <w:outlineLvl w:val="2"/>
        <w:rPr>
          <w:bCs/>
          <w:szCs w:val="18"/>
        </w:rPr>
      </w:pPr>
      <w:r>
        <w:rPr>
          <w:rFonts w:hint="eastAsia"/>
          <w:bCs/>
          <w:szCs w:val="18"/>
        </w:rPr>
        <w:t>地下区间设中间风井时，应符合下列规定：</w:t>
      </w:r>
    </w:p>
    <w:p w14:paraId="2A75FD8D">
      <w:pPr>
        <w:pStyle w:val="7"/>
        <w:ind w:firstLine="420"/>
      </w:pPr>
      <w:r>
        <w:rPr>
          <w:rFonts w:hint="eastAsia"/>
        </w:rPr>
        <w:t>风井内应设直通地面的防烟楼梯间作为区间乘客疏散的安全出口，乘客疏散路径与区间风井设备用房区应相互独立，楼梯间可作为区间风井内各防火分区的直达地面的安全出口。</w:t>
      </w:r>
    </w:p>
    <w:p w14:paraId="0B8CD7C7">
      <w:pPr>
        <w:pStyle w:val="7"/>
        <w:ind w:firstLine="420"/>
      </w:pPr>
      <w:r>
        <w:rPr>
          <w:rFonts w:hint="eastAsia"/>
        </w:rPr>
        <w:t>区间风井内设备用房的防火分区划分应按照车站设备管理用房区的标准执行；每个防火分区的安全出口数量不应少于2个，并应至少有1个安全出口直通地面。</w:t>
      </w:r>
    </w:p>
    <w:p w14:paraId="353EA0B2">
      <w:pPr>
        <w:pStyle w:val="7"/>
        <w:ind w:firstLine="420"/>
      </w:pPr>
      <w:r>
        <w:rPr>
          <w:rFonts w:hint="eastAsia"/>
        </w:rPr>
        <w:t>区间风井建筑面积不大于500㎡且停留人员不超过3人时，可利用火灾工况下不排烟的新风井内的竖向金属爬梯（高度不大于10m）作为第二安全出口。</w:t>
      </w:r>
    </w:p>
    <w:p w14:paraId="3EA7975E">
      <w:pPr>
        <w:pStyle w:val="7"/>
        <w:ind w:firstLine="420"/>
      </w:pPr>
      <w:r>
        <w:rPr>
          <w:rFonts w:hint="eastAsia"/>
        </w:rPr>
        <w:t>区间风井内设有两个相邻防火分区且相互借助疏散时，应满足每个防火分区均有一个直通地面的安全口；</w:t>
      </w:r>
    </w:p>
    <w:p w14:paraId="3E66CEA9">
      <w:pPr>
        <w:numPr>
          <w:ilvl w:val="2"/>
          <w:numId w:val="1"/>
        </w:numPr>
        <w:tabs>
          <w:tab w:val="left" w:pos="709"/>
          <w:tab w:val="left" w:pos="794"/>
          <w:tab w:val="left" w:pos="935"/>
          <w:tab w:val="left" w:pos="1502"/>
        </w:tabs>
        <w:outlineLvl w:val="2"/>
        <w:rPr>
          <w:bCs/>
        </w:rPr>
      </w:pPr>
      <w:r>
        <w:rPr>
          <w:rFonts w:hint="eastAsia"/>
          <w:bCs/>
        </w:rPr>
        <w:t>区间设置纵向辅助疏散平台时，应符合下列规定：</w:t>
      </w:r>
    </w:p>
    <w:p w14:paraId="0912F740">
      <w:pPr>
        <w:pStyle w:val="7"/>
        <w:ind w:firstLine="420"/>
      </w:pPr>
      <w:r>
        <w:rPr>
          <w:rFonts w:hint="eastAsia"/>
        </w:rPr>
        <w:t>靠隧道壁的墙上应设置靠墙扶手；</w:t>
      </w:r>
    </w:p>
    <w:p w14:paraId="37A3FB29">
      <w:pPr>
        <w:pStyle w:val="7"/>
        <w:ind w:firstLine="420"/>
      </w:pPr>
      <w:r>
        <w:rPr>
          <w:rFonts w:hint="eastAsia"/>
        </w:rPr>
        <w:t>联络通道口部前的纵向疏散平台应用楼梯连接；</w:t>
      </w:r>
    </w:p>
    <w:p w14:paraId="28E7347B">
      <w:pPr>
        <w:pStyle w:val="7"/>
        <w:ind w:firstLine="420"/>
      </w:pPr>
      <w:r>
        <w:rPr>
          <w:rFonts w:hint="eastAsia"/>
        </w:rPr>
        <w:t>疏散平台最小宽度和平台高度等其他要求应符合本规范第5.2节和5.4节的有关规定；</w:t>
      </w:r>
    </w:p>
    <w:p w14:paraId="48D50B54">
      <w:pPr>
        <w:pStyle w:val="7"/>
        <w:ind w:firstLine="420"/>
      </w:pPr>
      <w:r>
        <w:rPr>
          <w:rFonts w:hint="eastAsia"/>
        </w:rPr>
        <w:t>疏散平台应采用不燃烧体，耐火极限不应低于1.00h；</w:t>
      </w:r>
    </w:p>
    <w:p w14:paraId="30207BA5">
      <w:pPr>
        <w:pStyle w:val="7"/>
        <w:ind w:firstLine="420"/>
      </w:pPr>
      <w:r>
        <w:rPr>
          <w:rFonts w:hint="eastAsia"/>
        </w:rPr>
        <w:t>地下区间纵向辅助疏散平台宜平接车站站台面。当遇区间人防（防淹）门时，应在门框外侧的纵向辅助疏散平台端部设置楼梯至道床面，且应满足区间电缆在疏散平台下敷设贯通要求；</w:t>
      </w:r>
    </w:p>
    <w:p w14:paraId="69343285">
      <w:pPr>
        <w:pStyle w:val="7"/>
        <w:ind w:firstLine="420"/>
      </w:pPr>
      <w:r>
        <w:rPr>
          <w:rFonts w:hint="eastAsia"/>
        </w:rPr>
        <w:t>地上区间纵向辅助疏散平台应结合两端车站站台形式设置，并宜满足乘客从疏散平台到达邻近车站站台公共区的疏散需求；</w:t>
      </w:r>
    </w:p>
    <w:p w14:paraId="12830065">
      <w:pPr>
        <w:numPr>
          <w:ilvl w:val="2"/>
          <w:numId w:val="1"/>
        </w:numPr>
        <w:tabs>
          <w:tab w:val="left" w:pos="709"/>
          <w:tab w:val="left" w:pos="794"/>
          <w:tab w:val="left" w:pos="935"/>
          <w:tab w:val="left" w:pos="1502"/>
        </w:tabs>
        <w:outlineLvl w:val="2"/>
        <w:rPr>
          <w:bCs/>
          <w:szCs w:val="18"/>
        </w:rPr>
      </w:pPr>
      <w:r>
        <w:rPr>
          <w:rFonts w:hint="eastAsia"/>
        </w:rPr>
        <w:t>高架区间线路</w:t>
      </w:r>
      <w:r>
        <w:rPr>
          <w:rFonts w:hint="eastAsia"/>
          <w:bCs/>
          <w:szCs w:val="18"/>
        </w:rPr>
        <w:t>两侧无市政道路或满足消防车通行的区间养桥通道时，宜每隔</w:t>
      </w:r>
      <w:r>
        <w:rPr>
          <w:bCs/>
          <w:szCs w:val="18"/>
        </w:rPr>
        <w:t>800m</w:t>
      </w:r>
      <w:r>
        <w:rPr>
          <w:rFonts w:hint="eastAsia"/>
          <w:bCs/>
          <w:szCs w:val="18"/>
        </w:rPr>
        <w:t>设置横穿线路的消防通道。</w:t>
      </w:r>
    </w:p>
    <w:p w14:paraId="46B2E1A2">
      <w:pPr>
        <w:numPr>
          <w:ilvl w:val="2"/>
          <w:numId w:val="1"/>
        </w:numPr>
        <w:tabs>
          <w:tab w:val="left" w:pos="709"/>
          <w:tab w:val="left" w:pos="794"/>
          <w:tab w:val="left" w:pos="935"/>
          <w:tab w:val="left" w:pos="1502"/>
        </w:tabs>
        <w:outlineLvl w:val="2"/>
        <w:rPr>
          <w:bCs/>
          <w:szCs w:val="18"/>
        </w:rPr>
      </w:pPr>
      <w:r>
        <w:rPr>
          <w:rFonts w:hint="eastAsia"/>
          <w:bCs/>
          <w:szCs w:val="18"/>
        </w:rPr>
        <w:t>高架区间桥面宜每隔</w:t>
      </w:r>
      <w:r>
        <w:rPr>
          <w:bCs/>
          <w:szCs w:val="18"/>
        </w:rPr>
        <w:t>3km</w:t>
      </w:r>
      <w:r>
        <w:rPr>
          <w:rFonts w:hint="eastAsia"/>
          <w:bCs/>
          <w:szCs w:val="18"/>
        </w:rPr>
        <w:t>交错设置一处直达地面的紧急疏散楼梯，楼梯宽度不应小于</w:t>
      </w:r>
      <w:r>
        <w:rPr>
          <w:bCs/>
          <w:szCs w:val="18"/>
        </w:rPr>
        <w:t>1.8m</w:t>
      </w:r>
      <w:r>
        <w:rPr>
          <w:rFonts w:hint="eastAsia"/>
          <w:bCs/>
          <w:szCs w:val="18"/>
        </w:rPr>
        <w:t>。疏散通道落地点应设置区间养桥道路与市政道路相连。</w:t>
      </w:r>
    </w:p>
    <w:p w14:paraId="5786CD81">
      <w:pPr>
        <w:numPr>
          <w:ilvl w:val="2"/>
          <w:numId w:val="1"/>
        </w:numPr>
        <w:tabs>
          <w:tab w:val="left" w:pos="709"/>
          <w:tab w:val="left" w:pos="794"/>
          <w:tab w:val="left" w:pos="935"/>
          <w:tab w:val="left" w:pos="1502"/>
        </w:tabs>
        <w:outlineLvl w:val="2"/>
      </w:pPr>
      <w:r>
        <w:rPr>
          <w:rFonts w:hint="eastAsia"/>
          <w:bCs/>
          <w:szCs w:val="18"/>
        </w:rPr>
        <w:t>地下区间纵向疏散平台的侧墙上应设置疏散指示标志和与疏散出入口的距离标识，不得侵占疏散平台宽度，间距不宜大于15m，高度宜设在平台上方2</w:t>
      </w:r>
      <w:r>
        <w:rPr>
          <w:rFonts w:hint="eastAsia"/>
        </w:rPr>
        <w:t>m内。</w:t>
      </w:r>
    </w:p>
    <w:p w14:paraId="6986BCE8">
      <w:pPr>
        <w:numPr>
          <w:ilvl w:val="2"/>
          <w:numId w:val="1"/>
        </w:numPr>
        <w:tabs>
          <w:tab w:val="left" w:pos="709"/>
          <w:tab w:val="left" w:pos="794"/>
          <w:tab w:val="left" w:pos="935"/>
          <w:tab w:val="left" w:pos="1502"/>
        </w:tabs>
        <w:outlineLvl w:val="2"/>
        <w:rPr>
          <w:bCs/>
          <w:szCs w:val="18"/>
        </w:rPr>
      </w:pPr>
      <w:r>
        <w:rPr>
          <w:rFonts w:hint="eastAsia"/>
          <w:bCs/>
          <w:szCs w:val="18"/>
        </w:rPr>
        <w:t>地下区间的横向联络通道口以及区间风井的防烟楼梯间、安全通道等安全出口处的疏散标志应为双面标识，且垂直于行车方向安装，标志下边缘宜与洞口上部齐平。</w:t>
      </w:r>
    </w:p>
    <w:p w14:paraId="7109F176">
      <w:pPr>
        <w:numPr>
          <w:ilvl w:val="2"/>
          <w:numId w:val="1"/>
        </w:numPr>
        <w:tabs>
          <w:tab w:val="left" w:pos="709"/>
          <w:tab w:val="left" w:pos="794"/>
          <w:tab w:val="left" w:pos="935"/>
          <w:tab w:val="left" w:pos="1502"/>
        </w:tabs>
        <w:outlineLvl w:val="2"/>
        <w:rPr>
          <w:bCs/>
        </w:rPr>
      </w:pPr>
      <w:r>
        <w:rPr>
          <w:rFonts w:hint="eastAsia"/>
          <w:bCs/>
        </w:rPr>
        <w:t>地下区间蓄光型标志牌应设在应急照明灯具附近，其表面照度不宜低于</w:t>
      </w:r>
      <w:r>
        <w:rPr>
          <w:bCs/>
        </w:rPr>
        <w:t>50lx</w:t>
      </w:r>
      <w:r>
        <w:rPr>
          <w:rFonts w:hint="eastAsia"/>
          <w:bCs/>
        </w:rPr>
        <w:t>。</w:t>
      </w:r>
    </w:p>
    <w:p w14:paraId="25812C43">
      <w:pPr>
        <w:numPr>
          <w:ilvl w:val="1"/>
          <w:numId w:val="1"/>
        </w:numPr>
        <w:tabs>
          <w:tab w:val="left" w:pos="794"/>
        </w:tabs>
        <w:snapToGrid w:val="0"/>
        <w:spacing w:before="156" w:after="156" w:line="240" w:lineRule="auto"/>
        <w:jc w:val="center"/>
        <w:outlineLvl w:val="1"/>
        <w:rPr>
          <w:rFonts w:eastAsia="黑体"/>
          <w:bCs/>
          <w:szCs w:val="28"/>
        </w:rPr>
      </w:pPr>
      <w:bookmarkStart w:id="2148" w:name="_Toc183882619"/>
      <w:bookmarkStart w:id="2149" w:name="_Toc183765266"/>
      <w:bookmarkStart w:id="2150" w:name="_Toc183882257"/>
      <w:bookmarkStart w:id="2151" w:name="_Toc183888309"/>
      <w:bookmarkStart w:id="2152" w:name="_Toc183888671"/>
      <w:bookmarkStart w:id="2153" w:name="_Toc183790696"/>
      <w:r>
        <w:rPr>
          <w:rFonts w:hint="eastAsia" w:eastAsia="黑体"/>
          <w:bCs/>
          <w:szCs w:val="28"/>
        </w:rPr>
        <w:t>防水淹</w:t>
      </w:r>
      <w:bookmarkEnd w:id="2148"/>
      <w:bookmarkEnd w:id="2149"/>
      <w:bookmarkEnd w:id="2150"/>
      <w:bookmarkEnd w:id="2151"/>
      <w:bookmarkEnd w:id="2152"/>
      <w:bookmarkEnd w:id="2153"/>
    </w:p>
    <w:p w14:paraId="678BCB7F">
      <w:pPr>
        <w:numPr>
          <w:ilvl w:val="2"/>
          <w:numId w:val="1"/>
        </w:numPr>
        <w:tabs>
          <w:tab w:val="left" w:pos="709"/>
          <w:tab w:val="left" w:pos="794"/>
          <w:tab w:val="left" w:pos="935"/>
          <w:tab w:val="left" w:pos="1502"/>
        </w:tabs>
        <w:outlineLvl w:val="2"/>
        <w:rPr>
          <w:bCs/>
        </w:rPr>
      </w:pPr>
      <w:r>
        <w:rPr>
          <w:rFonts w:hint="eastAsia"/>
          <w:bCs/>
        </w:rPr>
        <w:t>城市轨道交通属于重要的城市基础设施，其中与运营相关的建筑设施均应考虑防洪涝设计。</w:t>
      </w:r>
    </w:p>
    <w:p w14:paraId="790ABA13">
      <w:pPr>
        <w:numPr>
          <w:ilvl w:val="2"/>
          <w:numId w:val="1"/>
        </w:numPr>
        <w:tabs>
          <w:tab w:val="left" w:pos="709"/>
          <w:tab w:val="left" w:pos="794"/>
          <w:tab w:val="left" w:pos="935"/>
          <w:tab w:val="left" w:pos="1502"/>
        </w:tabs>
        <w:outlineLvl w:val="2"/>
        <w:rPr>
          <w:bCs/>
        </w:rPr>
      </w:pPr>
      <w:r>
        <w:rPr>
          <w:rFonts w:hint="eastAsia"/>
          <w:bCs/>
        </w:rPr>
        <w:t>防洪涝设计应遵循“以阻为主，以排为辅”的基本原则，同时应加强重点部位监控，建立完整的抢险救灾体系。</w:t>
      </w:r>
    </w:p>
    <w:p w14:paraId="2B915D2B">
      <w:pPr>
        <w:numPr>
          <w:ilvl w:val="2"/>
          <w:numId w:val="1"/>
        </w:numPr>
        <w:tabs>
          <w:tab w:val="left" w:pos="709"/>
          <w:tab w:val="left" w:pos="794"/>
          <w:tab w:val="left" w:pos="935"/>
          <w:tab w:val="left" w:pos="1502"/>
        </w:tabs>
        <w:outlineLvl w:val="2"/>
        <w:rPr>
          <w:bCs/>
        </w:rPr>
      </w:pPr>
      <w:r>
        <w:rPr>
          <w:rFonts w:hint="eastAsia"/>
          <w:bCs/>
        </w:rPr>
        <w:t>城市轨道交通的内涝防治设计重现期不应小于100年，当市域轨道交通、中低运能系统受到制式、地形等限制无法满足要求时应经专项论证确定。</w:t>
      </w:r>
    </w:p>
    <w:p w14:paraId="02B0149D">
      <w:pPr>
        <w:numPr>
          <w:ilvl w:val="2"/>
          <w:numId w:val="1"/>
        </w:numPr>
        <w:tabs>
          <w:tab w:val="left" w:pos="709"/>
          <w:tab w:val="left" w:pos="794"/>
          <w:tab w:val="left" w:pos="935"/>
          <w:tab w:val="left" w:pos="1502"/>
        </w:tabs>
        <w:outlineLvl w:val="2"/>
        <w:rPr>
          <w:bCs/>
        </w:rPr>
      </w:pPr>
      <w:r>
        <w:rPr>
          <w:rFonts w:hint="eastAsia"/>
          <w:bCs/>
        </w:rPr>
        <w:t>城市轨道交通在遭受不高于防淹设防标准的洪涝灾害时应能够保证运营安全，在遭受高于防淹设防标准的洪涝灾害时应保证人员安全并减少设备设施损失。</w:t>
      </w:r>
      <w:r>
        <w:rPr>
          <w:bCs/>
        </w:rPr>
        <w:t xml:space="preserve"> </w:t>
      </w:r>
    </w:p>
    <w:p w14:paraId="38138448">
      <w:pPr>
        <w:numPr>
          <w:ilvl w:val="2"/>
          <w:numId w:val="1"/>
        </w:numPr>
        <w:tabs>
          <w:tab w:val="left" w:pos="709"/>
          <w:tab w:val="left" w:pos="794"/>
          <w:tab w:val="left" w:pos="935"/>
          <w:tab w:val="left" w:pos="1502"/>
        </w:tabs>
        <w:outlineLvl w:val="2"/>
        <w:rPr>
          <w:bCs/>
        </w:rPr>
      </w:pPr>
      <w:r>
        <w:rPr>
          <w:rFonts w:hint="eastAsia"/>
          <w:bCs/>
        </w:rPr>
        <w:t>防淹设计防护标高应依据内涝防治规划要求及防洪涝专项研究确定。</w:t>
      </w:r>
    </w:p>
    <w:p w14:paraId="5FC68F4E">
      <w:pPr>
        <w:numPr>
          <w:ilvl w:val="2"/>
          <w:numId w:val="1"/>
        </w:numPr>
        <w:tabs>
          <w:tab w:val="left" w:pos="709"/>
          <w:tab w:val="left" w:pos="794"/>
          <w:tab w:val="left" w:pos="935"/>
          <w:tab w:val="left" w:pos="1502"/>
        </w:tabs>
        <w:outlineLvl w:val="2"/>
        <w:rPr>
          <w:bCs/>
        </w:rPr>
      </w:pPr>
      <w:r>
        <w:rPr>
          <w:rFonts w:hint="eastAsia"/>
          <w:bCs/>
        </w:rPr>
        <w:t>城市轨道交通的防洪涝设施应按照规划条件进行设计，当周边市政设施及场地建设迟于地铁建设时应考虑相关安全保障措施。</w:t>
      </w:r>
    </w:p>
    <w:p w14:paraId="5F748950">
      <w:pPr>
        <w:numPr>
          <w:ilvl w:val="2"/>
          <w:numId w:val="1"/>
        </w:numPr>
        <w:tabs>
          <w:tab w:val="left" w:pos="709"/>
          <w:tab w:val="left" w:pos="794"/>
          <w:tab w:val="left" w:pos="935"/>
          <w:tab w:val="left" w:pos="1502"/>
        </w:tabs>
        <w:outlineLvl w:val="2"/>
        <w:rPr>
          <w:bCs/>
        </w:rPr>
      </w:pPr>
      <w:r>
        <w:rPr>
          <w:rFonts w:hint="eastAsia"/>
          <w:bCs/>
        </w:rPr>
        <w:t>当城市轨道交通设施位于洪水影响范围内且水系防护标准低于城市轨道交通设施设防标准时，应考虑洪水影响。</w:t>
      </w:r>
    </w:p>
    <w:p w14:paraId="14C4A412">
      <w:pPr>
        <w:numPr>
          <w:ilvl w:val="2"/>
          <w:numId w:val="1"/>
        </w:numPr>
        <w:tabs>
          <w:tab w:val="left" w:pos="709"/>
          <w:tab w:val="left" w:pos="794"/>
          <w:tab w:val="left" w:pos="935"/>
          <w:tab w:val="left" w:pos="1502"/>
        </w:tabs>
        <w:outlineLvl w:val="2"/>
        <w:rPr>
          <w:bCs/>
        </w:rPr>
      </w:pPr>
      <w:r>
        <w:rPr>
          <w:rFonts w:hint="eastAsia"/>
          <w:bCs/>
        </w:rPr>
        <w:t>城市轨道交通车站的消防疏散通路、应急照明、事故广播、疏散口指示等防灾疏散体系在洪涝灾害情况下应能正常使用。</w:t>
      </w:r>
    </w:p>
    <w:p w14:paraId="56D7107E">
      <w:pPr>
        <w:numPr>
          <w:ilvl w:val="2"/>
          <w:numId w:val="1"/>
        </w:numPr>
        <w:tabs>
          <w:tab w:val="left" w:pos="709"/>
          <w:tab w:val="left" w:pos="794"/>
          <w:tab w:val="left" w:pos="935"/>
          <w:tab w:val="left" w:pos="1502"/>
        </w:tabs>
        <w:outlineLvl w:val="2"/>
        <w:rPr>
          <w:bCs/>
          <w:kern w:val="0"/>
        </w:rPr>
      </w:pPr>
      <w:r>
        <w:rPr>
          <w:rFonts w:hint="eastAsia"/>
          <w:bCs/>
        </w:rPr>
        <w:t>城市轨道交通的出入口、风亭应符合下列规定：</w:t>
      </w:r>
      <w:r>
        <w:rPr>
          <w:bCs/>
          <w:kern w:val="0"/>
        </w:rPr>
        <w:t xml:space="preserve"> </w:t>
      </w:r>
    </w:p>
    <w:p w14:paraId="13A09655">
      <w:pPr>
        <w:pStyle w:val="7"/>
        <w:ind w:firstLine="420"/>
      </w:pPr>
      <w:r>
        <w:rPr>
          <w:rFonts w:hint="eastAsia"/>
        </w:rPr>
        <w:t>地下车站的出入口地面亭不宜设置在地势低洼处，场地条件受限时应采取相应措施；</w:t>
      </w:r>
    </w:p>
    <w:p w14:paraId="12B3E537">
      <w:pPr>
        <w:pStyle w:val="7"/>
        <w:ind w:firstLine="420"/>
      </w:pPr>
      <w:r>
        <w:rPr>
          <w:rFonts w:hint="eastAsia"/>
        </w:rPr>
        <w:t>地下车站出入口、消防专用出入口和无障碍电梯口部的室内地面标高应满足防淹设计防护标高要求，同时高出室外地面不小于 0.4m。当受到场地条件限制无法满足标高要求时，应设置有效的防淹挡水设施。</w:t>
      </w:r>
    </w:p>
    <w:p w14:paraId="1A6D3A83">
      <w:pPr>
        <w:pStyle w:val="7"/>
        <w:ind w:firstLine="420"/>
      </w:pPr>
      <w:r>
        <w:rPr>
          <w:rFonts w:hint="eastAsia"/>
        </w:rPr>
        <w:t>风亭风口下沿、敞口风井及采光井挡墙上沿应不低于防淹设计防护标高，同时风亭风口下沿、敞口风井挡墙上沿应高出地面不小于1.1m；</w:t>
      </w:r>
    </w:p>
    <w:p w14:paraId="6B6A6AA9">
      <w:pPr>
        <w:pStyle w:val="7"/>
        <w:ind w:firstLine="420"/>
      </w:pPr>
      <w:r>
        <w:rPr>
          <w:rFonts w:hint="eastAsia"/>
        </w:rPr>
        <w:t>地下车站出入口采用敞口或下沉广场形式时，四周挡墙及地面口部标高应满足防淹设计防护标高要求，同时地面口部标高应高出室外地面不小于 0.45m；</w:t>
      </w:r>
    </w:p>
    <w:p w14:paraId="6C8AC2A3">
      <w:pPr>
        <w:pStyle w:val="7"/>
        <w:ind w:firstLine="420"/>
      </w:pPr>
      <w:r>
        <w:rPr>
          <w:rFonts w:hint="eastAsia"/>
        </w:rPr>
        <w:t>位于下沉广场的出入口、消防专用出入口、风口部位应设置防淹设施，同时出入口地面标高高出下沉广场地面不小于0.15m，风口下沿距下沉广场地面高度不小于1.1m；</w:t>
      </w:r>
    </w:p>
    <w:p w14:paraId="2259E120">
      <w:pPr>
        <w:pStyle w:val="7"/>
        <w:ind w:firstLine="420"/>
      </w:pPr>
      <w:r>
        <w:rPr>
          <w:rFonts w:hint="eastAsia"/>
        </w:rPr>
        <w:t>地下车站敞口出入口、敞口风井及隧道洞口的雨水排水系统设计重现期不应小于100年。</w:t>
      </w:r>
    </w:p>
    <w:p w14:paraId="6D1E507B">
      <w:pPr>
        <w:numPr>
          <w:ilvl w:val="2"/>
          <w:numId w:val="1"/>
        </w:numPr>
        <w:tabs>
          <w:tab w:val="left" w:pos="794"/>
          <w:tab w:val="left" w:pos="851"/>
          <w:tab w:val="left" w:pos="935"/>
          <w:tab w:val="left" w:pos="1502"/>
        </w:tabs>
        <w:outlineLvl w:val="2"/>
        <w:rPr>
          <w:bCs/>
        </w:rPr>
      </w:pPr>
      <w:r>
        <w:rPr>
          <w:bCs/>
        </w:rPr>
        <w:t>地下车站出入口、消防专用出入口</w:t>
      </w:r>
      <w:r>
        <w:rPr>
          <w:rFonts w:hint="eastAsia"/>
          <w:bCs/>
        </w:rPr>
        <w:t>、</w:t>
      </w:r>
      <w:r>
        <w:rPr>
          <w:bCs/>
        </w:rPr>
        <w:t>无障碍电梯</w:t>
      </w:r>
      <w:r>
        <w:rPr>
          <w:rFonts w:hint="eastAsia"/>
          <w:bCs/>
        </w:rPr>
        <w:t>、风亭、风井、采光井在防淹设计防护标高</w:t>
      </w:r>
      <w:r>
        <w:rPr>
          <w:bCs/>
        </w:rPr>
        <w:t>以下的</w:t>
      </w:r>
      <w:r>
        <w:rPr>
          <w:rFonts w:hint="eastAsia"/>
          <w:bCs/>
        </w:rPr>
        <w:t>地面围护结构</w:t>
      </w:r>
      <w:r>
        <w:rPr>
          <w:bCs/>
        </w:rPr>
        <w:t>应</w:t>
      </w:r>
      <w:r>
        <w:rPr>
          <w:rFonts w:hint="eastAsia"/>
          <w:bCs/>
        </w:rPr>
        <w:t>能抵抗水压及水流冲击</w:t>
      </w:r>
      <w:r>
        <w:rPr>
          <w:bCs/>
        </w:rPr>
        <w:t>。</w:t>
      </w:r>
    </w:p>
    <w:p w14:paraId="3F025FF1">
      <w:pPr>
        <w:numPr>
          <w:ilvl w:val="2"/>
          <w:numId w:val="1"/>
        </w:numPr>
        <w:tabs>
          <w:tab w:val="left" w:pos="794"/>
          <w:tab w:val="left" w:pos="851"/>
          <w:tab w:val="left" w:pos="935"/>
          <w:tab w:val="left" w:pos="1502"/>
        </w:tabs>
        <w:outlineLvl w:val="2"/>
        <w:rPr>
          <w:bCs/>
        </w:rPr>
      </w:pPr>
      <w:r>
        <w:rPr>
          <w:rFonts w:hint="eastAsia"/>
          <w:bCs/>
        </w:rPr>
        <w:t>地下车站出入口接入其它项目下沉广场、地下室或其它地下市政交通设施时应设置防淹设施。当防淹设防标准低于城市轨道交通时，应设置防淹门或可封闭入口的挡水设施。</w:t>
      </w:r>
      <w:r>
        <w:rPr>
          <w:bCs/>
        </w:rPr>
        <w:t>地下车站出入口通道与相邻地块地下室连接时，出入口通道地面</w:t>
      </w:r>
      <w:r>
        <w:rPr>
          <w:rFonts w:hint="eastAsia"/>
          <w:bCs/>
        </w:rPr>
        <w:t>宜</w:t>
      </w:r>
      <w:r>
        <w:rPr>
          <w:bCs/>
        </w:rPr>
        <w:t>向相邻地下室找坡，并应在连接口部设截水沟截水。</w:t>
      </w:r>
    </w:p>
    <w:p w14:paraId="592771B2">
      <w:pPr>
        <w:numPr>
          <w:ilvl w:val="2"/>
          <w:numId w:val="1"/>
        </w:numPr>
        <w:tabs>
          <w:tab w:val="left" w:pos="794"/>
          <w:tab w:val="left" w:pos="851"/>
          <w:tab w:val="left" w:pos="935"/>
          <w:tab w:val="left" w:pos="1502"/>
        </w:tabs>
        <w:outlineLvl w:val="2"/>
        <w:rPr>
          <w:bCs/>
        </w:rPr>
      </w:pPr>
      <w:r>
        <w:rPr>
          <w:rFonts w:hint="eastAsia"/>
          <w:bCs/>
        </w:rPr>
        <w:t>城市轨道交通的专用防淹阻水装备应满足以下要求：</w:t>
      </w:r>
      <w:r>
        <w:rPr>
          <w:bCs/>
        </w:rPr>
        <w:t xml:space="preserve"> </w:t>
      </w:r>
    </w:p>
    <w:p w14:paraId="5941AF00">
      <w:pPr>
        <w:pStyle w:val="7"/>
        <w:ind w:firstLine="420"/>
      </w:pPr>
      <w:r>
        <w:rPr>
          <w:rFonts w:hint="eastAsia"/>
        </w:rPr>
        <w:t>除位于地形高点无淹水风险的部位外，城市轨道交通应按照需求配置防淹阻水装备；出入口的开口部位应设置高度不小于0.50m的主动防淹挡水装置。</w:t>
      </w:r>
    </w:p>
    <w:p w14:paraId="47E37E13">
      <w:pPr>
        <w:pStyle w:val="7"/>
        <w:ind w:firstLine="420"/>
      </w:pPr>
      <w:r>
        <w:rPr>
          <w:rFonts w:hint="eastAsia"/>
        </w:rPr>
        <w:t>防淹阻水设备应能快速展开使用，分离式防淹挡板应设置专用存放位置就近存放；</w:t>
      </w:r>
    </w:p>
    <w:p w14:paraId="7D686807">
      <w:pPr>
        <w:pStyle w:val="7"/>
        <w:ind w:firstLine="420"/>
      </w:pPr>
      <w:r>
        <w:rPr>
          <w:rFonts w:hint="eastAsia"/>
        </w:rPr>
        <w:t>设置于口部的防淹阻水设备在日常备用的状态下不得影响正常的人员通行；</w:t>
      </w:r>
    </w:p>
    <w:p w14:paraId="296BDF89">
      <w:pPr>
        <w:pStyle w:val="7"/>
        <w:ind w:firstLine="420"/>
      </w:pPr>
      <w:r>
        <w:rPr>
          <w:rFonts w:hint="eastAsia"/>
        </w:rPr>
        <w:t>防淹挡板闸槽宜固定安装，在影响人员通行的部位可设置快装设施临时安装。</w:t>
      </w:r>
    </w:p>
    <w:p w14:paraId="2A6B6283">
      <w:pPr>
        <w:numPr>
          <w:ilvl w:val="2"/>
          <w:numId w:val="1"/>
        </w:numPr>
        <w:tabs>
          <w:tab w:val="left" w:pos="794"/>
          <w:tab w:val="left" w:pos="851"/>
          <w:tab w:val="left" w:pos="935"/>
          <w:tab w:val="left" w:pos="1502"/>
        </w:tabs>
        <w:outlineLvl w:val="2"/>
        <w:rPr>
          <w:bCs/>
        </w:rPr>
      </w:pPr>
      <w:r>
        <w:rPr>
          <w:bCs/>
        </w:rPr>
        <w:t>当</w:t>
      </w:r>
      <w:r>
        <w:rPr>
          <w:rFonts w:hint="eastAsia"/>
          <w:bCs/>
        </w:rPr>
        <w:t>城市轨道交通</w:t>
      </w:r>
      <w:r>
        <w:rPr>
          <w:bCs/>
        </w:rPr>
        <w:t>新建</w:t>
      </w:r>
      <w:r>
        <w:rPr>
          <w:rFonts w:hint="eastAsia"/>
          <w:bCs/>
        </w:rPr>
        <w:t>地下</w:t>
      </w:r>
      <w:r>
        <w:rPr>
          <w:bCs/>
        </w:rPr>
        <w:t>线路与既有线路有联通部位时</w:t>
      </w:r>
      <w:r>
        <w:rPr>
          <w:rFonts w:hint="eastAsia"/>
          <w:bCs/>
        </w:rPr>
        <w:t>及</w:t>
      </w:r>
      <w:r>
        <w:rPr>
          <w:bCs/>
        </w:rPr>
        <w:t>其它新建建筑与既有</w:t>
      </w:r>
      <w:r>
        <w:rPr>
          <w:rFonts w:hint="eastAsia"/>
          <w:bCs/>
        </w:rPr>
        <w:t>地下车站</w:t>
      </w:r>
      <w:r>
        <w:rPr>
          <w:bCs/>
        </w:rPr>
        <w:t>有联通部位时</w:t>
      </w:r>
      <w:r>
        <w:rPr>
          <w:rFonts w:hint="eastAsia"/>
          <w:bCs/>
        </w:rPr>
        <w:t>，</w:t>
      </w:r>
      <w:r>
        <w:rPr>
          <w:bCs/>
        </w:rPr>
        <w:t>联通部位应设置有效的防</w:t>
      </w:r>
      <w:r>
        <w:rPr>
          <w:rFonts w:hint="eastAsia"/>
          <w:bCs/>
        </w:rPr>
        <w:t>淹挡水分隔</w:t>
      </w:r>
      <w:r>
        <w:rPr>
          <w:bCs/>
        </w:rPr>
        <w:t>设施，分隔设施在</w:t>
      </w:r>
      <w:r>
        <w:rPr>
          <w:rFonts w:hint="eastAsia"/>
          <w:bCs/>
        </w:rPr>
        <w:t>新建项目竣工</w:t>
      </w:r>
      <w:r>
        <w:rPr>
          <w:bCs/>
        </w:rPr>
        <w:t>前方可拆除。</w:t>
      </w:r>
    </w:p>
    <w:p w14:paraId="74AF09F6">
      <w:pPr>
        <w:numPr>
          <w:ilvl w:val="2"/>
          <w:numId w:val="1"/>
        </w:numPr>
        <w:tabs>
          <w:tab w:val="left" w:pos="794"/>
          <w:tab w:val="left" w:pos="851"/>
          <w:tab w:val="left" w:pos="935"/>
          <w:tab w:val="left" w:pos="1502"/>
        </w:tabs>
        <w:outlineLvl w:val="2"/>
        <w:rPr>
          <w:bCs/>
        </w:rPr>
      </w:pPr>
      <w:r>
        <w:rPr>
          <w:rFonts w:hint="eastAsia"/>
          <w:bCs/>
        </w:rPr>
        <w:t>区间线路入地点应符合下列规定：</w:t>
      </w:r>
      <w:r>
        <w:rPr>
          <w:bCs/>
        </w:rPr>
        <w:t xml:space="preserve"> </w:t>
      </w:r>
    </w:p>
    <w:p w14:paraId="7A1E226B">
      <w:pPr>
        <w:pStyle w:val="7"/>
        <w:ind w:firstLine="420"/>
      </w:pPr>
      <w:r>
        <w:rPr>
          <w:rFonts w:hint="eastAsia"/>
        </w:rPr>
        <w:t>入地点整体道床顶面标高应满足防淹设计防护标高要求且高于外部地面标高0.5m；</w:t>
      </w:r>
    </w:p>
    <w:p w14:paraId="711B4D0B">
      <w:pPr>
        <w:pStyle w:val="7"/>
        <w:ind w:firstLine="420"/>
      </w:pPr>
      <w:r>
        <w:rPr>
          <w:rFonts w:hint="eastAsia"/>
        </w:rPr>
        <w:t xml:space="preserve">入地点U型槽侧墙上沿标高应满足防淹设计防护标高要求且高出周边地面不低于1.1m，墙体应采用钢筋混凝土结构，强度满足挡水要求； </w:t>
      </w:r>
    </w:p>
    <w:p w14:paraId="3F6787AC">
      <w:pPr>
        <w:pStyle w:val="7"/>
        <w:ind w:firstLine="420"/>
      </w:pPr>
      <w:r>
        <w:rPr>
          <w:rFonts w:hint="eastAsia"/>
        </w:rPr>
        <w:t>U型槽侧墙地面长度应超出入地点2m，并在口部设置防淹挡水装置，防洪涝挡板及防淹沙袋等就近存储；</w:t>
      </w:r>
    </w:p>
    <w:p w14:paraId="01CCA1E3">
      <w:pPr>
        <w:numPr>
          <w:ilvl w:val="2"/>
          <w:numId w:val="1"/>
        </w:numPr>
        <w:tabs>
          <w:tab w:val="left" w:pos="794"/>
          <w:tab w:val="left" w:pos="851"/>
          <w:tab w:val="left" w:pos="935"/>
          <w:tab w:val="left" w:pos="1502"/>
        </w:tabs>
        <w:outlineLvl w:val="2"/>
        <w:rPr>
          <w:bCs/>
        </w:rPr>
      </w:pPr>
      <w:r>
        <w:rPr>
          <w:rFonts w:hint="eastAsia"/>
          <w:bCs/>
        </w:rPr>
        <w:t>市域快轨系统、地铁系统、轻轨系统的地面区间线路轨底标高不应低于防淹设计防护标高。</w:t>
      </w:r>
    </w:p>
    <w:p w14:paraId="226B311F">
      <w:pPr>
        <w:numPr>
          <w:ilvl w:val="2"/>
          <w:numId w:val="1"/>
        </w:numPr>
        <w:tabs>
          <w:tab w:val="left" w:pos="794"/>
          <w:tab w:val="left" w:pos="851"/>
          <w:tab w:val="left" w:pos="935"/>
          <w:tab w:val="left" w:pos="1502"/>
        </w:tabs>
        <w:outlineLvl w:val="2"/>
        <w:rPr>
          <w:bCs/>
        </w:rPr>
      </w:pPr>
      <w:r>
        <w:rPr>
          <w:rFonts w:hint="eastAsia"/>
          <w:bCs/>
        </w:rPr>
        <w:t>与地下区间相通的设备用房、风井、采光井等出地面的口部防淹要求同28</w:t>
      </w:r>
      <w:r>
        <w:rPr>
          <w:bCs/>
        </w:rPr>
        <w:t>.</w:t>
      </w:r>
      <w:r>
        <w:rPr>
          <w:rFonts w:hint="eastAsia"/>
          <w:bCs/>
        </w:rPr>
        <w:t>8</w:t>
      </w:r>
      <w:r>
        <w:rPr>
          <w:bCs/>
        </w:rPr>
        <w:t>.</w:t>
      </w:r>
      <w:r>
        <w:rPr>
          <w:rFonts w:hint="eastAsia"/>
          <w:bCs/>
        </w:rPr>
        <w:t>9、24</w:t>
      </w:r>
      <w:r>
        <w:rPr>
          <w:bCs/>
        </w:rPr>
        <w:t>.</w:t>
      </w:r>
      <w:r>
        <w:rPr>
          <w:rFonts w:hint="eastAsia"/>
          <w:bCs/>
        </w:rPr>
        <w:t>8</w:t>
      </w:r>
      <w:r>
        <w:rPr>
          <w:bCs/>
        </w:rPr>
        <w:t>.</w:t>
      </w:r>
      <w:r>
        <w:rPr>
          <w:rFonts w:hint="eastAsia"/>
          <w:bCs/>
        </w:rPr>
        <w:t>10条。</w:t>
      </w:r>
    </w:p>
    <w:p w14:paraId="054839D3">
      <w:pPr>
        <w:numPr>
          <w:ilvl w:val="2"/>
          <w:numId w:val="1"/>
        </w:numPr>
        <w:tabs>
          <w:tab w:val="left" w:pos="794"/>
          <w:tab w:val="left" w:pos="851"/>
          <w:tab w:val="left" w:pos="935"/>
          <w:tab w:val="left" w:pos="1502"/>
        </w:tabs>
        <w:outlineLvl w:val="2"/>
        <w:rPr>
          <w:bCs/>
        </w:rPr>
      </w:pPr>
      <w:r>
        <w:rPr>
          <w:bCs/>
        </w:rPr>
        <w:t>地下联络线宜设置防淹门。</w:t>
      </w:r>
    </w:p>
    <w:p w14:paraId="3EDF09AD">
      <w:pPr>
        <w:numPr>
          <w:ilvl w:val="2"/>
          <w:numId w:val="1"/>
        </w:numPr>
        <w:tabs>
          <w:tab w:val="left" w:pos="794"/>
          <w:tab w:val="left" w:pos="851"/>
          <w:tab w:val="left" w:pos="935"/>
          <w:tab w:val="left" w:pos="1502"/>
        </w:tabs>
        <w:outlineLvl w:val="2"/>
        <w:rPr>
          <w:bCs/>
        </w:rPr>
      </w:pPr>
      <w:r>
        <w:rPr>
          <w:bCs/>
        </w:rPr>
        <w:t>车辆基地选址不宜位于低洼的城市泄洪区。</w:t>
      </w:r>
    </w:p>
    <w:p w14:paraId="0D830A44">
      <w:pPr>
        <w:numPr>
          <w:ilvl w:val="2"/>
          <w:numId w:val="1"/>
        </w:numPr>
        <w:tabs>
          <w:tab w:val="left" w:pos="794"/>
          <w:tab w:val="left" w:pos="851"/>
          <w:tab w:val="left" w:pos="935"/>
          <w:tab w:val="left" w:pos="1502"/>
        </w:tabs>
        <w:outlineLvl w:val="2"/>
        <w:rPr>
          <w:bCs/>
        </w:rPr>
      </w:pPr>
      <w:r>
        <w:rPr>
          <w:bCs/>
        </w:rPr>
        <w:t>车辆基地的场地设计标高不应低于防淹设计防护标高，当条件所限无法满足时，应通过专项论证确定。</w:t>
      </w:r>
    </w:p>
    <w:p w14:paraId="772D9310">
      <w:pPr>
        <w:numPr>
          <w:ilvl w:val="2"/>
          <w:numId w:val="1"/>
        </w:numPr>
        <w:tabs>
          <w:tab w:val="left" w:pos="794"/>
          <w:tab w:val="left" w:pos="851"/>
          <w:tab w:val="left" w:pos="935"/>
          <w:tab w:val="left" w:pos="1502"/>
        </w:tabs>
        <w:outlineLvl w:val="2"/>
        <w:rPr>
          <w:bCs/>
        </w:rPr>
      </w:pPr>
      <w:r>
        <w:rPr>
          <w:bCs/>
        </w:rPr>
        <w:t>场地局部低于周边地面部位需设有挡水能力的墙体，挡水高度高于防淹设计防护标高，且高于外侧地面不小于 0.5m。</w:t>
      </w:r>
    </w:p>
    <w:p w14:paraId="2A6FCE24">
      <w:pPr>
        <w:numPr>
          <w:ilvl w:val="2"/>
          <w:numId w:val="1"/>
        </w:numPr>
        <w:tabs>
          <w:tab w:val="left" w:pos="794"/>
          <w:tab w:val="left" w:pos="851"/>
          <w:tab w:val="left" w:pos="935"/>
          <w:tab w:val="left" w:pos="1502"/>
        </w:tabs>
        <w:outlineLvl w:val="2"/>
        <w:rPr>
          <w:bCs/>
        </w:rPr>
      </w:pPr>
      <w:r>
        <w:rPr>
          <w:bCs/>
        </w:rPr>
        <w:t>车辆基地出入口部位道路标高应高于外部道路低点不小于0.2m且不低于设计内洪涝防护水位，当标高无法满足要求时应设置防淹挡水设施。</w:t>
      </w:r>
    </w:p>
    <w:p w14:paraId="1E440256">
      <w:pPr>
        <w:numPr>
          <w:ilvl w:val="2"/>
          <w:numId w:val="1"/>
        </w:numPr>
        <w:tabs>
          <w:tab w:val="left" w:pos="794"/>
          <w:tab w:val="left" w:pos="851"/>
          <w:tab w:val="left" w:pos="935"/>
          <w:tab w:val="left" w:pos="1502"/>
        </w:tabs>
        <w:outlineLvl w:val="2"/>
        <w:rPr>
          <w:bCs/>
        </w:rPr>
      </w:pPr>
      <w:r>
        <w:rPr>
          <w:bCs/>
        </w:rPr>
        <w:t>地下出入线U型槽</w:t>
      </w:r>
      <w:r>
        <w:rPr>
          <w:rFonts w:hint="eastAsia"/>
          <w:bCs/>
        </w:rPr>
        <w:t>墙体</w:t>
      </w:r>
      <w:r>
        <w:rPr>
          <w:bCs/>
        </w:rPr>
        <w:t>高出场</w:t>
      </w:r>
      <w:r>
        <w:rPr>
          <w:rFonts w:hint="eastAsia"/>
          <w:bCs/>
        </w:rPr>
        <w:t>地</w:t>
      </w:r>
      <w:r>
        <w:rPr>
          <w:bCs/>
        </w:rPr>
        <w:t>标高不低于1.1m，</w:t>
      </w:r>
      <w:r>
        <w:rPr>
          <w:rFonts w:hint="eastAsia"/>
          <w:bCs/>
        </w:rPr>
        <w:t>墙体应采用钢筋混凝土结构，</w:t>
      </w:r>
      <w:r>
        <w:rPr>
          <w:bCs/>
        </w:rPr>
        <w:t>强度满足挡水要求。</w:t>
      </w:r>
    </w:p>
    <w:p w14:paraId="321A6D1E">
      <w:pPr>
        <w:numPr>
          <w:ilvl w:val="2"/>
          <w:numId w:val="1"/>
        </w:numPr>
        <w:tabs>
          <w:tab w:val="left" w:pos="794"/>
          <w:tab w:val="left" w:pos="851"/>
          <w:tab w:val="left" w:pos="935"/>
          <w:tab w:val="left" w:pos="1502"/>
        </w:tabs>
        <w:outlineLvl w:val="2"/>
        <w:rPr>
          <w:bCs/>
        </w:rPr>
      </w:pPr>
      <w:r>
        <w:rPr>
          <w:bCs/>
        </w:rPr>
        <w:t>车辆基地应按照国家及地方的海绵城市标准设置雨水调蓄设施。</w:t>
      </w:r>
    </w:p>
    <w:p w14:paraId="3AD8E380">
      <w:pPr>
        <w:numPr>
          <w:ilvl w:val="2"/>
          <w:numId w:val="1"/>
        </w:numPr>
        <w:tabs>
          <w:tab w:val="left" w:pos="794"/>
          <w:tab w:val="left" w:pos="851"/>
          <w:tab w:val="left" w:pos="935"/>
          <w:tab w:val="left" w:pos="1502"/>
        </w:tabs>
        <w:outlineLvl w:val="2"/>
        <w:rPr>
          <w:bCs/>
        </w:rPr>
      </w:pPr>
      <w:r>
        <w:rPr>
          <w:rFonts w:hint="eastAsia"/>
          <w:bCs/>
        </w:rPr>
        <w:t>出入口室内地面标高应满足防淹设计防护标高要求，当控制中心地下车库出入口无法满足时，应设置防淹设施</w:t>
      </w:r>
      <w:r>
        <w:rPr>
          <w:bCs/>
        </w:rPr>
        <w:t>。</w:t>
      </w:r>
    </w:p>
    <w:p w14:paraId="2D9C89E8">
      <w:pPr>
        <w:numPr>
          <w:ilvl w:val="2"/>
          <w:numId w:val="1"/>
        </w:numPr>
        <w:tabs>
          <w:tab w:val="left" w:pos="794"/>
          <w:tab w:val="left" w:pos="851"/>
          <w:tab w:val="left" w:pos="935"/>
          <w:tab w:val="left" w:pos="1502"/>
        </w:tabs>
        <w:outlineLvl w:val="2"/>
        <w:rPr>
          <w:bCs/>
        </w:rPr>
      </w:pPr>
      <w:r>
        <w:rPr>
          <w:rFonts w:hint="eastAsia"/>
          <w:bCs/>
        </w:rPr>
        <w:t>当控制中心、主变电所与其它建筑合建时，宜划分独立的防淹防护区域，如与其它部位有不可封闭的联通时，合建建筑应满足城市轨道交通的防淹设防标准。</w:t>
      </w:r>
    </w:p>
    <w:p w14:paraId="69634C0A">
      <w:pPr>
        <w:numPr>
          <w:ilvl w:val="2"/>
          <w:numId w:val="1"/>
        </w:numPr>
        <w:tabs>
          <w:tab w:val="left" w:pos="794"/>
          <w:tab w:val="left" w:pos="851"/>
          <w:tab w:val="left" w:pos="935"/>
          <w:tab w:val="left" w:pos="1502"/>
        </w:tabs>
        <w:outlineLvl w:val="2"/>
        <w:rPr>
          <w:bCs/>
        </w:rPr>
      </w:pPr>
      <w:r>
        <w:rPr>
          <w:rFonts w:hint="eastAsia"/>
          <w:bCs/>
        </w:rPr>
        <w:t>地下主变电所的防洪涝设计应按照地下车站设防标准执行。</w:t>
      </w:r>
    </w:p>
    <w:p w14:paraId="216915C5">
      <w:pPr>
        <w:numPr>
          <w:ilvl w:val="2"/>
          <w:numId w:val="1"/>
        </w:numPr>
        <w:tabs>
          <w:tab w:val="left" w:pos="794"/>
          <w:tab w:val="left" w:pos="851"/>
          <w:tab w:val="left" w:pos="935"/>
          <w:tab w:val="left" w:pos="1502"/>
        </w:tabs>
        <w:outlineLvl w:val="2"/>
        <w:rPr>
          <w:bCs/>
        </w:rPr>
      </w:pPr>
      <w:r>
        <w:rPr>
          <w:rFonts w:hint="eastAsia"/>
          <w:bCs/>
        </w:rPr>
        <w:t>区间线路入地点地面口部、地下出入段线隧道的地面口部位置应设置</w:t>
      </w:r>
      <w:r>
        <w:rPr>
          <w:bCs/>
        </w:rPr>
        <w:t>水位</w:t>
      </w:r>
      <w:r>
        <w:rPr>
          <w:rFonts w:hint="eastAsia"/>
          <w:bCs/>
        </w:rPr>
        <w:t>监测系统或可观测水位的高清</w:t>
      </w:r>
      <w:r>
        <w:rPr>
          <w:bCs/>
        </w:rPr>
        <w:t>视频</w:t>
      </w:r>
      <w:r>
        <w:rPr>
          <w:rFonts w:hint="eastAsia"/>
          <w:bCs/>
        </w:rPr>
        <w:t>监视系统，</w:t>
      </w:r>
      <w:r>
        <w:rPr>
          <w:bCs/>
        </w:rPr>
        <w:t>水位报警及视频</w:t>
      </w:r>
      <w:r>
        <w:rPr>
          <w:rFonts w:hint="eastAsia"/>
          <w:bCs/>
        </w:rPr>
        <w:t>监视信号</w:t>
      </w:r>
      <w:r>
        <w:rPr>
          <w:bCs/>
        </w:rPr>
        <w:t>应接至</w:t>
      </w:r>
      <w:r>
        <w:rPr>
          <w:rFonts w:hint="eastAsia"/>
          <w:bCs/>
        </w:rPr>
        <w:t>邻近</w:t>
      </w:r>
      <w:r>
        <w:rPr>
          <w:bCs/>
        </w:rPr>
        <w:t>车站</w:t>
      </w:r>
      <w:r>
        <w:rPr>
          <w:rFonts w:hint="eastAsia"/>
          <w:bCs/>
        </w:rPr>
        <w:t>或</w:t>
      </w:r>
      <w:r>
        <w:rPr>
          <w:bCs/>
        </w:rPr>
        <w:t>车辆基地</w:t>
      </w:r>
      <w:r>
        <w:rPr>
          <w:rFonts w:hint="eastAsia"/>
          <w:bCs/>
        </w:rPr>
        <w:t>主</w:t>
      </w:r>
      <w:r>
        <w:rPr>
          <w:bCs/>
        </w:rPr>
        <w:t>控室。</w:t>
      </w:r>
    </w:p>
    <w:p w14:paraId="5774DCE3">
      <w:pPr>
        <w:pStyle w:val="4"/>
      </w:pPr>
      <w:bookmarkStart w:id="2154" w:name="_Toc183882620"/>
      <w:bookmarkStart w:id="2155" w:name="_Toc183765267"/>
      <w:bookmarkStart w:id="2156" w:name="_Toc183882258"/>
      <w:bookmarkStart w:id="2157" w:name="_Toc183888672"/>
      <w:bookmarkStart w:id="2158" w:name="_Toc183790697"/>
      <w:bookmarkStart w:id="2159" w:name="_Toc183888310"/>
      <w:r>
        <w:rPr>
          <w:rFonts w:hint="eastAsia"/>
        </w:rPr>
        <w:t>其他灾害预防和报警</w:t>
      </w:r>
      <w:bookmarkEnd w:id="2147"/>
      <w:bookmarkEnd w:id="2154"/>
      <w:bookmarkEnd w:id="2155"/>
      <w:bookmarkEnd w:id="2156"/>
      <w:bookmarkEnd w:id="2157"/>
      <w:bookmarkEnd w:id="2158"/>
      <w:bookmarkEnd w:id="2159"/>
    </w:p>
    <w:p w14:paraId="394AE4C1">
      <w:pPr>
        <w:numPr>
          <w:ilvl w:val="2"/>
          <w:numId w:val="1"/>
        </w:numPr>
        <w:tabs>
          <w:tab w:val="left" w:pos="709"/>
          <w:tab w:val="left" w:pos="794"/>
          <w:tab w:val="left" w:pos="935"/>
          <w:tab w:val="left" w:pos="1502"/>
        </w:tabs>
        <w:outlineLvl w:val="2"/>
        <w:rPr>
          <w:bCs/>
        </w:rPr>
      </w:pPr>
      <w:r>
        <w:rPr>
          <w:rFonts w:hint="eastAsia"/>
          <w:bCs/>
        </w:rPr>
        <w:t>地下车站的人防设防等级、防化等级等设计标准应符合北京人防规划要求，人防出入口、风亭（井）等附属设施的设置原则及要求应符合现行国家标准《人民防空工程设计规范》GB 50225的相关要求。</w:t>
      </w:r>
    </w:p>
    <w:p w14:paraId="0936965C">
      <w:pPr>
        <w:numPr>
          <w:ilvl w:val="2"/>
          <w:numId w:val="1"/>
        </w:numPr>
        <w:tabs>
          <w:tab w:val="left" w:pos="709"/>
          <w:tab w:val="left" w:pos="794"/>
          <w:tab w:val="left" w:pos="935"/>
          <w:tab w:val="left" w:pos="1502"/>
        </w:tabs>
        <w:outlineLvl w:val="2"/>
        <w:rPr>
          <w:bCs/>
        </w:rPr>
      </w:pPr>
      <w:r>
        <w:rPr>
          <w:rFonts w:hint="eastAsia"/>
          <w:bCs/>
        </w:rPr>
        <w:t>高架车站、车辆基地等地面建筑物和地上线路的防雷击措施应各设备专业的规定执行。</w:t>
      </w:r>
    </w:p>
    <w:p w14:paraId="0E32FD86">
      <w:pPr>
        <w:numPr>
          <w:ilvl w:val="2"/>
          <w:numId w:val="1"/>
        </w:numPr>
        <w:tabs>
          <w:tab w:val="left" w:pos="709"/>
          <w:tab w:val="left" w:pos="794"/>
          <w:tab w:val="left" w:pos="935"/>
          <w:tab w:val="left" w:pos="1502"/>
        </w:tabs>
        <w:outlineLvl w:val="2"/>
        <w:rPr>
          <w:bCs/>
        </w:rPr>
      </w:pPr>
      <w:r>
        <w:rPr>
          <w:rFonts w:hint="eastAsia"/>
          <w:bCs/>
        </w:rPr>
        <w:t>轨道交通杂散电流腐蚀防护要求应符合本规范第16.10节的有关规定。</w:t>
      </w:r>
    </w:p>
    <w:p w14:paraId="5534B6B3">
      <w:pPr>
        <w:numPr>
          <w:ilvl w:val="2"/>
          <w:numId w:val="1"/>
        </w:numPr>
        <w:tabs>
          <w:tab w:val="left" w:pos="709"/>
          <w:tab w:val="left" w:pos="794"/>
          <w:tab w:val="left" w:pos="935"/>
          <w:tab w:val="left" w:pos="1502"/>
        </w:tabs>
        <w:outlineLvl w:val="2"/>
        <w:rPr>
          <w:bCs/>
        </w:rPr>
      </w:pPr>
      <w:r>
        <w:rPr>
          <w:rFonts w:hint="eastAsia"/>
          <w:bCs/>
        </w:rPr>
        <w:t>地上线路的架空接触网接触线设置应满足防风要求。</w:t>
      </w:r>
    </w:p>
    <w:p w14:paraId="6251D3A2">
      <w:pPr>
        <w:numPr>
          <w:ilvl w:val="2"/>
          <w:numId w:val="1"/>
        </w:numPr>
        <w:tabs>
          <w:tab w:val="left" w:pos="709"/>
          <w:tab w:val="left" w:pos="794"/>
          <w:tab w:val="left" w:pos="935"/>
          <w:tab w:val="left" w:pos="1502"/>
        </w:tabs>
        <w:outlineLvl w:val="2"/>
        <w:rPr>
          <w:bCs/>
        </w:rPr>
      </w:pPr>
      <w:r>
        <w:rPr>
          <w:rFonts w:hint="eastAsia"/>
          <w:bCs/>
        </w:rPr>
        <w:t>轨道交通应具备接收北京市气象部门的气象预报功能。</w:t>
      </w:r>
    </w:p>
    <w:p w14:paraId="7830C930">
      <w:pPr>
        <w:numPr>
          <w:ilvl w:val="2"/>
          <w:numId w:val="1"/>
        </w:numPr>
        <w:tabs>
          <w:tab w:val="left" w:pos="709"/>
          <w:tab w:val="left" w:pos="794"/>
          <w:tab w:val="left" w:pos="935"/>
          <w:tab w:val="left" w:pos="1502"/>
        </w:tabs>
        <w:outlineLvl w:val="2"/>
      </w:pPr>
      <w:r>
        <w:rPr>
          <w:rFonts w:hint="eastAsia"/>
        </w:rPr>
        <w:t>轨道交通应具备接收北京市地震预报部门的电话报警或网络通信报警功能。</w:t>
      </w:r>
    </w:p>
    <w:p w14:paraId="02A32064"/>
    <w:p w14:paraId="471E49CF">
      <w:pPr>
        <w:pStyle w:val="3"/>
      </w:pPr>
      <w:r>
        <w:br w:type="page"/>
      </w:r>
      <w:bookmarkStart w:id="2160" w:name="_Toc183735433"/>
      <w:bookmarkStart w:id="2161" w:name="_Toc183882621"/>
      <w:bookmarkStart w:id="2162" w:name="_Toc183882259"/>
      <w:bookmarkStart w:id="2163" w:name="_Toc183683653"/>
      <w:bookmarkStart w:id="2164" w:name="_Toc183765268"/>
      <w:bookmarkStart w:id="2165" w:name="_Toc183888673"/>
      <w:bookmarkStart w:id="2166" w:name="_Toc183888311"/>
      <w:bookmarkStart w:id="2167" w:name="_Toc183699889"/>
      <w:bookmarkStart w:id="2168" w:name="_Toc183790698"/>
      <w:r>
        <w:t>环</w:t>
      </w:r>
      <w:r>
        <w:rPr>
          <w:rFonts w:hint="eastAsia"/>
        </w:rPr>
        <w:t>保节能</w:t>
      </w:r>
      <w:bookmarkEnd w:id="2160"/>
      <w:bookmarkEnd w:id="2161"/>
      <w:bookmarkEnd w:id="2162"/>
      <w:bookmarkEnd w:id="2163"/>
      <w:bookmarkEnd w:id="2164"/>
      <w:bookmarkEnd w:id="2165"/>
      <w:bookmarkEnd w:id="2166"/>
      <w:bookmarkEnd w:id="2167"/>
      <w:bookmarkEnd w:id="2168"/>
    </w:p>
    <w:bookmarkEnd w:id="2085"/>
    <w:p w14:paraId="70026DDB">
      <w:pPr>
        <w:pStyle w:val="4"/>
        <w:tabs>
          <w:tab w:val="clear" w:pos="462"/>
          <w:tab w:val="clear" w:pos="794"/>
        </w:tabs>
      </w:pPr>
      <w:bookmarkStart w:id="2169" w:name="_Toc183790699"/>
      <w:bookmarkStart w:id="2170" w:name="_Toc174462154"/>
      <w:bookmarkStart w:id="2171" w:name="_Toc183882622"/>
      <w:bookmarkStart w:id="2172" w:name="_Toc183888312"/>
      <w:bookmarkStart w:id="2173" w:name="_Toc183765269"/>
      <w:bookmarkStart w:id="2174" w:name="_Toc183882260"/>
      <w:bookmarkStart w:id="2175" w:name="_Toc183888674"/>
      <w:bookmarkStart w:id="2176" w:name="_Toc183683654"/>
      <w:r>
        <w:t>一般规定</w:t>
      </w:r>
      <w:bookmarkEnd w:id="2169"/>
      <w:bookmarkEnd w:id="2170"/>
      <w:bookmarkEnd w:id="2171"/>
      <w:bookmarkEnd w:id="2172"/>
      <w:bookmarkEnd w:id="2173"/>
      <w:bookmarkEnd w:id="2174"/>
      <w:bookmarkEnd w:id="2175"/>
      <w:bookmarkEnd w:id="2176"/>
    </w:p>
    <w:p w14:paraId="283D4B5E">
      <w:pPr>
        <w:numPr>
          <w:ilvl w:val="2"/>
          <w:numId w:val="1"/>
        </w:numPr>
        <w:tabs>
          <w:tab w:val="left" w:pos="709"/>
          <w:tab w:val="left" w:pos="794"/>
        </w:tabs>
        <w:jc w:val="left"/>
        <w:outlineLvl w:val="2"/>
        <w:rPr>
          <w:bCs/>
        </w:rPr>
      </w:pPr>
      <w:r>
        <w:rPr>
          <w:bCs/>
        </w:rPr>
        <w:t>城市轨道交通设计应采取必要的环境保护措施，达到国家及北京市的各项环境保护标准的要求。</w:t>
      </w:r>
    </w:p>
    <w:p w14:paraId="528122B3">
      <w:pPr>
        <w:numPr>
          <w:ilvl w:val="2"/>
          <w:numId w:val="1"/>
        </w:numPr>
        <w:tabs>
          <w:tab w:val="left" w:pos="709"/>
          <w:tab w:val="left" w:pos="794"/>
        </w:tabs>
        <w:jc w:val="left"/>
        <w:outlineLvl w:val="2"/>
        <w:rPr>
          <w:bCs/>
        </w:rPr>
      </w:pPr>
      <w:r>
        <w:rPr>
          <w:rFonts w:hint="eastAsia"/>
          <w:bCs/>
        </w:rPr>
        <w:t>城市轨道交通设计应遵循碳排放减量化原则，采取必要的节能措施降低能源消耗，并宜优先利用可再生能源。</w:t>
      </w:r>
    </w:p>
    <w:p w14:paraId="3F1D06CB">
      <w:pPr>
        <w:numPr>
          <w:ilvl w:val="2"/>
          <w:numId w:val="1"/>
        </w:numPr>
        <w:tabs>
          <w:tab w:val="left" w:pos="709"/>
          <w:tab w:val="left" w:pos="794"/>
        </w:tabs>
        <w:jc w:val="left"/>
        <w:outlineLvl w:val="2"/>
        <w:rPr>
          <w:bCs/>
        </w:rPr>
      </w:pPr>
      <w:r>
        <w:rPr>
          <w:rFonts w:hint="eastAsia"/>
          <w:bCs/>
        </w:rPr>
        <w:t>除本规范规定外，轨道交通环保与节能设计尚应符合现行地方标准DB11/T 838《地铁噪声与振动控制规范》和D11/T 1486《城市轨道交通节能技术规范》的有关规定。</w:t>
      </w:r>
    </w:p>
    <w:p w14:paraId="579A6473">
      <w:pPr>
        <w:pStyle w:val="4"/>
        <w:tabs>
          <w:tab w:val="clear" w:pos="462"/>
          <w:tab w:val="clear" w:pos="794"/>
        </w:tabs>
      </w:pPr>
      <w:bookmarkStart w:id="2177" w:name="_Toc183888675"/>
      <w:bookmarkStart w:id="2178" w:name="_Toc183882623"/>
      <w:bookmarkStart w:id="2179" w:name="_Toc183790700"/>
      <w:bookmarkStart w:id="2180" w:name="_Toc183888313"/>
      <w:bookmarkStart w:id="2181" w:name="_Toc183882261"/>
      <w:bookmarkStart w:id="2182" w:name="_Toc183683655"/>
      <w:bookmarkStart w:id="2183" w:name="_Toc183765270"/>
      <w:r>
        <w:rPr>
          <w:rFonts w:hint="eastAsia"/>
        </w:rPr>
        <w:t>环境保护</w:t>
      </w:r>
      <w:bookmarkEnd w:id="2177"/>
      <w:bookmarkEnd w:id="2178"/>
      <w:bookmarkEnd w:id="2179"/>
      <w:bookmarkEnd w:id="2180"/>
      <w:bookmarkEnd w:id="2181"/>
      <w:bookmarkEnd w:id="2182"/>
      <w:bookmarkEnd w:id="2183"/>
    </w:p>
    <w:p w14:paraId="590C6D49">
      <w:pPr>
        <w:numPr>
          <w:ilvl w:val="2"/>
          <w:numId w:val="1"/>
        </w:numPr>
        <w:tabs>
          <w:tab w:val="left" w:pos="709"/>
          <w:tab w:val="left" w:pos="794"/>
        </w:tabs>
        <w:jc w:val="left"/>
        <w:outlineLvl w:val="2"/>
        <w:rPr>
          <w:bCs/>
        </w:rPr>
      </w:pPr>
      <w:r>
        <w:rPr>
          <w:bCs/>
        </w:rPr>
        <w:t>环境保护设计应遵循统一规划、合理布局、综合治理、防治结合的原则。</w:t>
      </w:r>
    </w:p>
    <w:p w14:paraId="4CC97DBC">
      <w:pPr>
        <w:numPr>
          <w:ilvl w:val="2"/>
          <w:numId w:val="1"/>
        </w:numPr>
        <w:tabs>
          <w:tab w:val="left" w:pos="709"/>
          <w:tab w:val="left" w:pos="794"/>
        </w:tabs>
        <w:jc w:val="left"/>
        <w:outlineLvl w:val="2"/>
        <w:rPr>
          <w:bCs/>
        </w:rPr>
      </w:pPr>
      <w:r>
        <w:rPr>
          <w:bCs/>
        </w:rPr>
        <w:t>城市轨道交通设计应根据建设项目环境影响报告书以及环境保护主管部门批复文件，落实环境保护目标及其污染防治要求。</w:t>
      </w:r>
    </w:p>
    <w:p w14:paraId="68E96492">
      <w:pPr>
        <w:numPr>
          <w:ilvl w:val="2"/>
          <w:numId w:val="1"/>
        </w:numPr>
        <w:tabs>
          <w:tab w:val="left" w:pos="709"/>
          <w:tab w:val="left" w:pos="794"/>
        </w:tabs>
        <w:jc w:val="left"/>
        <w:outlineLvl w:val="2"/>
        <w:rPr>
          <w:bCs/>
        </w:rPr>
      </w:pPr>
      <w:r>
        <w:rPr>
          <w:bCs/>
        </w:rPr>
        <w:t>污染防治设施应根据工程设计年限，按远期或控制期预测客流量和最大通过能力设计，并与主体工程同时设计、同时施工、同时投入使用。</w:t>
      </w:r>
    </w:p>
    <w:p w14:paraId="5CC4159F">
      <w:pPr>
        <w:numPr>
          <w:ilvl w:val="2"/>
          <w:numId w:val="1"/>
        </w:numPr>
        <w:tabs>
          <w:tab w:val="left" w:pos="709"/>
          <w:tab w:val="left" w:pos="794"/>
        </w:tabs>
        <w:jc w:val="left"/>
        <w:outlineLvl w:val="2"/>
        <w:rPr>
          <w:bCs/>
        </w:rPr>
      </w:pPr>
      <w:r>
        <w:rPr>
          <w:bCs/>
        </w:rPr>
        <w:t>环境保护设计应包括噪声与振动控制、废水处理、大气污染防治以及电磁防护等。</w:t>
      </w:r>
    </w:p>
    <w:p w14:paraId="697E53C5">
      <w:pPr>
        <w:numPr>
          <w:ilvl w:val="2"/>
          <w:numId w:val="1"/>
        </w:numPr>
        <w:tabs>
          <w:tab w:val="left" w:pos="709"/>
          <w:tab w:val="left" w:pos="794"/>
        </w:tabs>
        <w:jc w:val="left"/>
        <w:outlineLvl w:val="2"/>
        <w:rPr>
          <w:bCs/>
        </w:rPr>
      </w:pPr>
      <w:r>
        <w:rPr>
          <w:rFonts w:hint="eastAsia"/>
          <w:bCs/>
        </w:rPr>
        <w:t>列车运行噪声防治应符合下列规定：</w:t>
      </w:r>
    </w:p>
    <w:p w14:paraId="2E6092B2">
      <w:pPr>
        <w:pStyle w:val="86"/>
        <w:ind w:firstLine="422"/>
        <w:rPr>
          <w:bCs/>
          <w:color w:val="auto"/>
        </w:rPr>
      </w:pPr>
      <w:r>
        <w:rPr>
          <w:rFonts w:hint="eastAsia"/>
          <w:b/>
          <w:bCs/>
          <w:color w:val="auto"/>
        </w:rPr>
        <w:t xml:space="preserve">1  </w:t>
      </w:r>
      <w:r>
        <w:rPr>
          <w:bCs/>
          <w:color w:val="auto"/>
        </w:rPr>
        <w:t>对于</w:t>
      </w:r>
      <w:r>
        <w:rPr>
          <w:color w:val="auto"/>
        </w:rPr>
        <w:t>地上</w:t>
      </w:r>
      <w:r>
        <w:rPr>
          <w:bCs/>
          <w:color w:val="auto"/>
        </w:rPr>
        <w:t>线路沿线既有的声环境保护目标，列车运行噪声预测超标时，应设置声屏障；对于沿线规划的声环境保护目标，应根据噪声预测结果预留声屏障的设置条件。</w:t>
      </w:r>
    </w:p>
    <w:p w14:paraId="49E8803E">
      <w:pPr>
        <w:pStyle w:val="86"/>
        <w:ind w:firstLine="422"/>
        <w:rPr>
          <w:bCs/>
          <w:color w:val="auto"/>
        </w:rPr>
      </w:pPr>
      <w:r>
        <w:rPr>
          <w:rFonts w:hint="eastAsia"/>
          <w:b/>
          <w:bCs/>
          <w:color w:val="auto"/>
        </w:rPr>
        <w:t xml:space="preserve">2 </w:t>
      </w:r>
      <w:r>
        <w:rPr>
          <w:rFonts w:hint="eastAsia"/>
          <w:bCs/>
          <w:color w:val="auto"/>
        </w:rPr>
        <w:t xml:space="preserve"> 轨道交通声屏障设计应符合现行地方标准D11/T 1034.2《交通噪声污染缓解工程技术规范 第2部分：声屏障措施》的有关规定；</w:t>
      </w:r>
      <w:r>
        <w:rPr>
          <w:bCs/>
          <w:color w:val="auto"/>
        </w:rPr>
        <w:t>声屏障主体结构的设计使用年限应不小于50年</w:t>
      </w:r>
      <w:r>
        <w:rPr>
          <w:rFonts w:hint="eastAsia"/>
          <w:bCs/>
          <w:color w:val="auto"/>
        </w:rPr>
        <w:t>，</w:t>
      </w:r>
      <w:r>
        <w:rPr>
          <w:bCs/>
          <w:color w:val="auto"/>
        </w:rPr>
        <w:t>吸、隔声材料设计使用年限应不小于15年。</w:t>
      </w:r>
    </w:p>
    <w:p w14:paraId="778CB299">
      <w:pPr>
        <w:numPr>
          <w:ilvl w:val="2"/>
          <w:numId w:val="1"/>
        </w:numPr>
        <w:tabs>
          <w:tab w:val="left" w:pos="709"/>
          <w:tab w:val="left" w:pos="794"/>
        </w:tabs>
        <w:jc w:val="left"/>
        <w:outlineLvl w:val="2"/>
        <w:rPr>
          <w:bCs/>
        </w:rPr>
      </w:pPr>
      <w:r>
        <w:rPr>
          <w:bCs/>
        </w:rPr>
        <w:t>风亭、冷却塔噪声防治应符合下列规定：</w:t>
      </w:r>
    </w:p>
    <w:p w14:paraId="6BAC7CE2">
      <w:pPr>
        <w:ind w:firstLine="420" w:firstLineChars="200"/>
      </w:pPr>
      <w:r>
        <w:t>1</w:t>
      </w:r>
      <w:r>
        <w:rPr>
          <w:rFonts w:hint="eastAsia"/>
        </w:rPr>
        <w:t xml:space="preserve">  </w:t>
      </w:r>
      <w:r>
        <w:t>设备选型应选用符合国家标准要求的低噪声风机和冷却塔；</w:t>
      </w:r>
    </w:p>
    <w:p w14:paraId="533FDA1E">
      <w:pPr>
        <w:ind w:firstLine="420" w:firstLineChars="200"/>
      </w:pPr>
      <w:r>
        <w:t>2</w:t>
      </w:r>
      <w:r>
        <w:rPr>
          <w:rFonts w:hint="eastAsia"/>
        </w:rPr>
        <w:t xml:space="preserve">  </w:t>
      </w:r>
      <w:r>
        <w:t>当风亭噪声防护距离不能满足要求时，应采取提高风机产品噪声限制标准、加长消声器等措施，</w:t>
      </w:r>
    </w:p>
    <w:p w14:paraId="539FA004">
      <w:pPr>
        <w:ind w:firstLine="420" w:firstLineChars="200"/>
      </w:pPr>
      <w:r>
        <w:t>使噪声影响符合环境噪声限值标准的规定；</w:t>
      </w:r>
    </w:p>
    <w:p w14:paraId="2DCAA19B">
      <w:pPr>
        <w:tabs>
          <w:tab w:val="left" w:pos="709"/>
          <w:tab w:val="left" w:pos="794"/>
          <w:tab w:val="left" w:pos="851"/>
        </w:tabs>
        <w:ind w:firstLine="420" w:firstLineChars="200"/>
        <w:jc w:val="left"/>
        <w:outlineLvl w:val="2"/>
        <w:rPr>
          <w:bCs/>
        </w:rPr>
      </w:pPr>
      <w:r>
        <w:rPr>
          <w:rFonts w:hint="eastAsia"/>
        </w:rPr>
        <w:t xml:space="preserve">3 </w:t>
      </w:r>
      <w:r>
        <w:t>当冷却塔噪声防护距离不能满足要求时，应采取提高冷却塔产品噪声限制标准、设置消声、隔声等综合降噪措施，使噪声影响符合环境噪声限值标准的规定</w:t>
      </w:r>
    </w:p>
    <w:p w14:paraId="51A67D37">
      <w:pPr>
        <w:numPr>
          <w:ilvl w:val="2"/>
          <w:numId w:val="1"/>
        </w:numPr>
        <w:tabs>
          <w:tab w:val="left" w:pos="709"/>
          <w:tab w:val="left" w:pos="794"/>
        </w:tabs>
        <w:jc w:val="left"/>
        <w:outlineLvl w:val="2"/>
        <w:rPr>
          <w:bCs/>
        </w:rPr>
      </w:pPr>
      <w:r>
        <w:rPr>
          <w:rFonts w:hint="eastAsia"/>
          <w:bCs/>
        </w:rPr>
        <w:t>列车运行振动控制应符合下列规定：</w:t>
      </w:r>
    </w:p>
    <w:p w14:paraId="7B1E92E0">
      <w:pPr>
        <w:pStyle w:val="86"/>
        <w:ind w:firstLine="422"/>
        <w:rPr>
          <w:color w:val="auto"/>
        </w:rPr>
      </w:pPr>
      <w:r>
        <w:rPr>
          <w:rFonts w:hint="eastAsia"/>
          <w:b/>
          <w:color w:val="auto"/>
        </w:rPr>
        <w:t xml:space="preserve">1 </w:t>
      </w:r>
      <w:r>
        <w:rPr>
          <w:rFonts w:hint="eastAsia"/>
          <w:color w:val="auto"/>
        </w:rPr>
        <w:t xml:space="preserve"> </w:t>
      </w:r>
      <w:r>
        <w:rPr>
          <w:color w:val="auto"/>
        </w:rPr>
        <w:t>当地下线路穿越居住、医疗、文教等敏感区域，振动环境保护目标不能符合现行国家及行业相关标准的相关规定时，应采取距离控制、轨道减振、结构隔振等振动控制措施。轨道减振及结构隔振设计应执行本规范第</w:t>
      </w:r>
      <w:r>
        <w:rPr>
          <w:rFonts w:hint="eastAsia"/>
          <w:color w:val="auto"/>
        </w:rPr>
        <w:t>8章和第11</w:t>
      </w:r>
      <w:r>
        <w:rPr>
          <w:color w:val="auto"/>
        </w:rPr>
        <w:t>章的相关规定。</w:t>
      </w:r>
    </w:p>
    <w:p w14:paraId="5EF58ACB">
      <w:pPr>
        <w:pStyle w:val="86"/>
        <w:ind w:firstLine="422"/>
        <w:rPr>
          <w:color w:val="auto"/>
        </w:rPr>
      </w:pPr>
      <w:r>
        <w:rPr>
          <w:rFonts w:hint="eastAsia"/>
          <w:b/>
          <w:color w:val="auto"/>
        </w:rPr>
        <w:t xml:space="preserve">2 </w:t>
      </w:r>
      <w:r>
        <w:rPr>
          <w:rFonts w:hint="eastAsia"/>
          <w:color w:val="auto"/>
        </w:rPr>
        <w:t xml:space="preserve"> </w:t>
      </w:r>
      <w:r>
        <w:rPr>
          <w:color w:val="auto"/>
        </w:rPr>
        <w:t>在设置声屏障的高架线路地段，</w:t>
      </w:r>
      <w:r>
        <w:rPr>
          <w:rFonts w:hint="eastAsia"/>
          <w:color w:val="auto"/>
        </w:rPr>
        <w:t>宜</w:t>
      </w:r>
      <w:r>
        <w:rPr>
          <w:color w:val="auto"/>
        </w:rPr>
        <w:t>采取轨道减振、结构隔振措施等振动控制措施。</w:t>
      </w:r>
    </w:p>
    <w:p w14:paraId="0CDA6B7C">
      <w:pPr>
        <w:numPr>
          <w:ilvl w:val="2"/>
          <w:numId w:val="1"/>
        </w:numPr>
        <w:tabs>
          <w:tab w:val="left" w:pos="709"/>
          <w:tab w:val="left" w:pos="794"/>
        </w:tabs>
        <w:jc w:val="left"/>
        <w:outlineLvl w:val="2"/>
        <w:rPr>
          <w:bCs/>
        </w:rPr>
      </w:pPr>
      <w:r>
        <w:rPr>
          <w:rFonts w:hint="eastAsia"/>
          <w:bCs/>
        </w:rPr>
        <w:t>水环境保护设计应符合下列规定：</w:t>
      </w:r>
    </w:p>
    <w:p w14:paraId="325A3071">
      <w:pPr>
        <w:pStyle w:val="86"/>
        <w:ind w:firstLine="422"/>
        <w:rPr>
          <w:color w:val="auto"/>
        </w:rPr>
      </w:pPr>
      <w:r>
        <w:rPr>
          <w:rFonts w:hint="eastAsia"/>
          <w:b/>
          <w:color w:val="auto"/>
        </w:rPr>
        <w:t xml:space="preserve">1  </w:t>
      </w:r>
      <w:r>
        <w:rPr>
          <w:color w:val="auto"/>
        </w:rPr>
        <w:t>生产废水和生活污水的排放应符合现行北京市地方标准《水污染</w:t>
      </w:r>
      <w:r>
        <w:rPr>
          <w:rFonts w:hint="eastAsia"/>
          <w:color w:val="auto"/>
        </w:rPr>
        <w:t>物综合</w:t>
      </w:r>
      <w:r>
        <w:rPr>
          <w:color w:val="auto"/>
        </w:rPr>
        <w:t>排放标准》DB11/307及国家标准《污水综合排放标准》GB8978的有关规定</w:t>
      </w:r>
      <w:r>
        <w:rPr>
          <w:rFonts w:hint="eastAsia"/>
          <w:color w:val="auto"/>
        </w:rPr>
        <w:t>。</w:t>
      </w:r>
    </w:p>
    <w:p w14:paraId="490121F6">
      <w:pPr>
        <w:pStyle w:val="86"/>
        <w:ind w:firstLine="422"/>
        <w:rPr>
          <w:color w:val="auto"/>
        </w:rPr>
      </w:pPr>
      <w:r>
        <w:rPr>
          <w:rFonts w:hint="eastAsia"/>
          <w:b/>
          <w:color w:val="auto"/>
        </w:rPr>
        <w:t xml:space="preserve">2  </w:t>
      </w:r>
      <w:r>
        <w:rPr>
          <w:color w:val="auto"/>
        </w:rPr>
        <w:t>生活污水和生产废水的水质处理、回收利用或排放应符合本规范第1</w:t>
      </w:r>
      <w:r>
        <w:rPr>
          <w:rFonts w:hint="eastAsia"/>
          <w:color w:val="auto"/>
        </w:rPr>
        <w:t>5</w:t>
      </w:r>
      <w:r>
        <w:rPr>
          <w:color w:val="auto"/>
        </w:rPr>
        <w:t>章的有关规定</w:t>
      </w:r>
      <w:r>
        <w:rPr>
          <w:rFonts w:hint="eastAsia"/>
          <w:color w:val="auto"/>
        </w:rPr>
        <w:t>。</w:t>
      </w:r>
    </w:p>
    <w:p w14:paraId="4B80BC13">
      <w:pPr>
        <w:numPr>
          <w:ilvl w:val="2"/>
          <w:numId w:val="1"/>
        </w:numPr>
        <w:tabs>
          <w:tab w:val="left" w:pos="709"/>
          <w:tab w:val="left" w:pos="794"/>
        </w:tabs>
        <w:jc w:val="left"/>
        <w:outlineLvl w:val="2"/>
        <w:rPr>
          <w:bCs/>
        </w:rPr>
      </w:pPr>
      <w:r>
        <w:rPr>
          <w:bCs/>
        </w:rPr>
        <w:t>废气排放应符合现行国家标准《锅炉大气污染物排放标准》GB13271及现行北京市地方标准《锅炉污染物综合排放标准》DB11/139的有关规定。</w:t>
      </w:r>
    </w:p>
    <w:p w14:paraId="24BBF959">
      <w:pPr>
        <w:numPr>
          <w:ilvl w:val="2"/>
          <w:numId w:val="1"/>
        </w:numPr>
        <w:tabs>
          <w:tab w:val="left" w:pos="794"/>
          <w:tab w:val="left" w:pos="851"/>
        </w:tabs>
        <w:jc w:val="left"/>
        <w:outlineLvl w:val="2"/>
        <w:rPr>
          <w:szCs w:val="18"/>
        </w:rPr>
      </w:pPr>
      <w:r>
        <w:rPr>
          <w:rFonts w:hint="eastAsia"/>
          <w:szCs w:val="18"/>
        </w:rPr>
        <w:t>电磁辐射控制应符合下列规定：</w:t>
      </w:r>
    </w:p>
    <w:p w14:paraId="5A599A01">
      <w:pPr>
        <w:pStyle w:val="86"/>
        <w:ind w:firstLine="422"/>
        <w:rPr>
          <w:color w:val="auto"/>
          <w:szCs w:val="18"/>
        </w:rPr>
      </w:pPr>
      <w:r>
        <w:rPr>
          <w:rFonts w:hint="eastAsia"/>
          <w:b/>
          <w:color w:val="auto"/>
        </w:rPr>
        <w:t xml:space="preserve">1 </w:t>
      </w:r>
      <w:r>
        <w:rPr>
          <w:rFonts w:hint="eastAsia"/>
          <w:color w:val="auto"/>
        </w:rPr>
        <w:t xml:space="preserve"> </w:t>
      </w:r>
      <w:r>
        <w:rPr>
          <w:color w:val="auto"/>
        </w:rPr>
        <w:t>工频电场、工频磁场等电磁辐射应符合现行行业标准《500kV超高压送变电工程电磁辐射环境影响评价技术规范》HJ/T24</w:t>
      </w:r>
      <w:r>
        <w:rPr>
          <w:rFonts w:hint="eastAsia"/>
          <w:color w:val="auto"/>
        </w:rPr>
        <w:t>的规定。</w:t>
      </w:r>
    </w:p>
    <w:p w14:paraId="3A760DED">
      <w:pPr>
        <w:pStyle w:val="86"/>
        <w:ind w:firstLine="422"/>
        <w:rPr>
          <w:color w:val="auto"/>
        </w:rPr>
      </w:pPr>
      <w:r>
        <w:rPr>
          <w:rFonts w:hint="eastAsia"/>
          <w:b/>
          <w:color w:val="auto"/>
        </w:rPr>
        <w:t xml:space="preserve">2 </w:t>
      </w:r>
      <w:r>
        <w:rPr>
          <w:rFonts w:hint="eastAsia"/>
          <w:color w:val="auto"/>
        </w:rPr>
        <w:t xml:space="preserve"> </w:t>
      </w:r>
      <w:r>
        <w:rPr>
          <w:color w:val="auto"/>
        </w:rPr>
        <w:t xml:space="preserve">地面设置的110kV及以上变电站与敏感建筑物的间距宜大于30m，且不应小于15m。 </w:t>
      </w:r>
    </w:p>
    <w:p w14:paraId="5E0116B6">
      <w:pPr>
        <w:pStyle w:val="4"/>
        <w:tabs>
          <w:tab w:val="clear" w:pos="462"/>
          <w:tab w:val="clear" w:pos="794"/>
        </w:tabs>
      </w:pPr>
      <w:bookmarkStart w:id="2184" w:name="_Toc183683656"/>
      <w:bookmarkStart w:id="2185" w:name="_Toc183882262"/>
      <w:bookmarkStart w:id="2186" w:name="_Toc183888676"/>
      <w:bookmarkStart w:id="2187" w:name="_Toc183790701"/>
      <w:bookmarkStart w:id="2188" w:name="_Toc183765271"/>
      <w:bookmarkStart w:id="2189" w:name="_Toc183882624"/>
      <w:bookmarkStart w:id="2190" w:name="_Toc183888314"/>
      <w:r>
        <w:rPr>
          <w:rFonts w:hint="eastAsia"/>
        </w:rPr>
        <w:t>节约能源</w:t>
      </w:r>
      <w:bookmarkEnd w:id="2184"/>
      <w:bookmarkEnd w:id="2185"/>
      <w:bookmarkEnd w:id="2186"/>
      <w:bookmarkEnd w:id="2187"/>
      <w:bookmarkEnd w:id="2188"/>
      <w:bookmarkEnd w:id="2189"/>
      <w:bookmarkEnd w:id="2190"/>
    </w:p>
    <w:p w14:paraId="6AD1273F">
      <w:pPr>
        <w:numPr>
          <w:ilvl w:val="2"/>
          <w:numId w:val="1"/>
        </w:numPr>
        <w:tabs>
          <w:tab w:val="left" w:pos="709"/>
          <w:tab w:val="left" w:pos="794"/>
        </w:tabs>
        <w:jc w:val="left"/>
        <w:outlineLvl w:val="2"/>
        <w:rPr>
          <w:bCs/>
        </w:rPr>
      </w:pPr>
      <w:r>
        <w:rPr>
          <w:rFonts w:hint="eastAsia"/>
        </w:rPr>
        <w:t>地铁</w:t>
      </w:r>
      <w:r>
        <w:rPr>
          <w:rFonts w:hint="eastAsia"/>
          <w:bCs/>
        </w:rPr>
        <w:t>设计应采取降低地铁运营能耗的运营组织、车辆、线路、建筑、设备系统等综合节能措施，并应</w:t>
      </w:r>
      <w:r>
        <w:rPr>
          <w:bCs/>
        </w:rPr>
        <w:t>具备</w:t>
      </w:r>
      <w:r>
        <w:rPr>
          <w:rFonts w:hint="eastAsia"/>
          <w:bCs/>
        </w:rPr>
        <w:t>能源管理功能。</w:t>
      </w:r>
    </w:p>
    <w:p w14:paraId="74DB81A3">
      <w:pPr>
        <w:numPr>
          <w:ilvl w:val="2"/>
          <w:numId w:val="1"/>
        </w:numPr>
        <w:tabs>
          <w:tab w:val="left" w:pos="709"/>
          <w:tab w:val="left" w:pos="794"/>
        </w:tabs>
        <w:jc w:val="left"/>
        <w:outlineLvl w:val="2"/>
      </w:pPr>
      <w:r>
        <w:rPr>
          <w:rFonts w:hint="eastAsia"/>
          <w:bCs/>
        </w:rPr>
        <w:t>运营组</w:t>
      </w:r>
      <w:r>
        <w:rPr>
          <w:rFonts w:hint="eastAsia"/>
        </w:rPr>
        <w:t>织节能设计宜符合下列规定：</w:t>
      </w:r>
    </w:p>
    <w:p w14:paraId="24093DD5">
      <w:pPr>
        <w:pStyle w:val="7"/>
        <w:ind w:firstLine="420"/>
      </w:pPr>
      <w:r>
        <w:rPr>
          <w:rFonts w:hint="eastAsia"/>
        </w:rPr>
        <w:t>宜采用多交路运营等措施提高列车满载率；</w:t>
      </w:r>
    </w:p>
    <w:p w14:paraId="1195D259">
      <w:pPr>
        <w:pStyle w:val="7"/>
        <w:ind w:firstLine="420"/>
      </w:pPr>
      <w:r>
        <w:rPr>
          <w:rFonts w:hint="eastAsia"/>
        </w:rPr>
        <w:t>宜针对地铁高峰、平峰及特殊时段制定不同的列车运行交路方案；</w:t>
      </w:r>
    </w:p>
    <w:p w14:paraId="3BB35C20">
      <w:pPr>
        <w:pStyle w:val="7"/>
        <w:ind w:firstLine="420"/>
      </w:pPr>
      <w:r>
        <w:rPr>
          <w:rFonts w:hint="eastAsia"/>
        </w:rPr>
        <w:t>结合各设计年限以及高峰、平峰断面客流特征，可采用不同编组混合运行或长编组列车解列、短编组列车重联的运行方式。</w:t>
      </w:r>
    </w:p>
    <w:p w14:paraId="6AE20F83">
      <w:pPr>
        <w:numPr>
          <w:ilvl w:val="2"/>
          <w:numId w:val="1"/>
        </w:numPr>
        <w:tabs>
          <w:tab w:val="left" w:pos="709"/>
          <w:tab w:val="left" w:pos="794"/>
        </w:tabs>
        <w:jc w:val="left"/>
        <w:outlineLvl w:val="2"/>
      </w:pPr>
      <w:r>
        <w:rPr>
          <w:rFonts w:hint="eastAsia"/>
        </w:rPr>
        <w:t>车辆节能设计应符合下列规定：</w:t>
      </w:r>
    </w:p>
    <w:p w14:paraId="7D7A1743">
      <w:pPr>
        <w:pStyle w:val="7"/>
        <w:ind w:firstLine="420"/>
      </w:pPr>
      <w:r>
        <w:rPr>
          <w:rFonts w:hint="eastAsia"/>
        </w:rPr>
        <w:t>选型应与地铁客运量需求相匹配；</w:t>
      </w:r>
    </w:p>
    <w:p w14:paraId="4FDB5D26">
      <w:pPr>
        <w:pStyle w:val="7"/>
        <w:ind w:firstLine="420"/>
      </w:pPr>
      <w:r>
        <w:rPr>
          <w:rFonts w:hint="eastAsia"/>
        </w:rPr>
        <w:t>应采用铝合金等轻量化车体材料；</w:t>
      </w:r>
    </w:p>
    <w:p w14:paraId="2D9165BB">
      <w:pPr>
        <w:pStyle w:val="7"/>
        <w:ind w:firstLine="420"/>
      </w:pPr>
      <w:r>
        <w:rPr>
          <w:rFonts w:hint="eastAsia"/>
        </w:rPr>
        <w:t>车辆制动应优先</w:t>
      </w:r>
      <w:r>
        <w:t>采用</w:t>
      </w:r>
      <w:r>
        <w:rPr>
          <w:rFonts w:hint="eastAsia"/>
        </w:rPr>
        <w:t>再生制动模式；</w:t>
      </w:r>
    </w:p>
    <w:p w14:paraId="3DF87221">
      <w:pPr>
        <w:pStyle w:val="7"/>
        <w:ind w:firstLine="420"/>
      </w:pPr>
      <w:r>
        <w:rPr>
          <w:rFonts w:hint="eastAsia"/>
        </w:rPr>
        <w:t>车辆宜具有列车运行节能控制模式。</w:t>
      </w:r>
    </w:p>
    <w:p w14:paraId="7F3F227E">
      <w:pPr>
        <w:numPr>
          <w:ilvl w:val="2"/>
          <w:numId w:val="1"/>
        </w:numPr>
        <w:tabs>
          <w:tab w:val="left" w:pos="709"/>
          <w:tab w:val="left" w:pos="794"/>
        </w:tabs>
        <w:jc w:val="left"/>
        <w:outlineLvl w:val="2"/>
      </w:pPr>
      <w:r>
        <w:rPr>
          <w:rFonts w:hint="eastAsia"/>
        </w:rPr>
        <w:t>线路</w:t>
      </w:r>
      <w:r>
        <w:rPr>
          <w:rFonts w:hint="eastAsia"/>
          <w:bCs/>
        </w:rPr>
        <w:t>节能设计</w:t>
      </w:r>
      <w:r>
        <w:rPr>
          <w:rFonts w:hint="eastAsia"/>
        </w:rPr>
        <w:t>宜符合下列规定：</w:t>
      </w:r>
    </w:p>
    <w:p w14:paraId="341B390E">
      <w:pPr>
        <w:pStyle w:val="7"/>
        <w:ind w:firstLine="420"/>
      </w:pPr>
      <w:r>
        <w:rPr>
          <w:rFonts w:hint="eastAsia"/>
        </w:rPr>
        <w:t>平面设计宜顺直，曲线段宜采用大曲线半径，避免限速曲线；</w:t>
      </w:r>
    </w:p>
    <w:p w14:paraId="13689C8A">
      <w:pPr>
        <w:pStyle w:val="7"/>
        <w:ind w:firstLine="420"/>
      </w:pPr>
      <w:r>
        <w:rPr>
          <w:rFonts w:hint="eastAsia"/>
        </w:rPr>
        <w:t>线路纵断面设计宜结合牵引计算设置节能坡，利用列车重力势能加减速。</w:t>
      </w:r>
    </w:p>
    <w:p w14:paraId="2F4A146E">
      <w:pPr>
        <w:numPr>
          <w:ilvl w:val="2"/>
          <w:numId w:val="1"/>
        </w:numPr>
        <w:tabs>
          <w:tab w:val="left" w:pos="709"/>
          <w:tab w:val="left" w:pos="794"/>
        </w:tabs>
        <w:jc w:val="left"/>
        <w:outlineLvl w:val="2"/>
        <w:rPr>
          <w:bCs/>
        </w:rPr>
      </w:pPr>
      <w:r>
        <w:rPr>
          <w:rFonts w:hint="eastAsia"/>
          <w:bCs/>
        </w:rPr>
        <w:t>建筑节能设计应符合下列规定：</w:t>
      </w:r>
    </w:p>
    <w:p w14:paraId="47FE7F93">
      <w:pPr>
        <w:pStyle w:val="86"/>
        <w:ind w:firstLine="422"/>
        <w:rPr>
          <w:color w:val="auto"/>
        </w:rPr>
      </w:pPr>
      <w:r>
        <w:rPr>
          <w:rFonts w:hint="eastAsia"/>
          <w:b/>
          <w:color w:val="auto"/>
        </w:rPr>
        <w:t xml:space="preserve">1 </w:t>
      </w:r>
      <w:r>
        <w:rPr>
          <w:rFonts w:hint="eastAsia"/>
          <w:color w:val="auto"/>
        </w:rPr>
        <w:t xml:space="preserve"> 在满足功能前提下，车站建筑设计应控制车站建筑规模；</w:t>
      </w:r>
    </w:p>
    <w:p w14:paraId="09710C6A">
      <w:pPr>
        <w:pStyle w:val="86"/>
        <w:ind w:firstLine="422"/>
        <w:rPr>
          <w:color w:val="auto"/>
        </w:rPr>
      </w:pPr>
      <w:r>
        <w:rPr>
          <w:rFonts w:hint="eastAsia"/>
          <w:b/>
          <w:color w:val="auto"/>
        </w:rPr>
        <w:t xml:space="preserve">2 </w:t>
      </w:r>
      <w:r>
        <w:rPr>
          <w:rFonts w:hint="eastAsia"/>
          <w:color w:val="auto"/>
        </w:rPr>
        <w:t xml:space="preserve"> 设置空调系统的地下车站出入口宜避开夏季主导风向，无法避开时应设置减少渗透风量的措施；</w:t>
      </w:r>
    </w:p>
    <w:p w14:paraId="50F5E219">
      <w:pPr>
        <w:pStyle w:val="86"/>
        <w:ind w:firstLine="422"/>
        <w:rPr>
          <w:color w:val="auto"/>
        </w:rPr>
      </w:pPr>
      <w:r>
        <w:rPr>
          <w:rFonts w:hint="eastAsia"/>
          <w:b/>
          <w:color w:val="auto"/>
        </w:rPr>
        <w:t xml:space="preserve">3 </w:t>
      </w:r>
      <w:r>
        <w:rPr>
          <w:rFonts w:hint="eastAsia"/>
          <w:color w:val="auto"/>
        </w:rPr>
        <w:t xml:space="preserve"> 当地上车站站台公共区确有空调或供暖需求时，宜局部设置空调或供暖候车室。</w:t>
      </w:r>
    </w:p>
    <w:p w14:paraId="03EFBDA4">
      <w:pPr>
        <w:pStyle w:val="86"/>
        <w:ind w:firstLine="422"/>
        <w:rPr>
          <w:color w:val="auto"/>
        </w:rPr>
      </w:pPr>
      <w:r>
        <w:rPr>
          <w:rFonts w:hint="eastAsia"/>
          <w:b/>
          <w:color w:val="auto"/>
        </w:rPr>
        <w:t xml:space="preserve">4 </w:t>
      </w:r>
      <w:r>
        <w:rPr>
          <w:rFonts w:hint="eastAsia"/>
          <w:color w:val="auto"/>
        </w:rPr>
        <w:t xml:space="preserve"> 地上车站的节能设计应符合现行国家标准《公共建筑节能设计标准》GB 50189的规定。</w:t>
      </w:r>
    </w:p>
    <w:p w14:paraId="1F4AE6EA">
      <w:pPr>
        <w:pStyle w:val="86"/>
        <w:ind w:firstLine="422"/>
        <w:rPr>
          <w:color w:val="auto"/>
        </w:rPr>
      </w:pPr>
      <w:r>
        <w:rPr>
          <w:rFonts w:hint="eastAsia"/>
          <w:b/>
          <w:color w:val="auto"/>
        </w:rPr>
        <w:t xml:space="preserve">5 </w:t>
      </w:r>
      <w:r>
        <w:rPr>
          <w:rFonts w:hint="eastAsia"/>
          <w:color w:val="auto"/>
        </w:rPr>
        <w:t xml:space="preserve"> 控制中心建筑和车辆基地内的公共建筑、居住建筑、工业建筑的节能设计应分别符合国家及地方标准的有关规定。</w:t>
      </w:r>
    </w:p>
    <w:p w14:paraId="17896A8A">
      <w:pPr>
        <w:numPr>
          <w:ilvl w:val="2"/>
          <w:numId w:val="1"/>
        </w:numPr>
        <w:tabs>
          <w:tab w:val="left" w:pos="709"/>
          <w:tab w:val="left" w:pos="794"/>
        </w:tabs>
        <w:jc w:val="left"/>
        <w:outlineLvl w:val="2"/>
        <w:rPr>
          <w:bCs/>
        </w:rPr>
      </w:pPr>
      <w:r>
        <w:rPr>
          <w:rFonts w:hint="eastAsia"/>
          <w:bCs/>
        </w:rPr>
        <w:t>供电系统节能设计应符合下列规定：</w:t>
      </w:r>
    </w:p>
    <w:p w14:paraId="0DC8E735">
      <w:pPr>
        <w:pStyle w:val="86"/>
        <w:ind w:firstLine="422"/>
        <w:rPr>
          <w:color w:val="auto"/>
        </w:rPr>
      </w:pPr>
      <w:r>
        <w:rPr>
          <w:rFonts w:hint="eastAsia"/>
          <w:b/>
          <w:color w:val="auto"/>
        </w:rPr>
        <w:t xml:space="preserve">1 </w:t>
      </w:r>
      <w:r>
        <w:rPr>
          <w:rFonts w:hint="eastAsia"/>
          <w:color w:val="auto"/>
        </w:rPr>
        <w:t xml:space="preserve"> 牵引变压器应符合现行行业标准《城市轨道交通用干式牵引整流变压器》JB/T 10693的规定；</w:t>
      </w:r>
    </w:p>
    <w:p w14:paraId="6F5AA322">
      <w:pPr>
        <w:pStyle w:val="86"/>
        <w:ind w:firstLine="422"/>
        <w:rPr>
          <w:color w:val="auto"/>
        </w:rPr>
      </w:pPr>
      <w:r>
        <w:rPr>
          <w:rFonts w:hint="eastAsia"/>
          <w:b/>
          <w:color w:val="auto"/>
        </w:rPr>
        <w:t xml:space="preserve">2 </w:t>
      </w:r>
      <w:r>
        <w:rPr>
          <w:rFonts w:hint="eastAsia"/>
          <w:color w:val="auto"/>
        </w:rPr>
        <w:t xml:space="preserve"> 配电变压器应选择节能型产品，配电变压器应符合现行国家标准《电力变压器能效限定值及能效等级》GB 20052的规定；</w:t>
      </w:r>
    </w:p>
    <w:p w14:paraId="0331491D">
      <w:pPr>
        <w:pStyle w:val="86"/>
        <w:ind w:firstLine="422"/>
        <w:rPr>
          <w:color w:val="auto"/>
        </w:rPr>
      </w:pPr>
      <w:r>
        <w:rPr>
          <w:rFonts w:hint="eastAsia"/>
          <w:b/>
          <w:color w:val="auto"/>
        </w:rPr>
        <w:t xml:space="preserve">3 </w:t>
      </w:r>
      <w:r>
        <w:rPr>
          <w:rFonts w:hint="eastAsia"/>
          <w:color w:val="auto"/>
        </w:rPr>
        <w:t xml:space="preserve"> 再生制动吸收装置应选择能效高和吸收能量效率高的成熟产品，并应符合现行国家标准《城市轨道交通列车再生制动能量地面利用系统》GB/T 36287的规定。</w:t>
      </w:r>
    </w:p>
    <w:p w14:paraId="14CE9775">
      <w:pPr>
        <w:numPr>
          <w:ilvl w:val="2"/>
          <w:numId w:val="1"/>
        </w:numPr>
        <w:tabs>
          <w:tab w:val="left" w:pos="709"/>
          <w:tab w:val="left" w:pos="794"/>
        </w:tabs>
        <w:jc w:val="left"/>
        <w:outlineLvl w:val="2"/>
      </w:pPr>
      <w:r>
        <w:rPr>
          <w:rFonts w:hint="eastAsia"/>
        </w:rPr>
        <w:t>动力</w:t>
      </w:r>
      <w:r>
        <w:rPr>
          <w:rFonts w:hint="eastAsia"/>
          <w:bCs/>
        </w:rPr>
        <w:t>照明</w:t>
      </w:r>
      <w:r>
        <w:rPr>
          <w:rFonts w:hint="eastAsia"/>
        </w:rPr>
        <w:t>节能设计应符合下列规定：</w:t>
      </w:r>
    </w:p>
    <w:p w14:paraId="549526A4">
      <w:pPr>
        <w:pStyle w:val="86"/>
        <w:ind w:firstLine="422"/>
        <w:rPr>
          <w:color w:val="auto"/>
        </w:rPr>
      </w:pPr>
      <w:r>
        <w:rPr>
          <w:rFonts w:hint="eastAsia"/>
          <w:b/>
          <w:color w:val="auto"/>
        </w:rPr>
        <w:t xml:space="preserve">1 </w:t>
      </w:r>
      <w:r>
        <w:rPr>
          <w:rFonts w:hint="eastAsia"/>
          <w:color w:val="auto"/>
        </w:rPr>
        <w:t xml:space="preserve"> 用电设备宜就地无功补偿，低压配电系统宜在变电所设置有源滤波装置；</w:t>
      </w:r>
    </w:p>
    <w:p w14:paraId="78F848D3">
      <w:pPr>
        <w:pStyle w:val="86"/>
        <w:ind w:firstLine="422"/>
        <w:rPr>
          <w:color w:val="auto"/>
        </w:rPr>
      </w:pPr>
      <w:r>
        <w:rPr>
          <w:rFonts w:hint="eastAsia"/>
          <w:b/>
          <w:color w:val="auto"/>
        </w:rPr>
        <w:t xml:space="preserve">2 </w:t>
      </w:r>
      <w:r>
        <w:rPr>
          <w:rFonts w:hint="eastAsia"/>
          <w:color w:val="auto"/>
        </w:rPr>
        <w:t xml:space="preserve"> 除专用消防设备外，动力用电设备宜采用变频调压调速等节能控制技术。</w:t>
      </w:r>
    </w:p>
    <w:p w14:paraId="680ED264">
      <w:pPr>
        <w:pStyle w:val="86"/>
        <w:ind w:firstLine="422"/>
        <w:rPr>
          <w:color w:val="auto"/>
        </w:rPr>
      </w:pPr>
      <w:r>
        <w:rPr>
          <w:rFonts w:hint="eastAsia"/>
          <w:b/>
          <w:color w:val="auto"/>
        </w:rPr>
        <w:t>3</w:t>
      </w:r>
      <w:r>
        <w:rPr>
          <w:rFonts w:hint="eastAsia"/>
          <w:color w:val="auto"/>
        </w:rPr>
        <w:t xml:space="preserve">  可设置导光管日光照明系统作为室内照明的补充；</w:t>
      </w:r>
    </w:p>
    <w:p w14:paraId="1BAA3D64">
      <w:pPr>
        <w:pStyle w:val="86"/>
        <w:ind w:firstLine="422"/>
        <w:rPr>
          <w:color w:val="auto"/>
        </w:rPr>
      </w:pPr>
      <w:r>
        <w:rPr>
          <w:rFonts w:hint="eastAsia"/>
          <w:b/>
          <w:color w:val="auto"/>
        </w:rPr>
        <w:t xml:space="preserve">4 </w:t>
      </w:r>
      <w:r>
        <w:rPr>
          <w:rFonts w:hint="eastAsia"/>
          <w:color w:val="auto"/>
        </w:rPr>
        <w:t xml:space="preserve"> 车辆基地道路等户外照明宜采用太阳能照明；</w:t>
      </w:r>
    </w:p>
    <w:p w14:paraId="6D01F0DA">
      <w:pPr>
        <w:pStyle w:val="86"/>
        <w:ind w:firstLine="422"/>
        <w:rPr>
          <w:color w:val="auto"/>
        </w:rPr>
      </w:pPr>
      <w:r>
        <w:rPr>
          <w:rFonts w:hint="eastAsia"/>
          <w:b/>
          <w:color w:val="auto"/>
        </w:rPr>
        <w:t xml:space="preserve">5 </w:t>
      </w:r>
      <w:r>
        <w:rPr>
          <w:rFonts w:hint="eastAsia"/>
          <w:color w:val="auto"/>
        </w:rPr>
        <w:t xml:space="preserve"> 适宜区域可采用具有智能调节功能的照明系统；</w:t>
      </w:r>
    </w:p>
    <w:p w14:paraId="7E81DEFE">
      <w:pPr>
        <w:pStyle w:val="86"/>
        <w:ind w:firstLine="422"/>
        <w:rPr>
          <w:color w:val="auto"/>
        </w:rPr>
      </w:pPr>
      <w:r>
        <w:rPr>
          <w:rFonts w:hint="eastAsia"/>
          <w:b/>
          <w:color w:val="auto"/>
        </w:rPr>
        <w:t>6</w:t>
      </w:r>
      <w:r>
        <w:rPr>
          <w:rFonts w:hint="eastAsia"/>
          <w:color w:val="auto"/>
        </w:rPr>
        <w:t xml:space="preserve">  其他照明节能设计应符合现行国家标准《城市轨道交通照明》GB/T 16275的规定。</w:t>
      </w:r>
    </w:p>
    <w:p w14:paraId="5754A398">
      <w:pPr>
        <w:numPr>
          <w:ilvl w:val="2"/>
          <w:numId w:val="1"/>
        </w:numPr>
        <w:tabs>
          <w:tab w:val="left" w:pos="709"/>
          <w:tab w:val="left" w:pos="794"/>
        </w:tabs>
        <w:jc w:val="left"/>
        <w:outlineLvl w:val="2"/>
      </w:pPr>
      <w:r>
        <w:rPr>
          <w:rFonts w:hint="eastAsia"/>
        </w:rPr>
        <w:t>通风与空调系统节能设计应符合下列规定：</w:t>
      </w:r>
    </w:p>
    <w:p w14:paraId="6514D8A8">
      <w:pPr>
        <w:pStyle w:val="86"/>
        <w:ind w:firstLine="420"/>
        <w:rPr>
          <w:color w:val="auto"/>
        </w:rPr>
      </w:pPr>
      <w:r>
        <w:rPr>
          <w:rFonts w:hint="eastAsia"/>
          <w:color w:val="auto"/>
        </w:rPr>
        <w:t>1  宜根据气象条件、负荷分布特征及设备配置等因素进行运行能耗分析，并宜选择能耗较低的系统方案。</w:t>
      </w:r>
    </w:p>
    <w:p w14:paraId="6BC88816">
      <w:pPr>
        <w:pStyle w:val="86"/>
        <w:ind w:firstLine="422"/>
        <w:rPr>
          <w:color w:val="auto"/>
        </w:rPr>
      </w:pPr>
      <w:r>
        <w:rPr>
          <w:rFonts w:hint="eastAsia"/>
          <w:b/>
          <w:color w:val="auto"/>
        </w:rPr>
        <w:t xml:space="preserve">2  </w:t>
      </w:r>
      <w:r>
        <w:rPr>
          <w:rFonts w:hint="eastAsia"/>
          <w:color w:val="auto"/>
        </w:rPr>
        <w:t>地下线路宜利用列车活塞效应实现对隧道和车站公共区的自然通风与换气。</w:t>
      </w:r>
    </w:p>
    <w:p w14:paraId="071992C8">
      <w:pPr>
        <w:pStyle w:val="86"/>
        <w:ind w:firstLine="422"/>
        <w:rPr>
          <w:color w:val="auto"/>
        </w:rPr>
      </w:pPr>
      <w:r>
        <w:rPr>
          <w:rFonts w:hint="eastAsia"/>
          <w:b/>
          <w:color w:val="auto"/>
        </w:rPr>
        <w:t xml:space="preserve">3 </w:t>
      </w:r>
      <w:r>
        <w:rPr>
          <w:rFonts w:hint="eastAsia"/>
          <w:color w:val="auto"/>
        </w:rPr>
        <w:t xml:space="preserve"> 车站公共区通风与空调系统应具备新风、送风及回排风的变风量运行条件，并宜根据CO2浓度检测值进行新风量控制。</w:t>
      </w:r>
    </w:p>
    <w:p w14:paraId="7B20AD96">
      <w:pPr>
        <w:pStyle w:val="86"/>
        <w:ind w:firstLine="422"/>
        <w:rPr>
          <w:color w:val="auto"/>
        </w:rPr>
      </w:pPr>
      <w:r>
        <w:rPr>
          <w:rFonts w:hint="eastAsia"/>
          <w:b/>
          <w:color w:val="auto"/>
        </w:rPr>
        <w:t xml:space="preserve">4 </w:t>
      </w:r>
      <w:r>
        <w:rPr>
          <w:rFonts w:hint="eastAsia"/>
          <w:color w:val="auto"/>
        </w:rPr>
        <w:t xml:space="preserve"> 车站设备与管理用房空调系统宜具备分室调节功能。</w:t>
      </w:r>
    </w:p>
    <w:p w14:paraId="2FB056C5">
      <w:pPr>
        <w:pStyle w:val="86"/>
        <w:ind w:firstLine="422"/>
        <w:rPr>
          <w:color w:val="auto"/>
        </w:rPr>
      </w:pPr>
      <w:r>
        <w:rPr>
          <w:rFonts w:hint="eastAsia"/>
          <w:b/>
          <w:color w:val="auto"/>
        </w:rPr>
        <w:t>5</w:t>
      </w:r>
      <w:r>
        <w:rPr>
          <w:rFonts w:hint="eastAsia"/>
          <w:color w:val="auto"/>
        </w:rPr>
        <w:t xml:space="preserve">  风机、水泵、冷水机组、冷却塔、多联式空调（热泵）机组的设备能效等级不应低于2级或节能评价值。</w:t>
      </w:r>
    </w:p>
    <w:p w14:paraId="1AFD8009">
      <w:pPr>
        <w:pStyle w:val="86"/>
        <w:ind w:firstLine="422"/>
        <w:rPr>
          <w:color w:val="auto"/>
        </w:rPr>
      </w:pPr>
      <w:r>
        <w:rPr>
          <w:rFonts w:hint="eastAsia"/>
          <w:b/>
          <w:color w:val="auto"/>
        </w:rPr>
        <w:t xml:space="preserve">6 </w:t>
      </w:r>
      <w:r>
        <w:rPr>
          <w:rFonts w:hint="eastAsia"/>
          <w:color w:val="auto"/>
        </w:rPr>
        <w:t xml:space="preserve"> 应根据车站内外环境参数实时监测和通风空调负荷预测进行通风与空调系统节能控制；</w:t>
      </w:r>
    </w:p>
    <w:p w14:paraId="0A25A327">
      <w:pPr>
        <w:pStyle w:val="86"/>
        <w:ind w:firstLine="422"/>
        <w:rPr>
          <w:color w:val="auto"/>
        </w:rPr>
      </w:pPr>
      <w:r>
        <w:rPr>
          <w:rFonts w:hint="eastAsia"/>
          <w:b/>
          <w:color w:val="auto"/>
        </w:rPr>
        <w:t xml:space="preserve">7 </w:t>
      </w:r>
      <w:r>
        <w:rPr>
          <w:rFonts w:hint="eastAsia"/>
          <w:color w:val="auto"/>
        </w:rPr>
        <w:t xml:space="preserve"> 应以提高系统能效比作为制冷系统控制目标，并应利于长期监测积累数据对冷水机组、冷水泵、冷却泵、冷却塔进行主动寻优联动控制；</w:t>
      </w:r>
    </w:p>
    <w:p w14:paraId="60F0C663">
      <w:pPr>
        <w:pStyle w:val="86"/>
        <w:ind w:firstLine="422"/>
        <w:rPr>
          <w:color w:val="auto"/>
        </w:rPr>
      </w:pPr>
      <w:r>
        <w:rPr>
          <w:rFonts w:hint="eastAsia"/>
          <w:b/>
          <w:color w:val="auto"/>
        </w:rPr>
        <w:t xml:space="preserve">8 </w:t>
      </w:r>
      <w:r>
        <w:rPr>
          <w:rFonts w:hint="eastAsia"/>
          <w:color w:val="auto"/>
        </w:rPr>
        <w:t xml:space="preserve"> 应实现通风与空调系统的变风量与变水量运行，并应具备风系统和水系统的协调耦合控制功能。</w:t>
      </w:r>
    </w:p>
    <w:p w14:paraId="0FF7BF26">
      <w:pPr>
        <w:pStyle w:val="86"/>
        <w:ind w:firstLine="422"/>
        <w:rPr>
          <w:bCs/>
          <w:color w:val="auto"/>
        </w:rPr>
      </w:pPr>
      <w:r>
        <w:rPr>
          <w:rFonts w:hint="eastAsia"/>
          <w:b/>
          <w:bCs/>
          <w:color w:val="auto"/>
        </w:rPr>
        <w:t xml:space="preserve">9 </w:t>
      </w:r>
      <w:r>
        <w:rPr>
          <w:rFonts w:hint="eastAsia"/>
          <w:bCs/>
          <w:color w:val="auto"/>
        </w:rPr>
        <w:t xml:space="preserve"> 车辆基地供暖热源宜采用市政热力与空气源热泵或地源热泵耦合供热方案。</w:t>
      </w:r>
    </w:p>
    <w:p w14:paraId="2E6CDFF6">
      <w:pPr>
        <w:numPr>
          <w:ilvl w:val="2"/>
          <w:numId w:val="1"/>
        </w:numPr>
        <w:tabs>
          <w:tab w:val="left" w:pos="709"/>
          <w:tab w:val="left" w:pos="794"/>
        </w:tabs>
        <w:jc w:val="left"/>
        <w:outlineLvl w:val="2"/>
      </w:pPr>
      <w:r>
        <w:rPr>
          <w:rFonts w:hint="eastAsia"/>
        </w:rPr>
        <w:t>自动扶梯与电梯设计应符合下列规定：</w:t>
      </w:r>
    </w:p>
    <w:p w14:paraId="21D89AF7">
      <w:pPr>
        <w:pStyle w:val="86"/>
        <w:ind w:firstLine="422"/>
        <w:rPr>
          <w:color w:val="auto"/>
        </w:rPr>
      </w:pPr>
      <w:r>
        <w:rPr>
          <w:rFonts w:hint="eastAsia"/>
          <w:b/>
          <w:color w:val="auto"/>
        </w:rPr>
        <w:t xml:space="preserve">1 </w:t>
      </w:r>
      <w:r>
        <w:rPr>
          <w:rFonts w:hint="eastAsia"/>
          <w:color w:val="auto"/>
        </w:rPr>
        <w:t xml:space="preserve"> 设备配置数量应与土建条件和服务水平相匹配；</w:t>
      </w:r>
    </w:p>
    <w:p w14:paraId="0DBDAADC">
      <w:pPr>
        <w:pStyle w:val="86"/>
        <w:ind w:firstLine="422"/>
        <w:rPr>
          <w:color w:val="auto"/>
        </w:rPr>
      </w:pPr>
      <w:r>
        <w:rPr>
          <w:rFonts w:hint="eastAsia"/>
          <w:b/>
          <w:color w:val="auto"/>
        </w:rPr>
        <w:t xml:space="preserve">2 </w:t>
      </w:r>
      <w:r>
        <w:rPr>
          <w:rFonts w:hint="eastAsia"/>
          <w:color w:val="auto"/>
        </w:rPr>
        <w:t xml:space="preserve"> 设备能效指标应符合现行国家标准《城市轨道交通机电设备节能要求》GB/T 35553的规定。</w:t>
      </w:r>
    </w:p>
    <w:p w14:paraId="40506515">
      <w:pPr>
        <w:numPr>
          <w:ilvl w:val="2"/>
          <w:numId w:val="1"/>
        </w:numPr>
        <w:tabs>
          <w:tab w:val="left" w:pos="709"/>
          <w:tab w:val="left" w:pos="794"/>
        </w:tabs>
        <w:jc w:val="left"/>
        <w:outlineLvl w:val="2"/>
      </w:pPr>
      <w:r>
        <w:rPr>
          <w:rFonts w:hint="eastAsia"/>
        </w:rPr>
        <w:t>能源</w:t>
      </w:r>
      <w:r>
        <w:rPr>
          <w:rFonts w:hint="eastAsia"/>
          <w:bCs/>
        </w:rPr>
        <w:t>管理系统</w:t>
      </w:r>
      <w:r>
        <w:rPr>
          <w:rFonts w:hint="eastAsia"/>
        </w:rPr>
        <w:t>设计应符合下列规定：</w:t>
      </w:r>
    </w:p>
    <w:p w14:paraId="6742A214">
      <w:pPr>
        <w:pStyle w:val="86"/>
        <w:ind w:firstLine="422"/>
        <w:rPr>
          <w:color w:val="auto"/>
        </w:rPr>
      </w:pPr>
      <w:r>
        <w:rPr>
          <w:rFonts w:hint="eastAsia"/>
          <w:b/>
          <w:color w:val="auto"/>
        </w:rPr>
        <w:t xml:space="preserve">1 </w:t>
      </w:r>
      <w:r>
        <w:rPr>
          <w:rFonts w:hint="eastAsia"/>
          <w:color w:val="auto"/>
        </w:rPr>
        <w:t xml:space="preserve"> 能源管理系统应对地铁线路的电能、水、燃气、热力能耗及能源质量进行集中、全面、实时在线监测。</w:t>
      </w:r>
    </w:p>
    <w:p w14:paraId="0250D61A">
      <w:pPr>
        <w:pStyle w:val="86"/>
        <w:ind w:firstLine="422"/>
        <w:rPr>
          <w:color w:val="auto"/>
        </w:rPr>
      </w:pPr>
      <w:r>
        <w:rPr>
          <w:rFonts w:hint="eastAsia"/>
          <w:b/>
          <w:color w:val="auto"/>
        </w:rPr>
        <w:t xml:space="preserve">2 </w:t>
      </w:r>
      <w:r>
        <w:rPr>
          <w:rFonts w:hint="eastAsia"/>
          <w:color w:val="auto"/>
        </w:rPr>
        <w:t xml:space="preserve"> 能源管理系统应能对各类能耗数据进行分类、分项、分区域统计，并应对各类能耗数据在不同时间段的最大值、最小值、平均值及能耗指标等进行统计。</w:t>
      </w:r>
    </w:p>
    <w:p w14:paraId="72324815">
      <w:pPr>
        <w:pStyle w:val="86"/>
        <w:ind w:firstLine="422"/>
        <w:rPr>
          <w:color w:val="auto"/>
        </w:rPr>
      </w:pPr>
      <w:r>
        <w:rPr>
          <w:rFonts w:hint="eastAsia"/>
          <w:b/>
          <w:color w:val="auto"/>
        </w:rPr>
        <w:t xml:space="preserve">3 </w:t>
      </w:r>
      <w:r>
        <w:rPr>
          <w:rFonts w:hint="eastAsia"/>
          <w:color w:val="auto"/>
        </w:rPr>
        <w:t xml:space="preserve"> 能源管理系统应能根据统计的能耗数据、能耗指标等信息，进行能源的质量、负荷、需量、能效、平衡、同比、环比、节能潜力等分析，并宜具备生成节能控制策略的功能。</w:t>
      </w:r>
    </w:p>
    <w:p w14:paraId="0E044705">
      <w:pPr>
        <w:pStyle w:val="86"/>
        <w:ind w:firstLine="422"/>
        <w:rPr>
          <w:color w:val="auto"/>
        </w:rPr>
      </w:pPr>
      <w:r>
        <w:rPr>
          <w:rFonts w:hint="eastAsia"/>
          <w:b/>
          <w:color w:val="auto"/>
        </w:rPr>
        <w:t xml:space="preserve">4  </w:t>
      </w:r>
      <w:r>
        <w:rPr>
          <w:rFonts w:hint="eastAsia"/>
          <w:color w:val="auto"/>
        </w:rPr>
        <w:t>能源管理系统宜采用中心、车站两级管理，并应具备接入信息系统或上一级管理系统的条件。</w:t>
      </w:r>
    </w:p>
    <w:p w14:paraId="6AD22284">
      <w:pPr>
        <w:widowControl/>
        <w:spacing w:line="240" w:lineRule="auto"/>
        <w:jc w:val="left"/>
        <w:rPr>
          <w:rFonts w:eastAsia="黑体"/>
          <w:spacing w:val="4"/>
          <w:sz w:val="32"/>
        </w:rPr>
      </w:pPr>
      <w:r>
        <w:rPr>
          <w:rFonts w:eastAsia="黑体"/>
          <w:spacing w:val="4"/>
          <w:sz w:val="32"/>
        </w:rPr>
        <w:br w:type="page"/>
      </w:r>
    </w:p>
    <w:p w14:paraId="6614CFCD">
      <w:pPr>
        <w:snapToGrid w:val="0"/>
        <w:spacing w:line="240" w:lineRule="auto"/>
        <w:jc w:val="center"/>
        <w:rPr>
          <w:rFonts w:eastAsia="黑体"/>
          <w:spacing w:val="4"/>
          <w:sz w:val="32"/>
        </w:rPr>
      </w:pPr>
      <w:r>
        <w:rPr>
          <w:rFonts w:hint="eastAsia" w:eastAsia="黑体"/>
          <w:spacing w:val="4"/>
          <w:sz w:val="32"/>
        </w:rPr>
        <w:t>本规范用词说明</w:t>
      </w:r>
    </w:p>
    <w:p w14:paraId="4774D0A0">
      <w:pPr>
        <w:spacing w:line="240" w:lineRule="auto"/>
        <w:rPr>
          <w:spacing w:val="4"/>
          <w:sz w:val="20"/>
        </w:rPr>
      </w:pPr>
    </w:p>
    <w:p w14:paraId="67746C34">
      <w:pPr>
        <w:spacing w:line="240" w:lineRule="auto"/>
        <w:ind w:firstLine="420"/>
        <w:rPr>
          <w:rFonts w:hAnsi="宋体"/>
          <w:sz w:val="20"/>
          <w:szCs w:val="20"/>
        </w:rPr>
      </w:pPr>
      <w:r>
        <w:rPr>
          <w:rFonts w:ascii="Arial" w:hAnsi="Arial" w:cs="Arial"/>
          <w:bCs/>
          <w:spacing w:val="4"/>
          <w:sz w:val="20"/>
          <w:szCs w:val="20"/>
        </w:rPr>
        <w:t>1</w:t>
      </w:r>
      <w:r>
        <w:rPr>
          <w:spacing w:val="4"/>
          <w:sz w:val="20"/>
          <w:szCs w:val="20"/>
        </w:rPr>
        <w:t xml:space="preserve"> </w:t>
      </w:r>
      <w:r>
        <w:rPr>
          <w:rFonts w:hint="eastAsia"/>
          <w:spacing w:val="4"/>
          <w:sz w:val="20"/>
          <w:szCs w:val="20"/>
        </w:rPr>
        <w:t xml:space="preserve"> </w:t>
      </w:r>
      <w:r>
        <w:rPr>
          <w:rFonts w:hint="eastAsia" w:hAnsi="宋体"/>
          <w:sz w:val="20"/>
          <w:szCs w:val="20"/>
        </w:rPr>
        <w:t>为便于在执行本规范条文时区别对待，对要求严格程度不同的用词说明如下：</w:t>
      </w:r>
    </w:p>
    <w:p w14:paraId="7867FE2C">
      <w:pPr>
        <w:spacing w:line="240" w:lineRule="auto"/>
        <w:ind w:firstLine="420"/>
        <w:rPr>
          <w:rFonts w:hAnsi="宋体"/>
          <w:sz w:val="20"/>
          <w:szCs w:val="20"/>
        </w:rPr>
      </w:pPr>
      <w:r>
        <w:rPr>
          <w:rFonts w:hint="eastAsia" w:hAnsi="宋体"/>
          <w:sz w:val="20"/>
          <w:szCs w:val="20"/>
        </w:rPr>
        <w:t>1）表示很严格，非这样做不可的用词：</w:t>
      </w:r>
    </w:p>
    <w:p w14:paraId="488EE4C8">
      <w:pPr>
        <w:spacing w:line="240" w:lineRule="auto"/>
        <w:ind w:firstLine="700" w:firstLineChars="350"/>
        <w:rPr>
          <w:rFonts w:hAnsi="宋体"/>
          <w:sz w:val="20"/>
          <w:szCs w:val="20"/>
        </w:rPr>
      </w:pPr>
      <w:r>
        <w:rPr>
          <w:rFonts w:hint="eastAsia" w:hAnsi="宋体"/>
          <w:sz w:val="20"/>
          <w:szCs w:val="20"/>
        </w:rPr>
        <w:t>正面词采用“必须”，反面词采用“严禁”；</w:t>
      </w:r>
    </w:p>
    <w:p w14:paraId="2CEB9DCE">
      <w:pPr>
        <w:spacing w:line="240" w:lineRule="auto"/>
        <w:ind w:firstLine="420"/>
        <w:rPr>
          <w:rFonts w:hAnsi="宋体"/>
          <w:sz w:val="20"/>
          <w:szCs w:val="20"/>
        </w:rPr>
      </w:pPr>
      <w:r>
        <w:rPr>
          <w:rFonts w:hint="eastAsia" w:hAnsi="宋体"/>
          <w:sz w:val="20"/>
          <w:szCs w:val="20"/>
        </w:rPr>
        <w:t>2）表示严格，在正常情况下均应这样做的用词：</w:t>
      </w:r>
    </w:p>
    <w:p w14:paraId="6611B6CF">
      <w:pPr>
        <w:spacing w:line="240" w:lineRule="auto"/>
        <w:ind w:firstLine="700" w:firstLineChars="350"/>
        <w:rPr>
          <w:rFonts w:hAnsi="宋体"/>
          <w:sz w:val="20"/>
          <w:szCs w:val="20"/>
        </w:rPr>
      </w:pPr>
      <w:r>
        <w:rPr>
          <w:rFonts w:hint="eastAsia" w:hAnsi="宋体"/>
          <w:sz w:val="20"/>
          <w:szCs w:val="20"/>
        </w:rPr>
        <w:t>正面词采用“应”，反面词采用“不应”或“不得”；</w:t>
      </w:r>
    </w:p>
    <w:p w14:paraId="509F0E45">
      <w:pPr>
        <w:spacing w:line="240" w:lineRule="auto"/>
        <w:ind w:firstLine="420"/>
        <w:rPr>
          <w:rFonts w:hAnsi="宋体"/>
          <w:sz w:val="20"/>
          <w:szCs w:val="20"/>
        </w:rPr>
      </w:pPr>
      <w:r>
        <w:rPr>
          <w:rFonts w:hint="eastAsia" w:hAnsi="宋体"/>
          <w:sz w:val="20"/>
          <w:szCs w:val="20"/>
        </w:rPr>
        <w:t>3）表示允许稍有选择，在条件许可时首先应这样做的用词：</w:t>
      </w:r>
    </w:p>
    <w:p w14:paraId="00F35C90">
      <w:pPr>
        <w:spacing w:line="240" w:lineRule="auto"/>
        <w:ind w:firstLine="700" w:firstLineChars="350"/>
        <w:rPr>
          <w:rFonts w:hAnsi="宋体"/>
          <w:sz w:val="20"/>
          <w:szCs w:val="20"/>
        </w:rPr>
      </w:pPr>
      <w:r>
        <w:rPr>
          <w:rFonts w:hint="eastAsia" w:hAnsi="宋体"/>
          <w:sz w:val="20"/>
          <w:szCs w:val="20"/>
        </w:rPr>
        <w:t>正面词采用“宜”，反面词采用“不宜”；</w:t>
      </w:r>
    </w:p>
    <w:p w14:paraId="1332BE95">
      <w:pPr>
        <w:spacing w:line="240" w:lineRule="auto"/>
        <w:ind w:firstLine="420"/>
        <w:rPr>
          <w:rFonts w:hAnsi="宋体"/>
          <w:sz w:val="20"/>
          <w:szCs w:val="20"/>
        </w:rPr>
      </w:pPr>
      <w:r>
        <w:rPr>
          <w:rFonts w:hint="eastAsia" w:hAnsi="宋体"/>
          <w:sz w:val="20"/>
          <w:szCs w:val="20"/>
        </w:rPr>
        <w:t>4）表示有选择，在一定条件下可以这样做的用词，采用“可”。</w:t>
      </w:r>
    </w:p>
    <w:p w14:paraId="7656B409">
      <w:pPr>
        <w:spacing w:line="240" w:lineRule="auto"/>
        <w:ind w:firstLine="420"/>
        <w:rPr>
          <w:spacing w:val="4"/>
          <w:sz w:val="20"/>
        </w:rPr>
      </w:pPr>
      <w:r>
        <w:rPr>
          <w:rFonts w:hint="eastAsia" w:ascii="Arial" w:hAnsi="Arial" w:cs="Arial"/>
          <w:sz w:val="20"/>
          <w:szCs w:val="20"/>
        </w:rPr>
        <w:t>2</w:t>
      </w:r>
      <w:r>
        <w:rPr>
          <w:rFonts w:hint="eastAsia" w:hAnsi="宋体"/>
          <w:sz w:val="20"/>
          <w:szCs w:val="20"/>
        </w:rPr>
        <w:t xml:space="preserve">  本规范中指明应按其他有关标准执行的写法为“应符合……的规定”或“应按……执行”</w:t>
      </w:r>
      <w:r>
        <w:rPr>
          <w:rFonts w:hAnsi="宋体"/>
          <w:spacing w:val="4"/>
          <w:sz w:val="20"/>
          <w:szCs w:val="20"/>
        </w:rPr>
        <w:t>。</w:t>
      </w:r>
    </w:p>
    <w:p w14:paraId="4B2F49ED">
      <w:pPr>
        <w:widowControl/>
        <w:spacing w:line="240" w:lineRule="auto"/>
        <w:jc w:val="left"/>
        <w:rPr>
          <w:rFonts w:eastAsia="黑体"/>
          <w:spacing w:val="4"/>
          <w:sz w:val="32"/>
        </w:rPr>
      </w:pPr>
      <w:r>
        <w:rPr>
          <w:rFonts w:eastAsia="黑体"/>
          <w:spacing w:val="4"/>
          <w:sz w:val="32"/>
        </w:rPr>
        <w:br w:type="page"/>
      </w:r>
    </w:p>
    <w:p w14:paraId="1C370CA3">
      <w:pPr>
        <w:snapToGrid w:val="0"/>
        <w:spacing w:line="240" w:lineRule="auto"/>
        <w:jc w:val="center"/>
        <w:rPr>
          <w:rFonts w:eastAsia="黑体"/>
          <w:spacing w:val="4"/>
          <w:sz w:val="32"/>
        </w:rPr>
      </w:pPr>
      <w:r>
        <w:rPr>
          <w:rFonts w:hint="eastAsia" w:eastAsia="黑体"/>
          <w:spacing w:val="4"/>
          <w:sz w:val="32"/>
        </w:rPr>
        <w:t>引用标准名录</w:t>
      </w:r>
    </w:p>
    <w:p w14:paraId="2BD575F3">
      <w:pPr>
        <w:pStyle w:val="177"/>
        <w:numPr>
          <w:ilvl w:val="0"/>
          <w:numId w:val="43"/>
        </w:numPr>
        <w:ind w:firstLineChars="0"/>
        <w:rPr>
          <w:rFonts w:ascii="Arial" w:hAnsi="Arial" w:cs="Arial"/>
          <w:spacing w:val="4"/>
          <w:sz w:val="20"/>
        </w:rPr>
      </w:pPr>
      <w:r>
        <w:rPr>
          <w:rFonts w:hint="eastAsia" w:ascii="Arial" w:hAnsi="Arial" w:cs="Arial"/>
          <w:spacing w:val="4"/>
          <w:sz w:val="20"/>
        </w:rPr>
        <w:t>《建筑地基基础设计规范》GB 50007</w:t>
      </w:r>
    </w:p>
    <w:p w14:paraId="371AA5CC">
      <w:pPr>
        <w:pStyle w:val="177"/>
        <w:numPr>
          <w:ilvl w:val="0"/>
          <w:numId w:val="43"/>
        </w:numPr>
        <w:ind w:firstLineChars="0"/>
        <w:rPr>
          <w:rFonts w:ascii="Arial" w:hAnsi="Arial" w:cs="Arial"/>
          <w:spacing w:val="4"/>
          <w:sz w:val="20"/>
        </w:rPr>
      </w:pPr>
      <w:r>
        <w:rPr>
          <w:rFonts w:hint="eastAsia" w:ascii="Arial" w:hAnsi="Arial" w:cs="Arial"/>
          <w:spacing w:val="4"/>
          <w:sz w:val="20"/>
        </w:rPr>
        <w:t>《建筑结构荷载规范》GB 50009</w:t>
      </w:r>
    </w:p>
    <w:p w14:paraId="145757A2">
      <w:pPr>
        <w:pStyle w:val="177"/>
        <w:numPr>
          <w:ilvl w:val="0"/>
          <w:numId w:val="43"/>
        </w:numPr>
        <w:ind w:firstLineChars="0"/>
        <w:rPr>
          <w:rFonts w:ascii="Arial" w:hAnsi="Arial" w:cs="Arial"/>
          <w:spacing w:val="4"/>
          <w:sz w:val="20"/>
        </w:rPr>
      </w:pPr>
      <w:r>
        <w:rPr>
          <w:rFonts w:hint="eastAsia" w:ascii="Arial" w:hAnsi="Arial" w:cs="Arial"/>
          <w:spacing w:val="4"/>
          <w:sz w:val="20"/>
        </w:rPr>
        <w:t>《室外排水设计标准》GB 50014</w:t>
      </w:r>
    </w:p>
    <w:p w14:paraId="50D1906E">
      <w:pPr>
        <w:pStyle w:val="177"/>
        <w:numPr>
          <w:ilvl w:val="0"/>
          <w:numId w:val="43"/>
        </w:numPr>
        <w:ind w:firstLineChars="0"/>
        <w:rPr>
          <w:rFonts w:ascii="Arial" w:hAnsi="Arial" w:cs="Arial"/>
          <w:spacing w:val="4"/>
          <w:sz w:val="20"/>
        </w:rPr>
      </w:pPr>
      <w:r>
        <w:rPr>
          <w:rFonts w:hint="eastAsia" w:ascii="Arial" w:hAnsi="Arial" w:cs="Arial"/>
          <w:spacing w:val="4"/>
          <w:sz w:val="20"/>
        </w:rPr>
        <w:t>《建筑给水排水设计规范》GB 50015</w:t>
      </w:r>
    </w:p>
    <w:p w14:paraId="129EA61A">
      <w:pPr>
        <w:pStyle w:val="177"/>
        <w:numPr>
          <w:ilvl w:val="0"/>
          <w:numId w:val="43"/>
        </w:numPr>
        <w:ind w:firstLineChars="0"/>
        <w:rPr>
          <w:rFonts w:ascii="Arial" w:hAnsi="Arial" w:cs="Arial"/>
          <w:spacing w:val="4"/>
          <w:sz w:val="20"/>
        </w:rPr>
      </w:pPr>
      <w:r>
        <w:rPr>
          <w:rFonts w:hint="eastAsia" w:ascii="Arial" w:hAnsi="Arial" w:cs="Arial"/>
          <w:spacing w:val="4"/>
          <w:sz w:val="20"/>
        </w:rPr>
        <w:t>《建筑设计防火规范》GB 50016</w:t>
      </w:r>
    </w:p>
    <w:p w14:paraId="6B56FAA0">
      <w:pPr>
        <w:pStyle w:val="177"/>
        <w:numPr>
          <w:ilvl w:val="0"/>
          <w:numId w:val="43"/>
        </w:numPr>
        <w:ind w:firstLineChars="0"/>
        <w:rPr>
          <w:rFonts w:ascii="Arial" w:hAnsi="Arial" w:cs="Arial"/>
          <w:spacing w:val="4"/>
          <w:sz w:val="20"/>
        </w:rPr>
      </w:pPr>
      <w:r>
        <w:rPr>
          <w:rFonts w:hint="eastAsia" w:ascii="Arial" w:hAnsi="Arial" w:cs="Arial"/>
          <w:spacing w:val="4"/>
          <w:sz w:val="20"/>
        </w:rPr>
        <w:t>《钢结构设计标准》GB 50017</w:t>
      </w:r>
    </w:p>
    <w:p w14:paraId="02D9BB66">
      <w:pPr>
        <w:pStyle w:val="177"/>
        <w:numPr>
          <w:ilvl w:val="0"/>
          <w:numId w:val="43"/>
        </w:numPr>
        <w:ind w:firstLineChars="0"/>
        <w:rPr>
          <w:rFonts w:ascii="Arial" w:hAnsi="Arial" w:cs="Arial"/>
          <w:spacing w:val="4"/>
          <w:sz w:val="20"/>
        </w:rPr>
      </w:pPr>
      <w:r>
        <w:rPr>
          <w:rFonts w:hint="eastAsia" w:ascii="Arial" w:hAnsi="Arial" w:cs="Arial"/>
          <w:spacing w:val="4"/>
          <w:sz w:val="20"/>
        </w:rPr>
        <w:t>《城镇燃气设计规范》GB 50028</w:t>
      </w:r>
    </w:p>
    <w:p w14:paraId="75F6E17D">
      <w:pPr>
        <w:pStyle w:val="177"/>
        <w:numPr>
          <w:ilvl w:val="0"/>
          <w:numId w:val="43"/>
        </w:numPr>
        <w:ind w:firstLineChars="0"/>
        <w:rPr>
          <w:rFonts w:ascii="Arial" w:hAnsi="Arial" w:cs="Arial"/>
          <w:spacing w:val="4"/>
          <w:sz w:val="20"/>
        </w:rPr>
      </w:pPr>
      <w:r>
        <w:rPr>
          <w:rFonts w:hint="eastAsia" w:ascii="Arial" w:hAnsi="Arial" w:cs="Arial"/>
          <w:spacing w:val="4"/>
          <w:sz w:val="20"/>
        </w:rPr>
        <w:t>《人民防空地下室设计规范》GB 50038</w:t>
      </w:r>
    </w:p>
    <w:p w14:paraId="1B35636A">
      <w:pPr>
        <w:pStyle w:val="177"/>
        <w:numPr>
          <w:ilvl w:val="0"/>
          <w:numId w:val="43"/>
        </w:numPr>
        <w:ind w:firstLineChars="0"/>
        <w:rPr>
          <w:rFonts w:ascii="Arial" w:hAnsi="Arial" w:cs="Arial"/>
          <w:spacing w:val="4"/>
          <w:sz w:val="20"/>
        </w:rPr>
      </w:pPr>
      <w:r>
        <w:rPr>
          <w:rFonts w:hint="eastAsia" w:ascii="Arial" w:hAnsi="Arial" w:cs="Arial"/>
          <w:spacing w:val="4"/>
          <w:sz w:val="20"/>
        </w:rPr>
        <w:t>《工业循环冷却水处理设计规范》GB 50050</w:t>
      </w:r>
    </w:p>
    <w:p w14:paraId="6A338C62">
      <w:pPr>
        <w:pStyle w:val="177"/>
        <w:numPr>
          <w:ilvl w:val="0"/>
          <w:numId w:val="43"/>
        </w:numPr>
        <w:ind w:firstLineChars="0"/>
        <w:rPr>
          <w:rFonts w:ascii="Arial" w:hAnsi="Arial" w:cs="Arial"/>
          <w:spacing w:val="4"/>
          <w:sz w:val="20"/>
        </w:rPr>
      </w:pPr>
      <w:r>
        <w:rPr>
          <w:rFonts w:hint="eastAsia" w:ascii="Arial" w:hAnsi="Arial" w:cs="Arial"/>
          <w:spacing w:val="4"/>
          <w:sz w:val="20"/>
        </w:rPr>
        <w:t>《低压配电设计规范》GB 50054</w:t>
      </w:r>
    </w:p>
    <w:p w14:paraId="569D7241">
      <w:pPr>
        <w:pStyle w:val="177"/>
        <w:numPr>
          <w:ilvl w:val="0"/>
          <w:numId w:val="43"/>
        </w:numPr>
        <w:ind w:firstLineChars="0"/>
        <w:rPr>
          <w:rFonts w:ascii="Arial" w:hAnsi="Arial" w:cs="Arial"/>
          <w:spacing w:val="4"/>
          <w:sz w:val="20"/>
        </w:rPr>
      </w:pPr>
      <w:r>
        <w:rPr>
          <w:rFonts w:hint="eastAsia" w:ascii="Arial" w:hAnsi="Arial" w:cs="Arial"/>
          <w:spacing w:val="4"/>
          <w:sz w:val="20"/>
        </w:rPr>
        <w:t>《建筑物防雷设计规范》GB 50057</w:t>
      </w:r>
    </w:p>
    <w:p w14:paraId="7134FB9B">
      <w:pPr>
        <w:pStyle w:val="177"/>
        <w:numPr>
          <w:ilvl w:val="0"/>
          <w:numId w:val="43"/>
        </w:numPr>
        <w:ind w:firstLineChars="0"/>
        <w:rPr>
          <w:rFonts w:ascii="Arial" w:hAnsi="Arial" w:cs="Arial"/>
          <w:spacing w:val="4"/>
          <w:sz w:val="20"/>
        </w:rPr>
      </w:pPr>
      <w:r>
        <w:rPr>
          <w:rFonts w:hint="eastAsia" w:ascii="Arial" w:hAnsi="Arial" w:cs="Arial"/>
          <w:spacing w:val="4"/>
          <w:sz w:val="20"/>
        </w:rPr>
        <w:t>《建筑结构可靠性设计统一标准》GB 50068</w:t>
      </w:r>
    </w:p>
    <w:p w14:paraId="18A55AE7">
      <w:pPr>
        <w:pStyle w:val="177"/>
        <w:numPr>
          <w:ilvl w:val="0"/>
          <w:numId w:val="43"/>
        </w:numPr>
        <w:ind w:firstLineChars="0"/>
        <w:rPr>
          <w:rFonts w:ascii="Arial" w:hAnsi="Arial" w:cs="Arial"/>
          <w:spacing w:val="4"/>
          <w:sz w:val="20"/>
        </w:rPr>
      </w:pPr>
      <w:r>
        <w:rPr>
          <w:rFonts w:hint="eastAsia" w:ascii="Arial" w:hAnsi="Arial" w:cs="Arial"/>
          <w:spacing w:val="4"/>
          <w:sz w:val="20"/>
        </w:rPr>
        <w:t>《自动喷水灭火系统设计规范》GB 50084</w:t>
      </w:r>
    </w:p>
    <w:p w14:paraId="1A9D117C">
      <w:pPr>
        <w:pStyle w:val="177"/>
        <w:numPr>
          <w:ilvl w:val="0"/>
          <w:numId w:val="43"/>
        </w:numPr>
        <w:ind w:firstLineChars="0"/>
        <w:rPr>
          <w:rFonts w:ascii="Arial" w:hAnsi="Arial" w:cs="Arial"/>
          <w:spacing w:val="4"/>
          <w:sz w:val="20"/>
        </w:rPr>
      </w:pPr>
      <w:r>
        <w:rPr>
          <w:rFonts w:hint="eastAsia" w:ascii="Arial" w:hAnsi="Arial" w:cs="Arial"/>
          <w:spacing w:val="4"/>
          <w:sz w:val="20"/>
        </w:rPr>
        <w:t>《地下工程防水技术规范》GB 50108</w:t>
      </w:r>
    </w:p>
    <w:p w14:paraId="16B4730E">
      <w:pPr>
        <w:pStyle w:val="177"/>
        <w:numPr>
          <w:ilvl w:val="0"/>
          <w:numId w:val="43"/>
        </w:numPr>
        <w:ind w:firstLineChars="0"/>
        <w:rPr>
          <w:rFonts w:ascii="Arial" w:hAnsi="Arial" w:cs="Arial"/>
          <w:spacing w:val="4"/>
          <w:sz w:val="20"/>
        </w:rPr>
      </w:pPr>
      <w:r>
        <w:rPr>
          <w:rFonts w:hint="eastAsia" w:ascii="Arial" w:hAnsi="Arial" w:cs="Arial"/>
          <w:spacing w:val="4"/>
          <w:sz w:val="20"/>
        </w:rPr>
        <w:t>《铁路工程抗震设计规范》GB 50111</w:t>
      </w:r>
    </w:p>
    <w:p w14:paraId="23AE8B9F">
      <w:pPr>
        <w:pStyle w:val="177"/>
        <w:numPr>
          <w:ilvl w:val="0"/>
          <w:numId w:val="43"/>
        </w:numPr>
        <w:ind w:firstLineChars="0"/>
        <w:rPr>
          <w:rFonts w:ascii="Arial" w:hAnsi="Arial" w:cs="Arial"/>
          <w:spacing w:val="4"/>
          <w:sz w:val="20"/>
        </w:rPr>
      </w:pPr>
      <w:r>
        <w:rPr>
          <w:rFonts w:hint="eastAsia" w:ascii="Arial" w:hAnsi="Arial" w:cs="Arial"/>
          <w:spacing w:val="4"/>
          <w:sz w:val="20"/>
        </w:rPr>
        <w:t>《火灾自动报警系统设计规范》GB 50116</w:t>
      </w:r>
    </w:p>
    <w:p w14:paraId="7A2F1AB1">
      <w:pPr>
        <w:pStyle w:val="177"/>
        <w:numPr>
          <w:ilvl w:val="0"/>
          <w:numId w:val="43"/>
        </w:numPr>
        <w:ind w:firstLineChars="0"/>
        <w:rPr>
          <w:rFonts w:ascii="Arial" w:hAnsi="Arial" w:cs="Arial"/>
          <w:spacing w:val="4"/>
          <w:sz w:val="20"/>
        </w:rPr>
      </w:pPr>
      <w:r>
        <w:rPr>
          <w:rFonts w:hint="eastAsia" w:ascii="Arial" w:hAnsi="Arial" w:cs="Arial"/>
          <w:spacing w:val="4"/>
          <w:sz w:val="20"/>
        </w:rPr>
        <w:t>《内河通航标准》GB 50139</w:t>
      </w:r>
    </w:p>
    <w:p w14:paraId="7C1FE086">
      <w:pPr>
        <w:pStyle w:val="177"/>
        <w:numPr>
          <w:ilvl w:val="0"/>
          <w:numId w:val="43"/>
        </w:numPr>
        <w:ind w:firstLineChars="0"/>
        <w:rPr>
          <w:rFonts w:ascii="Arial" w:hAnsi="Arial" w:cs="Arial"/>
          <w:spacing w:val="4"/>
          <w:sz w:val="20"/>
        </w:rPr>
      </w:pPr>
      <w:r>
        <w:rPr>
          <w:rFonts w:hint="eastAsia" w:ascii="Arial" w:hAnsi="Arial" w:cs="Arial"/>
          <w:spacing w:val="4"/>
          <w:sz w:val="20"/>
        </w:rPr>
        <w:t>《建筑灭火器配置设计规范》GB 50140</w:t>
      </w:r>
    </w:p>
    <w:p w14:paraId="6DF567FE">
      <w:pPr>
        <w:pStyle w:val="177"/>
        <w:numPr>
          <w:ilvl w:val="0"/>
          <w:numId w:val="43"/>
        </w:numPr>
        <w:ind w:firstLineChars="0"/>
        <w:rPr>
          <w:rFonts w:ascii="Arial" w:hAnsi="Arial" w:cs="Arial"/>
          <w:spacing w:val="4"/>
          <w:sz w:val="20"/>
        </w:rPr>
      </w:pPr>
      <w:r>
        <w:rPr>
          <w:rFonts w:hint="eastAsia" w:ascii="Arial" w:hAnsi="Arial" w:cs="Arial"/>
          <w:spacing w:val="4"/>
          <w:sz w:val="20"/>
        </w:rPr>
        <w:t>《汽车加油加气站设计与施工规范》GB 50156</w:t>
      </w:r>
    </w:p>
    <w:p w14:paraId="7AA36A17">
      <w:pPr>
        <w:pStyle w:val="177"/>
        <w:numPr>
          <w:ilvl w:val="0"/>
          <w:numId w:val="43"/>
        </w:numPr>
        <w:ind w:firstLineChars="0"/>
        <w:rPr>
          <w:rFonts w:ascii="Arial" w:hAnsi="Arial" w:cs="Arial"/>
          <w:spacing w:val="4"/>
          <w:sz w:val="20"/>
        </w:rPr>
      </w:pPr>
      <w:r>
        <w:rPr>
          <w:rFonts w:hint="eastAsia" w:ascii="Arial" w:hAnsi="Arial" w:cs="Arial"/>
          <w:spacing w:val="4"/>
          <w:sz w:val="20"/>
        </w:rPr>
        <w:t>《地铁设计规范》GB 50157</w:t>
      </w:r>
    </w:p>
    <w:p w14:paraId="6A29E712">
      <w:pPr>
        <w:pStyle w:val="177"/>
        <w:numPr>
          <w:ilvl w:val="0"/>
          <w:numId w:val="43"/>
        </w:numPr>
        <w:ind w:firstLineChars="0"/>
        <w:rPr>
          <w:rFonts w:ascii="Arial" w:hAnsi="Arial" w:cs="Arial"/>
          <w:spacing w:val="4"/>
          <w:sz w:val="20"/>
        </w:rPr>
      </w:pPr>
      <w:r>
        <w:rPr>
          <w:rFonts w:hint="eastAsia" w:ascii="Arial" w:hAnsi="Arial" w:cs="Arial"/>
          <w:spacing w:val="4"/>
          <w:sz w:val="20"/>
        </w:rPr>
        <w:t>《电子信息系统机房设计规范》GB 5017</w:t>
      </w:r>
    </w:p>
    <w:p w14:paraId="64927AF9">
      <w:pPr>
        <w:pStyle w:val="177"/>
        <w:numPr>
          <w:ilvl w:val="0"/>
          <w:numId w:val="43"/>
        </w:numPr>
        <w:ind w:firstLineChars="0"/>
        <w:rPr>
          <w:rFonts w:ascii="Arial" w:hAnsi="Arial" w:cs="Arial"/>
          <w:spacing w:val="4"/>
          <w:sz w:val="20"/>
        </w:rPr>
      </w:pPr>
      <w:r>
        <w:rPr>
          <w:rFonts w:hint="eastAsia" w:ascii="Arial" w:hAnsi="Arial" w:cs="Arial"/>
          <w:spacing w:val="4"/>
          <w:sz w:val="20"/>
        </w:rPr>
        <w:t>《数据中心设计规范》GB 50174</w:t>
      </w:r>
    </w:p>
    <w:p w14:paraId="62848FB3">
      <w:pPr>
        <w:pStyle w:val="177"/>
        <w:numPr>
          <w:ilvl w:val="0"/>
          <w:numId w:val="43"/>
        </w:numPr>
        <w:ind w:firstLineChars="0"/>
        <w:rPr>
          <w:rFonts w:ascii="Arial" w:hAnsi="Arial" w:cs="Arial"/>
          <w:spacing w:val="4"/>
          <w:sz w:val="20"/>
        </w:rPr>
      </w:pPr>
      <w:r>
        <w:rPr>
          <w:rFonts w:hint="eastAsia" w:ascii="Arial" w:hAnsi="Arial" w:cs="Arial"/>
          <w:spacing w:val="4"/>
          <w:sz w:val="20"/>
        </w:rPr>
        <w:t>《公共建筑节能设计标准》GB 50189</w:t>
      </w:r>
    </w:p>
    <w:p w14:paraId="1289BFCA">
      <w:pPr>
        <w:pStyle w:val="177"/>
        <w:numPr>
          <w:ilvl w:val="0"/>
          <w:numId w:val="43"/>
        </w:numPr>
        <w:ind w:firstLineChars="0"/>
        <w:rPr>
          <w:rFonts w:ascii="Arial" w:hAnsi="Arial" w:cs="Arial"/>
          <w:spacing w:val="4"/>
          <w:sz w:val="20"/>
        </w:rPr>
      </w:pPr>
      <w:r>
        <w:rPr>
          <w:rFonts w:hint="eastAsia" w:ascii="Arial" w:hAnsi="Arial" w:cs="Arial"/>
          <w:spacing w:val="4"/>
          <w:sz w:val="20"/>
        </w:rPr>
        <w:t>《建筑内部装修设计防火规范》GB 50222</w:t>
      </w:r>
    </w:p>
    <w:p w14:paraId="498F623A">
      <w:pPr>
        <w:pStyle w:val="177"/>
        <w:numPr>
          <w:ilvl w:val="0"/>
          <w:numId w:val="43"/>
        </w:numPr>
        <w:ind w:firstLineChars="0"/>
        <w:rPr>
          <w:rFonts w:ascii="Arial" w:hAnsi="Arial" w:cs="Arial"/>
          <w:spacing w:val="4"/>
          <w:sz w:val="20"/>
        </w:rPr>
      </w:pPr>
      <w:r>
        <w:rPr>
          <w:rFonts w:hint="eastAsia" w:ascii="Arial" w:hAnsi="Arial" w:cs="Arial"/>
          <w:spacing w:val="4"/>
          <w:sz w:val="20"/>
        </w:rPr>
        <w:t>《建筑工程抗震设防分类标准》GB 50223</w:t>
      </w:r>
    </w:p>
    <w:p w14:paraId="1CB82D9A">
      <w:pPr>
        <w:pStyle w:val="177"/>
        <w:numPr>
          <w:ilvl w:val="0"/>
          <w:numId w:val="43"/>
        </w:numPr>
        <w:ind w:firstLineChars="0"/>
        <w:rPr>
          <w:rFonts w:ascii="Arial" w:hAnsi="Arial" w:cs="Arial"/>
          <w:spacing w:val="4"/>
          <w:sz w:val="20"/>
        </w:rPr>
      </w:pPr>
      <w:r>
        <w:rPr>
          <w:rFonts w:hint="eastAsia" w:ascii="Arial" w:hAnsi="Arial" w:cs="Arial"/>
          <w:spacing w:val="4"/>
          <w:sz w:val="20"/>
        </w:rPr>
        <w:t>《人民防空工程设计规范》GB 50225</w:t>
      </w:r>
    </w:p>
    <w:p w14:paraId="60BA4150">
      <w:pPr>
        <w:pStyle w:val="177"/>
        <w:numPr>
          <w:ilvl w:val="0"/>
          <w:numId w:val="43"/>
        </w:numPr>
        <w:ind w:firstLineChars="0"/>
        <w:rPr>
          <w:rFonts w:ascii="Arial" w:hAnsi="Arial" w:cs="Arial"/>
          <w:spacing w:val="4"/>
          <w:sz w:val="20"/>
        </w:rPr>
      </w:pPr>
      <w:r>
        <w:rPr>
          <w:rFonts w:hint="eastAsia" w:ascii="Arial" w:hAnsi="Arial" w:cs="Arial"/>
          <w:spacing w:val="4"/>
          <w:sz w:val="20"/>
        </w:rPr>
        <w:t>《火力发电厂与变电站设计防火规范》GB 50229</w:t>
      </w:r>
    </w:p>
    <w:p w14:paraId="64688821">
      <w:pPr>
        <w:pStyle w:val="177"/>
        <w:numPr>
          <w:ilvl w:val="0"/>
          <w:numId w:val="43"/>
        </w:numPr>
        <w:ind w:firstLineChars="0"/>
        <w:rPr>
          <w:rFonts w:ascii="Arial" w:hAnsi="Arial" w:cs="Arial"/>
          <w:spacing w:val="4"/>
          <w:sz w:val="20"/>
        </w:rPr>
      </w:pPr>
      <w:r>
        <w:rPr>
          <w:rFonts w:hint="eastAsia" w:ascii="Arial" w:hAnsi="Arial" w:cs="Arial"/>
          <w:spacing w:val="4"/>
          <w:sz w:val="20"/>
        </w:rPr>
        <w:t>《综合布线系统工程设计规范》GB 50311</w:t>
      </w:r>
    </w:p>
    <w:p w14:paraId="193B53AD">
      <w:pPr>
        <w:pStyle w:val="177"/>
        <w:numPr>
          <w:ilvl w:val="0"/>
          <w:numId w:val="43"/>
        </w:numPr>
        <w:ind w:firstLineChars="0"/>
        <w:rPr>
          <w:rFonts w:ascii="Arial" w:hAnsi="Arial" w:cs="Arial"/>
          <w:spacing w:val="4"/>
          <w:sz w:val="20"/>
        </w:rPr>
      </w:pPr>
      <w:r>
        <w:rPr>
          <w:rFonts w:hint="eastAsia" w:ascii="Arial" w:hAnsi="Arial" w:cs="Arial"/>
          <w:spacing w:val="4"/>
          <w:sz w:val="20"/>
        </w:rPr>
        <w:t>《建筑物电子信息系统防雷技术规范》GB 50343</w:t>
      </w:r>
    </w:p>
    <w:p w14:paraId="1405C6BA">
      <w:pPr>
        <w:pStyle w:val="177"/>
        <w:numPr>
          <w:ilvl w:val="0"/>
          <w:numId w:val="43"/>
        </w:numPr>
        <w:ind w:firstLineChars="0"/>
        <w:rPr>
          <w:rFonts w:ascii="Arial" w:hAnsi="Arial" w:cs="Arial"/>
          <w:spacing w:val="4"/>
          <w:sz w:val="20"/>
        </w:rPr>
      </w:pPr>
      <w:r>
        <w:rPr>
          <w:rFonts w:hint="eastAsia" w:ascii="Arial" w:hAnsi="Arial" w:cs="Arial"/>
          <w:spacing w:val="4"/>
          <w:sz w:val="20"/>
        </w:rPr>
        <w:t>《屋面工程技术规范》GB 50345</w:t>
      </w:r>
    </w:p>
    <w:p w14:paraId="3CA58DDC">
      <w:pPr>
        <w:pStyle w:val="177"/>
        <w:numPr>
          <w:ilvl w:val="0"/>
          <w:numId w:val="43"/>
        </w:numPr>
        <w:ind w:firstLineChars="0"/>
        <w:rPr>
          <w:rFonts w:ascii="Arial" w:hAnsi="Arial" w:cs="Arial"/>
          <w:spacing w:val="4"/>
          <w:sz w:val="20"/>
        </w:rPr>
      </w:pPr>
      <w:r>
        <w:rPr>
          <w:rFonts w:hint="eastAsia" w:ascii="Arial" w:hAnsi="Arial" w:cs="Arial"/>
          <w:spacing w:val="4"/>
          <w:sz w:val="20"/>
        </w:rPr>
        <w:t>《安全防范工程技术标准》GB 50384</w:t>
      </w:r>
    </w:p>
    <w:p w14:paraId="364004EB">
      <w:pPr>
        <w:pStyle w:val="177"/>
        <w:numPr>
          <w:ilvl w:val="0"/>
          <w:numId w:val="43"/>
        </w:numPr>
        <w:ind w:firstLineChars="0"/>
        <w:rPr>
          <w:rFonts w:ascii="Arial" w:hAnsi="Arial" w:cs="Arial"/>
          <w:spacing w:val="4"/>
          <w:sz w:val="20"/>
        </w:rPr>
      </w:pPr>
      <w:r>
        <w:rPr>
          <w:rFonts w:hint="eastAsia" w:ascii="Arial" w:hAnsi="Arial" w:cs="Arial"/>
          <w:spacing w:val="4"/>
          <w:sz w:val="20"/>
        </w:rPr>
        <w:t>《入侵报警系统工程设计规范》GB 50394</w:t>
      </w:r>
    </w:p>
    <w:p w14:paraId="51097699">
      <w:pPr>
        <w:pStyle w:val="177"/>
        <w:numPr>
          <w:ilvl w:val="0"/>
          <w:numId w:val="43"/>
        </w:numPr>
        <w:ind w:firstLineChars="0"/>
        <w:rPr>
          <w:rFonts w:ascii="Arial" w:hAnsi="Arial" w:cs="Arial"/>
          <w:spacing w:val="4"/>
          <w:sz w:val="20"/>
        </w:rPr>
      </w:pPr>
      <w:r>
        <w:rPr>
          <w:rFonts w:hint="eastAsia" w:ascii="Arial" w:hAnsi="Arial" w:cs="Arial"/>
          <w:spacing w:val="4"/>
          <w:sz w:val="20"/>
        </w:rPr>
        <w:t>《视频安防监控系统工程设计规范》GB 50395</w:t>
      </w:r>
    </w:p>
    <w:p w14:paraId="7317B381">
      <w:pPr>
        <w:pStyle w:val="177"/>
        <w:numPr>
          <w:ilvl w:val="0"/>
          <w:numId w:val="43"/>
        </w:numPr>
        <w:ind w:firstLineChars="0"/>
        <w:rPr>
          <w:rFonts w:ascii="Arial" w:hAnsi="Arial" w:cs="Arial"/>
          <w:spacing w:val="4"/>
          <w:sz w:val="20"/>
        </w:rPr>
      </w:pPr>
      <w:r>
        <w:rPr>
          <w:rFonts w:hint="eastAsia" w:ascii="Arial" w:hAnsi="Arial" w:cs="Arial"/>
          <w:spacing w:val="4"/>
          <w:sz w:val="20"/>
        </w:rPr>
        <w:t>《盾构法隧道施工及验收规范》GB 50446</w:t>
      </w:r>
    </w:p>
    <w:p w14:paraId="6F4E5997">
      <w:pPr>
        <w:pStyle w:val="177"/>
        <w:numPr>
          <w:ilvl w:val="0"/>
          <w:numId w:val="43"/>
        </w:numPr>
        <w:ind w:firstLineChars="0"/>
        <w:rPr>
          <w:rFonts w:ascii="Arial" w:hAnsi="Arial" w:cs="Arial"/>
          <w:spacing w:val="4"/>
          <w:sz w:val="20"/>
        </w:rPr>
      </w:pPr>
      <w:r>
        <w:rPr>
          <w:rFonts w:hint="eastAsia" w:ascii="Arial" w:hAnsi="Arial" w:cs="Arial"/>
          <w:spacing w:val="4"/>
          <w:sz w:val="20"/>
        </w:rPr>
        <w:t>《民用建筑节水设计标准》GB 50555</w:t>
      </w:r>
    </w:p>
    <w:p w14:paraId="2BCFEE44">
      <w:pPr>
        <w:pStyle w:val="177"/>
        <w:numPr>
          <w:ilvl w:val="0"/>
          <w:numId w:val="43"/>
        </w:numPr>
        <w:ind w:firstLineChars="0"/>
        <w:rPr>
          <w:rFonts w:ascii="Arial" w:hAnsi="Arial" w:cs="Arial"/>
          <w:spacing w:val="4"/>
          <w:sz w:val="20"/>
        </w:rPr>
      </w:pPr>
      <w:r>
        <w:rPr>
          <w:rFonts w:hint="eastAsia" w:ascii="Arial" w:hAnsi="Arial" w:cs="Arial"/>
          <w:spacing w:val="4"/>
          <w:sz w:val="20"/>
        </w:rPr>
        <w:t>《无障碍设计规范》GB 50763</w:t>
      </w:r>
    </w:p>
    <w:p w14:paraId="62F47CA5">
      <w:pPr>
        <w:pStyle w:val="177"/>
        <w:numPr>
          <w:ilvl w:val="0"/>
          <w:numId w:val="43"/>
        </w:numPr>
        <w:ind w:firstLineChars="0"/>
        <w:rPr>
          <w:rFonts w:ascii="Arial" w:hAnsi="Arial" w:cs="Arial"/>
          <w:spacing w:val="4"/>
          <w:sz w:val="20"/>
        </w:rPr>
      </w:pPr>
      <w:r>
        <w:rPr>
          <w:rFonts w:hint="eastAsia" w:ascii="Arial" w:hAnsi="Arial" w:cs="Arial"/>
          <w:spacing w:val="4"/>
          <w:sz w:val="20"/>
        </w:rPr>
        <w:t>《城市轨道交通结构抗震设计规范》GB 50909</w:t>
      </w:r>
    </w:p>
    <w:p w14:paraId="585EACE4">
      <w:pPr>
        <w:pStyle w:val="177"/>
        <w:numPr>
          <w:ilvl w:val="0"/>
          <w:numId w:val="43"/>
        </w:numPr>
        <w:ind w:firstLineChars="0"/>
        <w:rPr>
          <w:rFonts w:ascii="Arial" w:hAnsi="Arial" w:cs="Arial"/>
          <w:spacing w:val="4"/>
          <w:sz w:val="20"/>
        </w:rPr>
      </w:pPr>
      <w:r>
        <w:rPr>
          <w:rFonts w:hint="eastAsia" w:ascii="Arial" w:hAnsi="Arial" w:cs="Arial"/>
          <w:spacing w:val="4"/>
          <w:sz w:val="20"/>
        </w:rPr>
        <w:t>《消防给水及消火栓系统技术规范》GB 50974</w:t>
      </w:r>
    </w:p>
    <w:p w14:paraId="431B96B2">
      <w:pPr>
        <w:pStyle w:val="177"/>
        <w:numPr>
          <w:ilvl w:val="0"/>
          <w:numId w:val="43"/>
        </w:numPr>
        <w:ind w:firstLineChars="0"/>
        <w:rPr>
          <w:rFonts w:ascii="Arial" w:hAnsi="Arial" w:cs="Arial"/>
          <w:spacing w:val="4"/>
          <w:sz w:val="20"/>
        </w:rPr>
      </w:pPr>
      <w:r>
        <w:rPr>
          <w:rFonts w:hint="eastAsia" w:ascii="Arial" w:hAnsi="Arial" w:cs="Arial"/>
          <w:spacing w:val="4"/>
          <w:sz w:val="20"/>
        </w:rPr>
        <w:t>《建筑防烟排烟系统技术标准》GB 51251</w:t>
      </w:r>
    </w:p>
    <w:p w14:paraId="14710BC6">
      <w:pPr>
        <w:pStyle w:val="177"/>
        <w:numPr>
          <w:ilvl w:val="0"/>
          <w:numId w:val="43"/>
        </w:numPr>
        <w:ind w:firstLineChars="0"/>
        <w:rPr>
          <w:rFonts w:ascii="Arial" w:hAnsi="Arial" w:cs="Arial"/>
          <w:spacing w:val="4"/>
          <w:sz w:val="20"/>
        </w:rPr>
      </w:pPr>
      <w:r>
        <w:rPr>
          <w:rFonts w:hint="eastAsia" w:ascii="Arial" w:hAnsi="Arial" w:cs="Arial"/>
          <w:spacing w:val="4"/>
          <w:sz w:val="20"/>
        </w:rPr>
        <w:t>《地铁设计防火标准》GB 51298</w:t>
      </w:r>
    </w:p>
    <w:p w14:paraId="4FDD6DFD">
      <w:pPr>
        <w:pStyle w:val="177"/>
        <w:numPr>
          <w:ilvl w:val="0"/>
          <w:numId w:val="43"/>
        </w:numPr>
        <w:ind w:firstLineChars="0"/>
        <w:rPr>
          <w:rFonts w:ascii="Arial" w:hAnsi="Arial" w:cs="Arial"/>
          <w:spacing w:val="4"/>
          <w:sz w:val="20"/>
        </w:rPr>
      </w:pPr>
      <w:r>
        <w:rPr>
          <w:rFonts w:hint="eastAsia" w:ascii="Arial" w:hAnsi="Arial" w:cs="Arial"/>
          <w:spacing w:val="4"/>
          <w:sz w:val="20"/>
        </w:rPr>
        <w:t>《工程结构通用规范》GB 55001</w:t>
      </w:r>
    </w:p>
    <w:p w14:paraId="7CD1728D">
      <w:pPr>
        <w:pStyle w:val="177"/>
        <w:numPr>
          <w:ilvl w:val="0"/>
          <w:numId w:val="43"/>
        </w:numPr>
        <w:ind w:firstLineChars="0"/>
        <w:rPr>
          <w:rFonts w:ascii="Arial" w:hAnsi="Arial" w:cs="Arial"/>
          <w:spacing w:val="4"/>
          <w:sz w:val="20"/>
        </w:rPr>
      </w:pPr>
      <w:r>
        <w:rPr>
          <w:rFonts w:hint="eastAsia" w:ascii="Arial" w:hAnsi="Arial" w:cs="Arial"/>
          <w:spacing w:val="4"/>
          <w:sz w:val="20"/>
        </w:rPr>
        <w:t>《建筑与市政工程抗震通用规范》GB 55002</w:t>
      </w:r>
    </w:p>
    <w:p w14:paraId="0A247DCB">
      <w:pPr>
        <w:pStyle w:val="177"/>
        <w:numPr>
          <w:ilvl w:val="0"/>
          <w:numId w:val="43"/>
        </w:numPr>
        <w:ind w:firstLineChars="0"/>
        <w:rPr>
          <w:rFonts w:ascii="Arial" w:hAnsi="Arial" w:cs="Arial"/>
          <w:spacing w:val="4"/>
          <w:sz w:val="20"/>
        </w:rPr>
      </w:pPr>
      <w:r>
        <w:rPr>
          <w:rFonts w:hint="eastAsia" w:ascii="Arial" w:hAnsi="Arial" w:cs="Arial"/>
          <w:spacing w:val="4"/>
          <w:sz w:val="20"/>
        </w:rPr>
        <w:t>《混凝土结构通用规范》GB 55008</w:t>
      </w:r>
    </w:p>
    <w:p w14:paraId="34FA7DE2">
      <w:pPr>
        <w:pStyle w:val="177"/>
        <w:numPr>
          <w:ilvl w:val="0"/>
          <w:numId w:val="43"/>
        </w:numPr>
        <w:ind w:firstLineChars="0"/>
        <w:rPr>
          <w:rFonts w:ascii="Arial" w:hAnsi="Arial" w:cs="Arial"/>
          <w:spacing w:val="4"/>
          <w:sz w:val="20"/>
        </w:rPr>
      </w:pPr>
      <w:r>
        <w:rPr>
          <w:rFonts w:hint="eastAsia" w:ascii="Arial" w:hAnsi="Arial" w:cs="Arial"/>
          <w:spacing w:val="4"/>
          <w:sz w:val="20"/>
        </w:rPr>
        <w:t>《城市道路交通工程项目规范》GB 55011</w:t>
      </w:r>
    </w:p>
    <w:p w14:paraId="08BC163B">
      <w:pPr>
        <w:pStyle w:val="177"/>
        <w:numPr>
          <w:ilvl w:val="0"/>
          <w:numId w:val="43"/>
        </w:numPr>
        <w:ind w:firstLineChars="0"/>
        <w:rPr>
          <w:rFonts w:ascii="Arial" w:hAnsi="Arial" w:cs="Arial"/>
          <w:spacing w:val="4"/>
          <w:sz w:val="20"/>
        </w:rPr>
      </w:pPr>
      <w:r>
        <w:rPr>
          <w:rFonts w:hint="eastAsia" w:ascii="Arial" w:hAnsi="Arial" w:cs="Arial"/>
          <w:spacing w:val="4"/>
          <w:sz w:val="20"/>
        </w:rPr>
        <w:t>《建筑与市政工程无障碍通用规范》GB 55019</w:t>
      </w:r>
    </w:p>
    <w:p w14:paraId="32AD81B8">
      <w:pPr>
        <w:pStyle w:val="177"/>
        <w:numPr>
          <w:ilvl w:val="0"/>
          <w:numId w:val="43"/>
        </w:numPr>
        <w:ind w:firstLineChars="0"/>
        <w:rPr>
          <w:rFonts w:ascii="Arial" w:hAnsi="Arial" w:cs="Arial"/>
          <w:spacing w:val="4"/>
          <w:sz w:val="20"/>
        </w:rPr>
      </w:pPr>
      <w:r>
        <w:rPr>
          <w:rFonts w:hint="eastAsia" w:ascii="Arial" w:hAnsi="Arial" w:cs="Arial"/>
          <w:spacing w:val="4"/>
          <w:sz w:val="20"/>
        </w:rPr>
        <w:t>《建筑与市政工程防水通用规范》GB 55030</w:t>
      </w:r>
    </w:p>
    <w:p w14:paraId="455630BB">
      <w:pPr>
        <w:pStyle w:val="177"/>
        <w:numPr>
          <w:ilvl w:val="0"/>
          <w:numId w:val="43"/>
        </w:numPr>
        <w:ind w:firstLineChars="0"/>
        <w:rPr>
          <w:rFonts w:ascii="Arial" w:hAnsi="Arial" w:cs="Arial"/>
          <w:spacing w:val="4"/>
          <w:sz w:val="20"/>
        </w:rPr>
      </w:pPr>
      <w:r>
        <w:rPr>
          <w:rFonts w:hint="eastAsia" w:ascii="Arial" w:hAnsi="Arial" w:cs="Arial"/>
          <w:spacing w:val="4"/>
          <w:sz w:val="20"/>
        </w:rPr>
        <w:t>《城市轨道交通项目规范》GB 55033-2022</w:t>
      </w:r>
    </w:p>
    <w:p w14:paraId="16985B50">
      <w:pPr>
        <w:pStyle w:val="177"/>
        <w:numPr>
          <w:ilvl w:val="0"/>
          <w:numId w:val="43"/>
        </w:numPr>
        <w:ind w:firstLineChars="0"/>
        <w:rPr>
          <w:rFonts w:ascii="Arial" w:hAnsi="Arial" w:cs="Arial"/>
          <w:spacing w:val="4"/>
          <w:sz w:val="20"/>
        </w:rPr>
      </w:pPr>
      <w:r>
        <w:rPr>
          <w:rFonts w:hint="eastAsia" w:ascii="Arial" w:hAnsi="Arial" w:cs="Arial"/>
          <w:spacing w:val="4"/>
          <w:sz w:val="20"/>
        </w:rPr>
        <w:t>《建筑防火通用规范》GB 55037-2022</w:t>
      </w:r>
    </w:p>
    <w:p w14:paraId="6DF3DCAF">
      <w:pPr>
        <w:pStyle w:val="177"/>
        <w:numPr>
          <w:ilvl w:val="0"/>
          <w:numId w:val="43"/>
        </w:numPr>
        <w:ind w:firstLineChars="0"/>
        <w:rPr>
          <w:rFonts w:ascii="Arial" w:hAnsi="Arial" w:cs="Arial"/>
          <w:spacing w:val="4"/>
          <w:sz w:val="20"/>
        </w:rPr>
      </w:pPr>
      <w:r>
        <w:rPr>
          <w:rFonts w:hint="eastAsia" w:ascii="Arial" w:hAnsi="Arial" w:cs="Arial"/>
          <w:spacing w:val="4"/>
          <w:sz w:val="20"/>
        </w:rPr>
        <w:t>《生活饮用水卫生标准》GB 5749</w:t>
      </w:r>
    </w:p>
    <w:p w14:paraId="3F66107F">
      <w:pPr>
        <w:pStyle w:val="177"/>
        <w:numPr>
          <w:ilvl w:val="0"/>
          <w:numId w:val="43"/>
        </w:numPr>
        <w:ind w:firstLineChars="0"/>
        <w:rPr>
          <w:rFonts w:ascii="Arial" w:hAnsi="Arial" w:cs="Arial"/>
          <w:spacing w:val="4"/>
          <w:sz w:val="20"/>
        </w:rPr>
      </w:pPr>
      <w:r>
        <w:rPr>
          <w:rFonts w:hint="eastAsia" w:ascii="Arial" w:hAnsi="Arial" w:cs="Arial"/>
          <w:spacing w:val="4"/>
          <w:sz w:val="20"/>
        </w:rPr>
        <w:t>《污水综合排放标准》GB 8978</w:t>
      </w:r>
    </w:p>
    <w:p w14:paraId="4993B9C5">
      <w:pPr>
        <w:pStyle w:val="177"/>
        <w:numPr>
          <w:ilvl w:val="0"/>
          <w:numId w:val="43"/>
        </w:numPr>
        <w:ind w:firstLineChars="0"/>
        <w:rPr>
          <w:rFonts w:ascii="Arial" w:hAnsi="Arial" w:cs="Arial"/>
          <w:spacing w:val="4"/>
          <w:sz w:val="20"/>
        </w:rPr>
      </w:pPr>
      <w:r>
        <w:rPr>
          <w:rFonts w:hint="eastAsia" w:ascii="Arial" w:hAnsi="Arial" w:cs="Arial"/>
          <w:spacing w:val="4"/>
          <w:sz w:val="20"/>
        </w:rPr>
        <w:t>《城市轨道交通车辆组装后的检查和试验规则》GB/T 14894</w:t>
      </w:r>
    </w:p>
    <w:p w14:paraId="434A880B">
      <w:pPr>
        <w:pStyle w:val="177"/>
        <w:numPr>
          <w:ilvl w:val="0"/>
          <w:numId w:val="43"/>
        </w:numPr>
        <w:ind w:firstLineChars="0"/>
        <w:rPr>
          <w:rFonts w:ascii="Arial" w:hAnsi="Arial" w:cs="Arial"/>
          <w:spacing w:val="4"/>
          <w:sz w:val="20"/>
        </w:rPr>
      </w:pPr>
      <w:r>
        <w:rPr>
          <w:rFonts w:hint="eastAsia" w:ascii="Arial" w:hAnsi="Arial" w:cs="Arial"/>
          <w:spacing w:val="4"/>
          <w:sz w:val="20"/>
        </w:rPr>
        <w:t>《城市轨道交通照明》GB/T 16275</w:t>
      </w:r>
    </w:p>
    <w:p w14:paraId="1D51E0CB">
      <w:pPr>
        <w:pStyle w:val="177"/>
        <w:numPr>
          <w:ilvl w:val="0"/>
          <w:numId w:val="43"/>
        </w:numPr>
        <w:ind w:firstLineChars="0"/>
        <w:rPr>
          <w:rFonts w:ascii="Arial" w:hAnsi="Arial" w:cs="Arial"/>
          <w:spacing w:val="4"/>
          <w:sz w:val="20"/>
        </w:rPr>
      </w:pPr>
      <w:r>
        <w:rPr>
          <w:rFonts w:hint="eastAsia" w:ascii="Arial" w:hAnsi="Arial" w:cs="Arial"/>
          <w:spacing w:val="4"/>
          <w:sz w:val="20"/>
        </w:rPr>
        <w:t>《信息技术设备 抗扰度限值和测量办法》GB/T 17618</w:t>
      </w:r>
    </w:p>
    <w:p w14:paraId="69299A92">
      <w:pPr>
        <w:pStyle w:val="177"/>
        <w:numPr>
          <w:ilvl w:val="0"/>
          <w:numId w:val="43"/>
        </w:numPr>
        <w:ind w:firstLineChars="0"/>
        <w:rPr>
          <w:rFonts w:ascii="Arial" w:hAnsi="Arial" w:cs="Arial"/>
          <w:spacing w:val="4"/>
          <w:sz w:val="20"/>
        </w:rPr>
      </w:pPr>
      <w:r>
        <w:rPr>
          <w:rFonts w:hint="eastAsia" w:ascii="Arial" w:hAnsi="Arial" w:cs="Arial"/>
          <w:spacing w:val="4"/>
          <w:sz w:val="20"/>
        </w:rPr>
        <w:t>《城市污水再生利用 城市杂用水水质》GB/T 18920</w:t>
      </w:r>
    </w:p>
    <w:p w14:paraId="7C1BB02C">
      <w:pPr>
        <w:pStyle w:val="177"/>
        <w:numPr>
          <w:ilvl w:val="0"/>
          <w:numId w:val="43"/>
        </w:numPr>
        <w:ind w:firstLineChars="0"/>
        <w:rPr>
          <w:rFonts w:ascii="Arial" w:hAnsi="Arial" w:cs="Arial"/>
          <w:spacing w:val="4"/>
          <w:sz w:val="20"/>
        </w:rPr>
      </w:pPr>
      <w:r>
        <w:rPr>
          <w:rFonts w:hint="eastAsia" w:ascii="Arial" w:hAnsi="Arial" w:cs="Arial"/>
          <w:spacing w:val="4"/>
          <w:sz w:val="20"/>
        </w:rPr>
        <w:t>《通信设备过电压过电流保护导则》GB/T 21545</w:t>
      </w:r>
    </w:p>
    <w:p w14:paraId="4D427FB8">
      <w:pPr>
        <w:pStyle w:val="177"/>
        <w:numPr>
          <w:ilvl w:val="0"/>
          <w:numId w:val="43"/>
        </w:numPr>
        <w:ind w:firstLineChars="0"/>
        <w:rPr>
          <w:rFonts w:ascii="Arial" w:hAnsi="Arial" w:cs="Arial"/>
          <w:spacing w:val="4"/>
          <w:sz w:val="20"/>
        </w:rPr>
      </w:pPr>
      <w:r>
        <w:rPr>
          <w:rFonts w:hint="eastAsia" w:ascii="Arial" w:hAnsi="Arial" w:cs="Arial"/>
          <w:spacing w:val="4"/>
          <w:sz w:val="20"/>
        </w:rPr>
        <w:t>《信息安全技术网络安全等级保护基本要求》GB/T 22239</w:t>
      </w:r>
    </w:p>
    <w:p w14:paraId="0B2A99E0">
      <w:pPr>
        <w:pStyle w:val="177"/>
        <w:numPr>
          <w:ilvl w:val="0"/>
          <w:numId w:val="43"/>
        </w:numPr>
        <w:ind w:firstLineChars="0"/>
        <w:rPr>
          <w:rFonts w:ascii="Arial" w:hAnsi="Arial" w:cs="Arial"/>
          <w:spacing w:val="4"/>
          <w:sz w:val="20"/>
        </w:rPr>
      </w:pPr>
      <w:r>
        <w:rPr>
          <w:rFonts w:hint="eastAsia" w:ascii="Arial" w:hAnsi="Arial" w:cs="Arial"/>
          <w:spacing w:val="4"/>
          <w:sz w:val="20"/>
        </w:rPr>
        <w:t>《轨道交通 电磁兼容》GB/T 24338</w:t>
      </w:r>
    </w:p>
    <w:p w14:paraId="7C5DECA8">
      <w:pPr>
        <w:pStyle w:val="177"/>
        <w:numPr>
          <w:ilvl w:val="0"/>
          <w:numId w:val="43"/>
        </w:numPr>
        <w:ind w:firstLineChars="0"/>
        <w:rPr>
          <w:rFonts w:ascii="Arial" w:hAnsi="Arial" w:cs="Arial"/>
          <w:spacing w:val="4"/>
          <w:sz w:val="20"/>
        </w:rPr>
      </w:pPr>
      <w:r>
        <w:rPr>
          <w:rFonts w:hint="eastAsia" w:ascii="Arial" w:hAnsi="Arial" w:cs="Arial"/>
          <w:spacing w:val="4"/>
          <w:sz w:val="20"/>
        </w:rPr>
        <w:t>《信息安全技术网络安全等级保护安全设计技术要求》GB/T 25070</w:t>
      </w:r>
    </w:p>
    <w:p w14:paraId="3A4CD168">
      <w:pPr>
        <w:pStyle w:val="177"/>
        <w:numPr>
          <w:ilvl w:val="0"/>
          <w:numId w:val="43"/>
        </w:numPr>
        <w:ind w:firstLineChars="0"/>
        <w:rPr>
          <w:rFonts w:ascii="Arial" w:hAnsi="Arial" w:cs="Arial"/>
          <w:spacing w:val="4"/>
          <w:sz w:val="20"/>
        </w:rPr>
      </w:pPr>
      <w:r>
        <w:rPr>
          <w:rFonts w:hint="eastAsia" w:ascii="Arial" w:hAnsi="Arial" w:cs="Arial"/>
          <w:spacing w:val="4"/>
          <w:sz w:val="20"/>
        </w:rPr>
        <w:t>《消防员电梯制造与安装安全规范》GB/T 26465</w:t>
      </w:r>
    </w:p>
    <w:p w14:paraId="300A5DAC">
      <w:pPr>
        <w:pStyle w:val="177"/>
        <w:numPr>
          <w:ilvl w:val="0"/>
          <w:numId w:val="43"/>
        </w:numPr>
        <w:ind w:firstLineChars="0"/>
        <w:rPr>
          <w:rFonts w:ascii="Arial" w:hAnsi="Arial" w:cs="Arial"/>
          <w:spacing w:val="4"/>
          <w:sz w:val="20"/>
        </w:rPr>
      </w:pPr>
      <w:r>
        <w:rPr>
          <w:rFonts w:hint="eastAsia" w:ascii="Arial" w:hAnsi="Arial" w:cs="Arial"/>
          <w:spacing w:val="4"/>
          <w:sz w:val="20"/>
        </w:rPr>
        <w:t>《信息安全技术网络安全等级保护测评要求》GB/T 28448</w:t>
      </w:r>
    </w:p>
    <w:p w14:paraId="18B84FA0">
      <w:pPr>
        <w:pStyle w:val="177"/>
        <w:numPr>
          <w:ilvl w:val="0"/>
          <w:numId w:val="43"/>
        </w:numPr>
        <w:ind w:firstLineChars="0"/>
        <w:rPr>
          <w:rFonts w:ascii="Arial" w:hAnsi="Arial" w:cs="Arial"/>
          <w:spacing w:val="4"/>
          <w:sz w:val="20"/>
        </w:rPr>
      </w:pPr>
      <w:r>
        <w:rPr>
          <w:rFonts w:hint="eastAsia" w:ascii="Arial" w:hAnsi="Arial" w:cs="Arial"/>
          <w:spacing w:val="4"/>
          <w:sz w:val="20"/>
        </w:rPr>
        <w:t>《城市轨道交通机电设备节能要求》GB/T 35553</w:t>
      </w:r>
    </w:p>
    <w:p w14:paraId="71D3732E">
      <w:pPr>
        <w:pStyle w:val="177"/>
        <w:numPr>
          <w:ilvl w:val="0"/>
          <w:numId w:val="43"/>
        </w:numPr>
        <w:ind w:firstLineChars="0"/>
        <w:rPr>
          <w:rFonts w:ascii="Arial" w:hAnsi="Arial" w:cs="Arial"/>
          <w:spacing w:val="4"/>
          <w:sz w:val="20"/>
        </w:rPr>
      </w:pPr>
      <w:r>
        <w:rPr>
          <w:rFonts w:hint="eastAsia" w:ascii="Arial" w:hAnsi="Arial" w:cs="Arial"/>
          <w:spacing w:val="4"/>
          <w:sz w:val="20"/>
        </w:rPr>
        <w:t>《城市轨道交通列车再生制动能量地面利用系统》GB/T 36287</w:t>
      </w:r>
    </w:p>
    <w:p w14:paraId="57F6A58B">
      <w:pPr>
        <w:pStyle w:val="177"/>
        <w:numPr>
          <w:ilvl w:val="0"/>
          <w:numId w:val="43"/>
        </w:numPr>
        <w:ind w:firstLineChars="0"/>
        <w:rPr>
          <w:rFonts w:ascii="Arial" w:hAnsi="Arial" w:cs="Arial"/>
          <w:spacing w:val="4"/>
          <w:sz w:val="20"/>
        </w:rPr>
      </w:pPr>
      <w:r>
        <w:rPr>
          <w:rFonts w:hint="eastAsia" w:ascii="Arial" w:hAnsi="Arial" w:cs="Arial"/>
          <w:spacing w:val="4"/>
          <w:sz w:val="20"/>
        </w:rPr>
        <w:t>《信息安全技术-工业控制系统信息安全分级规范》GB/T 36324</w:t>
      </w:r>
    </w:p>
    <w:p w14:paraId="2C39ACD3">
      <w:pPr>
        <w:pStyle w:val="177"/>
        <w:numPr>
          <w:ilvl w:val="0"/>
          <w:numId w:val="43"/>
        </w:numPr>
        <w:ind w:firstLineChars="0"/>
        <w:rPr>
          <w:rFonts w:ascii="Arial" w:hAnsi="Arial" w:cs="Arial"/>
          <w:spacing w:val="4"/>
          <w:sz w:val="20"/>
        </w:rPr>
      </w:pPr>
      <w:r>
        <w:rPr>
          <w:rFonts w:hint="eastAsia" w:ascii="Arial" w:hAnsi="Arial" w:cs="Arial"/>
          <w:spacing w:val="4"/>
          <w:sz w:val="20"/>
        </w:rPr>
        <w:t>《城市轨道交通市域快线120km∕h～160km∕h车辆通用技术条件》GB/T 37532</w:t>
      </w:r>
    </w:p>
    <w:p w14:paraId="3BA7E0A3">
      <w:pPr>
        <w:pStyle w:val="177"/>
        <w:numPr>
          <w:ilvl w:val="0"/>
          <w:numId w:val="43"/>
        </w:numPr>
        <w:ind w:firstLineChars="0"/>
        <w:rPr>
          <w:rFonts w:ascii="Arial" w:hAnsi="Arial" w:cs="Arial"/>
          <w:spacing w:val="4"/>
          <w:sz w:val="20"/>
        </w:rPr>
      </w:pPr>
      <w:r>
        <w:rPr>
          <w:rFonts w:hint="eastAsia" w:ascii="Arial" w:hAnsi="Arial" w:cs="Arial"/>
          <w:spacing w:val="4"/>
          <w:sz w:val="20"/>
        </w:rPr>
        <w:t>《外壳防护等级（IP代码）》GB/T 4208</w:t>
      </w:r>
    </w:p>
    <w:p w14:paraId="6552ECC7">
      <w:pPr>
        <w:pStyle w:val="177"/>
        <w:numPr>
          <w:ilvl w:val="0"/>
          <w:numId w:val="43"/>
        </w:numPr>
        <w:ind w:firstLineChars="0"/>
        <w:rPr>
          <w:rFonts w:ascii="Arial" w:hAnsi="Arial" w:cs="Arial"/>
          <w:spacing w:val="4"/>
          <w:sz w:val="20"/>
        </w:rPr>
      </w:pPr>
      <w:r>
        <w:rPr>
          <w:rFonts w:hint="eastAsia" w:ascii="Arial" w:hAnsi="Arial" w:cs="Arial"/>
          <w:spacing w:val="4"/>
          <w:sz w:val="20"/>
        </w:rPr>
        <w:t>《建筑照明设计标准》GB/T 50034</w:t>
      </w:r>
    </w:p>
    <w:p w14:paraId="39526C54">
      <w:pPr>
        <w:pStyle w:val="177"/>
        <w:numPr>
          <w:ilvl w:val="0"/>
          <w:numId w:val="43"/>
        </w:numPr>
        <w:ind w:firstLineChars="0"/>
        <w:rPr>
          <w:rFonts w:ascii="Arial" w:hAnsi="Arial" w:cs="Arial"/>
          <w:spacing w:val="4"/>
          <w:sz w:val="20"/>
        </w:rPr>
      </w:pPr>
      <w:r>
        <w:rPr>
          <w:rFonts w:hint="eastAsia" w:ascii="Arial" w:hAnsi="Arial" w:cs="Arial"/>
          <w:spacing w:val="4"/>
          <w:sz w:val="20"/>
        </w:rPr>
        <w:t>《交流电气装置的过电压保护和绝缘配合设计规范》GB/T 50064</w:t>
      </w:r>
    </w:p>
    <w:p w14:paraId="2A12AAC8">
      <w:pPr>
        <w:pStyle w:val="177"/>
        <w:numPr>
          <w:ilvl w:val="0"/>
          <w:numId w:val="43"/>
        </w:numPr>
        <w:ind w:firstLineChars="0"/>
        <w:rPr>
          <w:rFonts w:ascii="Arial" w:hAnsi="Arial" w:cs="Arial"/>
          <w:spacing w:val="4"/>
          <w:sz w:val="20"/>
        </w:rPr>
      </w:pPr>
      <w:r>
        <w:rPr>
          <w:rFonts w:hint="eastAsia" w:ascii="Arial" w:hAnsi="Arial" w:cs="Arial"/>
          <w:spacing w:val="4"/>
          <w:sz w:val="20"/>
        </w:rPr>
        <w:t>《地铁车辆通用技术条件》GB/T 7928</w:t>
      </w:r>
    </w:p>
    <w:p w14:paraId="292E9373">
      <w:pPr>
        <w:pStyle w:val="177"/>
        <w:numPr>
          <w:ilvl w:val="0"/>
          <w:numId w:val="43"/>
        </w:numPr>
        <w:ind w:firstLineChars="0"/>
        <w:rPr>
          <w:rFonts w:ascii="Arial" w:hAnsi="Arial" w:cs="Arial"/>
          <w:spacing w:val="4"/>
          <w:sz w:val="20"/>
        </w:rPr>
      </w:pPr>
      <w:r>
        <w:rPr>
          <w:rFonts w:hint="eastAsia" w:ascii="Arial" w:hAnsi="Arial" w:cs="Arial"/>
          <w:spacing w:val="4"/>
          <w:sz w:val="20"/>
        </w:rPr>
        <w:t>《城市轨道交通信号系统通用技术条件》GB/T12758</w:t>
      </w:r>
    </w:p>
    <w:p w14:paraId="7ADB5F9E">
      <w:pPr>
        <w:pStyle w:val="177"/>
        <w:numPr>
          <w:ilvl w:val="0"/>
          <w:numId w:val="43"/>
        </w:numPr>
        <w:ind w:firstLineChars="0"/>
        <w:rPr>
          <w:rFonts w:ascii="Arial" w:hAnsi="Arial" w:cs="Arial"/>
          <w:spacing w:val="4"/>
          <w:sz w:val="20"/>
        </w:rPr>
      </w:pPr>
      <w:r>
        <w:rPr>
          <w:rFonts w:hint="eastAsia" w:ascii="Arial" w:hAnsi="Arial" w:cs="Arial"/>
          <w:spacing w:val="4"/>
          <w:sz w:val="20"/>
        </w:rPr>
        <w:t>《混凝土结构设计标准》GB/T50010</w:t>
      </w:r>
    </w:p>
    <w:p w14:paraId="4CF01D1E">
      <w:pPr>
        <w:pStyle w:val="177"/>
        <w:numPr>
          <w:ilvl w:val="0"/>
          <w:numId w:val="43"/>
        </w:numPr>
        <w:ind w:firstLineChars="0"/>
        <w:rPr>
          <w:rFonts w:ascii="Arial" w:hAnsi="Arial" w:cs="Arial"/>
          <w:spacing w:val="4"/>
          <w:sz w:val="20"/>
        </w:rPr>
      </w:pPr>
      <w:r>
        <w:rPr>
          <w:rFonts w:hint="eastAsia" w:ascii="Arial" w:hAnsi="Arial" w:cs="Arial"/>
          <w:spacing w:val="4"/>
          <w:sz w:val="20"/>
        </w:rPr>
        <w:t>《建筑抗震设计标准》GB/T50011</w:t>
      </w:r>
    </w:p>
    <w:p w14:paraId="3299F751">
      <w:pPr>
        <w:pStyle w:val="177"/>
        <w:numPr>
          <w:ilvl w:val="0"/>
          <w:numId w:val="43"/>
        </w:numPr>
        <w:ind w:firstLineChars="0"/>
        <w:rPr>
          <w:rFonts w:ascii="Arial" w:hAnsi="Arial" w:cs="Arial"/>
          <w:spacing w:val="4"/>
          <w:sz w:val="20"/>
        </w:rPr>
      </w:pPr>
      <w:r>
        <w:rPr>
          <w:rFonts w:hint="eastAsia" w:ascii="Arial" w:hAnsi="Arial" w:cs="Arial"/>
          <w:spacing w:val="4"/>
          <w:sz w:val="20"/>
        </w:rPr>
        <w:t>《地铁设计标准》GB/T50157</w:t>
      </w:r>
    </w:p>
    <w:p w14:paraId="57B1BC16">
      <w:pPr>
        <w:pStyle w:val="177"/>
        <w:numPr>
          <w:ilvl w:val="0"/>
          <w:numId w:val="43"/>
        </w:numPr>
        <w:ind w:firstLineChars="0"/>
        <w:rPr>
          <w:rFonts w:ascii="Arial" w:hAnsi="Arial" w:cs="Arial"/>
          <w:spacing w:val="4"/>
          <w:sz w:val="20"/>
        </w:rPr>
      </w:pPr>
      <w:r>
        <w:rPr>
          <w:rFonts w:hint="eastAsia" w:ascii="Arial" w:hAnsi="Arial" w:cs="Arial"/>
          <w:spacing w:val="4"/>
          <w:sz w:val="20"/>
        </w:rPr>
        <w:t>《混凝土结构耐久性设计标准》GB/T50476</w:t>
      </w:r>
    </w:p>
    <w:p w14:paraId="588973C7">
      <w:pPr>
        <w:pStyle w:val="177"/>
        <w:numPr>
          <w:ilvl w:val="0"/>
          <w:numId w:val="43"/>
        </w:numPr>
        <w:ind w:firstLineChars="0"/>
        <w:rPr>
          <w:rFonts w:ascii="Arial" w:hAnsi="Arial" w:cs="Arial"/>
          <w:spacing w:val="4"/>
          <w:sz w:val="20"/>
        </w:rPr>
      </w:pPr>
      <w:r>
        <w:rPr>
          <w:rFonts w:hint="eastAsia" w:ascii="Arial" w:hAnsi="Arial" w:cs="Arial"/>
          <w:spacing w:val="4"/>
          <w:sz w:val="20"/>
        </w:rPr>
        <w:t>《城市轨道交通桥梁设计规范》GB/T51234</w:t>
      </w:r>
    </w:p>
    <w:p w14:paraId="046A2D65">
      <w:pPr>
        <w:pStyle w:val="177"/>
        <w:numPr>
          <w:ilvl w:val="0"/>
          <w:numId w:val="43"/>
        </w:numPr>
        <w:ind w:firstLineChars="0"/>
        <w:rPr>
          <w:rFonts w:ascii="Arial" w:hAnsi="Arial" w:cs="Arial"/>
          <w:spacing w:val="4"/>
          <w:sz w:val="20"/>
        </w:rPr>
      </w:pPr>
      <w:r>
        <w:rPr>
          <w:rFonts w:hint="eastAsia" w:ascii="Arial" w:hAnsi="Arial" w:cs="Arial"/>
          <w:spacing w:val="4"/>
          <w:sz w:val="20"/>
        </w:rPr>
        <w:t>《锅炉大气污染物排放标准》GB 13271</w:t>
      </w:r>
    </w:p>
    <w:p w14:paraId="785C2F77">
      <w:pPr>
        <w:pStyle w:val="177"/>
        <w:numPr>
          <w:ilvl w:val="0"/>
          <w:numId w:val="43"/>
        </w:numPr>
        <w:ind w:firstLineChars="0"/>
        <w:rPr>
          <w:rFonts w:ascii="Arial" w:hAnsi="Arial" w:cs="Arial"/>
          <w:spacing w:val="4"/>
          <w:sz w:val="20"/>
        </w:rPr>
      </w:pPr>
      <w:r>
        <w:rPr>
          <w:rFonts w:hint="eastAsia" w:ascii="Arial" w:hAnsi="Arial" w:cs="Arial"/>
          <w:spacing w:val="4"/>
          <w:sz w:val="20"/>
        </w:rPr>
        <w:t>《消防安全标志》GB 13495</w:t>
      </w:r>
    </w:p>
    <w:p w14:paraId="0395D5C8">
      <w:pPr>
        <w:pStyle w:val="177"/>
        <w:numPr>
          <w:ilvl w:val="0"/>
          <w:numId w:val="43"/>
        </w:numPr>
        <w:ind w:firstLineChars="0"/>
        <w:rPr>
          <w:rFonts w:ascii="Arial" w:hAnsi="Arial" w:cs="Arial"/>
          <w:spacing w:val="4"/>
          <w:sz w:val="20"/>
        </w:rPr>
      </w:pPr>
      <w:r>
        <w:rPr>
          <w:rFonts w:hint="eastAsia" w:ascii="Arial" w:hAnsi="Arial" w:cs="Arial"/>
          <w:spacing w:val="4"/>
          <w:sz w:val="20"/>
        </w:rPr>
        <w:t>《建筑用安全玻璃 第4部分：均质钢化玻璃》GB 15763.4</w:t>
      </w:r>
    </w:p>
    <w:p w14:paraId="2636FC5A">
      <w:pPr>
        <w:pStyle w:val="177"/>
        <w:numPr>
          <w:ilvl w:val="0"/>
          <w:numId w:val="43"/>
        </w:numPr>
        <w:ind w:firstLineChars="0"/>
        <w:rPr>
          <w:rFonts w:ascii="Arial" w:hAnsi="Arial" w:cs="Arial"/>
          <w:spacing w:val="4"/>
          <w:sz w:val="20"/>
        </w:rPr>
      </w:pPr>
      <w:r>
        <w:rPr>
          <w:rFonts w:hint="eastAsia" w:ascii="Arial" w:hAnsi="Arial" w:cs="Arial"/>
          <w:spacing w:val="4"/>
          <w:sz w:val="20"/>
        </w:rPr>
        <w:t>《自动扶梯和自动人行道的制造与安装安全规范》GB 16899</w:t>
      </w:r>
    </w:p>
    <w:p w14:paraId="267BBFFF">
      <w:pPr>
        <w:pStyle w:val="177"/>
        <w:numPr>
          <w:ilvl w:val="0"/>
          <w:numId w:val="43"/>
        </w:numPr>
        <w:ind w:firstLineChars="0"/>
        <w:rPr>
          <w:rFonts w:ascii="Arial" w:hAnsi="Arial" w:cs="Arial"/>
          <w:spacing w:val="4"/>
          <w:sz w:val="20"/>
        </w:rPr>
      </w:pPr>
      <w:r>
        <w:rPr>
          <w:rFonts w:hint="eastAsia" w:ascii="Arial" w:hAnsi="Arial" w:cs="Arial"/>
          <w:spacing w:val="4"/>
          <w:sz w:val="20"/>
        </w:rPr>
        <w:t>《消防应急照明和疏散指示系统》GB 17945</w:t>
      </w:r>
    </w:p>
    <w:p w14:paraId="74814F0F">
      <w:pPr>
        <w:pStyle w:val="177"/>
        <w:numPr>
          <w:ilvl w:val="0"/>
          <w:numId w:val="43"/>
        </w:numPr>
        <w:ind w:firstLineChars="0"/>
        <w:rPr>
          <w:rFonts w:ascii="Arial" w:hAnsi="Arial" w:cs="Arial"/>
          <w:spacing w:val="4"/>
          <w:sz w:val="20"/>
        </w:rPr>
      </w:pPr>
      <w:r>
        <w:rPr>
          <w:rFonts w:hint="eastAsia" w:ascii="Arial" w:hAnsi="Arial" w:cs="Arial"/>
          <w:spacing w:val="4"/>
          <w:sz w:val="20"/>
        </w:rPr>
        <w:t>《水泥基渗透结晶型防水材料》GB 18445</w:t>
      </w:r>
    </w:p>
    <w:p w14:paraId="1FC2DFD9">
      <w:pPr>
        <w:pStyle w:val="177"/>
        <w:numPr>
          <w:ilvl w:val="0"/>
          <w:numId w:val="43"/>
        </w:numPr>
        <w:ind w:firstLineChars="0"/>
        <w:rPr>
          <w:rFonts w:ascii="Arial" w:hAnsi="Arial" w:cs="Arial"/>
          <w:spacing w:val="4"/>
          <w:sz w:val="20"/>
        </w:rPr>
      </w:pPr>
      <w:r>
        <w:rPr>
          <w:rFonts w:hint="eastAsia" w:ascii="Arial" w:hAnsi="Arial" w:cs="Arial"/>
          <w:spacing w:val="4"/>
          <w:sz w:val="20"/>
        </w:rPr>
        <w:t>《危险废物贮存污染控制标准》GB 18597</w:t>
      </w:r>
    </w:p>
    <w:p w14:paraId="121242CE">
      <w:pPr>
        <w:pStyle w:val="177"/>
        <w:numPr>
          <w:ilvl w:val="0"/>
          <w:numId w:val="43"/>
        </w:numPr>
        <w:ind w:firstLineChars="0"/>
        <w:rPr>
          <w:rFonts w:ascii="Arial" w:hAnsi="Arial" w:cs="Arial"/>
          <w:spacing w:val="4"/>
          <w:sz w:val="20"/>
        </w:rPr>
      </w:pPr>
      <w:r>
        <w:rPr>
          <w:rFonts w:hint="eastAsia" w:ascii="Arial" w:hAnsi="Arial" w:cs="Arial"/>
          <w:spacing w:val="4"/>
          <w:sz w:val="20"/>
        </w:rPr>
        <w:t>《电力变压器能效限定值及能效等级》GB 20052</w:t>
      </w:r>
    </w:p>
    <w:p w14:paraId="61998A70">
      <w:pPr>
        <w:pStyle w:val="177"/>
        <w:numPr>
          <w:ilvl w:val="0"/>
          <w:numId w:val="43"/>
        </w:numPr>
        <w:ind w:firstLineChars="0"/>
        <w:rPr>
          <w:rFonts w:ascii="Arial" w:hAnsi="Arial" w:cs="Arial"/>
          <w:spacing w:val="4"/>
          <w:sz w:val="20"/>
        </w:rPr>
      </w:pPr>
      <w:r>
        <w:rPr>
          <w:rFonts w:hint="eastAsia" w:ascii="Arial" w:hAnsi="Arial" w:cs="Arial"/>
          <w:spacing w:val="4"/>
          <w:sz w:val="20"/>
        </w:rPr>
        <w:t>《面板、架和柜的基本尺寸系列：第二部分》GB 3047.1</w:t>
      </w:r>
    </w:p>
    <w:p w14:paraId="5A60CDF7">
      <w:pPr>
        <w:pStyle w:val="177"/>
        <w:numPr>
          <w:ilvl w:val="0"/>
          <w:numId w:val="43"/>
        </w:numPr>
        <w:ind w:firstLineChars="0"/>
        <w:rPr>
          <w:rFonts w:ascii="Arial" w:hAnsi="Arial" w:cs="Arial"/>
          <w:spacing w:val="4"/>
          <w:sz w:val="20"/>
        </w:rPr>
      </w:pPr>
      <w:r>
        <w:rPr>
          <w:rFonts w:hint="eastAsia" w:ascii="Arial" w:hAnsi="Arial" w:cs="Arial"/>
          <w:spacing w:val="4"/>
          <w:sz w:val="20"/>
        </w:rPr>
        <w:t>《声环境质量标准》GB 3096</w:t>
      </w:r>
    </w:p>
    <w:p w14:paraId="4ECA706B">
      <w:pPr>
        <w:pStyle w:val="177"/>
        <w:numPr>
          <w:ilvl w:val="0"/>
          <w:numId w:val="43"/>
        </w:numPr>
        <w:ind w:firstLineChars="0"/>
        <w:rPr>
          <w:rFonts w:ascii="Arial" w:hAnsi="Arial" w:cs="Arial"/>
          <w:spacing w:val="4"/>
          <w:sz w:val="20"/>
        </w:rPr>
      </w:pPr>
      <w:r>
        <w:rPr>
          <w:rFonts w:hint="eastAsia" w:ascii="Arial" w:hAnsi="Arial" w:cs="Arial"/>
          <w:spacing w:val="4"/>
          <w:sz w:val="20"/>
        </w:rPr>
        <w:t>《电缆及光缆燃烧性能分级》GB 31247</w:t>
      </w:r>
    </w:p>
    <w:p w14:paraId="25EA9E24">
      <w:pPr>
        <w:pStyle w:val="177"/>
        <w:numPr>
          <w:ilvl w:val="0"/>
          <w:numId w:val="43"/>
        </w:numPr>
        <w:ind w:firstLineChars="0"/>
        <w:rPr>
          <w:rFonts w:ascii="Arial" w:hAnsi="Arial" w:cs="Arial"/>
          <w:spacing w:val="4"/>
          <w:sz w:val="20"/>
        </w:rPr>
      </w:pPr>
      <w:r>
        <w:rPr>
          <w:rFonts w:hint="eastAsia" w:ascii="Arial" w:hAnsi="Arial" w:cs="Arial"/>
          <w:spacing w:val="4"/>
          <w:sz w:val="20"/>
        </w:rPr>
        <w:t>《交通噪声污染缓解工程技术规范 第2部分：声屏障措施》D11/T 1034.2</w:t>
      </w:r>
    </w:p>
    <w:p w14:paraId="34C1A43E">
      <w:pPr>
        <w:pStyle w:val="177"/>
        <w:numPr>
          <w:ilvl w:val="0"/>
          <w:numId w:val="43"/>
        </w:numPr>
        <w:ind w:firstLineChars="0"/>
        <w:rPr>
          <w:rFonts w:ascii="Arial" w:hAnsi="Arial" w:cs="Arial"/>
          <w:spacing w:val="4"/>
          <w:sz w:val="20"/>
        </w:rPr>
      </w:pPr>
      <w:r>
        <w:rPr>
          <w:rFonts w:hint="eastAsia" w:ascii="Arial" w:hAnsi="Arial" w:cs="Arial"/>
          <w:spacing w:val="4"/>
          <w:sz w:val="20"/>
        </w:rPr>
        <w:t>《城市轨道交通节能技术规范》D11/T 1486</w:t>
      </w:r>
    </w:p>
    <w:p w14:paraId="03C6BE36">
      <w:pPr>
        <w:pStyle w:val="177"/>
        <w:numPr>
          <w:ilvl w:val="0"/>
          <w:numId w:val="43"/>
        </w:numPr>
        <w:ind w:firstLineChars="0"/>
        <w:rPr>
          <w:rFonts w:ascii="Arial" w:hAnsi="Arial" w:cs="Arial"/>
          <w:spacing w:val="4"/>
          <w:sz w:val="20"/>
        </w:rPr>
      </w:pPr>
      <w:r>
        <w:rPr>
          <w:rFonts w:hint="eastAsia" w:ascii="Arial" w:hAnsi="Arial" w:cs="Arial"/>
          <w:spacing w:val="4"/>
          <w:sz w:val="20"/>
        </w:rPr>
        <w:t>《锅炉污染物综合排放标准》DB11/139</w:t>
      </w:r>
    </w:p>
    <w:p w14:paraId="7A7BCF5E">
      <w:pPr>
        <w:pStyle w:val="177"/>
        <w:numPr>
          <w:ilvl w:val="0"/>
          <w:numId w:val="43"/>
        </w:numPr>
        <w:ind w:firstLineChars="0"/>
        <w:rPr>
          <w:rFonts w:ascii="Arial" w:hAnsi="Arial" w:cs="Arial"/>
          <w:spacing w:val="4"/>
          <w:sz w:val="20"/>
        </w:rPr>
      </w:pPr>
      <w:r>
        <w:rPr>
          <w:rFonts w:hint="eastAsia" w:ascii="Arial" w:hAnsi="Arial" w:cs="Arial"/>
          <w:spacing w:val="4"/>
          <w:sz w:val="20"/>
        </w:rPr>
        <w:t>《城市轨道交通车辆基地上盖综合利用工程设计防火标准》DB11/1762</w:t>
      </w:r>
    </w:p>
    <w:p w14:paraId="7ACF3A5D">
      <w:pPr>
        <w:pStyle w:val="177"/>
        <w:numPr>
          <w:ilvl w:val="0"/>
          <w:numId w:val="43"/>
        </w:numPr>
        <w:ind w:firstLineChars="0"/>
        <w:rPr>
          <w:rFonts w:ascii="Arial" w:hAnsi="Arial" w:cs="Arial"/>
          <w:spacing w:val="4"/>
          <w:sz w:val="20"/>
        </w:rPr>
      </w:pPr>
      <w:r>
        <w:rPr>
          <w:rFonts w:hint="eastAsia" w:ascii="Arial" w:hAnsi="Arial" w:cs="Arial"/>
          <w:spacing w:val="4"/>
          <w:sz w:val="20"/>
        </w:rPr>
        <w:t>《站城一体化工程消防安全技术标准》DB11/1889</w:t>
      </w:r>
    </w:p>
    <w:p w14:paraId="7AFEED4E">
      <w:pPr>
        <w:pStyle w:val="177"/>
        <w:numPr>
          <w:ilvl w:val="0"/>
          <w:numId w:val="43"/>
        </w:numPr>
        <w:ind w:firstLineChars="0"/>
        <w:rPr>
          <w:rFonts w:ascii="Arial" w:hAnsi="Arial" w:cs="Arial"/>
          <w:spacing w:val="4"/>
          <w:sz w:val="20"/>
        </w:rPr>
      </w:pPr>
      <w:r>
        <w:rPr>
          <w:rFonts w:hint="eastAsia" w:ascii="Arial" w:hAnsi="Arial" w:cs="Arial"/>
          <w:spacing w:val="4"/>
          <w:sz w:val="20"/>
        </w:rPr>
        <w:t>《站城一体化工程消防安全技术规范》DB11/1889</w:t>
      </w:r>
    </w:p>
    <w:p w14:paraId="20E2BC5A">
      <w:pPr>
        <w:pStyle w:val="177"/>
        <w:numPr>
          <w:ilvl w:val="0"/>
          <w:numId w:val="43"/>
        </w:numPr>
        <w:ind w:firstLineChars="0"/>
        <w:rPr>
          <w:rFonts w:ascii="Arial" w:hAnsi="Arial" w:cs="Arial"/>
          <w:spacing w:val="4"/>
          <w:sz w:val="20"/>
        </w:rPr>
      </w:pPr>
      <w:r>
        <w:rPr>
          <w:rFonts w:hint="eastAsia" w:ascii="Arial" w:hAnsi="Arial" w:cs="Arial"/>
          <w:spacing w:val="4"/>
          <w:sz w:val="20"/>
        </w:rPr>
        <w:t>《水污染物综合排放标准》DB11/307</w:t>
      </w:r>
    </w:p>
    <w:p w14:paraId="35609BA4">
      <w:pPr>
        <w:pStyle w:val="177"/>
        <w:numPr>
          <w:ilvl w:val="0"/>
          <w:numId w:val="43"/>
        </w:numPr>
        <w:ind w:firstLineChars="0"/>
        <w:rPr>
          <w:rFonts w:ascii="Arial" w:hAnsi="Arial" w:cs="Arial"/>
          <w:spacing w:val="4"/>
          <w:sz w:val="20"/>
        </w:rPr>
      </w:pPr>
      <w:r>
        <w:rPr>
          <w:rFonts w:hint="eastAsia" w:ascii="Arial" w:hAnsi="Arial" w:cs="Arial"/>
          <w:spacing w:val="4"/>
          <w:sz w:val="20"/>
        </w:rPr>
        <w:t>《地铁工程监控量测技术规程》DB11/490</w:t>
      </w:r>
    </w:p>
    <w:p w14:paraId="563FBF57">
      <w:pPr>
        <w:pStyle w:val="177"/>
        <w:numPr>
          <w:ilvl w:val="0"/>
          <w:numId w:val="43"/>
        </w:numPr>
        <w:ind w:firstLineChars="0"/>
        <w:rPr>
          <w:rFonts w:ascii="Arial" w:hAnsi="Arial" w:cs="Arial"/>
          <w:spacing w:val="4"/>
          <w:sz w:val="20"/>
        </w:rPr>
      </w:pPr>
      <w:r>
        <w:rPr>
          <w:rFonts w:hint="eastAsia" w:ascii="Arial" w:hAnsi="Arial" w:cs="Arial"/>
          <w:spacing w:val="4"/>
          <w:sz w:val="20"/>
        </w:rPr>
        <w:t>《海绵城市雨水控制与利用工程设计规范》DB11/685</w:t>
      </w:r>
    </w:p>
    <w:p w14:paraId="669C417F">
      <w:pPr>
        <w:pStyle w:val="177"/>
        <w:numPr>
          <w:ilvl w:val="0"/>
          <w:numId w:val="43"/>
        </w:numPr>
        <w:ind w:firstLineChars="0"/>
        <w:rPr>
          <w:rFonts w:ascii="Arial" w:hAnsi="Arial" w:cs="Arial"/>
          <w:spacing w:val="4"/>
          <w:sz w:val="20"/>
        </w:rPr>
      </w:pPr>
      <w:r>
        <w:rPr>
          <w:rFonts w:hint="eastAsia" w:ascii="Arial" w:hAnsi="Arial" w:cs="Arial"/>
          <w:spacing w:val="4"/>
          <w:sz w:val="20"/>
        </w:rPr>
        <w:t>《城市轨道交通安全防范系统技术要求 第6部分：武器与爆炸危险品检测及处置》DB11/T 646.6</w:t>
      </w:r>
    </w:p>
    <w:p w14:paraId="13899DA0">
      <w:pPr>
        <w:pStyle w:val="177"/>
        <w:numPr>
          <w:ilvl w:val="0"/>
          <w:numId w:val="43"/>
        </w:numPr>
        <w:ind w:firstLineChars="0"/>
        <w:rPr>
          <w:rFonts w:ascii="Arial" w:hAnsi="Arial" w:cs="Arial"/>
          <w:spacing w:val="4"/>
          <w:sz w:val="20"/>
        </w:rPr>
      </w:pPr>
      <w:r>
        <w:rPr>
          <w:rFonts w:hint="eastAsia" w:ascii="Arial" w:hAnsi="Arial" w:cs="Arial"/>
          <w:spacing w:val="4"/>
          <w:sz w:val="20"/>
        </w:rPr>
        <w:t>《城市轨道交通无障碍设施设计规程》DB11/T 690</w:t>
      </w:r>
    </w:p>
    <w:p w14:paraId="2170B99A">
      <w:pPr>
        <w:pStyle w:val="177"/>
        <w:numPr>
          <w:ilvl w:val="0"/>
          <w:numId w:val="43"/>
        </w:numPr>
        <w:ind w:firstLineChars="0"/>
        <w:rPr>
          <w:rFonts w:ascii="Arial" w:hAnsi="Arial" w:cs="Arial"/>
          <w:spacing w:val="4"/>
          <w:sz w:val="20"/>
        </w:rPr>
      </w:pPr>
      <w:r>
        <w:rPr>
          <w:rFonts w:hint="eastAsia" w:ascii="Arial" w:hAnsi="Arial" w:cs="Arial"/>
          <w:spacing w:val="4"/>
          <w:sz w:val="20"/>
        </w:rPr>
        <w:t>《重型自动扶梯和重型自动人行道技术要求》DB11/T 705</w:t>
      </w:r>
    </w:p>
    <w:p w14:paraId="7C8CFE71">
      <w:pPr>
        <w:pStyle w:val="177"/>
        <w:numPr>
          <w:ilvl w:val="0"/>
          <w:numId w:val="43"/>
        </w:numPr>
        <w:ind w:firstLineChars="0"/>
        <w:rPr>
          <w:rFonts w:ascii="Arial" w:hAnsi="Arial" w:cs="Arial"/>
          <w:spacing w:val="4"/>
          <w:sz w:val="20"/>
        </w:rPr>
      </w:pPr>
      <w:r>
        <w:rPr>
          <w:rFonts w:hint="eastAsia" w:ascii="Arial" w:hAnsi="Arial" w:cs="Arial"/>
          <w:spacing w:val="4"/>
          <w:sz w:val="20"/>
        </w:rPr>
        <w:t>《地铁噪声与振动控制规范》DB11/T 838</w:t>
      </w:r>
    </w:p>
    <w:p w14:paraId="480A296A">
      <w:pPr>
        <w:pStyle w:val="177"/>
        <w:numPr>
          <w:ilvl w:val="0"/>
          <w:numId w:val="43"/>
        </w:numPr>
        <w:ind w:firstLineChars="0"/>
        <w:rPr>
          <w:rFonts w:ascii="Arial" w:hAnsi="Arial" w:cs="Arial"/>
          <w:spacing w:val="4"/>
          <w:sz w:val="20"/>
        </w:rPr>
      </w:pPr>
      <w:r>
        <w:rPr>
          <w:rFonts w:hint="eastAsia" w:ascii="Arial" w:hAnsi="Arial" w:cs="Arial"/>
          <w:spacing w:val="4"/>
          <w:sz w:val="20"/>
        </w:rPr>
        <w:t>《电动汽车充电基础设施规划设计标准》DB11/T1455</w:t>
      </w:r>
    </w:p>
    <w:p w14:paraId="48E3A4CB">
      <w:pPr>
        <w:pStyle w:val="177"/>
        <w:numPr>
          <w:ilvl w:val="0"/>
          <w:numId w:val="43"/>
        </w:numPr>
        <w:ind w:firstLineChars="0"/>
        <w:rPr>
          <w:rFonts w:ascii="Arial" w:hAnsi="Arial" w:cs="Arial"/>
          <w:spacing w:val="4"/>
          <w:sz w:val="20"/>
        </w:rPr>
      </w:pPr>
      <w:r>
        <w:rPr>
          <w:rFonts w:hint="eastAsia" w:ascii="Arial" w:hAnsi="Arial" w:cs="Arial"/>
          <w:spacing w:val="4"/>
          <w:sz w:val="20"/>
        </w:rPr>
        <w:t>《消防安全疏散标志设置标准》DBJ 01—611</w:t>
      </w:r>
    </w:p>
    <w:p w14:paraId="6035DF0E">
      <w:pPr>
        <w:pStyle w:val="177"/>
        <w:numPr>
          <w:ilvl w:val="0"/>
          <w:numId w:val="43"/>
        </w:numPr>
        <w:ind w:firstLineChars="0"/>
        <w:rPr>
          <w:rFonts w:ascii="Arial" w:hAnsi="Arial" w:cs="Arial"/>
          <w:spacing w:val="4"/>
          <w:sz w:val="20"/>
        </w:rPr>
      </w:pPr>
      <w:r>
        <w:rPr>
          <w:rFonts w:hint="eastAsia" w:ascii="Arial" w:hAnsi="Arial" w:cs="Arial"/>
          <w:spacing w:val="4"/>
          <w:sz w:val="20"/>
        </w:rPr>
        <w:t>《北京市城市道路工程施工技术规程》DBJ01—45</w:t>
      </w:r>
    </w:p>
    <w:p w14:paraId="0DBAF7BA">
      <w:pPr>
        <w:pStyle w:val="177"/>
        <w:numPr>
          <w:ilvl w:val="0"/>
          <w:numId w:val="43"/>
        </w:numPr>
        <w:ind w:firstLineChars="0"/>
        <w:rPr>
          <w:rFonts w:ascii="Arial" w:hAnsi="Arial" w:cs="Arial"/>
          <w:spacing w:val="4"/>
          <w:sz w:val="20"/>
        </w:rPr>
      </w:pPr>
      <w:r>
        <w:rPr>
          <w:rFonts w:hint="eastAsia" w:ascii="Arial" w:hAnsi="Arial" w:cs="Arial"/>
          <w:spacing w:val="4"/>
          <w:sz w:val="20"/>
        </w:rPr>
        <w:t>《北京地区建筑地基基础勘察设计规范》DBJ11—501</w:t>
      </w:r>
    </w:p>
    <w:p w14:paraId="58BE53AA">
      <w:pPr>
        <w:pStyle w:val="177"/>
        <w:numPr>
          <w:ilvl w:val="0"/>
          <w:numId w:val="43"/>
        </w:numPr>
        <w:ind w:firstLineChars="0"/>
        <w:rPr>
          <w:rFonts w:ascii="Arial" w:hAnsi="Arial" w:cs="Arial"/>
          <w:spacing w:val="4"/>
          <w:sz w:val="20"/>
        </w:rPr>
      </w:pPr>
      <w:r>
        <w:rPr>
          <w:rFonts w:hint="eastAsia" w:ascii="Arial" w:hAnsi="Arial" w:cs="Arial"/>
          <w:spacing w:val="4"/>
          <w:sz w:val="20"/>
        </w:rPr>
        <w:t>《架空输电线路运行规程》DL/T741</w:t>
      </w:r>
    </w:p>
    <w:p w14:paraId="189C8A56">
      <w:pPr>
        <w:pStyle w:val="177"/>
        <w:numPr>
          <w:ilvl w:val="0"/>
          <w:numId w:val="43"/>
        </w:numPr>
        <w:ind w:firstLineChars="0"/>
        <w:rPr>
          <w:rFonts w:ascii="Arial" w:hAnsi="Arial" w:cs="Arial"/>
          <w:spacing w:val="4"/>
          <w:sz w:val="20"/>
        </w:rPr>
      </w:pPr>
      <w:r>
        <w:rPr>
          <w:rFonts w:hint="eastAsia" w:ascii="Arial" w:hAnsi="Arial" w:cs="Arial"/>
          <w:spacing w:val="4"/>
          <w:sz w:val="20"/>
        </w:rPr>
        <w:t>《挡烟垂壁》GA 533</w:t>
      </w:r>
    </w:p>
    <w:p w14:paraId="00F71EB7">
      <w:pPr>
        <w:pStyle w:val="177"/>
        <w:numPr>
          <w:ilvl w:val="0"/>
          <w:numId w:val="43"/>
        </w:numPr>
        <w:ind w:firstLineChars="0"/>
        <w:rPr>
          <w:rFonts w:ascii="Arial" w:hAnsi="Arial" w:cs="Arial"/>
          <w:spacing w:val="4"/>
          <w:sz w:val="20"/>
        </w:rPr>
      </w:pPr>
      <w:r>
        <w:rPr>
          <w:rFonts w:hint="eastAsia" w:ascii="Arial" w:hAnsi="Arial" w:cs="Arial"/>
          <w:spacing w:val="4"/>
          <w:sz w:val="20"/>
        </w:rPr>
        <w:t>《橡胶密封件给、排水管及污水管道用接口密封圈材料规范》HG/T3091</w:t>
      </w:r>
    </w:p>
    <w:p w14:paraId="23620536">
      <w:pPr>
        <w:pStyle w:val="177"/>
        <w:numPr>
          <w:ilvl w:val="0"/>
          <w:numId w:val="43"/>
        </w:numPr>
        <w:ind w:firstLineChars="0"/>
        <w:rPr>
          <w:rFonts w:ascii="Arial" w:hAnsi="Arial" w:cs="Arial"/>
          <w:spacing w:val="4"/>
          <w:sz w:val="20"/>
        </w:rPr>
      </w:pPr>
      <w:r>
        <w:rPr>
          <w:rFonts w:hint="eastAsia" w:ascii="Arial" w:hAnsi="Arial" w:cs="Arial"/>
          <w:spacing w:val="4"/>
          <w:sz w:val="20"/>
        </w:rPr>
        <w:t>《500kV超高压送变电工程电磁辐射环境影响评价技术规范》HJ/T24</w:t>
      </w:r>
    </w:p>
    <w:p w14:paraId="026E9AF9">
      <w:pPr>
        <w:pStyle w:val="177"/>
        <w:numPr>
          <w:ilvl w:val="0"/>
          <w:numId w:val="43"/>
        </w:numPr>
        <w:ind w:firstLineChars="0"/>
        <w:rPr>
          <w:rFonts w:ascii="Arial" w:hAnsi="Arial" w:cs="Arial"/>
          <w:spacing w:val="4"/>
          <w:sz w:val="20"/>
        </w:rPr>
      </w:pPr>
      <w:r>
        <w:rPr>
          <w:rFonts w:hint="eastAsia" w:ascii="Arial" w:hAnsi="Arial" w:cs="Arial"/>
          <w:spacing w:val="4"/>
          <w:sz w:val="20"/>
        </w:rPr>
        <w:t>《城市轨道交通用干式牵引整流变压器》JB/T 10693</w:t>
      </w:r>
    </w:p>
    <w:p w14:paraId="683C03D4">
      <w:pPr>
        <w:pStyle w:val="177"/>
        <w:numPr>
          <w:ilvl w:val="0"/>
          <w:numId w:val="43"/>
        </w:numPr>
        <w:ind w:firstLineChars="0"/>
        <w:rPr>
          <w:rFonts w:ascii="Arial" w:hAnsi="Arial" w:cs="Arial"/>
          <w:spacing w:val="4"/>
          <w:sz w:val="20"/>
        </w:rPr>
      </w:pPr>
      <w:r>
        <w:rPr>
          <w:rFonts w:hint="eastAsia" w:ascii="Arial" w:hAnsi="Arial" w:cs="Arial"/>
          <w:spacing w:val="4"/>
          <w:sz w:val="20"/>
        </w:rPr>
        <w:t>《屋盖结构风荷载标准》JGJ/T481</w:t>
      </w:r>
    </w:p>
    <w:p w14:paraId="616BDB82">
      <w:pPr>
        <w:pStyle w:val="177"/>
        <w:numPr>
          <w:ilvl w:val="0"/>
          <w:numId w:val="43"/>
        </w:numPr>
        <w:ind w:firstLineChars="0"/>
        <w:rPr>
          <w:rFonts w:ascii="Arial" w:hAnsi="Arial" w:cs="Arial"/>
          <w:spacing w:val="4"/>
          <w:sz w:val="20"/>
        </w:rPr>
      </w:pPr>
      <w:r>
        <w:rPr>
          <w:rFonts w:hint="eastAsia" w:ascii="Arial" w:hAnsi="Arial" w:cs="Arial"/>
          <w:spacing w:val="4"/>
          <w:sz w:val="20"/>
        </w:rPr>
        <w:t>《办公建筑设计标准》JGJ/T67</w:t>
      </w:r>
    </w:p>
    <w:p w14:paraId="01D0EA37">
      <w:pPr>
        <w:pStyle w:val="177"/>
        <w:numPr>
          <w:ilvl w:val="0"/>
          <w:numId w:val="43"/>
        </w:numPr>
        <w:ind w:firstLineChars="0"/>
        <w:rPr>
          <w:rFonts w:ascii="Arial" w:hAnsi="Arial" w:cs="Arial"/>
          <w:spacing w:val="4"/>
          <w:sz w:val="20"/>
        </w:rPr>
      </w:pPr>
      <w:r>
        <w:rPr>
          <w:rFonts w:hint="eastAsia" w:ascii="Arial" w:hAnsi="Arial" w:cs="Arial"/>
          <w:spacing w:val="4"/>
          <w:sz w:val="20"/>
        </w:rPr>
        <w:t>《建筑基桩检测技术规范》JGJ106</w:t>
      </w:r>
    </w:p>
    <w:p w14:paraId="46B5E73E">
      <w:pPr>
        <w:pStyle w:val="177"/>
        <w:numPr>
          <w:ilvl w:val="0"/>
          <w:numId w:val="43"/>
        </w:numPr>
        <w:ind w:firstLineChars="0"/>
        <w:rPr>
          <w:rFonts w:ascii="Arial" w:hAnsi="Arial" w:cs="Arial"/>
          <w:spacing w:val="4"/>
          <w:sz w:val="20"/>
        </w:rPr>
      </w:pPr>
      <w:r>
        <w:rPr>
          <w:rFonts w:hint="eastAsia" w:ascii="Arial" w:hAnsi="Arial" w:cs="Arial"/>
          <w:spacing w:val="4"/>
          <w:sz w:val="20"/>
        </w:rPr>
        <w:t>《钢筋机械连接技术规程》JGJ107</w:t>
      </w:r>
    </w:p>
    <w:p w14:paraId="4B751642">
      <w:pPr>
        <w:pStyle w:val="177"/>
        <w:numPr>
          <w:ilvl w:val="0"/>
          <w:numId w:val="43"/>
        </w:numPr>
        <w:ind w:firstLineChars="0"/>
        <w:rPr>
          <w:rFonts w:ascii="Arial" w:hAnsi="Arial" w:cs="Arial"/>
          <w:spacing w:val="4"/>
          <w:sz w:val="20"/>
        </w:rPr>
      </w:pPr>
      <w:r>
        <w:rPr>
          <w:rFonts w:hint="eastAsia" w:ascii="Arial" w:hAnsi="Arial" w:cs="Arial"/>
          <w:spacing w:val="4"/>
          <w:sz w:val="20"/>
        </w:rPr>
        <w:t>《建筑基坑支护技术规程》JGJ120</w:t>
      </w:r>
    </w:p>
    <w:p w14:paraId="65E3BF8F">
      <w:pPr>
        <w:pStyle w:val="177"/>
        <w:numPr>
          <w:ilvl w:val="0"/>
          <w:numId w:val="43"/>
        </w:numPr>
        <w:ind w:firstLineChars="0"/>
        <w:rPr>
          <w:rFonts w:ascii="Arial" w:hAnsi="Arial" w:cs="Arial"/>
          <w:spacing w:val="4"/>
          <w:sz w:val="20"/>
        </w:rPr>
      </w:pPr>
      <w:r>
        <w:rPr>
          <w:rFonts w:hint="eastAsia" w:ascii="Arial" w:hAnsi="Arial" w:cs="Arial"/>
          <w:spacing w:val="4"/>
          <w:sz w:val="20"/>
        </w:rPr>
        <w:t>《种植屋面工程技术规程》JGJ155</w:t>
      </w:r>
    </w:p>
    <w:p w14:paraId="6D38CC21">
      <w:pPr>
        <w:pStyle w:val="177"/>
        <w:numPr>
          <w:ilvl w:val="0"/>
          <w:numId w:val="43"/>
        </w:numPr>
        <w:ind w:firstLineChars="0"/>
        <w:rPr>
          <w:rFonts w:ascii="Arial" w:hAnsi="Arial" w:cs="Arial"/>
          <w:spacing w:val="4"/>
          <w:sz w:val="20"/>
        </w:rPr>
      </w:pPr>
      <w:r>
        <w:rPr>
          <w:rFonts w:hint="eastAsia" w:ascii="Arial" w:hAnsi="Arial" w:cs="Arial"/>
          <w:spacing w:val="4"/>
          <w:sz w:val="20"/>
        </w:rPr>
        <w:t>《饮食建筑设计标准》JGJ64</w:t>
      </w:r>
    </w:p>
    <w:p w14:paraId="36FBFF81">
      <w:pPr>
        <w:pStyle w:val="177"/>
        <w:numPr>
          <w:ilvl w:val="0"/>
          <w:numId w:val="43"/>
        </w:numPr>
        <w:ind w:firstLineChars="0"/>
        <w:rPr>
          <w:rFonts w:ascii="Arial" w:hAnsi="Arial" w:cs="Arial"/>
          <w:spacing w:val="4"/>
          <w:sz w:val="20"/>
        </w:rPr>
      </w:pPr>
      <w:r>
        <w:rPr>
          <w:rFonts w:hint="eastAsia" w:ascii="Arial" w:hAnsi="Arial" w:cs="Arial"/>
          <w:spacing w:val="4"/>
          <w:sz w:val="20"/>
        </w:rPr>
        <w:t>《公路钢筋混凝土及预应力混凝土桥涵设计规范》JTG3362</w:t>
      </w:r>
    </w:p>
    <w:p w14:paraId="7C85D8E4">
      <w:pPr>
        <w:pStyle w:val="177"/>
        <w:numPr>
          <w:ilvl w:val="0"/>
          <w:numId w:val="43"/>
        </w:numPr>
        <w:ind w:firstLineChars="0"/>
        <w:rPr>
          <w:rFonts w:ascii="Arial" w:hAnsi="Arial" w:cs="Arial"/>
          <w:spacing w:val="4"/>
          <w:sz w:val="20"/>
        </w:rPr>
      </w:pPr>
      <w:r>
        <w:rPr>
          <w:rFonts w:hint="eastAsia" w:ascii="Arial" w:hAnsi="Arial" w:cs="Arial"/>
          <w:spacing w:val="4"/>
          <w:sz w:val="20"/>
        </w:rPr>
        <w:t>《公路路线设计规范》JTGD20</w:t>
      </w:r>
    </w:p>
    <w:p w14:paraId="35DEABA6">
      <w:pPr>
        <w:pStyle w:val="177"/>
        <w:numPr>
          <w:ilvl w:val="0"/>
          <w:numId w:val="43"/>
        </w:numPr>
        <w:ind w:firstLineChars="0"/>
        <w:rPr>
          <w:rFonts w:ascii="Arial" w:hAnsi="Arial" w:cs="Arial"/>
          <w:spacing w:val="4"/>
          <w:sz w:val="20"/>
        </w:rPr>
      </w:pPr>
      <w:r>
        <w:rPr>
          <w:rFonts w:hint="eastAsia" w:ascii="Arial" w:hAnsi="Arial" w:cs="Arial"/>
          <w:spacing w:val="4"/>
          <w:sz w:val="20"/>
        </w:rPr>
        <w:t>《公路桥涵设计通用规范》JTGD60</w:t>
      </w:r>
    </w:p>
    <w:p w14:paraId="3A6BCCDB">
      <w:pPr>
        <w:pStyle w:val="177"/>
        <w:numPr>
          <w:ilvl w:val="0"/>
          <w:numId w:val="43"/>
        </w:numPr>
        <w:ind w:firstLineChars="0"/>
        <w:rPr>
          <w:rFonts w:ascii="Arial" w:hAnsi="Arial" w:cs="Arial"/>
          <w:spacing w:val="4"/>
          <w:sz w:val="20"/>
        </w:rPr>
      </w:pPr>
      <w:r>
        <w:rPr>
          <w:rFonts w:hint="eastAsia" w:ascii="Arial" w:hAnsi="Arial" w:cs="Arial"/>
          <w:spacing w:val="4"/>
          <w:sz w:val="20"/>
        </w:rPr>
        <w:t>《轨道交通工程人民防空设计规范》RFJ 02</w:t>
      </w:r>
    </w:p>
    <w:p w14:paraId="549EC752">
      <w:pPr>
        <w:pStyle w:val="177"/>
        <w:numPr>
          <w:ilvl w:val="0"/>
          <w:numId w:val="43"/>
        </w:numPr>
        <w:ind w:firstLineChars="0"/>
        <w:rPr>
          <w:rFonts w:ascii="Arial" w:hAnsi="Arial" w:cs="Arial"/>
          <w:spacing w:val="4"/>
          <w:sz w:val="20"/>
        </w:rPr>
      </w:pPr>
      <w:r>
        <w:rPr>
          <w:rFonts w:hint="eastAsia" w:ascii="Arial" w:hAnsi="Arial" w:cs="Arial"/>
          <w:spacing w:val="4"/>
          <w:sz w:val="20"/>
        </w:rPr>
        <w:t>《铁路路基设计规范》TB 10001</w:t>
      </w:r>
    </w:p>
    <w:p w14:paraId="6A5185DB">
      <w:pPr>
        <w:pStyle w:val="177"/>
        <w:numPr>
          <w:ilvl w:val="0"/>
          <w:numId w:val="43"/>
        </w:numPr>
        <w:ind w:firstLineChars="0"/>
        <w:rPr>
          <w:rFonts w:ascii="Arial" w:hAnsi="Arial" w:cs="Arial"/>
          <w:spacing w:val="4"/>
          <w:sz w:val="20"/>
        </w:rPr>
      </w:pPr>
      <w:r>
        <w:rPr>
          <w:rFonts w:hint="eastAsia" w:ascii="Arial" w:hAnsi="Arial" w:cs="Arial"/>
          <w:spacing w:val="4"/>
          <w:sz w:val="20"/>
        </w:rPr>
        <w:t>《铁路电力牵引供电设计规范》TB 10009</w:t>
      </w:r>
    </w:p>
    <w:p w14:paraId="54890011">
      <w:pPr>
        <w:pStyle w:val="177"/>
        <w:numPr>
          <w:ilvl w:val="0"/>
          <w:numId w:val="43"/>
        </w:numPr>
        <w:ind w:firstLineChars="0"/>
        <w:rPr>
          <w:rFonts w:ascii="Arial" w:hAnsi="Arial" w:cs="Arial"/>
          <w:spacing w:val="4"/>
          <w:sz w:val="20"/>
        </w:rPr>
      </w:pPr>
      <w:r>
        <w:rPr>
          <w:rFonts w:hint="eastAsia" w:ascii="Arial" w:hAnsi="Arial" w:cs="Arial"/>
          <w:spacing w:val="4"/>
          <w:sz w:val="20"/>
        </w:rPr>
        <w:t>《市域（郊）铁路设计规范》TB 10624</w:t>
      </w:r>
    </w:p>
    <w:p w14:paraId="26D48064">
      <w:pPr>
        <w:pStyle w:val="177"/>
        <w:numPr>
          <w:ilvl w:val="0"/>
          <w:numId w:val="43"/>
        </w:numPr>
        <w:ind w:firstLineChars="0"/>
        <w:rPr>
          <w:rFonts w:ascii="Arial" w:hAnsi="Arial" w:cs="Arial"/>
          <w:spacing w:val="4"/>
          <w:sz w:val="20"/>
        </w:rPr>
      </w:pPr>
      <w:r>
        <w:rPr>
          <w:rFonts w:hint="eastAsia" w:ascii="Arial" w:hAnsi="Arial" w:cs="Arial"/>
          <w:spacing w:val="4"/>
          <w:sz w:val="20"/>
        </w:rPr>
        <w:t>《机车车辆车轮轮缘踏面外形》》TB/T 449</w:t>
      </w:r>
    </w:p>
    <w:p w14:paraId="414E4B9A">
      <w:pPr>
        <w:pStyle w:val="177"/>
        <w:numPr>
          <w:ilvl w:val="0"/>
          <w:numId w:val="43"/>
        </w:numPr>
        <w:ind w:firstLineChars="0"/>
        <w:rPr>
          <w:rFonts w:ascii="Arial" w:hAnsi="Arial" w:cs="Arial"/>
          <w:spacing w:val="4"/>
          <w:sz w:val="20"/>
        </w:rPr>
      </w:pPr>
      <w:r>
        <w:rPr>
          <w:rFonts w:hint="eastAsia" w:ascii="Arial" w:hAnsi="Arial" w:cs="Arial"/>
          <w:spacing w:val="4"/>
          <w:sz w:val="20"/>
        </w:rPr>
        <w:t>《铁路碎石道砟》TB/T2140</w:t>
      </w:r>
    </w:p>
    <w:p w14:paraId="73B73386">
      <w:pPr>
        <w:pStyle w:val="177"/>
        <w:numPr>
          <w:ilvl w:val="0"/>
          <w:numId w:val="43"/>
        </w:numPr>
        <w:ind w:firstLineChars="0"/>
        <w:rPr>
          <w:rFonts w:ascii="Arial" w:hAnsi="Arial" w:cs="Arial"/>
          <w:spacing w:val="4"/>
          <w:sz w:val="20"/>
        </w:rPr>
      </w:pPr>
      <w:r>
        <w:rPr>
          <w:rFonts w:hint="eastAsia" w:ascii="Arial" w:hAnsi="Arial" w:cs="Arial"/>
          <w:spacing w:val="4"/>
          <w:sz w:val="20"/>
        </w:rPr>
        <w:t>《铁路碎石道床底砟》TB/T2897</w:t>
      </w:r>
    </w:p>
    <w:p w14:paraId="5640A10D">
      <w:pPr>
        <w:pStyle w:val="177"/>
        <w:numPr>
          <w:ilvl w:val="0"/>
          <w:numId w:val="43"/>
        </w:numPr>
        <w:ind w:firstLineChars="0"/>
        <w:rPr>
          <w:rFonts w:ascii="Arial" w:hAnsi="Arial" w:cs="Arial"/>
          <w:spacing w:val="4"/>
          <w:sz w:val="20"/>
        </w:rPr>
      </w:pPr>
      <w:r>
        <w:rPr>
          <w:rFonts w:hint="eastAsia" w:ascii="Arial" w:hAnsi="Arial" w:cs="Arial"/>
          <w:spacing w:val="4"/>
          <w:sz w:val="20"/>
        </w:rPr>
        <w:t>《铁路桥涵设计规范》TB10002</w:t>
      </w:r>
    </w:p>
    <w:p w14:paraId="323D55C7">
      <w:pPr>
        <w:pStyle w:val="177"/>
        <w:numPr>
          <w:ilvl w:val="0"/>
          <w:numId w:val="43"/>
        </w:numPr>
        <w:ind w:firstLineChars="0"/>
        <w:rPr>
          <w:rFonts w:ascii="Arial" w:hAnsi="Arial" w:cs="Arial"/>
          <w:spacing w:val="4"/>
          <w:sz w:val="20"/>
        </w:rPr>
      </w:pPr>
      <w:r>
        <w:rPr>
          <w:rFonts w:hint="eastAsia" w:ascii="Arial" w:hAnsi="Arial" w:cs="Arial"/>
          <w:spacing w:val="4"/>
          <w:sz w:val="20"/>
        </w:rPr>
        <w:t>《铁路混凝土结构耐久性设计规范》TB10005</w:t>
      </w:r>
    </w:p>
    <w:p w14:paraId="76107501">
      <w:pPr>
        <w:pStyle w:val="177"/>
        <w:numPr>
          <w:ilvl w:val="0"/>
          <w:numId w:val="43"/>
        </w:numPr>
        <w:ind w:firstLineChars="0"/>
        <w:rPr>
          <w:rFonts w:ascii="Arial" w:hAnsi="Arial" w:cs="Arial"/>
          <w:spacing w:val="4"/>
          <w:sz w:val="20"/>
        </w:rPr>
      </w:pPr>
      <w:r>
        <w:rPr>
          <w:rFonts w:hint="eastAsia" w:ascii="Arial" w:hAnsi="Arial" w:cs="Arial"/>
          <w:spacing w:val="4"/>
          <w:sz w:val="20"/>
        </w:rPr>
        <w:t>《铁路无缝线路设计规范》TB10015</w:t>
      </w:r>
    </w:p>
    <w:p w14:paraId="70658CAA">
      <w:pPr>
        <w:pStyle w:val="177"/>
        <w:numPr>
          <w:ilvl w:val="0"/>
          <w:numId w:val="43"/>
        </w:numPr>
        <w:ind w:firstLineChars="0"/>
        <w:rPr>
          <w:rFonts w:ascii="Arial" w:hAnsi="Arial" w:cs="Arial"/>
          <w:spacing w:val="4"/>
          <w:sz w:val="20"/>
        </w:rPr>
      </w:pPr>
      <w:r>
        <w:rPr>
          <w:rFonts w:hint="eastAsia" w:ascii="Arial" w:hAnsi="Arial" w:cs="Arial"/>
          <w:spacing w:val="4"/>
          <w:sz w:val="20"/>
        </w:rPr>
        <w:t>《铁路路基支挡结构设计规范》TB10025</w:t>
      </w:r>
    </w:p>
    <w:p w14:paraId="02D245C8">
      <w:pPr>
        <w:pStyle w:val="177"/>
        <w:numPr>
          <w:ilvl w:val="0"/>
          <w:numId w:val="43"/>
        </w:numPr>
        <w:ind w:firstLineChars="0"/>
        <w:rPr>
          <w:rFonts w:ascii="Arial" w:hAnsi="Arial" w:cs="Arial"/>
          <w:spacing w:val="4"/>
          <w:sz w:val="20"/>
        </w:rPr>
      </w:pPr>
      <w:r>
        <w:rPr>
          <w:rFonts w:hint="eastAsia" w:ascii="Arial" w:hAnsi="Arial" w:cs="Arial"/>
          <w:spacing w:val="4"/>
          <w:sz w:val="20"/>
        </w:rPr>
        <w:t>《铁路特殊路基设计规范》TB10035</w:t>
      </w:r>
    </w:p>
    <w:p w14:paraId="57CBAC0C">
      <w:pPr>
        <w:pStyle w:val="177"/>
        <w:numPr>
          <w:ilvl w:val="0"/>
          <w:numId w:val="43"/>
        </w:numPr>
        <w:ind w:firstLineChars="0"/>
        <w:rPr>
          <w:rFonts w:ascii="Arial" w:hAnsi="Arial" w:cs="Arial"/>
          <w:spacing w:val="4"/>
          <w:sz w:val="20"/>
        </w:rPr>
      </w:pPr>
      <w:r>
        <w:rPr>
          <w:rFonts w:hint="eastAsia" w:ascii="Arial" w:hAnsi="Arial" w:cs="Arial"/>
          <w:spacing w:val="4"/>
          <w:sz w:val="20"/>
        </w:rPr>
        <w:t>《铁路桥梁钢结构设计规范》TB10091</w:t>
      </w:r>
    </w:p>
    <w:p w14:paraId="3B943083">
      <w:pPr>
        <w:pStyle w:val="177"/>
        <w:numPr>
          <w:ilvl w:val="0"/>
          <w:numId w:val="43"/>
        </w:numPr>
        <w:ind w:firstLineChars="0"/>
        <w:rPr>
          <w:rFonts w:ascii="Arial" w:hAnsi="Arial" w:cs="Arial"/>
          <w:spacing w:val="4"/>
          <w:sz w:val="20"/>
        </w:rPr>
      </w:pPr>
      <w:r>
        <w:rPr>
          <w:rFonts w:hint="eastAsia" w:ascii="Arial" w:hAnsi="Arial" w:cs="Arial"/>
          <w:spacing w:val="4"/>
          <w:sz w:val="20"/>
        </w:rPr>
        <w:t>《铁路桥涵混凝土结构设计规范》TB10092</w:t>
      </w:r>
    </w:p>
    <w:p w14:paraId="30D68057">
      <w:pPr>
        <w:pStyle w:val="177"/>
        <w:numPr>
          <w:ilvl w:val="0"/>
          <w:numId w:val="43"/>
        </w:numPr>
        <w:ind w:firstLineChars="0"/>
        <w:rPr>
          <w:rFonts w:ascii="Arial" w:hAnsi="Arial" w:cs="Arial"/>
          <w:spacing w:val="4"/>
          <w:sz w:val="20"/>
        </w:rPr>
      </w:pPr>
      <w:r>
        <w:rPr>
          <w:rFonts w:hint="eastAsia" w:ascii="Arial" w:hAnsi="Arial" w:cs="Arial"/>
          <w:spacing w:val="4"/>
          <w:sz w:val="20"/>
        </w:rPr>
        <w:t>《铁路桥涵地基和基础设计规范》TB10093</w:t>
      </w:r>
    </w:p>
    <w:p w14:paraId="442F7A36">
      <w:pPr>
        <w:pStyle w:val="177"/>
        <w:numPr>
          <w:ilvl w:val="0"/>
          <w:numId w:val="43"/>
        </w:numPr>
        <w:ind w:firstLineChars="0"/>
        <w:rPr>
          <w:rFonts w:ascii="Arial" w:hAnsi="Arial" w:cs="Arial"/>
          <w:spacing w:val="4"/>
          <w:sz w:val="20"/>
        </w:rPr>
      </w:pPr>
      <w:r>
        <w:rPr>
          <w:rFonts w:hint="eastAsia" w:ascii="Arial" w:hAnsi="Arial" w:cs="Arial"/>
          <w:spacing w:val="4"/>
          <w:sz w:val="20"/>
        </w:rPr>
        <w:t>《地铁杂散电流腐蚀防护技术标准》</w:t>
      </w:r>
      <w:r>
        <w:rPr>
          <w:rFonts w:ascii="Arial" w:hAnsi="Arial" w:cs="Arial"/>
          <w:spacing w:val="4"/>
          <w:sz w:val="20"/>
        </w:rPr>
        <w:t>CJJ/T49</w:t>
      </w:r>
    </w:p>
    <w:p w14:paraId="6C7038F7">
      <w:pPr>
        <w:pStyle w:val="177"/>
        <w:numPr>
          <w:ilvl w:val="0"/>
          <w:numId w:val="43"/>
        </w:numPr>
        <w:ind w:firstLineChars="0"/>
        <w:rPr>
          <w:rFonts w:ascii="Arial" w:hAnsi="Arial" w:cs="Arial"/>
          <w:spacing w:val="4"/>
          <w:sz w:val="20"/>
        </w:rPr>
      </w:pPr>
      <w:r>
        <w:rPr>
          <w:rFonts w:hint="eastAsia" w:ascii="Arial" w:hAnsi="Arial" w:cs="Arial"/>
          <w:spacing w:val="4"/>
          <w:sz w:val="20"/>
        </w:rPr>
        <w:t>《二次供水工程技术规程》CJJ140</w:t>
      </w:r>
    </w:p>
    <w:p w14:paraId="28464348">
      <w:pPr>
        <w:pStyle w:val="177"/>
        <w:numPr>
          <w:ilvl w:val="0"/>
          <w:numId w:val="43"/>
        </w:numPr>
        <w:ind w:firstLineChars="0"/>
        <w:rPr>
          <w:rFonts w:ascii="Arial" w:hAnsi="Arial" w:cs="Arial"/>
          <w:spacing w:val="4"/>
          <w:sz w:val="20"/>
        </w:rPr>
      </w:pPr>
      <w:r>
        <w:rPr>
          <w:rFonts w:hint="eastAsia" w:ascii="Arial" w:hAnsi="Arial" w:cs="Arial"/>
          <w:spacing w:val="4"/>
          <w:sz w:val="20"/>
        </w:rPr>
        <w:t>《城市道路工程设计规范》CJJ37</w:t>
      </w:r>
    </w:p>
    <w:p w14:paraId="0E042C0B">
      <w:pPr>
        <w:pStyle w:val="177"/>
        <w:ind w:left="420" w:firstLine="0" w:firstLineChars="0"/>
        <w:rPr>
          <w:rFonts w:ascii="Arial" w:hAnsi="Arial" w:cs="Arial"/>
          <w:spacing w:val="4"/>
          <w:sz w:val="20"/>
        </w:rPr>
      </w:pPr>
    </w:p>
    <w:p w14:paraId="1C663B8F">
      <w:pPr>
        <w:spacing w:line="240" w:lineRule="auto"/>
        <w:ind w:firstLine="416" w:firstLineChars="200"/>
        <w:rPr>
          <w:rFonts w:ascii="Arial" w:hAnsi="Arial" w:cs="Arial"/>
          <w:spacing w:val="4"/>
          <w:sz w:val="20"/>
        </w:rPr>
      </w:pPr>
    </w:p>
    <w:p w14:paraId="5195BEC5">
      <w:pPr>
        <w:spacing w:line="240" w:lineRule="auto"/>
        <w:ind w:firstLine="416" w:firstLineChars="200"/>
        <w:rPr>
          <w:rFonts w:ascii="Arial" w:hAnsi="Arial" w:cs="Arial"/>
          <w:spacing w:val="4"/>
          <w:sz w:val="20"/>
        </w:rPr>
      </w:pPr>
    </w:p>
    <w:p w14:paraId="22B509F9">
      <w:pPr>
        <w:spacing w:line="240" w:lineRule="auto"/>
        <w:ind w:firstLine="416" w:firstLineChars="200"/>
        <w:rPr>
          <w:rFonts w:ascii="Arial" w:hAnsi="Arial" w:cs="Arial"/>
          <w:spacing w:val="4"/>
          <w:sz w:val="20"/>
        </w:rPr>
      </w:pPr>
    </w:p>
    <w:p w14:paraId="075D4D16">
      <w:pPr>
        <w:spacing w:line="240" w:lineRule="auto"/>
        <w:ind w:firstLine="416" w:firstLineChars="200"/>
        <w:rPr>
          <w:rFonts w:ascii="Arial" w:hAnsi="Arial" w:cs="Arial"/>
          <w:spacing w:val="4"/>
          <w:sz w:val="20"/>
        </w:rPr>
      </w:pPr>
    </w:p>
    <w:p w14:paraId="6DAC1C36">
      <w:pPr>
        <w:spacing w:line="240" w:lineRule="auto"/>
        <w:ind w:firstLine="416" w:firstLineChars="200"/>
        <w:rPr>
          <w:rFonts w:ascii="Arial" w:hAnsi="Arial" w:cs="Arial"/>
          <w:spacing w:val="4"/>
          <w:sz w:val="20"/>
        </w:rPr>
      </w:pPr>
    </w:p>
    <w:p w14:paraId="20FFC437">
      <w:pPr>
        <w:spacing w:line="240" w:lineRule="auto"/>
        <w:ind w:firstLine="416" w:firstLineChars="200"/>
        <w:rPr>
          <w:rFonts w:ascii="Arial" w:hAnsi="Arial" w:cs="Arial"/>
          <w:spacing w:val="4"/>
          <w:sz w:val="20"/>
        </w:rPr>
      </w:pPr>
    </w:p>
    <w:p w14:paraId="0843B150">
      <w:pPr>
        <w:spacing w:line="240" w:lineRule="auto"/>
        <w:ind w:firstLine="416" w:firstLineChars="200"/>
        <w:rPr>
          <w:rFonts w:ascii="Arial" w:hAnsi="Arial" w:cs="Arial"/>
          <w:spacing w:val="4"/>
          <w:sz w:val="20"/>
        </w:rPr>
      </w:pPr>
    </w:p>
    <w:p w14:paraId="25F20771">
      <w:pPr>
        <w:spacing w:line="240" w:lineRule="auto"/>
        <w:ind w:firstLine="416" w:firstLineChars="200"/>
        <w:rPr>
          <w:rFonts w:ascii="Arial" w:hAnsi="Arial" w:cs="Arial"/>
          <w:spacing w:val="4"/>
          <w:sz w:val="20"/>
        </w:rPr>
      </w:pPr>
    </w:p>
    <w:p w14:paraId="0FB5D39D">
      <w:pPr>
        <w:spacing w:line="240" w:lineRule="auto"/>
        <w:ind w:firstLine="416" w:firstLineChars="200"/>
        <w:rPr>
          <w:rFonts w:ascii="Arial" w:hAnsi="Arial" w:cs="Arial"/>
          <w:spacing w:val="4"/>
          <w:sz w:val="20"/>
        </w:rPr>
      </w:pPr>
    </w:p>
    <w:p w14:paraId="572473A0">
      <w:pPr>
        <w:spacing w:line="240" w:lineRule="auto"/>
        <w:ind w:firstLine="416" w:firstLineChars="200"/>
        <w:rPr>
          <w:rFonts w:ascii="Arial" w:hAnsi="Arial" w:cs="Arial"/>
          <w:spacing w:val="4"/>
          <w:sz w:val="20"/>
        </w:rPr>
      </w:pPr>
    </w:p>
    <w:p w14:paraId="0F27D5E4">
      <w:pPr>
        <w:spacing w:line="240" w:lineRule="auto"/>
        <w:ind w:firstLine="416" w:firstLineChars="200"/>
        <w:rPr>
          <w:rFonts w:ascii="Arial" w:hAnsi="Arial" w:cs="Arial"/>
          <w:spacing w:val="4"/>
          <w:sz w:val="20"/>
        </w:rPr>
      </w:pPr>
    </w:p>
    <w:p w14:paraId="06EC7C78">
      <w:pPr>
        <w:pStyle w:val="86"/>
        <w:ind w:firstLine="420"/>
        <w:rPr>
          <w:color w:val="auto"/>
        </w:rPr>
        <w:sectPr>
          <w:headerReference r:id="rId36" w:type="first"/>
          <w:footerReference r:id="rId37" w:type="first"/>
          <w:pgSz w:w="7938" w:h="11510"/>
          <w:pgMar w:top="1247" w:right="907" w:bottom="1247" w:left="907" w:header="737" w:footer="737" w:gutter="0"/>
          <w:cols w:space="720" w:num="1"/>
          <w:docGrid w:linePitch="333" w:charSpace="0"/>
        </w:sectPr>
      </w:pPr>
    </w:p>
    <w:p w14:paraId="396FC45C">
      <w:pPr>
        <w:spacing w:after="935"/>
        <w:jc w:val="center"/>
        <w:rPr>
          <w:rFonts w:ascii="宋体" w:hAnsi="宋体" w:cs="宋体"/>
          <w:sz w:val="28"/>
          <w:szCs w:val="28"/>
        </w:rPr>
      </w:pPr>
      <w:r>
        <w:rPr>
          <w:rFonts w:hint="eastAsia" w:ascii="宋体" w:hAnsi="宋体" w:cs="宋体"/>
          <w:sz w:val="28"/>
          <w:szCs w:val="28"/>
        </w:rPr>
        <w:t>北京市地方标准</w:t>
      </w:r>
    </w:p>
    <w:p w14:paraId="0FCCE32E">
      <w:pPr>
        <w:spacing w:after="312" w:line="240" w:lineRule="auto"/>
        <w:jc w:val="center"/>
        <w:rPr>
          <w:rFonts w:ascii="黑体" w:hAnsi="黑体" w:eastAsia="黑体" w:cs="黑体"/>
          <w:sz w:val="44"/>
          <w:szCs w:val="44"/>
        </w:rPr>
      </w:pPr>
      <w:r>
        <w:rPr>
          <w:rFonts w:hint="eastAsia" w:ascii="黑体" w:hAnsi="黑体" w:eastAsia="黑体" w:cs="黑体"/>
          <w:sz w:val="44"/>
          <w:szCs w:val="44"/>
        </w:rPr>
        <w:t>城市轨道交通工程设计规范</w:t>
      </w:r>
    </w:p>
    <w:p w14:paraId="42340273">
      <w:pPr>
        <w:spacing w:before="567"/>
        <w:jc w:val="center"/>
        <w:rPr>
          <w:rFonts w:ascii="黑体" w:hAnsi="黑体" w:eastAsia="黑体" w:cs="黑体"/>
          <w:bCs/>
          <w:sz w:val="28"/>
          <w:szCs w:val="28"/>
        </w:rPr>
      </w:pPr>
      <w:r>
        <w:rPr>
          <w:rFonts w:ascii="黑体" w:hAnsi="黑体" w:eastAsia="黑体" w:cs="黑体"/>
          <w:bCs/>
          <w:sz w:val="28"/>
          <w:szCs w:val="28"/>
        </w:rPr>
        <w:t>DB11/T913—20XX</w:t>
      </w:r>
    </w:p>
    <w:p w14:paraId="604ECC18">
      <w:pPr>
        <w:spacing w:before="567"/>
        <w:jc w:val="center"/>
        <w:rPr>
          <w:rFonts w:ascii="宋体" w:hAnsi="宋体" w:cs="宋体"/>
          <w:sz w:val="32"/>
          <w:szCs w:val="32"/>
        </w:rPr>
      </w:pPr>
      <w:r>
        <w:rPr>
          <w:rFonts w:hint="eastAsia" w:ascii="宋体" w:hAnsi="宋体" w:cs="宋体"/>
          <w:sz w:val="32"/>
          <w:szCs w:val="32"/>
        </w:rPr>
        <w:t>条 文 说 明</w:t>
      </w:r>
    </w:p>
    <w:p w14:paraId="49F89826">
      <w:pPr>
        <w:widowControl/>
        <w:ind w:firstLine="643"/>
        <w:jc w:val="left"/>
        <w:rPr>
          <w:b/>
          <w:kern w:val="44"/>
          <w:sz w:val="32"/>
          <w:szCs w:val="32"/>
        </w:rPr>
      </w:pPr>
    </w:p>
    <w:p w14:paraId="60F1C511">
      <w:pPr>
        <w:widowControl/>
        <w:ind w:firstLine="643"/>
        <w:jc w:val="left"/>
        <w:rPr>
          <w:b/>
          <w:kern w:val="44"/>
          <w:sz w:val="32"/>
          <w:szCs w:val="32"/>
        </w:rPr>
      </w:pPr>
    </w:p>
    <w:p w14:paraId="36220028">
      <w:pPr>
        <w:widowControl/>
        <w:ind w:firstLine="643"/>
        <w:jc w:val="left"/>
        <w:rPr>
          <w:b/>
          <w:kern w:val="44"/>
          <w:sz w:val="32"/>
          <w:szCs w:val="32"/>
        </w:rPr>
      </w:pPr>
    </w:p>
    <w:p w14:paraId="516CD659">
      <w:pPr>
        <w:widowControl/>
        <w:jc w:val="left"/>
        <w:sectPr>
          <w:headerReference r:id="rId40" w:type="first"/>
          <w:footerReference r:id="rId43" w:type="first"/>
          <w:headerReference r:id="rId38" w:type="default"/>
          <w:footerReference r:id="rId41" w:type="default"/>
          <w:headerReference r:id="rId39" w:type="even"/>
          <w:footerReference r:id="rId42" w:type="even"/>
          <w:pgSz w:w="7937" w:h="11509"/>
          <w:pgMar w:top="1247" w:right="907" w:bottom="1247" w:left="907" w:header="737" w:footer="737" w:gutter="0"/>
          <w:cols w:space="425" w:num="1"/>
          <w:docGrid w:type="lines" w:linePitch="312" w:charSpace="0"/>
        </w:sectPr>
      </w:pPr>
      <w:r>
        <mc:AlternateContent>
          <mc:Choice Requires="wps">
            <w:drawing>
              <wp:anchor distT="0" distB="0" distL="114300" distR="114300" simplePos="0" relativeHeight="251671552" behindDoc="0" locked="0" layoutInCell="1" allowOverlap="1">
                <wp:simplePos x="0" y="0"/>
                <wp:positionH relativeFrom="column">
                  <wp:posOffset>3499485</wp:posOffset>
                </wp:positionH>
                <wp:positionV relativeFrom="paragraph">
                  <wp:posOffset>1263015</wp:posOffset>
                </wp:positionV>
                <wp:extent cx="511810" cy="264160"/>
                <wp:effectExtent l="0" t="0" r="2540" b="2540"/>
                <wp:wrapNone/>
                <wp:docPr id="6" name="矩形 2"/>
                <wp:cNvGraphicFramePr/>
                <a:graphic xmlns:a="http://schemas.openxmlformats.org/drawingml/2006/main">
                  <a:graphicData uri="http://schemas.microsoft.com/office/word/2010/wordprocessingShape">
                    <wps:wsp>
                      <wps:cNvSpPr/>
                      <wps:spPr>
                        <a:xfrm>
                          <a:off x="0" y="0"/>
                          <a:ext cx="511810" cy="2641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275.55pt;margin-top:99.45pt;height:20.8pt;width:40.3pt;z-index:251671552;v-text-anchor:middle;mso-width-relative:page;mso-height-relative:page;" fillcolor="#FFFFFF" filled="t" stroked="f" coordsize="21600,21600" o:gfxdata="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mvdNsAAAALAQAADwAAAAAAAAABACAAAAAi&#10;AAAAZHJzL2Rvd25yZXYueG1sUEsBAhQAFAAAAAgAh07iQIbPTNF5AgAA6AQAAA4AAAAAAAAAAQAg&#10;AAAAKgEAAGRycy9lMm9Eb2MueG1sUEsFBgAAAAAGAAYAWQEAABUGAAAAAA==&#10;">
                <v:fill on="t" focussize="0,0"/>
                <v:stroke on="f" weight="1pt" miterlimit="8" joinstyle="miter"/>
                <v:imagedata o:title=""/>
                <o:lock v:ext="edit" aspectratio="f"/>
              </v:rect>
            </w:pict>
          </mc:Fallback>
        </mc:AlternateContent>
      </w:r>
    </w:p>
    <w:p w14:paraId="5767E9AD">
      <w:pPr>
        <w:spacing w:before="240" w:beforeLines="100" w:after="240" w:afterLines="100" w:line="240" w:lineRule="auto"/>
        <w:jc w:val="center"/>
        <w:rPr>
          <w:rFonts w:ascii="黑体" w:hAnsi="黑体" w:eastAsia="黑体"/>
          <w:sz w:val="30"/>
          <w:szCs w:val="30"/>
        </w:rPr>
      </w:pPr>
      <w:bookmarkStart w:id="2191" w:name="_Toc152793145"/>
      <w:bookmarkStart w:id="2192" w:name="_Toc183454143"/>
      <w:r>
        <w:rPr>
          <w:rFonts w:hint="eastAsia" w:ascii="黑体" w:hAnsi="黑体" w:eastAsia="黑体"/>
          <w:sz w:val="30"/>
          <w:szCs w:val="30"/>
        </w:rPr>
        <w:t>制订说明</w:t>
      </w:r>
      <w:bookmarkEnd w:id="2191"/>
      <w:bookmarkEnd w:id="2192"/>
    </w:p>
    <w:p w14:paraId="487C676A">
      <w:pPr>
        <w:pStyle w:val="2406"/>
        <w:ind w:firstLine="420"/>
        <w:rPr>
          <w:rFonts w:ascii="宋体" w:hAnsi="宋体" w:cs="宋体"/>
          <w:szCs w:val="21"/>
        </w:rPr>
      </w:pPr>
      <w:r>
        <w:rPr>
          <w:rFonts w:hint="eastAsia" w:ascii="宋体" w:hAnsi="宋体" w:cs="宋体"/>
          <w:szCs w:val="21"/>
        </w:rPr>
        <w:t>《城市轨道交通工程设计规范》是在广泛调查研究和缜密总结分析技术发展及已有经验后进行编制的。</w:t>
      </w:r>
    </w:p>
    <w:p w14:paraId="679837FB">
      <w:pPr>
        <w:pStyle w:val="2406"/>
        <w:ind w:firstLine="420"/>
        <w:rPr>
          <w:rFonts w:ascii="宋体" w:hAnsi="宋体" w:cs="宋体"/>
          <w:szCs w:val="21"/>
        </w:rPr>
      </w:pPr>
      <w:r>
        <w:rPr>
          <w:rFonts w:hint="eastAsia" w:ascii="宋体" w:hAnsi="宋体" w:cs="宋体"/>
          <w:szCs w:val="21"/>
        </w:rPr>
        <w:t>本标准共分</w:t>
      </w:r>
      <w:r>
        <w:rPr>
          <w:rFonts w:ascii="宋体" w:hAnsi="宋体" w:cs="宋体"/>
          <w:szCs w:val="21"/>
        </w:rPr>
        <w:t>31</w:t>
      </w:r>
      <w:r>
        <w:rPr>
          <w:rFonts w:hint="eastAsia" w:ascii="宋体" w:hAnsi="宋体" w:cs="宋体"/>
          <w:szCs w:val="21"/>
        </w:rPr>
        <w:t>章。为便于广大设计和施工有关人员在使用本标准时，能正确理解和执行条文规定，编制组按章、节、条、款顺序编制了条文说明，对条文规定的目的、依据以及执行中需注意的有关事项进行了说明。但是，本条文说明不具备与标准正文同等的法律效力，仅供使用者作为理解和把握标准规定的参考。</w:t>
      </w:r>
    </w:p>
    <w:p w14:paraId="55A8764B">
      <w:pPr>
        <w:ind w:firstLine="420"/>
        <w:sectPr>
          <w:headerReference r:id="rId44" w:type="even"/>
          <w:pgSz w:w="7938" w:h="11510"/>
          <w:pgMar w:top="1247" w:right="907" w:bottom="1247" w:left="907" w:header="737" w:footer="737" w:gutter="0"/>
          <w:cols w:space="720" w:num="1"/>
        </w:sectPr>
      </w:pPr>
    </w:p>
    <w:p w14:paraId="3ACEFA7B">
      <w:pPr>
        <w:ind w:firstLine="600"/>
        <w:jc w:val="center"/>
        <w:rPr>
          <w:rFonts w:ascii="黑体" w:hAnsi="黑体" w:eastAsia="黑体"/>
          <w:sz w:val="30"/>
          <w:szCs w:val="30"/>
        </w:rPr>
      </w:pPr>
      <w:bookmarkStart w:id="2193" w:name="_Toc183689478"/>
      <w:bookmarkStart w:id="2194" w:name="_Toc183455230"/>
      <w:bookmarkStart w:id="2195" w:name="_Toc183454927"/>
      <w:r>
        <w:rPr>
          <w:rFonts w:hint="eastAsia" w:ascii="黑体" w:hAnsi="黑体" w:eastAsia="黑体"/>
          <w:sz w:val="30"/>
          <w:szCs w:val="30"/>
        </w:rPr>
        <w:t>目</w:t>
      </w:r>
      <w:bookmarkEnd w:id="2193"/>
      <w:bookmarkEnd w:id="2194"/>
      <w:bookmarkEnd w:id="2195"/>
      <w:r>
        <w:rPr>
          <w:rFonts w:hint="eastAsia" w:ascii="黑体" w:hAnsi="黑体" w:eastAsia="黑体"/>
          <w:sz w:val="30"/>
          <w:szCs w:val="30"/>
        </w:rPr>
        <w:t xml:space="preserve">  次</w:t>
      </w:r>
    </w:p>
    <w:p w14:paraId="316C155B">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1  </w:t>
      </w:r>
      <w:r>
        <w:rPr>
          <w:rStyle w:val="122"/>
          <w:rFonts w:hint="eastAsia" w:ascii="Times New Roman" w:hAnsi="Times New Roman"/>
          <w:b w:val="0"/>
          <w:i w:val="0"/>
          <w:color w:val="auto"/>
          <w:u w:val="none"/>
        </w:rPr>
        <w:t>总</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则</w:t>
      </w:r>
      <w:r>
        <w:rPr>
          <w:rFonts w:ascii="Times New Roman" w:hAnsi="Times New Roman"/>
          <w:b w:val="0"/>
          <w:i w:val="0"/>
        </w:rPr>
        <w:tab/>
      </w:r>
      <w:r>
        <w:rPr>
          <w:rFonts w:ascii="Times New Roman" w:hAnsi="Times New Roman"/>
          <w:b w:val="0"/>
          <w:i w:val="0"/>
        </w:rPr>
        <w:t>450</w:t>
      </w:r>
    </w:p>
    <w:p w14:paraId="1A7C0147">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3  </w:t>
      </w:r>
      <w:r>
        <w:rPr>
          <w:rStyle w:val="122"/>
          <w:rFonts w:hint="eastAsia" w:ascii="Times New Roman" w:hAnsi="Times New Roman"/>
          <w:b w:val="0"/>
          <w:i w:val="0"/>
          <w:color w:val="auto"/>
          <w:u w:val="none"/>
        </w:rPr>
        <w:t>基本规定</w:t>
      </w:r>
      <w:r>
        <w:rPr>
          <w:rFonts w:ascii="Times New Roman" w:hAnsi="Times New Roman"/>
          <w:b w:val="0"/>
          <w:i w:val="0"/>
        </w:rPr>
        <w:tab/>
      </w:r>
      <w:r>
        <w:rPr>
          <w:rFonts w:ascii="Times New Roman" w:hAnsi="Times New Roman"/>
          <w:b w:val="0"/>
          <w:i w:val="0"/>
        </w:rPr>
        <w:t>451</w:t>
      </w:r>
    </w:p>
    <w:p w14:paraId="2249C3A2">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4  </w:t>
      </w:r>
      <w:r>
        <w:rPr>
          <w:rStyle w:val="122"/>
          <w:rFonts w:hint="eastAsia" w:ascii="Times New Roman" w:hAnsi="Times New Roman"/>
          <w:b w:val="0"/>
          <w:i w:val="0"/>
          <w:color w:val="auto"/>
          <w:u w:val="none"/>
        </w:rPr>
        <w:t>运营组织</w:t>
      </w:r>
      <w:r>
        <w:rPr>
          <w:rFonts w:ascii="Times New Roman" w:hAnsi="Times New Roman"/>
          <w:b w:val="0"/>
          <w:i w:val="0"/>
        </w:rPr>
        <w:tab/>
      </w:r>
      <w:r>
        <w:rPr>
          <w:rFonts w:ascii="Times New Roman" w:hAnsi="Times New Roman"/>
          <w:b w:val="0"/>
          <w:i w:val="0"/>
        </w:rPr>
        <w:t>454</w:t>
      </w:r>
    </w:p>
    <w:p w14:paraId="02E2D23B">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4.1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454</w:t>
      </w:r>
    </w:p>
    <w:p w14:paraId="52A7D3A2">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4.2  </w:t>
      </w:r>
      <w:r>
        <w:rPr>
          <w:rStyle w:val="122"/>
          <w:rFonts w:hint="eastAsia" w:ascii="Times New Roman" w:hAnsi="Times New Roman"/>
          <w:color w:val="auto"/>
          <w:u w:val="none"/>
        </w:rPr>
        <w:t>运营规模</w:t>
      </w:r>
      <w:r>
        <w:rPr>
          <w:rFonts w:ascii="Times New Roman" w:hAnsi="Times New Roman"/>
        </w:rPr>
        <w:tab/>
      </w:r>
      <w:r>
        <w:rPr>
          <w:rFonts w:ascii="Times New Roman" w:hAnsi="Times New Roman"/>
        </w:rPr>
        <w:t>454</w:t>
      </w:r>
    </w:p>
    <w:p w14:paraId="0B6EE285">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4.3  </w:t>
      </w:r>
      <w:r>
        <w:rPr>
          <w:rStyle w:val="122"/>
          <w:rFonts w:hint="eastAsia" w:ascii="Times New Roman" w:hAnsi="Times New Roman"/>
          <w:color w:val="auto"/>
          <w:u w:val="none"/>
        </w:rPr>
        <w:t>行车组织</w:t>
      </w:r>
      <w:r>
        <w:rPr>
          <w:rFonts w:ascii="Times New Roman" w:hAnsi="Times New Roman"/>
        </w:rPr>
        <w:tab/>
      </w:r>
      <w:r>
        <w:rPr>
          <w:rFonts w:ascii="Times New Roman" w:hAnsi="Times New Roman"/>
        </w:rPr>
        <w:t>457</w:t>
      </w:r>
    </w:p>
    <w:p w14:paraId="37F4CBAE">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4.4  </w:t>
      </w:r>
      <w:r>
        <w:rPr>
          <w:rStyle w:val="122"/>
          <w:rFonts w:hint="eastAsia" w:ascii="Times New Roman" w:hAnsi="Times New Roman"/>
          <w:color w:val="auto"/>
          <w:u w:val="none"/>
        </w:rPr>
        <w:t>配</w:t>
      </w:r>
      <w:r>
        <w:rPr>
          <w:rStyle w:val="122"/>
          <w:rFonts w:ascii="Times New Roman" w:hAnsi="Times New Roman"/>
          <w:color w:val="auto"/>
          <w:u w:val="none"/>
        </w:rPr>
        <w:t xml:space="preserve">    </w:t>
      </w:r>
      <w:r>
        <w:rPr>
          <w:rStyle w:val="122"/>
          <w:rFonts w:hint="eastAsia" w:ascii="Times New Roman" w:hAnsi="Times New Roman"/>
          <w:color w:val="auto"/>
          <w:u w:val="none"/>
        </w:rPr>
        <w:t>线</w:t>
      </w:r>
      <w:r>
        <w:rPr>
          <w:rFonts w:ascii="Times New Roman" w:hAnsi="Times New Roman"/>
        </w:rPr>
        <w:tab/>
      </w:r>
      <w:r>
        <w:rPr>
          <w:rFonts w:ascii="Times New Roman" w:hAnsi="Times New Roman"/>
        </w:rPr>
        <w:t>460</w:t>
      </w:r>
    </w:p>
    <w:p w14:paraId="45369100">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4.5  </w:t>
      </w:r>
      <w:r>
        <w:rPr>
          <w:rStyle w:val="122"/>
          <w:rFonts w:hint="eastAsia" w:ascii="Times New Roman" w:hAnsi="Times New Roman"/>
          <w:color w:val="auto"/>
          <w:u w:val="none"/>
        </w:rPr>
        <w:t>运营管理</w:t>
      </w:r>
      <w:r>
        <w:rPr>
          <w:rFonts w:ascii="Times New Roman" w:hAnsi="Times New Roman"/>
        </w:rPr>
        <w:tab/>
      </w:r>
      <w:r>
        <w:rPr>
          <w:rFonts w:ascii="Times New Roman" w:hAnsi="Times New Roman"/>
        </w:rPr>
        <w:t>460</w:t>
      </w:r>
    </w:p>
    <w:p w14:paraId="59658F14">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5  </w:t>
      </w:r>
      <w:r>
        <w:rPr>
          <w:rStyle w:val="122"/>
          <w:rFonts w:hint="eastAsia" w:ascii="Times New Roman" w:hAnsi="Times New Roman"/>
          <w:b w:val="0"/>
          <w:i w:val="0"/>
          <w:color w:val="auto"/>
          <w:u w:val="none"/>
        </w:rPr>
        <w:t>车</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辆</w:t>
      </w:r>
      <w:r>
        <w:rPr>
          <w:rFonts w:ascii="Times New Roman" w:hAnsi="Times New Roman"/>
          <w:b w:val="0"/>
          <w:i w:val="0"/>
        </w:rPr>
        <w:tab/>
      </w:r>
      <w:r>
        <w:rPr>
          <w:rFonts w:ascii="Times New Roman" w:hAnsi="Times New Roman"/>
          <w:b w:val="0"/>
          <w:i w:val="0"/>
        </w:rPr>
        <w:t>462</w:t>
      </w:r>
    </w:p>
    <w:p w14:paraId="282EE98E">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5.1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462</w:t>
      </w:r>
    </w:p>
    <w:p w14:paraId="2AC2A6A8">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5.2  </w:t>
      </w:r>
      <w:r>
        <w:rPr>
          <w:rStyle w:val="122"/>
          <w:rFonts w:hint="eastAsia" w:ascii="Times New Roman" w:hAnsi="Times New Roman"/>
          <w:color w:val="auto"/>
          <w:u w:val="none"/>
        </w:rPr>
        <w:t>车辆使用条件</w:t>
      </w:r>
      <w:r>
        <w:rPr>
          <w:rFonts w:ascii="Times New Roman" w:hAnsi="Times New Roman"/>
        </w:rPr>
        <w:tab/>
      </w:r>
      <w:r>
        <w:rPr>
          <w:rFonts w:ascii="Times New Roman" w:hAnsi="Times New Roman"/>
        </w:rPr>
        <w:t>462</w:t>
      </w:r>
    </w:p>
    <w:p w14:paraId="08804C1B">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5.3  </w:t>
      </w:r>
      <w:r>
        <w:rPr>
          <w:rStyle w:val="122"/>
          <w:rFonts w:hint="eastAsia" w:ascii="Times New Roman" w:hAnsi="Times New Roman"/>
          <w:color w:val="auto"/>
          <w:u w:val="none"/>
        </w:rPr>
        <w:t>车辆主要技术规格</w:t>
      </w:r>
      <w:r>
        <w:rPr>
          <w:rFonts w:ascii="Times New Roman" w:hAnsi="Times New Roman"/>
        </w:rPr>
        <w:tab/>
      </w:r>
      <w:r>
        <w:rPr>
          <w:rFonts w:ascii="Times New Roman" w:hAnsi="Times New Roman"/>
        </w:rPr>
        <w:t>462</w:t>
      </w:r>
    </w:p>
    <w:p w14:paraId="3CF46FD1">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5.4  </w:t>
      </w:r>
      <w:r>
        <w:rPr>
          <w:rStyle w:val="122"/>
          <w:rFonts w:hint="eastAsia" w:ascii="Times New Roman" w:hAnsi="Times New Roman"/>
          <w:color w:val="auto"/>
          <w:u w:val="none"/>
        </w:rPr>
        <w:t>车辆运行主要技术指标</w:t>
      </w:r>
      <w:r>
        <w:rPr>
          <w:rFonts w:ascii="Times New Roman" w:hAnsi="Times New Roman"/>
        </w:rPr>
        <w:tab/>
      </w:r>
      <w:r>
        <w:rPr>
          <w:rFonts w:ascii="Times New Roman" w:hAnsi="Times New Roman"/>
        </w:rPr>
        <w:t>463</w:t>
      </w:r>
    </w:p>
    <w:p w14:paraId="08726DC3">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5.7  </w:t>
      </w:r>
      <w:r>
        <w:rPr>
          <w:rStyle w:val="122"/>
          <w:rFonts w:hint="eastAsia" w:ascii="Times New Roman" w:hAnsi="Times New Roman"/>
          <w:color w:val="auto"/>
          <w:u w:val="none"/>
        </w:rPr>
        <w:t>全自动驾驶车辆</w:t>
      </w:r>
      <w:r>
        <w:rPr>
          <w:rFonts w:ascii="Times New Roman" w:hAnsi="Times New Roman"/>
        </w:rPr>
        <w:tab/>
      </w:r>
      <w:r>
        <w:rPr>
          <w:rFonts w:ascii="Times New Roman" w:hAnsi="Times New Roman"/>
        </w:rPr>
        <w:t>463</w:t>
      </w:r>
    </w:p>
    <w:p w14:paraId="28E9743C">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6  </w:t>
      </w:r>
      <w:r>
        <w:rPr>
          <w:rStyle w:val="122"/>
          <w:rFonts w:hint="eastAsia" w:ascii="Times New Roman" w:hAnsi="Times New Roman"/>
          <w:b w:val="0"/>
          <w:i w:val="0"/>
          <w:color w:val="auto"/>
          <w:u w:val="none"/>
        </w:rPr>
        <w:t>限</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界</w:t>
      </w:r>
      <w:r>
        <w:rPr>
          <w:rFonts w:ascii="Times New Roman" w:hAnsi="Times New Roman"/>
          <w:b w:val="0"/>
          <w:i w:val="0"/>
        </w:rPr>
        <w:tab/>
      </w:r>
      <w:r>
        <w:rPr>
          <w:rFonts w:ascii="Times New Roman" w:hAnsi="Times New Roman"/>
          <w:b w:val="0"/>
          <w:i w:val="0"/>
        </w:rPr>
        <w:t>464</w:t>
      </w:r>
    </w:p>
    <w:p w14:paraId="1F1CE396">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6.1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464</w:t>
      </w:r>
    </w:p>
    <w:p w14:paraId="3253B767">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6.2  </w:t>
      </w:r>
      <w:r>
        <w:rPr>
          <w:rStyle w:val="122"/>
          <w:rFonts w:hint="eastAsia" w:ascii="Times New Roman" w:hAnsi="Times New Roman"/>
          <w:color w:val="auto"/>
          <w:u w:val="none"/>
        </w:rPr>
        <w:t>制定限界的基本参数</w:t>
      </w:r>
      <w:r>
        <w:rPr>
          <w:rFonts w:ascii="Times New Roman" w:hAnsi="Times New Roman"/>
        </w:rPr>
        <w:tab/>
      </w:r>
      <w:r>
        <w:rPr>
          <w:rFonts w:ascii="Times New Roman" w:hAnsi="Times New Roman"/>
        </w:rPr>
        <w:t>465</w:t>
      </w:r>
    </w:p>
    <w:p w14:paraId="50AFAFF3">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6.3  </w:t>
      </w:r>
      <w:r>
        <w:rPr>
          <w:rStyle w:val="122"/>
          <w:rFonts w:hint="eastAsia" w:ascii="Times New Roman" w:hAnsi="Times New Roman"/>
          <w:color w:val="auto"/>
          <w:u w:val="none"/>
        </w:rPr>
        <w:t>建</w:t>
      </w:r>
      <w:r>
        <w:rPr>
          <w:rStyle w:val="122"/>
          <w:rFonts w:ascii="Times New Roman" w:hAnsi="Times New Roman"/>
          <w:color w:val="auto"/>
          <w:u w:val="none"/>
        </w:rPr>
        <w:t xml:space="preserve"> </w:t>
      </w:r>
      <w:r>
        <w:rPr>
          <w:rStyle w:val="122"/>
          <w:rFonts w:hint="eastAsia" w:ascii="Times New Roman" w:hAnsi="Times New Roman"/>
          <w:color w:val="auto"/>
          <w:u w:val="none"/>
        </w:rPr>
        <w:t>筑</w:t>
      </w:r>
      <w:r>
        <w:rPr>
          <w:rStyle w:val="122"/>
          <w:rFonts w:ascii="Times New Roman" w:hAnsi="Times New Roman"/>
          <w:color w:val="auto"/>
          <w:u w:val="none"/>
        </w:rPr>
        <w:t xml:space="preserve"> </w:t>
      </w:r>
      <w:r>
        <w:rPr>
          <w:rStyle w:val="122"/>
          <w:rFonts w:hint="eastAsia" w:ascii="Times New Roman" w:hAnsi="Times New Roman"/>
          <w:color w:val="auto"/>
          <w:u w:val="none"/>
        </w:rPr>
        <w:t>限</w:t>
      </w:r>
      <w:r>
        <w:rPr>
          <w:rStyle w:val="122"/>
          <w:rFonts w:ascii="Times New Roman" w:hAnsi="Times New Roman"/>
          <w:color w:val="auto"/>
          <w:u w:val="none"/>
        </w:rPr>
        <w:t xml:space="preserve"> </w:t>
      </w:r>
      <w:r>
        <w:rPr>
          <w:rStyle w:val="122"/>
          <w:rFonts w:hint="eastAsia" w:ascii="Times New Roman" w:hAnsi="Times New Roman"/>
          <w:color w:val="auto"/>
          <w:u w:val="none"/>
        </w:rPr>
        <w:t>界</w:t>
      </w:r>
      <w:r>
        <w:rPr>
          <w:rFonts w:ascii="Times New Roman" w:hAnsi="Times New Roman"/>
        </w:rPr>
        <w:tab/>
      </w:r>
      <w:r>
        <w:rPr>
          <w:rFonts w:ascii="Times New Roman" w:hAnsi="Times New Roman"/>
        </w:rPr>
        <w:t>465</w:t>
      </w:r>
    </w:p>
    <w:p w14:paraId="7EFDECB1">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6.4  </w:t>
      </w:r>
      <w:r>
        <w:rPr>
          <w:rStyle w:val="122"/>
          <w:rFonts w:hint="eastAsia" w:ascii="Times New Roman" w:hAnsi="Times New Roman"/>
          <w:color w:val="auto"/>
          <w:u w:val="none"/>
        </w:rPr>
        <w:t>轨行区管线设备布置原则</w:t>
      </w:r>
      <w:r>
        <w:rPr>
          <w:rFonts w:ascii="Times New Roman" w:hAnsi="Times New Roman"/>
        </w:rPr>
        <w:tab/>
      </w:r>
      <w:r>
        <w:rPr>
          <w:rFonts w:ascii="Times New Roman" w:hAnsi="Times New Roman"/>
        </w:rPr>
        <w:t>468</w:t>
      </w:r>
    </w:p>
    <w:p w14:paraId="6E6E4652">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7  </w:t>
      </w:r>
      <w:r>
        <w:rPr>
          <w:rStyle w:val="122"/>
          <w:rFonts w:hint="eastAsia" w:ascii="Times New Roman" w:hAnsi="Times New Roman"/>
          <w:b w:val="0"/>
          <w:i w:val="0"/>
          <w:color w:val="auto"/>
          <w:u w:val="none"/>
        </w:rPr>
        <w:t>线</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路</w:t>
      </w:r>
      <w:r>
        <w:rPr>
          <w:rFonts w:ascii="Times New Roman" w:hAnsi="Times New Roman"/>
          <w:b w:val="0"/>
          <w:i w:val="0"/>
        </w:rPr>
        <w:tab/>
      </w:r>
      <w:r>
        <w:rPr>
          <w:rFonts w:ascii="Times New Roman" w:hAnsi="Times New Roman"/>
          <w:b w:val="0"/>
          <w:i w:val="0"/>
        </w:rPr>
        <w:t>469</w:t>
      </w:r>
    </w:p>
    <w:p w14:paraId="178CBA18">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8  </w:t>
      </w:r>
      <w:r>
        <w:rPr>
          <w:rStyle w:val="122"/>
          <w:rFonts w:hint="eastAsia" w:ascii="Times New Roman" w:hAnsi="Times New Roman"/>
          <w:b w:val="0"/>
          <w:i w:val="0"/>
          <w:color w:val="auto"/>
          <w:u w:val="none"/>
        </w:rPr>
        <w:t>轨</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道</w:t>
      </w:r>
      <w:r>
        <w:rPr>
          <w:rFonts w:ascii="Times New Roman" w:hAnsi="Times New Roman"/>
          <w:b w:val="0"/>
          <w:i w:val="0"/>
        </w:rPr>
        <w:tab/>
      </w:r>
      <w:r>
        <w:rPr>
          <w:rFonts w:ascii="Times New Roman" w:hAnsi="Times New Roman"/>
          <w:b w:val="0"/>
          <w:i w:val="0"/>
        </w:rPr>
        <w:t>471</w:t>
      </w:r>
    </w:p>
    <w:p w14:paraId="0CCBD967">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8.1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471</w:t>
      </w:r>
    </w:p>
    <w:p w14:paraId="035FFE1E">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8.2  </w:t>
      </w:r>
      <w:r>
        <w:rPr>
          <w:rStyle w:val="122"/>
          <w:rFonts w:hint="eastAsia" w:ascii="Times New Roman" w:hAnsi="Times New Roman"/>
          <w:color w:val="auto"/>
          <w:u w:val="none"/>
        </w:rPr>
        <w:t>基本技术要求</w:t>
      </w:r>
      <w:r>
        <w:rPr>
          <w:rFonts w:ascii="Times New Roman" w:hAnsi="Times New Roman"/>
        </w:rPr>
        <w:tab/>
      </w:r>
      <w:r>
        <w:rPr>
          <w:rFonts w:ascii="Times New Roman" w:hAnsi="Times New Roman"/>
        </w:rPr>
        <w:t>472</w:t>
      </w:r>
    </w:p>
    <w:p w14:paraId="14A47322">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8.3  </w:t>
      </w:r>
      <w:r>
        <w:rPr>
          <w:rStyle w:val="122"/>
          <w:rFonts w:hint="eastAsia" w:ascii="Times New Roman" w:hAnsi="Times New Roman"/>
          <w:color w:val="auto"/>
          <w:u w:val="none"/>
        </w:rPr>
        <w:t>轨道部件</w:t>
      </w:r>
      <w:r>
        <w:rPr>
          <w:rFonts w:ascii="Times New Roman" w:hAnsi="Times New Roman"/>
        </w:rPr>
        <w:tab/>
      </w:r>
      <w:r>
        <w:rPr>
          <w:rFonts w:ascii="Times New Roman" w:hAnsi="Times New Roman"/>
        </w:rPr>
        <w:t>473</w:t>
      </w:r>
    </w:p>
    <w:p w14:paraId="03E1959B">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8.4  </w:t>
      </w:r>
      <w:r>
        <w:rPr>
          <w:rStyle w:val="122"/>
          <w:rFonts w:hint="eastAsia" w:ascii="Times New Roman" w:hAnsi="Times New Roman"/>
          <w:color w:val="auto"/>
          <w:u w:val="none"/>
        </w:rPr>
        <w:t>道床结构</w:t>
      </w:r>
      <w:r>
        <w:rPr>
          <w:rFonts w:ascii="Times New Roman" w:hAnsi="Times New Roman"/>
        </w:rPr>
        <w:tab/>
      </w:r>
      <w:r>
        <w:rPr>
          <w:rFonts w:ascii="Times New Roman" w:hAnsi="Times New Roman"/>
        </w:rPr>
        <w:t>474</w:t>
      </w:r>
    </w:p>
    <w:p w14:paraId="0034FBE8">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8.5  </w:t>
      </w:r>
      <w:r>
        <w:rPr>
          <w:rStyle w:val="122"/>
          <w:rFonts w:hint="eastAsia" w:ascii="Times New Roman" w:hAnsi="Times New Roman"/>
          <w:color w:val="auto"/>
          <w:u w:val="none"/>
        </w:rPr>
        <w:t>无缝线路</w:t>
      </w:r>
      <w:r>
        <w:rPr>
          <w:rFonts w:ascii="Times New Roman" w:hAnsi="Times New Roman"/>
        </w:rPr>
        <w:tab/>
      </w:r>
      <w:r>
        <w:rPr>
          <w:rFonts w:ascii="Times New Roman" w:hAnsi="Times New Roman"/>
        </w:rPr>
        <w:t>475</w:t>
      </w:r>
    </w:p>
    <w:p w14:paraId="0BB0A749">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8.6  </w:t>
      </w:r>
      <w:r>
        <w:rPr>
          <w:rStyle w:val="122"/>
          <w:rFonts w:hint="eastAsia" w:ascii="Times New Roman" w:hAnsi="Times New Roman"/>
          <w:color w:val="auto"/>
          <w:u w:val="none"/>
        </w:rPr>
        <w:t>轨道减振</w:t>
      </w:r>
      <w:r>
        <w:rPr>
          <w:rFonts w:ascii="Times New Roman" w:hAnsi="Times New Roman"/>
        </w:rPr>
        <w:tab/>
      </w:r>
      <w:r>
        <w:rPr>
          <w:rFonts w:ascii="Times New Roman" w:hAnsi="Times New Roman"/>
        </w:rPr>
        <w:t>476</w:t>
      </w:r>
    </w:p>
    <w:p w14:paraId="130E513F">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8.7  </w:t>
      </w:r>
      <w:r>
        <w:rPr>
          <w:rStyle w:val="122"/>
          <w:rFonts w:hint="eastAsia" w:ascii="Times New Roman" w:hAnsi="Times New Roman"/>
          <w:color w:val="auto"/>
          <w:u w:val="none"/>
        </w:rPr>
        <w:t>轨道安全设备及附属设备</w:t>
      </w:r>
      <w:r>
        <w:rPr>
          <w:rFonts w:ascii="Times New Roman" w:hAnsi="Times New Roman"/>
        </w:rPr>
        <w:tab/>
      </w:r>
      <w:r>
        <w:rPr>
          <w:rFonts w:ascii="Times New Roman" w:hAnsi="Times New Roman"/>
        </w:rPr>
        <w:t>476</w:t>
      </w:r>
    </w:p>
    <w:p w14:paraId="274FA8CF">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9  </w:t>
      </w:r>
      <w:r>
        <w:rPr>
          <w:rStyle w:val="122"/>
          <w:rFonts w:hint="eastAsia" w:ascii="Times New Roman" w:hAnsi="Times New Roman"/>
          <w:b w:val="0"/>
          <w:i w:val="0"/>
          <w:color w:val="auto"/>
          <w:u w:val="none"/>
        </w:rPr>
        <w:t>路</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基</w:t>
      </w:r>
      <w:r>
        <w:rPr>
          <w:rFonts w:ascii="Times New Roman" w:hAnsi="Times New Roman"/>
          <w:b w:val="0"/>
          <w:i w:val="0"/>
        </w:rPr>
        <w:tab/>
      </w:r>
      <w:r>
        <w:rPr>
          <w:rFonts w:ascii="Times New Roman" w:hAnsi="Times New Roman"/>
          <w:b w:val="0"/>
          <w:i w:val="0"/>
        </w:rPr>
        <w:t>478</w:t>
      </w:r>
    </w:p>
    <w:p w14:paraId="360BCA01">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9.1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478</w:t>
      </w:r>
    </w:p>
    <w:p w14:paraId="7D515E6A">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9.3  </w:t>
      </w:r>
      <w:r>
        <w:rPr>
          <w:rStyle w:val="122"/>
          <w:rFonts w:hint="eastAsia" w:ascii="Times New Roman" w:hAnsi="Times New Roman"/>
          <w:color w:val="auto"/>
          <w:u w:val="none"/>
        </w:rPr>
        <w:t>基床</w:t>
      </w:r>
      <w:r>
        <w:rPr>
          <w:rFonts w:ascii="Times New Roman" w:hAnsi="Times New Roman"/>
        </w:rPr>
        <w:tab/>
      </w:r>
      <w:r>
        <w:rPr>
          <w:rFonts w:ascii="Times New Roman" w:hAnsi="Times New Roman"/>
        </w:rPr>
        <w:t>478</w:t>
      </w:r>
    </w:p>
    <w:p w14:paraId="35A00D22">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9.5  </w:t>
      </w:r>
      <w:r>
        <w:rPr>
          <w:rStyle w:val="122"/>
          <w:rFonts w:hint="eastAsia" w:ascii="Times New Roman" w:hAnsi="Times New Roman"/>
          <w:color w:val="auto"/>
          <w:u w:val="none"/>
        </w:rPr>
        <w:t>路堑</w:t>
      </w:r>
      <w:r>
        <w:rPr>
          <w:rFonts w:ascii="Times New Roman" w:hAnsi="Times New Roman"/>
        </w:rPr>
        <w:tab/>
      </w:r>
      <w:r>
        <w:rPr>
          <w:rFonts w:ascii="Times New Roman" w:hAnsi="Times New Roman"/>
        </w:rPr>
        <w:t>480</w:t>
      </w:r>
    </w:p>
    <w:p w14:paraId="5824984F">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9.6  </w:t>
      </w:r>
      <w:r>
        <w:rPr>
          <w:rStyle w:val="122"/>
          <w:rFonts w:hint="eastAsia" w:ascii="Times New Roman" w:hAnsi="Times New Roman"/>
          <w:color w:val="auto"/>
          <w:u w:val="none"/>
        </w:rPr>
        <w:t>工后沉降</w:t>
      </w:r>
      <w:r>
        <w:rPr>
          <w:rFonts w:ascii="Times New Roman" w:hAnsi="Times New Roman"/>
        </w:rPr>
        <w:tab/>
      </w:r>
      <w:r>
        <w:rPr>
          <w:rFonts w:ascii="Times New Roman" w:hAnsi="Times New Roman"/>
        </w:rPr>
        <w:t>480</w:t>
      </w:r>
    </w:p>
    <w:p w14:paraId="0EF3E911">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10  </w:t>
      </w:r>
      <w:r>
        <w:rPr>
          <w:rStyle w:val="122"/>
          <w:rFonts w:hint="eastAsia" w:ascii="Times New Roman" w:hAnsi="Times New Roman" w:cs="黑体"/>
          <w:b w:val="0"/>
          <w:i w:val="0"/>
          <w:color w:val="auto"/>
          <w:u w:val="none"/>
        </w:rPr>
        <w:t>车站建筑</w:t>
      </w:r>
      <w:r>
        <w:rPr>
          <w:rFonts w:ascii="Times New Roman" w:hAnsi="Times New Roman"/>
          <w:b w:val="0"/>
          <w:i w:val="0"/>
        </w:rPr>
        <w:tab/>
      </w:r>
      <w:r>
        <w:rPr>
          <w:rFonts w:ascii="Times New Roman" w:hAnsi="Times New Roman"/>
          <w:b w:val="0"/>
          <w:i w:val="0"/>
        </w:rPr>
        <w:t>482</w:t>
      </w:r>
    </w:p>
    <w:p w14:paraId="3E40E6E6">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11  </w:t>
      </w:r>
      <w:r>
        <w:rPr>
          <w:rStyle w:val="122"/>
          <w:rFonts w:hint="eastAsia" w:ascii="Times New Roman" w:hAnsi="Times New Roman"/>
          <w:b w:val="0"/>
          <w:i w:val="0"/>
          <w:color w:val="auto"/>
          <w:u w:val="none"/>
        </w:rPr>
        <w:t>高架结构</w:t>
      </w:r>
      <w:r>
        <w:rPr>
          <w:rFonts w:ascii="Times New Roman" w:hAnsi="Times New Roman"/>
          <w:b w:val="0"/>
          <w:i w:val="0"/>
        </w:rPr>
        <w:tab/>
      </w:r>
      <w:r>
        <w:rPr>
          <w:rFonts w:ascii="Times New Roman" w:hAnsi="Times New Roman"/>
          <w:b w:val="0"/>
          <w:i w:val="0"/>
        </w:rPr>
        <w:t>488</w:t>
      </w:r>
    </w:p>
    <w:p w14:paraId="5AE6E875">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11.1  </w:t>
      </w:r>
      <w:r>
        <w:rPr>
          <w:rStyle w:val="122"/>
          <w:rFonts w:hint="eastAsia" w:ascii="Times New Roman" w:hAnsi="Times New Roman"/>
          <w:color w:val="auto"/>
          <w:u w:val="none"/>
        </w:rPr>
        <w:t>高架桥梁结构</w:t>
      </w:r>
      <w:r>
        <w:rPr>
          <w:rFonts w:ascii="Times New Roman" w:hAnsi="Times New Roman"/>
        </w:rPr>
        <w:tab/>
      </w:r>
      <w:r>
        <w:rPr>
          <w:rFonts w:ascii="Times New Roman" w:hAnsi="Times New Roman"/>
        </w:rPr>
        <w:t>488</w:t>
      </w:r>
    </w:p>
    <w:p w14:paraId="6770C7B6">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11.2  </w:t>
      </w:r>
      <w:r>
        <w:rPr>
          <w:rStyle w:val="122"/>
          <w:rFonts w:hint="eastAsia" w:ascii="Times New Roman" w:hAnsi="Times New Roman"/>
          <w:color w:val="auto"/>
          <w:u w:val="none"/>
        </w:rPr>
        <w:t>车站高架结构</w:t>
      </w:r>
      <w:r>
        <w:rPr>
          <w:rFonts w:ascii="Times New Roman" w:hAnsi="Times New Roman"/>
        </w:rPr>
        <w:tab/>
      </w:r>
      <w:r>
        <w:rPr>
          <w:rFonts w:ascii="Times New Roman" w:hAnsi="Times New Roman"/>
        </w:rPr>
        <w:t>496</w:t>
      </w:r>
    </w:p>
    <w:p w14:paraId="6CAA90F1">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13  </w:t>
      </w:r>
      <w:r>
        <w:rPr>
          <w:rStyle w:val="122"/>
          <w:rFonts w:hint="eastAsia" w:ascii="Times New Roman" w:hAnsi="Times New Roman"/>
          <w:b w:val="0"/>
          <w:i w:val="0"/>
          <w:color w:val="auto"/>
          <w:u w:val="none"/>
        </w:rPr>
        <w:t>工程防水</w:t>
      </w:r>
      <w:r>
        <w:rPr>
          <w:rFonts w:ascii="Times New Roman" w:hAnsi="Times New Roman"/>
          <w:b w:val="0"/>
          <w:i w:val="0"/>
        </w:rPr>
        <w:tab/>
      </w:r>
      <w:r>
        <w:rPr>
          <w:rFonts w:ascii="Times New Roman" w:hAnsi="Times New Roman"/>
          <w:b w:val="0"/>
          <w:i w:val="0"/>
        </w:rPr>
        <w:t>500</w:t>
      </w:r>
    </w:p>
    <w:p w14:paraId="6687691B">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13.1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500</w:t>
      </w:r>
    </w:p>
    <w:p w14:paraId="73D81EE0">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13.2  </w:t>
      </w:r>
      <w:r>
        <w:rPr>
          <w:rStyle w:val="122"/>
          <w:rFonts w:hint="eastAsia" w:ascii="Times New Roman" w:hAnsi="Times New Roman"/>
          <w:color w:val="auto"/>
          <w:u w:val="none"/>
        </w:rPr>
        <w:t>混凝土结构自防水</w:t>
      </w:r>
      <w:r>
        <w:rPr>
          <w:rFonts w:ascii="Times New Roman" w:hAnsi="Times New Roman"/>
        </w:rPr>
        <w:tab/>
      </w:r>
      <w:r>
        <w:rPr>
          <w:rFonts w:ascii="Times New Roman" w:hAnsi="Times New Roman"/>
        </w:rPr>
        <w:t>502</w:t>
      </w:r>
    </w:p>
    <w:p w14:paraId="4525710F">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13.3  </w:t>
      </w:r>
      <w:r>
        <w:rPr>
          <w:rStyle w:val="122"/>
          <w:rFonts w:hint="eastAsia" w:ascii="Times New Roman" w:hAnsi="Times New Roman"/>
          <w:color w:val="auto"/>
          <w:u w:val="none"/>
        </w:rPr>
        <w:t>防水层</w:t>
      </w:r>
      <w:r>
        <w:rPr>
          <w:rFonts w:ascii="Times New Roman" w:hAnsi="Times New Roman"/>
        </w:rPr>
        <w:tab/>
      </w:r>
      <w:r>
        <w:rPr>
          <w:rFonts w:ascii="Times New Roman" w:hAnsi="Times New Roman"/>
        </w:rPr>
        <w:t>503</w:t>
      </w:r>
    </w:p>
    <w:p w14:paraId="486F25B0">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13.4  </w:t>
      </w:r>
      <w:r>
        <w:rPr>
          <w:rStyle w:val="122"/>
          <w:rFonts w:hint="eastAsia" w:ascii="Times New Roman" w:hAnsi="Times New Roman"/>
          <w:color w:val="auto"/>
          <w:u w:val="none"/>
        </w:rPr>
        <w:t>高架结构防水</w:t>
      </w:r>
      <w:r>
        <w:rPr>
          <w:rFonts w:ascii="Times New Roman" w:hAnsi="Times New Roman"/>
        </w:rPr>
        <w:tab/>
      </w:r>
      <w:r>
        <w:rPr>
          <w:rFonts w:ascii="Times New Roman" w:hAnsi="Times New Roman"/>
        </w:rPr>
        <w:t>504</w:t>
      </w:r>
    </w:p>
    <w:p w14:paraId="6B05B796">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13.5  </w:t>
      </w:r>
      <w:r>
        <w:rPr>
          <w:rStyle w:val="122"/>
          <w:rFonts w:hint="eastAsia" w:ascii="Times New Roman" w:hAnsi="Times New Roman"/>
          <w:color w:val="auto"/>
          <w:u w:val="none"/>
        </w:rPr>
        <w:t>明挖法、盖挖法结构防水</w:t>
      </w:r>
      <w:r>
        <w:rPr>
          <w:rFonts w:ascii="Times New Roman" w:hAnsi="Times New Roman"/>
        </w:rPr>
        <w:tab/>
      </w:r>
      <w:r>
        <w:rPr>
          <w:rFonts w:ascii="Times New Roman" w:hAnsi="Times New Roman"/>
        </w:rPr>
        <w:t>504</w:t>
      </w:r>
    </w:p>
    <w:p w14:paraId="5560EFD9">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13.6  </w:t>
      </w:r>
      <w:r>
        <w:rPr>
          <w:rStyle w:val="122"/>
          <w:rFonts w:hint="eastAsia" w:ascii="Times New Roman" w:hAnsi="Times New Roman"/>
          <w:color w:val="auto"/>
          <w:u w:val="none"/>
        </w:rPr>
        <w:t>矿山法结构防水</w:t>
      </w:r>
      <w:r>
        <w:rPr>
          <w:rFonts w:ascii="Times New Roman" w:hAnsi="Times New Roman"/>
        </w:rPr>
        <w:tab/>
      </w:r>
      <w:r>
        <w:rPr>
          <w:rFonts w:ascii="Times New Roman" w:hAnsi="Times New Roman"/>
        </w:rPr>
        <w:t>504</w:t>
      </w:r>
    </w:p>
    <w:p w14:paraId="02DE4981">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13.7  </w:t>
      </w:r>
      <w:r>
        <w:rPr>
          <w:rStyle w:val="122"/>
          <w:rFonts w:hint="eastAsia" w:ascii="Times New Roman" w:hAnsi="Times New Roman"/>
          <w:color w:val="auto"/>
          <w:u w:val="none"/>
        </w:rPr>
        <w:t>盾构法结构防水</w:t>
      </w:r>
      <w:r>
        <w:rPr>
          <w:rFonts w:ascii="Times New Roman" w:hAnsi="Times New Roman"/>
        </w:rPr>
        <w:tab/>
      </w:r>
      <w:r>
        <w:rPr>
          <w:rFonts w:ascii="Times New Roman" w:hAnsi="Times New Roman"/>
        </w:rPr>
        <w:t>506</w:t>
      </w:r>
    </w:p>
    <w:p w14:paraId="24B67C08">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13.8  </w:t>
      </w:r>
      <w:r>
        <w:rPr>
          <w:rStyle w:val="122"/>
          <w:rFonts w:hint="eastAsia" w:ascii="Times New Roman" w:hAnsi="Times New Roman"/>
          <w:color w:val="auto"/>
          <w:u w:val="none"/>
        </w:rPr>
        <w:t>细部构造防水</w:t>
      </w:r>
      <w:r>
        <w:rPr>
          <w:rFonts w:ascii="Times New Roman" w:hAnsi="Times New Roman"/>
        </w:rPr>
        <w:tab/>
      </w:r>
      <w:r>
        <w:rPr>
          <w:rFonts w:ascii="Times New Roman" w:hAnsi="Times New Roman"/>
        </w:rPr>
        <w:t>507</w:t>
      </w:r>
    </w:p>
    <w:p w14:paraId="07C11228">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14  </w:t>
      </w:r>
      <w:r>
        <w:rPr>
          <w:rStyle w:val="122"/>
          <w:rFonts w:hint="eastAsia" w:ascii="Times New Roman" w:hAnsi="Times New Roman"/>
          <w:b w:val="0"/>
          <w:i w:val="0"/>
          <w:color w:val="auto"/>
          <w:u w:val="none"/>
        </w:rPr>
        <w:t>通风、空调与供暖</w:t>
      </w:r>
      <w:r>
        <w:rPr>
          <w:rFonts w:ascii="Times New Roman" w:hAnsi="Times New Roman"/>
          <w:b w:val="0"/>
          <w:i w:val="0"/>
        </w:rPr>
        <w:tab/>
      </w:r>
      <w:r>
        <w:rPr>
          <w:rFonts w:ascii="Times New Roman" w:hAnsi="Times New Roman"/>
          <w:b w:val="0"/>
          <w:i w:val="0"/>
        </w:rPr>
        <w:t>512</w:t>
      </w:r>
    </w:p>
    <w:p w14:paraId="14E24B72">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14.1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512</w:t>
      </w:r>
    </w:p>
    <w:p w14:paraId="48750FC2">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14.2  </w:t>
      </w:r>
      <w:r>
        <w:rPr>
          <w:rStyle w:val="122"/>
          <w:rFonts w:hint="eastAsia" w:ascii="Times New Roman" w:hAnsi="Times New Roman"/>
          <w:color w:val="auto"/>
          <w:u w:val="none"/>
        </w:rPr>
        <w:t>地下线通风、空调与供暖</w:t>
      </w:r>
      <w:r>
        <w:rPr>
          <w:rFonts w:ascii="Times New Roman" w:hAnsi="Times New Roman"/>
        </w:rPr>
        <w:tab/>
      </w:r>
      <w:r>
        <w:rPr>
          <w:rFonts w:ascii="Times New Roman" w:hAnsi="Times New Roman"/>
        </w:rPr>
        <w:t>513</w:t>
      </w:r>
    </w:p>
    <w:p w14:paraId="4DEA59EC">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14.3  </w:t>
      </w:r>
      <w:r>
        <w:rPr>
          <w:rStyle w:val="122"/>
          <w:rFonts w:hint="eastAsia" w:ascii="Times New Roman" w:hAnsi="Times New Roman"/>
          <w:color w:val="auto"/>
          <w:u w:val="none"/>
        </w:rPr>
        <w:t>高架、地面线通风、空调与供暖</w:t>
      </w:r>
      <w:r>
        <w:rPr>
          <w:rFonts w:ascii="Times New Roman" w:hAnsi="Times New Roman"/>
        </w:rPr>
        <w:tab/>
      </w:r>
      <w:r>
        <w:rPr>
          <w:rFonts w:ascii="Times New Roman" w:hAnsi="Times New Roman"/>
        </w:rPr>
        <w:t>519</w:t>
      </w:r>
    </w:p>
    <w:p w14:paraId="32888169">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14.4  </w:t>
      </w:r>
      <w:r>
        <w:rPr>
          <w:rStyle w:val="122"/>
          <w:rFonts w:hint="eastAsia" w:ascii="Times New Roman" w:hAnsi="Times New Roman"/>
          <w:color w:val="auto"/>
          <w:u w:val="none"/>
        </w:rPr>
        <w:t>车辆综合基地、控制中心通风、空调与供暖</w:t>
      </w:r>
      <w:r>
        <w:rPr>
          <w:rFonts w:ascii="Times New Roman" w:hAnsi="Times New Roman"/>
        </w:rPr>
        <w:tab/>
      </w:r>
      <w:r>
        <w:rPr>
          <w:rFonts w:ascii="Times New Roman" w:hAnsi="Times New Roman"/>
        </w:rPr>
        <w:t>521</w:t>
      </w:r>
    </w:p>
    <w:p w14:paraId="39D96858">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15  </w:t>
      </w:r>
      <w:r>
        <w:rPr>
          <w:rStyle w:val="122"/>
          <w:rFonts w:hint="eastAsia" w:ascii="Times New Roman" w:hAnsi="Times New Roman"/>
          <w:b w:val="0"/>
          <w:i w:val="0"/>
          <w:color w:val="auto"/>
          <w:u w:val="none"/>
        </w:rPr>
        <w:t>给水与排水</w:t>
      </w:r>
      <w:r>
        <w:rPr>
          <w:rFonts w:ascii="Times New Roman" w:hAnsi="Times New Roman"/>
          <w:b w:val="0"/>
          <w:i w:val="0"/>
        </w:rPr>
        <w:tab/>
      </w:r>
      <w:r>
        <w:rPr>
          <w:rFonts w:ascii="Times New Roman" w:hAnsi="Times New Roman"/>
          <w:b w:val="0"/>
          <w:i w:val="0"/>
        </w:rPr>
        <w:t>523</w:t>
      </w:r>
    </w:p>
    <w:p w14:paraId="6484D195">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15.1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523</w:t>
      </w:r>
    </w:p>
    <w:p w14:paraId="56692442">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15.2  </w:t>
      </w:r>
      <w:r>
        <w:rPr>
          <w:rStyle w:val="122"/>
          <w:rFonts w:hint="eastAsia" w:ascii="Times New Roman" w:hAnsi="Times New Roman"/>
          <w:color w:val="auto"/>
          <w:u w:val="none"/>
        </w:rPr>
        <w:t>车站与区间给水</w:t>
      </w:r>
      <w:r>
        <w:rPr>
          <w:rFonts w:ascii="Times New Roman" w:hAnsi="Times New Roman"/>
        </w:rPr>
        <w:tab/>
      </w:r>
      <w:r>
        <w:rPr>
          <w:rFonts w:ascii="Times New Roman" w:hAnsi="Times New Roman"/>
        </w:rPr>
        <w:t>525</w:t>
      </w:r>
    </w:p>
    <w:p w14:paraId="1AA0DDBB">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15.3  </w:t>
      </w:r>
      <w:r>
        <w:rPr>
          <w:rStyle w:val="122"/>
          <w:rFonts w:hint="eastAsia" w:ascii="Times New Roman" w:hAnsi="Times New Roman"/>
          <w:color w:val="auto"/>
          <w:u w:val="none"/>
        </w:rPr>
        <w:t>车站与区间排水</w:t>
      </w:r>
      <w:r>
        <w:rPr>
          <w:rFonts w:ascii="Times New Roman" w:hAnsi="Times New Roman"/>
        </w:rPr>
        <w:tab/>
      </w:r>
      <w:r>
        <w:rPr>
          <w:rFonts w:ascii="Times New Roman" w:hAnsi="Times New Roman"/>
        </w:rPr>
        <w:t>526</w:t>
      </w:r>
    </w:p>
    <w:p w14:paraId="28671C09">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15.4  </w:t>
      </w:r>
      <w:r>
        <w:rPr>
          <w:rStyle w:val="122"/>
          <w:rFonts w:hint="eastAsia" w:ascii="Times New Roman" w:hAnsi="Times New Roman"/>
          <w:color w:val="auto"/>
          <w:u w:val="none"/>
        </w:rPr>
        <w:t>车辆基地给水与排水</w:t>
      </w:r>
      <w:r>
        <w:rPr>
          <w:rFonts w:ascii="Times New Roman" w:hAnsi="Times New Roman"/>
        </w:rPr>
        <w:tab/>
      </w:r>
      <w:r>
        <w:rPr>
          <w:rFonts w:ascii="Times New Roman" w:hAnsi="Times New Roman"/>
        </w:rPr>
        <w:t>530</w:t>
      </w:r>
    </w:p>
    <w:p w14:paraId="16AB5B97">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16  </w:t>
      </w:r>
      <w:r>
        <w:rPr>
          <w:rStyle w:val="122"/>
          <w:rFonts w:hint="eastAsia" w:ascii="Times New Roman" w:hAnsi="Times New Roman"/>
          <w:b w:val="0"/>
          <w:i w:val="0"/>
          <w:color w:val="auto"/>
          <w:u w:val="none"/>
        </w:rPr>
        <w:t>供</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电</w:t>
      </w:r>
      <w:r>
        <w:rPr>
          <w:rFonts w:ascii="Times New Roman" w:hAnsi="Times New Roman"/>
          <w:b w:val="0"/>
          <w:i w:val="0"/>
        </w:rPr>
        <w:tab/>
      </w:r>
      <w:r>
        <w:rPr>
          <w:rFonts w:ascii="Times New Roman" w:hAnsi="Times New Roman"/>
          <w:b w:val="0"/>
          <w:i w:val="0"/>
        </w:rPr>
        <w:t>532</w:t>
      </w:r>
    </w:p>
    <w:p w14:paraId="46E56CEC">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16.1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532</w:t>
      </w:r>
    </w:p>
    <w:p w14:paraId="6A9074FF">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16.2  </w:t>
      </w:r>
      <w:r>
        <w:rPr>
          <w:rStyle w:val="122"/>
          <w:rFonts w:hint="eastAsia" w:ascii="Times New Roman" w:hAnsi="Times New Roman"/>
          <w:color w:val="auto"/>
          <w:u w:val="none"/>
        </w:rPr>
        <w:t>牵引供电系统</w:t>
      </w:r>
      <w:r>
        <w:rPr>
          <w:rFonts w:ascii="Times New Roman" w:hAnsi="Times New Roman"/>
        </w:rPr>
        <w:tab/>
      </w:r>
      <w:r>
        <w:rPr>
          <w:rFonts w:ascii="Times New Roman" w:hAnsi="Times New Roman"/>
        </w:rPr>
        <w:t>534</w:t>
      </w:r>
    </w:p>
    <w:p w14:paraId="42E53D9E">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16.3  </w:t>
      </w:r>
      <w:r>
        <w:rPr>
          <w:rStyle w:val="122"/>
          <w:rFonts w:hint="eastAsia" w:ascii="Times New Roman" w:hAnsi="Times New Roman"/>
          <w:color w:val="auto"/>
          <w:u w:val="none"/>
        </w:rPr>
        <w:t>外电源与中压网络</w:t>
      </w:r>
      <w:r>
        <w:rPr>
          <w:rFonts w:ascii="Times New Roman" w:hAnsi="Times New Roman"/>
        </w:rPr>
        <w:tab/>
      </w:r>
      <w:r>
        <w:rPr>
          <w:rFonts w:ascii="Times New Roman" w:hAnsi="Times New Roman"/>
        </w:rPr>
        <w:t>534</w:t>
      </w:r>
    </w:p>
    <w:p w14:paraId="6F79AE36">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16.4  </w:t>
      </w:r>
      <w:r>
        <w:rPr>
          <w:rStyle w:val="122"/>
          <w:rFonts w:hint="eastAsia" w:ascii="Times New Roman" w:hAnsi="Times New Roman"/>
          <w:color w:val="auto"/>
          <w:u w:val="none"/>
        </w:rPr>
        <w:t>变</w:t>
      </w:r>
      <w:r>
        <w:rPr>
          <w:rStyle w:val="122"/>
          <w:rFonts w:ascii="Times New Roman" w:hAnsi="Times New Roman"/>
          <w:color w:val="auto"/>
          <w:u w:val="none"/>
        </w:rPr>
        <w:t xml:space="preserve">  </w:t>
      </w:r>
      <w:r>
        <w:rPr>
          <w:rStyle w:val="122"/>
          <w:rFonts w:hint="eastAsia" w:ascii="Times New Roman" w:hAnsi="Times New Roman"/>
          <w:color w:val="auto"/>
          <w:u w:val="none"/>
        </w:rPr>
        <w:t>电</w:t>
      </w:r>
      <w:r>
        <w:rPr>
          <w:rStyle w:val="122"/>
          <w:rFonts w:ascii="Times New Roman" w:hAnsi="Times New Roman"/>
          <w:color w:val="auto"/>
          <w:u w:val="none"/>
        </w:rPr>
        <w:t xml:space="preserve">  </w:t>
      </w:r>
      <w:r>
        <w:rPr>
          <w:rStyle w:val="122"/>
          <w:rFonts w:hint="eastAsia" w:ascii="Times New Roman" w:hAnsi="Times New Roman"/>
          <w:color w:val="auto"/>
          <w:u w:val="none"/>
        </w:rPr>
        <w:t>所</w:t>
      </w:r>
      <w:r>
        <w:rPr>
          <w:rFonts w:ascii="Times New Roman" w:hAnsi="Times New Roman"/>
        </w:rPr>
        <w:tab/>
      </w:r>
      <w:r>
        <w:rPr>
          <w:rFonts w:ascii="Times New Roman" w:hAnsi="Times New Roman"/>
        </w:rPr>
        <w:t>536</w:t>
      </w:r>
    </w:p>
    <w:p w14:paraId="2A1D4953">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16.5  </w:t>
      </w:r>
      <w:r>
        <w:rPr>
          <w:rStyle w:val="122"/>
          <w:rFonts w:hint="eastAsia" w:ascii="Times New Roman" w:hAnsi="Times New Roman"/>
          <w:color w:val="auto"/>
          <w:u w:val="none"/>
        </w:rPr>
        <w:t>牵</w:t>
      </w:r>
      <w:r>
        <w:rPr>
          <w:rStyle w:val="122"/>
          <w:rFonts w:ascii="Times New Roman" w:hAnsi="Times New Roman"/>
          <w:color w:val="auto"/>
          <w:u w:val="none"/>
        </w:rPr>
        <w:t xml:space="preserve">  </w:t>
      </w:r>
      <w:r>
        <w:rPr>
          <w:rStyle w:val="122"/>
          <w:rFonts w:hint="eastAsia" w:ascii="Times New Roman" w:hAnsi="Times New Roman"/>
          <w:color w:val="auto"/>
          <w:u w:val="none"/>
        </w:rPr>
        <w:t>引</w:t>
      </w:r>
      <w:r>
        <w:rPr>
          <w:rStyle w:val="122"/>
          <w:rFonts w:ascii="Times New Roman" w:hAnsi="Times New Roman"/>
          <w:color w:val="auto"/>
          <w:u w:val="none"/>
        </w:rPr>
        <w:t xml:space="preserve">  </w:t>
      </w:r>
      <w:r>
        <w:rPr>
          <w:rStyle w:val="122"/>
          <w:rFonts w:hint="eastAsia" w:ascii="Times New Roman" w:hAnsi="Times New Roman"/>
          <w:color w:val="auto"/>
          <w:u w:val="none"/>
        </w:rPr>
        <w:t>网</w:t>
      </w:r>
      <w:r>
        <w:rPr>
          <w:rFonts w:ascii="Times New Roman" w:hAnsi="Times New Roman"/>
        </w:rPr>
        <w:tab/>
      </w:r>
      <w:r>
        <w:rPr>
          <w:rFonts w:ascii="Times New Roman" w:hAnsi="Times New Roman"/>
        </w:rPr>
        <w:t>537</w:t>
      </w:r>
    </w:p>
    <w:p w14:paraId="4092CACC">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16.6  </w:t>
      </w:r>
      <w:r>
        <w:rPr>
          <w:rStyle w:val="122"/>
          <w:rFonts w:hint="eastAsia" w:ascii="Times New Roman" w:hAnsi="Times New Roman"/>
          <w:color w:val="auto"/>
          <w:u w:val="none"/>
        </w:rPr>
        <w:t>继电保护、测量及自动装置</w:t>
      </w:r>
      <w:r>
        <w:rPr>
          <w:rFonts w:ascii="Times New Roman" w:hAnsi="Times New Roman"/>
        </w:rPr>
        <w:tab/>
      </w:r>
      <w:r>
        <w:rPr>
          <w:rFonts w:ascii="Times New Roman" w:hAnsi="Times New Roman"/>
        </w:rPr>
        <w:t>541</w:t>
      </w:r>
    </w:p>
    <w:p w14:paraId="5A7ABF30">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16.7  </w:t>
      </w:r>
      <w:r>
        <w:rPr>
          <w:rStyle w:val="122"/>
          <w:rFonts w:hint="eastAsia" w:ascii="Times New Roman" w:hAnsi="Times New Roman"/>
          <w:color w:val="auto"/>
          <w:u w:val="none"/>
        </w:rPr>
        <w:t>电力监控系统及供电智能运维系统</w:t>
      </w:r>
      <w:r>
        <w:rPr>
          <w:rFonts w:ascii="Times New Roman" w:hAnsi="Times New Roman"/>
        </w:rPr>
        <w:tab/>
      </w:r>
      <w:r>
        <w:rPr>
          <w:rFonts w:ascii="Times New Roman" w:hAnsi="Times New Roman"/>
        </w:rPr>
        <w:t>542</w:t>
      </w:r>
    </w:p>
    <w:p w14:paraId="32056E6D">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16.9  </w:t>
      </w:r>
      <w:r>
        <w:rPr>
          <w:rStyle w:val="122"/>
          <w:rFonts w:hint="eastAsia" w:ascii="Times New Roman" w:hAnsi="Times New Roman"/>
          <w:color w:val="auto"/>
          <w:u w:val="none"/>
        </w:rPr>
        <w:t>供配电线路敷设</w:t>
      </w:r>
      <w:r>
        <w:rPr>
          <w:rFonts w:ascii="Times New Roman" w:hAnsi="Times New Roman"/>
        </w:rPr>
        <w:tab/>
      </w:r>
      <w:r>
        <w:rPr>
          <w:rFonts w:ascii="Times New Roman" w:hAnsi="Times New Roman"/>
        </w:rPr>
        <w:t>542</w:t>
      </w:r>
    </w:p>
    <w:p w14:paraId="156A2B36">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16.10  </w:t>
      </w:r>
      <w:r>
        <w:rPr>
          <w:rStyle w:val="122"/>
          <w:rFonts w:hint="eastAsia" w:ascii="Times New Roman" w:hAnsi="Times New Roman"/>
          <w:color w:val="auto"/>
          <w:u w:val="none"/>
        </w:rPr>
        <w:t>杂散电流腐蚀防护、接地与电磁干扰防护</w:t>
      </w:r>
      <w:r>
        <w:rPr>
          <w:rFonts w:ascii="Times New Roman" w:hAnsi="Times New Roman"/>
        </w:rPr>
        <w:tab/>
      </w:r>
      <w:r>
        <w:rPr>
          <w:rFonts w:ascii="Times New Roman" w:hAnsi="Times New Roman"/>
        </w:rPr>
        <w:t>543</w:t>
      </w:r>
    </w:p>
    <w:p w14:paraId="25086167">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17  </w:t>
      </w:r>
      <w:r>
        <w:rPr>
          <w:rStyle w:val="122"/>
          <w:rFonts w:hint="eastAsia" w:ascii="Times New Roman" w:hAnsi="Times New Roman"/>
          <w:b w:val="0"/>
          <w:i w:val="0"/>
          <w:color w:val="auto"/>
          <w:u w:val="none"/>
        </w:rPr>
        <w:t>通</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信</w:t>
      </w:r>
      <w:r>
        <w:rPr>
          <w:rFonts w:ascii="Times New Roman" w:hAnsi="Times New Roman"/>
          <w:b w:val="0"/>
          <w:i w:val="0"/>
        </w:rPr>
        <w:tab/>
      </w:r>
      <w:r>
        <w:rPr>
          <w:rFonts w:ascii="Times New Roman" w:hAnsi="Times New Roman"/>
          <w:b w:val="0"/>
          <w:i w:val="0"/>
        </w:rPr>
        <w:t>547</w:t>
      </w:r>
    </w:p>
    <w:p w14:paraId="4D8D7B64">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17.1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547</w:t>
      </w:r>
    </w:p>
    <w:p w14:paraId="47C39667">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17.2  </w:t>
      </w:r>
      <w:r>
        <w:rPr>
          <w:rStyle w:val="122"/>
          <w:rFonts w:hint="eastAsia" w:ascii="Times New Roman" w:hAnsi="Times New Roman"/>
          <w:color w:val="auto"/>
          <w:u w:val="none"/>
        </w:rPr>
        <w:t>专用通信系统</w:t>
      </w:r>
      <w:r>
        <w:rPr>
          <w:rFonts w:ascii="Times New Roman" w:hAnsi="Times New Roman"/>
        </w:rPr>
        <w:tab/>
      </w:r>
      <w:r>
        <w:rPr>
          <w:rFonts w:ascii="Times New Roman" w:hAnsi="Times New Roman"/>
        </w:rPr>
        <w:t>548</w:t>
      </w:r>
    </w:p>
    <w:p w14:paraId="356DB68D">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17.3  </w:t>
      </w:r>
      <w:r>
        <w:rPr>
          <w:rStyle w:val="122"/>
          <w:rFonts w:hint="eastAsia" w:ascii="Times New Roman" w:hAnsi="Times New Roman"/>
          <w:color w:val="auto"/>
          <w:u w:val="none"/>
        </w:rPr>
        <w:t>公安通信系统</w:t>
      </w:r>
      <w:r>
        <w:rPr>
          <w:rFonts w:ascii="Times New Roman" w:hAnsi="Times New Roman"/>
        </w:rPr>
        <w:tab/>
      </w:r>
      <w:r>
        <w:rPr>
          <w:rFonts w:ascii="Times New Roman" w:hAnsi="Times New Roman"/>
        </w:rPr>
        <w:t>555</w:t>
      </w:r>
    </w:p>
    <w:p w14:paraId="4D00FD7D">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17.4  </w:t>
      </w:r>
      <w:r>
        <w:rPr>
          <w:rStyle w:val="122"/>
          <w:rFonts w:hint="eastAsia" w:ascii="Times New Roman" w:hAnsi="Times New Roman"/>
          <w:color w:val="auto"/>
          <w:u w:val="none"/>
        </w:rPr>
        <w:t>政务通信系统</w:t>
      </w:r>
      <w:r>
        <w:rPr>
          <w:rFonts w:ascii="Times New Roman" w:hAnsi="Times New Roman"/>
        </w:rPr>
        <w:tab/>
      </w:r>
      <w:r>
        <w:rPr>
          <w:rFonts w:ascii="Times New Roman" w:hAnsi="Times New Roman"/>
        </w:rPr>
        <w:t>555</w:t>
      </w:r>
    </w:p>
    <w:p w14:paraId="3A097C14">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17.5  </w:t>
      </w:r>
      <w:r>
        <w:rPr>
          <w:rStyle w:val="122"/>
          <w:rFonts w:hint="eastAsia" w:ascii="Times New Roman" w:hAnsi="Times New Roman"/>
          <w:color w:val="auto"/>
          <w:u w:val="none"/>
        </w:rPr>
        <w:t>民用通信系统</w:t>
      </w:r>
      <w:r>
        <w:rPr>
          <w:rFonts w:ascii="Times New Roman" w:hAnsi="Times New Roman"/>
        </w:rPr>
        <w:tab/>
      </w:r>
      <w:r>
        <w:rPr>
          <w:rFonts w:ascii="Times New Roman" w:hAnsi="Times New Roman"/>
        </w:rPr>
        <w:t>555</w:t>
      </w:r>
    </w:p>
    <w:p w14:paraId="18E9D2AD">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17.6  </w:t>
      </w:r>
      <w:r>
        <w:rPr>
          <w:rStyle w:val="122"/>
          <w:rFonts w:hint="eastAsia" w:ascii="Times New Roman" w:hAnsi="Times New Roman"/>
          <w:color w:val="auto"/>
          <w:u w:val="none"/>
        </w:rPr>
        <w:t>通信系统防雷要求</w:t>
      </w:r>
      <w:r>
        <w:rPr>
          <w:rFonts w:ascii="Times New Roman" w:hAnsi="Times New Roman"/>
        </w:rPr>
        <w:tab/>
      </w:r>
      <w:r>
        <w:rPr>
          <w:rFonts w:ascii="Times New Roman" w:hAnsi="Times New Roman"/>
        </w:rPr>
        <w:t>555</w:t>
      </w:r>
    </w:p>
    <w:p w14:paraId="5D43EE4B">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17.7  </w:t>
      </w:r>
      <w:r>
        <w:rPr>
          <w:rStyle w:val="122"/>
          <w:rFonts w:hint="eastAsia" w:ascii="Times New Roman" w:hAnsi="Times New Roman"/>
          <w:color w:val="auto"/>
          <w:u w:val="none"/>
        </w:rPr>
        <w:t>通信用房要求</w:t>
      </w:r>
      <w:r>
        <w:rPr>
          <w:rFonts w:ascii="Times New Roman" w:hAnsi="Times New Roman"/>
        </w:rPr>
        <w:tab/>
      </w:r>
      <w:r>
        <w:rPr>
          <w:rFonts w:ascii="Times New Roman" w:hAnsi="Times New Roman"/>
        </w:rPr>
        <w:t>556</w:t>
      </w:r>
    </w:p>
    <w:p w14:paraId="12199CF9">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18  </w:t>
      </w:r>
      <w:r>
        <w:rPr>
          <w:rStyle w:val="122"/>
          <w:rFonts w:hint="eastAsia" w:ascii="Times New Roman" w:hAnsi="Times New Roman"/>
          <w:b w:val="0"/>
          <w:i w:val="0"/>
          <w:color w:val="auto"/>
          <w:u w:val="none"/>
        </w:rPr>
        <w:t>信</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号</w:t>
      </w:r>
      <w:r>
        <w:rPr>
          <w:rFonts w:ascii="Times New Roman" w:hAnsi="Times New Roman"/>
          <w:b w:val="0"/>
          <w:i w:val="0"/>
        </w:rPr>
        <w:tab/>
      </w:r>
      <w:r>
        <w:rPr>
          <w:rFonts w:ascii="Times New Roman" w:hAnsi="Times New Roman"/>
          <w:b w:val="0"/>
          <w:i w:val="0"/>
        </w:rPr>
        <w:t>557</w:t>
      </w:r>
    </w:p>
    <w:p w14:paraId="7BA7BB3E">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18.1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557</w:t>
      </w:r>
    </w:p>
    <w:p w14:paraId="6CC741F7">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18.2  </w:t>
      </w:r>
      <w:r>
        <w:rPr>
          <w:rStyle w:val="122"/>
          <w:rFonts w:hint="eastAsia" w:ascii="Times New Roman" w:hAnsi="Times New Roman"/>
          <w:color w:val="auto"/>
          <w:u w:val="none"/>
        </w:rPr>
        <w:t>列车自动监控子系统</w:t>
      </w:r>
      <w:r>
        <w:rPr>
          <w:rFonts w:ascii="Times New Roman" w:hAnsi="Times New Roman"/>
        </w:rPr>
        <w:tab/>
      </w:r>
      <w:r>
        <w:rPr>
          <w:rFonts w:ascii="Times New Roman" w:hAnsi="Times New Roman"/>
        </w:rPr>
        <w:t>559</w:t>
      </w:r>
    </w:p>
    <w:p w14:paraId="333A9818">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18.3  </w:t>
      </w:r>
      <w:r>
        <w:rPr>
          <w:rStyle w:val="122"/>
          <w:rFonts w:hint="eastAsia" w:ascii="Times New Roman" w:hAnsi="Times New Roman"/>
          <w:color w:val="auto"/>
          <w:u w:val="none"/>
        </w:rPr>
        <w:t>列车自动防护子系统</w:t>
      </w:r>
      <w:r>
        <w:rPr>
          <w:rFonts w:ascii="Times New Roman" w:hAnsi="Times New Roman"/>
        </w:rPr>
        <w:tab/>
      </w:r>
      <w:r>
        <w:rPr>
          <w:rFonts w:ascii="Times New Roman" w:hAnsi="Times New Roman"/>
        </w:rPr>
        <w:t>560</w:t>
      </w:r>
    </w:p>
    <w:p w14:paraId="69E991D4">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18.4  </w:t>
      </w:r>
      <w:r>
        <w:rPr>
          <w:rStyle w:val="122"/>
          <w:rFonts w:hint="eastAsia" w:ascii="Times New Roman" w:hAnsi="Times New Roman"/>
          <w:color w:val="auto"/>
          <w:u w:val="none"/>
        </w:rPr>
        <w:t>列车</w:t>
      </w:r>
      <w:r>
        <w:rPr>
          <w:rStyle w:val="122"/>
          <w:rFonts w:hint="eastAsia" w:ascii="Times New Roman" w:hAnsi="Times New Roman"/>
          <w:color w:val="auto"/>
          <w:u w:val="none"/>
          <w:lang w:bidi="ar"/>
        </w:rPr>
        <w:t>自动</w:t>
      </w:r>
      <w:r>
        <w:rPr>
          <w:rStyle w:val="122"/>
          <w:rFonts w:hint="eastAsia" w:ascii="Times New Roman" w:hAnsi="Times New Roman"/>
          <w:color w:val="auto"/>
          <w:u w:val="none"/>
        </w:rPr>
        <w:t>运行子系统</w:t>
      </w:r>
      <w:r>
        <w:rPr>
          <w:rFonts w:ascii="Times New Roman" w:hAnsi="Times New Roman"/>
        </w:rPr>
        <w:tab/>
      </w:r>
      <w:r>
        <w:rPr>
          <w:rFonts w:ascii="Times New Roman" w:hAnsi="Times New Roman"/>
        </w:rPr>
        <w:t>561</w:t>
      </w:r>
    </w:p>
    <w:p w14:paraId="408C6C4D">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18.5  </w:t>
      </w:r>
      <w:r>
        <w:rPr>
          <w:rStyle w:val="122"/>
          <w:rFonts w:hint="eastAsia" w:ascii="Times New Roman" w:hAnsi="Times New Roman"/>
          <w:color w:val="auto"/>
          <w:u w:val="none"/>
          <w:lang w:bidi="ar"/>
        </w:rPr>
        <w:t>计算机</w:t>
      </w:r>
      <w:r>
        <w:rPr>
          <w:rStyle w:val="122"/>
          <w:rFonts w:hint="eastAsia" w:ascii="Times New Roman" w:hAnsi="Times New Roman"/>
          <w:color w:val="auto"/>
          <w:u w:val="none"/>
        </w:rPr>
        <w:t>联锁子系统</w:t>
      </w:r>
      <w:r>
        <w:rPr>
          <w:rFonts w:ascii="Times New Roman" w:hAnsi="Times New Roman"/>
        </w:rPr>
        <w:tab/>
      </w:r>
      <w:r>
        <w:rPr>
          <w:rFonts w:ascii="Times New Roman" w:hAnsi="Times New Roman"/>
        </w:rPr>
        <w:t>562</w:t>
      </w:r>
    </w:p>
    <w:p w14:paraId="66238A3B">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18.6  </w:t>
      </w:r>
      <w:r>
        <w:rPr>
          <w:rStyle w:val="122"/>
          <w:rFonts w:hint="eastAsia" w:ascii="Times New Roman" w:hAnsi="Times New Roman"/>
          <w:color w:val="auto"/>
          <w:u w:val="none"/>
          <w:lang w:bidi="ar"/>
        </w:rPr>
        <w:t>数据</w:t>
      </w:r>
      <w:r>
        <w:rPr>
          <w:rStyle w:val="122"/>
          <w:rFonts w:hint="eastAsia" w:ascii="Times New Roman" w:hAnsi="Times New Roman"/>
          <w:color w:val="auto"/>
          <w:u w:val="none"/>
        </w:rPr>
        <w:t>通信子系统</w:t>
      </w:r>
      <w:r>
        <w:rPr>
          <w:rFonts w:ascii="Times New Roman" w:hAnsi="Times New Roman"/>
        </w:rPr>
        <w:tab/>
      </w:r>
      <w:r>
        <w:rPr>
          <w:rFonts w:ascii="Times New Roman" w:hAnsi="Times New Roman"/>
        </w:rPr>
        <w:t>563</w:t>
      </w:r>
    </w:p>
    <w:p w14:paraId="7C7AE57A">
      <w:pPr>
        <w:pStyle w:val="74"/>
        <w:tabs>
          <w:tab w:val="right" w:leader="dot" w:pos="6114"/>
        </w:tabs>
        <w:rPr>
          <w:rFonts w:ascii="Times New Roman" w:hAnsi="Times New Roman" w:cstheme="minorBidi"/>
          <w:bCs w:val="0"/>
        </w:rPr>
      </w:pPr>
      <w:r>
        <w:rPr>
          <w:rStyle w:val="122"/>
          <w:rFonts w:ascii="Times New Roman" w:hAnsi="Times New Roman"/>
          <w:color w:val="auto"/>
          <w:u w:val="none"/>
          <w:lang w:bidi="ar"/>
        </w:rPr>
        <w:t xml:space="preserve">18.7  </w:t>
      </w:r>
      <w:r>
        <w:rPr>
          <w:rStyle w:val="122"/>
          <w:rFonts w:hint="eastAsia" w:ascii="Times New Roman" w:hAnsi="Times New Roman" w:cs="宋体"/>
          <w:color w:val="auto"/>
          <w:u w:val="none"/>
          <w:lang w:bidi="ar"/>
        </w:rPr>
        <w:t>维护监测子系统</w:t>
      </w:r>
      <w:r>
        <w:rPr>
          <w:rFonts w:ascii="Times New Roman" w:hAnsi="Times New Roman"/>
        </w:rPr>
        <w:tab/>
      </w:r>
      <w:r>
        <w:rPr>
          <w:rFonts w:ascii="Times New Roman" w:hAnsi="Times New Roman"/>
        </w:rPr>
        <w:t>563</w:t>
      </w:r>
    </w:p>
    <w:p w14:paraId="11C276AE">
      <w:pPr>
        <w:pStyle w:val="74"/>
        <w:tabs>
          <w:tab w:val="right" w:leader="dot" w:pos="6114"/>
        </w:tabs>
        <w:rPr>
          <w:rFonts w:ascii="Times New Roman" w:hAnsi="Times New Roman" w:cstheme="minorBidi"/>
          <w:bCs w:val="0"/>
        </w:rPr>
      </w:pPr>
      <w:r>
        <w:rPr>
          <w:rStyle w:val="122"/>
          <w:rFonts w:ascii="Times New Roman" w:hAnsi="Times New Roman"/>
          <w:color w:val="auto"/>
          <w:u w:val="none"/>
          <w:lang w:bidi="ar"/>
        </w:rPr>
        <w:t xml:space="preserve">18.8  </w:t>
      </w:r>
      <w:r>
        <w:rPr>
          <w:rStyle w:val="122"/>
          <w:rFonts w:hint="eastAsia" w:ascii="Times New Roman" w:hAnsi="Times New Roman"/>
          <w:color w:val="auto"/>
          <w:u w:val="none"/>
          <w:lang w:bidi="ar"/>
        </w:rPr>
        <w:t>车辆基地信号系统</w:t>
      </w:r>
      <w:r>
        <w:rPr>
          <w:rFonts w:ascii="Times New Roman" w:hAnsi="Times New Roman"/>
        </w:rPr>
        <w:tab/>
      </w:r>
      <w:r>
        <w:rPr>
          <w:rFonts w:ascii="Times New Roman" w:hAnsi="Times New Roman"/>
        </w:rPr>
        <w:t>563</w:t>
      </w:r>
    </w:p>
    <w:p w14:paraId="6C4FA057">
      <w:pPr>
        <w:pStyle w:val="74"/>
        <w:tabs>
          <w:tab w:val="right" w:leader="dot" w:pos="6114"/>
        </w:tabs>
        <w:rPr>
          <w:rFonts w:ascii="Times New Roman" w:hAnsi="Times New Roman" w:cstheme="minorBidi"/>
          <w:bCs w:val="0"/>
        </w:rPr>
      </w:pPr>
      <w:r>
        <w:rPr>
          <w:rStyle w:val="122"/>
          <w:rFonts w:ascii="Times New Roman" w:hAnsi="Times New Roman"/>
          <w:color w:val="auto"/>
          <w:u w:val="none"/>
          <w:lang w:bidi="ar"/>
        </w:rPr>
        <w:t xml:space="preserve">18.9  </w:t>
      </w:r>
      <w:r>
        <w:rPr>
          <w:rStyle w:val="122"/>
          <w:rFonts w:hint="eastAsia" w:ascii="Times New Roman" w:hAnsi="Times New Roman" w:cs="宋体"/>
          <w:color w:val="auto"/>
          <w:u w:val="none"/>
          <w:lang w:bidi="ar"/>
        </w:rPr>
        <w:t>其</w:t>
      </w:r>
      <w:r>
        <w:rPr>
          <w:rStyle w:val="122"/>
          <w:rFonts w:ascii="Times New Roman" w:hAnsi="Times New Roman"/>
          <w:color w:val="auto"/>
          <w:u w:val="none"/>
          <w:lang w:bidi="ar"/>
        </w:rPr>
        <w:t xml:space="preserve">    </w:t>
      </w:r>
      <w:r>
        <w:rPr>
          <w:rStyle w:val="122"/>
          <w:rFonts w:hint="eastAsia" w:ascii="Times New Roman" w:hAnsi="Times New Roman" w:cs="宋体"/>
          <w:color w:val="auto"/>
          <w:u w:val="none"/>
          <w:lang w:bidi="ar"/>
        </w:rPr>
        <w:t>他</w:t>
      </w:r>
      <w:r>
        <w:rPr>
          <w:rFonts w:ascii="Times New Roman" w:hAnsi="Times New Roman"/>
        </w:rPr>
        <w:tab/>
      </w:r>
      <w:r>
        <w:rPr>
          <w:rFonts w:ascii="Times New Roman" w:hAnsi="Times New Roman"/>
        </w:rPr>
        <w:t>564</w:t>
      </w:r>
    </w:p>
    <w:p w14:paraId="45C70D1C">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19  </w:t>
      </w:r>
      <w:r>
        <w:rPr>
          <w:rStyle w:val="122"/>
          <w:rFonts w:hint="eastAsia" w:ascii="Times New Roman" w:hAnsi="Times New Roman"/>
          <w:b w:val="0"/>
          <w:i w:val="0"/>
          <w:color w:val="auto"/>
          <w:u w:val="none"/>
        </w:rPr>
        <w:t>车站运营设备</w:t>
      </w:r>
      <w:r>
        <w:rPr>
          <w:rFonts w:ascii="Times New Roman" w:hAnsi="Times New Roman"/>
          <w:b w:val="0"/>
          <w:i w:val="0"/>
        </w:rPr>
        <w:tab/>
      </w:r>
      <w:r>
        <w:rPr>
          <w:rFonts w:ascii="Times New Roman" w:hAnsi="Times New Roman"/>
          <w:b w:val="0"/>
          <w:i w:val="0"/>
        </w:rPr>
        <w:t>567</w:t>
      </w:r>
    </w:p>
    <w:p w14:paraId="004ECD68">
      <w:pPr>
        <w:pStyle w:val="74"/>
        <w:tabs>
          <w:tab w:val="right" w:leader="dot" w:pos="6114"/>
        </w:tabs>
        <w:rPr>
          <w:rFonts w:ascii="Times New Roman" w:hAnsi="Times New Roman" w:cstheme="minorBidi"/>
          <w:bCs w:val="0"/>
        </w:rPr>
      </w:pPr>
      <w:r>
        <w:rPr>
          <w:rStyle w:val="122"/>
          <w:rFonts w:ascii="Times New Roman" w:hAnsi="Times New Roman"/>
          <w:color w:val="auto"/>
          <w:u w:val="none"/>
          <w:lang w:bidi="ar"/>
        </w:rPr>
        <w:t xml:space="preserve">19.1  </w:t>
      </w:r>
      <w:r>
        <w:rPr>
          <w:rStyle w:val="122"/>
          <w:rFonts w:hint="eastAsia" w:ascii="Times New Roman" w:hAnsi="Times New Roman"/>
          <w:color w:val="auto"/>
          <w:u w:val="none"/>
          <w:lang w:bidi="ar"/>
        </w:rPr>
        <w:t>站台屏蔽门</w:t>
      </w:r>
      <w:r>
        <w:rPr>
          <w:rFonts w:ascii="Times New Roman" w:hAnsi="Times New Roman"/>
        </w:rPr>
        <w:tab/>
      </w:r>
      <w:r>
        <w:rPr>
          <w:rFonts w:ascii="Times New Roman" w:hAnsi="Times New Roman"/>
        </w:rPr>
        <w:t>567</w:t>
      </w:r>
    </w:p>
    <w:p w14:paraId="6A2AC746">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19.2  </w:t>
      </w:r>
      <w:r>
        <w:rPr>
          <w:rStyle w:val="122"/>
          <w:rFonts w:hint="eastAsia" w:ascii="Times New Roman" w:hAnsi="Times New Roman"/>
          <w:color w:val="auto"/>
          <w:u w:val="none"/>
        </w:rPr>
        <w:t>自动扶梯和自动人行道</w:t>
      </w:r>
      <w:r>
        <w:rPr>
          <w:rFonts w:ascii="Times New Roman" w:hAnsi="Times New Roman"/>
        </w:rPr>
        <w:tab/>
      </w:r>
      <w:r>
        <w:rPr>
          <w:rFonts w:ascii="Times New Roman" w:hAnsi="Times New Roman"/>
        </w:rPr>
        <w:t>570</w:t>
      </w:r>
    </w:p>
    <w:p w14:paraId="062BC6FD">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19.3  </w:t>
      </w:r>
      <w:r>
        <w:rPr>
          <w:rStyle w:val="122"/>
          <w:rFonts w:hint="eastAsia" w:ascii="Times New Roman" w:hAnsi="Times New Roman"/>
          <w:color w:val="auto"/>
          <w:u w:val="none"/>
        </w:rPr>
        <w:t>电梯</w:t>
      </w:r>
      <w:r>
        <w:rPr>
          <w:rFonts w:ascii="Times New Roman" w:hAnsi="Times New Roman"/>
        </w:rPr>
        <w:tab/>
      </w:r>
      <w:r>
        <w:rPr>
          <w:rFonts w:ascii="Times New Roman" w:hAnsi="Times New Roman"/>
        </w:rPr>
        <w:t>571</w:t>
      </w:r>
    </w:p>
    <w:p w14:paraId="587D91C1">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20  </w:t>
      </w:r>
      <w:r>
        <w:rPr>
          <w:rStyle w:val="122"/>
          <w:rFonts w:hint="eastAsia" w:ascii="Times New Roman" w:hAnsi="Times New Roman"/>
          <w:b w:val="0"/>
          <w:i w:val="0"/>
          <w:color w:val="auto"/>
          <w:u w:val="none"/>
        </w:rPr>
        <w:t>综合监控系统</w:t>
      </w:r>
      <w:r>
        <w:rPr>
          <w:rFonts w:ascii="Times New Roman" w:hAnsi="Times New Roman"/>
          <w:b w:val="0"/>
          <w:i w:val="0"/>
        </w:rPr>
        <w:tab/>
      </w:r>
      <w:r>
        <w:rPr>
          <w:rFonts w:ascii="Times New Roman" w:hAnsi="Times New Roman"/>
          <w:b w:val="0"/>
          <w:i w:val="0"/>
        </w:rPr>
        <w:t>572</w:t>
      </w:r>
    </w:p>
    <w:p w14:paraId="644D7BA4">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20.1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572</w:t>
      </w:r>
    </w:p>
    <w:p w14:paraId="0B8D3D50">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20.2  </w:t>
      </w:r>
      <w:r>
        <w:rPr>
          <w:rStyle w:val="122"/>
          <w:rFonts w:hint="eastAsia" w:ascii="Times New Roman" w:hAnsi="Times New Roman"/>
          <w:color w:val="auto"/>
          <w:u w:val="none"/>
        </w:rPr>
        <w:t>系统构成</w:t>
      </w:r>
      <w:r>
        <w:rPr>
          <w:rFonts w:ascii="Times New Roman" w:hAnsi="Times New Roman"/>
        </w:rPr>
        <w:tab/>
      </w:r>
      <w:r>
        <w:rPr>
          <w:rFonts w:ascii="Times New Roman" w:hAnsi="Times New Roman"/>
        </w:rPr>
        <w:t>572</w:t>
      </w:r>
    </w:p>
    <w:p w14:paraId="4475EDC5">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20.8  </w:t>
      </w:r>
      <w:r>
        <w:rPr>
          <w:rStyle w:val="122"/>
          <w:rFonts w:hint="eastAsia" w:ascii="Times New Roman" w:hAnsi="Times New Roman"/>
          <w:color w:val="auto"/>
          <w:u w:val="none"/>
        </w:rPr>
        <w:t>系统性能</w:t>
      </w:r>
      <w:r>
        <w:rPr>
          <w:rFonts w:ascii="Times New Roman" w:hAnsi="Times New Roman"/>
        </w:rPr>
        <w:tab/>
      </w:r>
      <w:r>
        <w:rPr>
          <w:rFonts w:ascii="Times New Roman" w:hAnsi="Times New Roman"/>
        </w:rPr>
        <w:t>572</w:t>
      </w:r>
    </w:p>
    <w:p w14:paraId="7B2F71E2">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21  </w:t>
      </w:r>
      <w:r>
        <w:rPr>
          <w:rStyle w:val="122"/>
          <w:rFonts w:hint="eastAsia" w:ascii="Times New Roman" w:hAnsi="Times New Roman"/>
          <w:b w:val="0"/>
          <w:i w:val="0"/>
          <w:color w:val="auto"/>
          <w:u w:val="none"/>
        </w:rPr>
        <w:t>环境与设备监控系统</w:t>
      </w:r>
      <w:r>
        <w:rPr>
          <w:rFonts w:ascii="Times New Roman" w:hAnsi="Times New Roman"/>
          <w:b w:val="0"/>
          <w:i w:val="0"/>
        </w:rPr>
        <w:tab/>
      </w:r>
      <w:r>
        <w:rPr>
          <w:rFonts w:ascii="Times New Roman" w:hAnsi="Times New Roman"/>
          <w:b w:val="0"/>
          <w:i w:val="0"/>
        </w:rPr>
        <w:t>574</w:t>
      </w:r>
    </w:p>
    <w:p w14:paraId="6630EAB4">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21.1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574</w:t>
      </w:r>
    </w:p>
    <w:p w14:paraId="7DA8E21D">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21.7  </w:t>
      </w:r>
      <w:r>
        <w:rPr>
          <w:rStyle w:val="122"/>
          <w:rFonts w:hint="eastAsia" w:ascii="Times New Roman" w:hAnsi="Times New Roman"/>
          <w:color w:val="auto"/>
          <w:u w:val="none"/>
        </w:rPr>
        <w:t>布线</w:t>
      </w:r>
      <w:r>
        <w:rPr>
          <w:rFonts w:ascii="Times New Roman" w:hAnsi="Times New Roman"/>
        </w:rPr>
        <w:tab/>
      </w:r>
      <w:r>
        <w:rPr>
          <w:rFonts w:ascii="Times New Roman" w:hAnsi="Times New Roman"/>
        </w:rPr>
        <w:t>574</w:t>
      </w:r>
    </w:p>
    <w:p w14:paraId="52F773DC">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22  </w:t>
      </w:r>
      <w:r>
        <w:rPr>
          <w:rStyle w:val="122"/>
          <w:rFonts w:hint="eastAsia" w:ascii="Times New Roman" w:hAnsi="Times New Roman"/>
          <w:b w:val="0"/>
          <w:i w:val="0"/>
          <w:color w:val="auto"/>
          <w:u w:val="none"/>
        </w:rPr>
        <w:t>火灾自动报警系统</w:t>
      </w:r>
      <w:r>
        <w:rPr>
          <w:rFonts w:ascii="Times New Roman" w:hAnsi="Times New Roman"/>
          <w:b w:val="0"/>
          <w:i w:val="0"/>
        </w:rPr>
        <w:tab/>
      </w:r>
      <w:r>
        <w:rPr>
          <w:rFonts w:ascii="Times New Roman" w:hAnsi="Times New Roman"/>
          <w:b w:val="0"/>
          <w:i w:val="0"/>
        </w:rPr>
        <w:t>576</w:t>
      </w:r>
    </w:p>
    <w:p w14:paraId="7A24AC8A">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22.1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576</w:t>
      </w:r>
    </w:p>
    <w:p w14:paraId="6BFC205E">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22.3  </w:t>
      </w:r>
      <w:r>
        <w:rPr>
          <w:rStyle w:val="122"/>
          <w:rFonts w:hint="eastAsia" w:ascii="Times New Roman" w:hAnsi="Times New Roman"/>
          <w:color w:val="auto"/>
          <w:u w:val="none"/>
        </w:rPr>
        <w:t>系统功能</w:t>
      </w:r>
      <w:r>
        <w:rPr>
          <w:rFonts w:ascii="Times New Roman" w:hAnsi="Times New Roman"/>
        </w:rPr>
        <w:tab/>
      </w:r>
      <w:r>
        <w:rPr>
          <w:rFonts w:ascii="Times New Roman" w:hAnsi="Times New Roman"/>
        </w:rPr>
        <w:t>576</w:t>
      </w:r>
    </w:p>
    <w:p w14:paraId="4272A844">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22.6  </w:t>
      </w:r>
      <w:r>
        <w:rPr>
          <w:rStyle w:val="122"/>
          <w:rFonts w:hint="eastAsia" w:ascii="Times New Roman" w:hAnsi="Times New Roman"/>
          <w:color w:val="auto"/>
          <w:u w:val="none"/>
        </w:rPr>
        <w:t>消防控制室</w:t>
      </w:r>
      <w:r>
        <w:rPr>
          <w:rFonts w:ascii="Times New Roman" w:hAnsi="Times New Roman"/>
        </w:rPr>
        <w:tab/>
      </w:r>
      <w:r>
        <w:rPr>
          <w:rFonts w:ascii="Times New Roman" w:hAnsi="Times New Roman"/>
        </w:rPr>
        <w:t>576</w:t>
      </w:r>
    </w:p>
    <w:p w14:paraId="43AE04C1">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22.9  </w:t>
      </w:r>
      <w:r>
        <w:rPr>
          <w:rStyle w:val="122"/>
          <w:rFonts w:hint="eastAsia" w:ascii="Times New Roman" w:hAnsi="Times New Roman"/>
          <w:color w:val="auto"/>
          <w:u w:val="none"/>
        </w:rPr>
        <w:t>布线</w:t>
      </w:r>
      <w:r>
        <w:rPr>
          <w:rFonts w:ascii="Times New Roman" w:hAnsi="Times New Roman"/>
        </w:rPr>
        <w:tab/>
      </w:r>
      <w:r>
        <w:rPr>
          <w:rFonts w:ascii="Times New Roman" w:hAnsi="Times New Roman"/>
        </w:rPr>
        <w:t>577</w:t>
      </w:r>
    </w:p>
    <w:p w14:paraId="05F947F8">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23  </w:t>
      </w:r>
      <w:r>
        <w:rPr>
          <w:rStyle w:val="122"/>
          <w:rFonts w:hint="eastAsia" w:ascii="Times New Roman" w:hAnsi="Times New Roman"/>
          <w:b w:val="0"/>
          <w:i w:val="0"/>
          <w:color w:val="auto"/>
          <w:u w:val="none"/>
        </w:rPr>
        <w:t>乘客信息</w:t>
      </w:r>
      <w:r>
        <w:rPr>
          <w:rFonts w:ascii="Times New Roman" w:hAnsi="Times New Roman"/>
          <w:b w:val="0"/>
          <w:i w:val="0"/>
        </w:rPr>
        <w:tab/>
      </w:r>
      <w:r>
        <w:rPr>
          <w:rFonts w:ascii="Times New Roman" w:hAnsi="Times New Roman"/>
          <w:b w:val="0"/>
          <w:i w:val="0"/>
        </w:rPr>
        <w:t>578</w:t>
      </w:r>
    </w:p>
    <w:p w14:paraId="474A9F21">
      <w:pPr>
        <w:pStyle w:val="74"/>
        <w:tabs>
          <w:tab w:val="right" w:leader="dot" w:pos="6114"/>
        </w:tabs>
        <w:rPr>
          <w:rFonts w:ascii="Times New Roman" w:hAnsi="Times New Roman" w:cstheme="minorBidi"/>
          <w:bCs w:val="0"/>
        </w:rPr>
      </w:pPr>
      <w:r>
        <w:rPr>
          <w:rStyle w:val="122"/>
          <w:rFonts w:ascii="Times New Roman" w:hAnsi="Times New Roman"/>
          <w:color w:val="auto"/>
          <w:u w:val="none"/>
          <w:lang w:bidi="ar"/>
        </w:rPr>
        <w:t xml:space="preserve">23.1  </w:t>
      </w:r>
      <w:r>
        <w:rPr>
          <w:rStyle w:val="122"/>
          <w:rFonts w:hint="eastAsia" w:ascii="Times New Roman" w:hAnsi="Times New Roman"/>
          <w:color w:val="auto"/>
          <w:u w:val="none"/>
          <w:lang w:bidi="ar"/>
        </w:rPr>
        <w:t>一般规定</w:t>
      </w:r>
      <w:r>
        <w:rPr>
          <w:rFonts w:ascii="Times New Roman" w:hAnsi="Times New Roman"/>
        </w:rPr>
        <w:tab/>
      </w:r>
      <w:r>
        <w:rPr>
          <w:rFonts w:ascii="Times New Roman" w:hAnsi="Times New Roman"/>
        </w:rPr>
        <w:t>578</w:t>
      </w:r>
    </w:p>
    <w:p w14:paraId="14C78B02">
      <w:pPr>
        <w:pStyle w:val="74"/>
        <w:tabs>
          <w:tab w:val="right" w:leader="dot" w:pos="6114"/>
        </w:tabs>
        <w:rPr>
          <w:rFonts w:ascii="Times New Roman" w:hAnsi="Times New Roman" w:cstheme="minorBidi"/>
          <w:bCs w:val="0"/>
        </w:rPr>
      </w:pPr>
      <w:r>
        <w:rPr>
          <w:rStyle w:val="122"/>
          <w:rFonts w:ascii="Times New Roman" w:hAnsi="Times New Roman"/>
          <w:color w:val="auto"/>
          <w:u w:val="none"/>
          <w:lang w:bidi="ar"/>
        </w:rPr>
        <w:t xml:space="preserve">20.2  </w:t>
      </w:r>
      <w:r>
        <w:rPr>
          <w:rStyle w:val="122"/>
          <w:rFonts w:hint="eastAsia" w:ascii="Times New Roman" w:hAnsi="Times New Roman"/>
          <w:color w:val="auto"/>
          <w:u w:val="none"/>
          <w:lang w:bidi="ar"/>
        </w:rPr>
        <w:t>系统构成</w:t>
      </w:r>
      <w:r>
        <w:rPr>
          <w:rFonts w:ascii="Times New Roman" w:hAnsi="Times New Roman"/>
        </w:rPr>
        <w:tab/>
      </w:r>
      <w:r>
        <w:rPr>
          <w:rFonts w:ascii="Times New Roman" w:hAnsi="Times New Roman"/>
        </w:rPr>
        <w:t>578</w:t>
      </w:r>
    </w:p>
    <w:p w14:paraId="462C9348">
      <w:pPr>
        <w:pStyle w:val="74"/>
        <w:tabs>
          <w:tab w:val="right" w:leader="dot" w:pos="6114"/>
        </w:tabs>
        <w:rPr>
          <w:rFonts w:ascii="Times New Roman" w:hAnsi="Times New Roman" w:cstheme="minorBidi"/>
          <w:bCs w:val="0"/>
        </w:rPr>
      </w:pPr>
      <w:r>
        <w:rPr>
          <w:rStyle w:val="122"/>
          <w:rFonts w:ascii="Times New Roman" w:hAnsi="Times New Roman"/>
          <w:color w:val="auto"/>
          <w:u w:val="none"/>
          <w:lang w:bidi="ar"/>
        </w:rPr>
        <w:t xml:space="preserve">20.3  </w:t>
      </w:r>
      <w:r>
        <w:rPr>
          <w:rStyle w:val="122"/>
          <w:rFonts w:hint="eastAsia" w:ascii="Times New Roman" w:hAnsi="Times New Roman"/>
          <w:color w:val="auto"/>
          <w:u w:val="none"/>
          <w:lang w:bidi="ar"/>
        </w:rPr>
        <w:t>系统功能</w:t>
      </w:r>
      <w:r>
        <w:rPr>
          <w:rFonts w:ascii="Times New Roman" w:hAnsi="Times New Roman"/>
        </w:rPr>
        <w:tab/>
      </w:r>
      <w:r>
        <w:rPr>
          <w:rFonts w:ascii="Times New Roman" w:hAnsi="Times New Roman"/>
        </w:rPr>
        <w:t>579</w:t>
      </w:r>
    </w:p>
    <w:p w14:paraId="371B1CE7">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24  </w:t>
      </w:r>
      <w:r>
        <w:rPr>
          <w:rStyle w:val="122"/>
          <w:rFonts w:hint="eastAsia" w:ascii="Times New Roman" w:hAnsi="Times New Roman"/>
          <w:b w:val="0"/>
          <w:i w:val="0"/>
          <w:color w:val="auto"/>
          <w:u w:val="none"/>
        </w:rPr>
        <w:t>自动售检票</w:t>
      </w:r>
      <w:r>
        <w:rPr>
          <w:rFonts w:ascii="Times New Roman" w:hAnsi="Times New Roman"/>
          <w:b w:val="0"/>
          <w:i w:val="0"/>
        </w:rPr>
        <w:tab/>
      </w:r>
      <w:r>
        <w:rPr>
          <w:rFonts w:ascii="Times New Roman" w:hAnsi="Times New Roman"/>
          <w:b w:val="0"/>
          <w:i w:val="0"/>
        </w:rPr>
        <w:t>580</w:t>
      </w:r>
    </w:p>
    <w:p w14:paraId="2630AB67">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24.1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580</w:t>
      </w:r>
    </w:p>
    <w:p w14:paraId="342C4DF5">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24.3  </w:t>
      </w:r>
      <w:r>
        <w:rPr>
          <w:rStyle w:val="122"/>
          <w:rFonts w:hint="eastAsia" w:ascii="Times New Roman" w:hAnsi="Times New Roman"/>
          <w:color w:val="auto"/>
          <w:u w:val="none"/>
        </w:rPr>
        <w:t>系统构成</w:t>
      </w:r>
      <w:r>
        <w:rPr>
          <w:rFonts w:ascii="Times New Roman" w:hAnsi="Times New Roman"/>
        </w:rPr>
        <w:tab/>
      </w:r>
      <w:r>
        <w:rPr>
          <w:rFonts w:ascii="Times New Roman" w:hAnsi="Times New Roman"/>
        </w:rPr>
        <w:t>580</w:t>
      </w:r>
    </w:p>
    <w:p w14:paraId="22B78B0B">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25  </w:t>
      </w:r>
      <w:r>
        <w:rPr>
          <w:rStyle w:val="122"/>
          <w:rFonts w:hint="eastAsia" w:ascii="Times New Roman" w:hAnsi="Times New Roman"/>
          <w:b w:val="0"/>
          <w:i w:val="0"/>
          <w:color w:val="auto"/>
          <w:u w:val="none"/>
        </w:rPr>
        <w:t>安全防范</w:t>
      </w:r>
      <w:r>
        <w:rPr>
          <w:rFonts w:ascii="Times New Roman" w:hAnsi="Times New Roman"/>
          <w:b w:val="0"/>
          <w:i w:val="0"/>
        </w:rPr>
        <w:tab/>
      </w:r>
      <w:r>
        <w:rPr>
          <w:rFonts w:ascii="Times New Roman" w:hAnsi="Times New Roman"/>
          <w:b w:val="0"/>
          <w:i w:val="0"/>
        </w:rPr>
        <w:t>581</w:t>
      </w:r>
    </w:p>
    <w:p w14:paraId="765DF312">
      <w:pPr>
        <w:pStyle w:val="74"/>
        <w:tabs>
          <w:tab w:val="right" w:leader="dot" w:pos="6114"/>
        </w:tabs>
        <w:rPr>
          <w:rFonts w:ascii="Times New Roman" w:hAnsi="Times New Roman" w:cstheme="minorBidi"/>
          <w:bCs w:val="0"/>
        </w:rPr>
      </w:pPr>
      <w:r>
        <w:rPr>
          <w:rStyle w:val="122"/>
          <w:rFonts w:ascii="Times New Roman" w:hAnsi="Times New Roman"/>
          <w:color w:val="auto"/>
          <w:u w:val="none"/>
          <w:lang w:bidi="ar"/>
        </w:rPr>
        <w:t xml:space="preserve">25.1  </w:t>
      </w:r>
      <w:r>
        <w:rPr>
          <w:rStyle w:val="122"/>
          <w:rFonts w:hint="eastAsia" w:ascii="Times New Roman" w:hAnsi="Times New Roman"/>
          <w:color w:val="auto"/>
          <w:u w:val="none"/>
          <w:lang w:bidi="ar"/>
        </w:rPr>
        <w:t>一般规定</w:t>
      </w:r>
      <w:r>
        <w:rPr>
          <w:rFonts w:ascii="Times New Roman" w:hAnsi="Times New Roman"/>
        </w:rPr>
        <w:tab/>
      </w:r>
      <w:r>
        <w:rPr>
          <w:rFonts w:ascii="Times New Roman" w:hAnsi="Times New Roman"/>
        </w:rPr>
        <w:t>581</w:t>
      </w:r>
    </w:p>
    <w:p w14:paraId="0D42DDB9">
      <w:pPr>
        <w:pStyle w:val="74"/>
        <w:tabs>
          <w:tab w:val="right" w:leader="dot" w:pos="6114"/>
        </w:tabs>
        <w:rPr>
          <w:rFonts w:ascii="Times New Roman" w:hAnsi="Times New Roman" w:cstheme="minorBidi"/>
          <w:bCs w:val="0"/>
        </w:rPr>
      </w:pPr>
      <w:r>
        <w:rPr>
          <w:rStyle w:val="122"/>
          <w:rFonts w:ascii="Times New Roman" w:hAnsi="Times New Roman"/>
          <w:color w:val="auto"/>
          <w:u w:val="none"/>
          <w:lang w:bidi="ar"/>
        </w:rPr>
        <w:t xml:space="preserve">25.2  </w:t>
      </w:r>
      <w:r>
        <w:rPr>
          <w:rStyle w:val="122"/>
          <w:rFonts w:hint="eastAsia" w:ascii="Times New Roman" w:hAnsi="Times New Roman"/>
          <w:color w:val="auto"/>
          <w:u w:val="none"/>
          <w:lang w:bidi="ar"/>
        </w:rPr>
        <w:t>门禁系统</w:t>
      </w:r>
      <w:r>
        <w:rPr>
          <w:rFonts w:ascii="Times New Roman" w:hAnsi="Times New Roman"/>
        </w:rPr>
        <w:tab/>
      </w:r>
      <w:r>
        <w:rPr>
          <w:rFonts w:ascii="Times New Roman" w:hAnsi="Times New Roman"/>
        </w:rPr>
        <w:t>581</w:t>
      </w:r>
    </w:p>
    <w:p w14:paraId="5940B023">
      <w:pPr>
        <w:pStyle w:val="74"/>
        <w:tabs>
          <w:tab w:val="right" w:leader="dot" w:pos="6114"/>
        </w:tabs>
        <w:rPr>
          <w:rFonts w:ascii="Times New Roman" w:hAnsi="Times New Roman" w:cstheme="minorBidi"/>
          <w:bCs w:val="0"/>
        </w:rPr>
      </w:pPr>
      <w:r>
        <w:rPr>
          <w:rStyle w:val="122"/>
          <w:rFonts w:ascii="Times New Roman" w:hAnsi="Times New Roman"/>
          <w:color w:val="auto"/>
          <w:u w:val="none"/>
          <w:lang w:bidi="ar"/>
        </w:rPr>
        <w:t xml:space="preserve">25.3  </w:t>
      </w:r>
      <w:r>
        <w:rPr>
          <w:rStyle w:val="122"/>
          <w:rFonts w:hint="eastAsia" w:ascii="Times New Roman" w:hAnsi="Times New Roman"/>
          <w:color w:val="auto"/>
          <w:u w:val="none"/>
          <w:lang w:bidi="ar"/>
        </w:rPr>
        <w:t>周界防范</w:t>
      </w:r>
      <w:r>
        <w:rPr>
          <w:rFonts w:ascii="Times New Roman" w:hAnsi="Times New Roman"/>
        </w:rPr>
        <w:tab/>
      </w:r>
      <w:r>
        <w:rPr>
          <w:rFonts w:ascii="Times New Roman" w:hAnsi="Times New Roman"/>
        </w:rPr>
        <w:t>581</w:t>
      </w:r>
    </w:p>
    <w:p w14:paraId="21B215D1">
      <w:pPr>
        <w:pStyle w:val="74"/>
        <w:tabs>
          <w:tab w:val="right" w:leader="dot" w:pos="6114"/>
        </w:tabs>
        <w:rPr>
          <w:rFonts w:ascii="Times New Roman" w:hAnsi="Times New Roman" w:cstheme="minorBidi"/>
          <w:bCs w:val="0"/>
        </w:rPr>
      </w:pPr>
      <w:r>
        <w:rPr>
          <w:rStyle w:val="122"/>
          <w:rFonts w:ascii="Times New Roman" w:hAnsi="Times New Roman"/>
          <w:color w:val="auto"/>
          <w:u w:val="none"/>
          <w:lang w:bidi="ar"/>
        </w:rPr>
        <w:t xml:space="preserve">25.4  </w:t>
      </w:r>
      <w:r>
        <w:rPr>
          <w:rStyle w:val="122"/>
          <w:rFonts w:hint="eastAsia" w:ascii="Times New Roman" w:hAnsi="Times New Roman"/>
          <w:color w:val="auto"/>
          <w:u w:val="none"/>
          <w:lang w:bidi="ar"/>
        </w:rPr>
        <w:t>安全检查及探测系统</w:t>
      </w:r>
      <w:r>
        <w:rPr>
          <w:rFonts w:ascii="Times New Roman" w:hAnsi="Times New Roman"/>
        </w:rPr>
        <w:tab/>
      </w:r>
      <w:r>
        <w:rPr>
          <w:rFonts w:ascii="Times New Roman" w:hAnsi="Times New Roman"/>
        </w:rPr>
        <w:t>582</w:t>
      </w:r>
    </w:p>
    <w:p w14:paraId="47FBCA5E">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26  </w:t>
      </w:r>
      <w:r>
        <w:rPr>
          <w:rStyle w:val="122"/>
          <w:rFonts w:hint="eastAsia" w:ascii="Times New Roman" w:hAnsi="Times New Roman"/>
          <w:b w:val="0"/>
          <w:i w:val="0"/>
          <w:color w:val="auto"/>
          <w:u w:val="none"/>
        </w:rPr>
        <w:t>云平台</w:t>
      </w:r>
      <w:r>
        <w:rPr>
          <w:rFonts w:ascii="Times New Roman" w:hAnsi="Times New Roman"/>
          <w:b w:val="0"/>
          <w:i w:val="0"/>
        </w:rPr>
        <w:tab/>
      </w:r>
      <w:r>
        <w:rPr>
          <w:rFonts w:ascii="Times New Roman" w:hAnsi="Times New Roman"/>
          <w:b w:val="0"/>
          <w:i w:val="0"/>
        </w:rPr>
        <w:t>583</w:t>
      </w:r>
    </w:p>
    <w:p w14:paraId="218F5104">
      <w:pPr>
        <w:pStyle w:val="74"/>
        <w:tabs>
          <w:tab w:val="right" w:leader="dot" w:pos="6114"/>
        </w:tabs>
        <w:rPr>
          <w:rFonts w:ascii="Times New Roman" w:hAnsi="Times New Roman" w:cstheme="minorBidi"/>
          <w:bCs w:val="0"/>
        </w:rPr>
      </w:pPr>
      <w:r>
        <w:rPr>
          <w:rStyle w:val="122"/>
          <w:rFonts w:ascii="Times New Roman" w:hAnsi="Times New Roman"/>
          <w:color w:val="auto"/>
          <w:u w:val="none"/>
          <w:lang w:bidi="ar"/>
        </w:rPr>
        <w:t xml:space="preserve">26.1  </w:t>
      </w:r>
      <w:r>
        <w:rPr>
          <w:rStyle w:val="122"/>
          <w:rFonts w:hint="eastAsia" w:ascii="Times New Roman" w:hAnsi="Times New Roman"/>
          <w:color w:val="auto"/>
          <w:u w:val="none"/>
          <w:lang w:bidi="ar"/>
        </w:rPr>
        <w:t>一般规定</w:t>
      </w:r>
      <w:r>
        <w:rPr>
          <w:rFonts w:ascii="Times New Roman" w:hAnsi="Times New Roman"/>
        </w:rPr>
        <w:tab/>
      </w:r>
      <w:r>
        <w:rPr>
          <w:rFonts w:ascii="Times New Roman" w:hAnsi="Times New Roman"/>
        </w:rPr>
        <w:t>583</w:t>
      </w:r>
    </w:p>
    <w:p w14:paraId="1223CA44">
      <w:pPr>
        <w:pStyle w:val="74"/>
        <w:tabs>
          <w:tab w:val="right" w:leader="dot" w:pos="6114"/>
        </w:tabs>
        <w:rPr>
          <w:rFonts w:ascii="Times New Roman" w:hAnsi="Times New Roman" w:cstheme="minorBidi"/>
          <w:bCs w:val="0"/>
        </w:rPr>
      </w:pPr>
      <w:r>
        <w:rPr>
          <w:rStyle w:val="122"/>
          <w:rFonts w:ascii="Times New Roman" w:hAnsi="Times New Roman"/>
          <w:color w:val="auto"/>
          <w:u w:val="none"/>
          <w:lang w:bidi="ar"/>
        </w:rPr>
        <w:t xml:space="preserve">26.2  </w:t>
      </w:r>
      <w:r>
        <w:rPr>
          <w:rStyle w:val="122"/>
          <w:rFonts w:hint="eastAsia" w:ascii="Times New Roman" w:hAnsi="Times New Roman"/>
          <w:color w:val="auto"/>
          <w:u w:val="none"/>
          <w:lang w:bidi="ar"/>
        </w:rPr>
        <w:t>系统架构及功能</w:t>
      </w:r>
      <w:r>
        <w:rPr>
          <w:rFonts w:ascii="Times New Roman" w:hAnsi="Times New Roman"/>
        </w:rPr>
        <w:tab/>
      </w:r>
      <w:r>
        <w:rPr>
          <w:rFonts w:ascii="Times New Roman" w:hAnsi="Times New Roman"/>
        </w:rPr>
        <w:t>583</w:t>
      </w:r>
    </w:p>
    <w:p w14:paraId="021354F2">
      <w:pPr>
        <w:pStyle w:val="74"/>
        <w:tabs>
          <w:tab w:val="right" w:leader="dot" w:pos="6114"/>
        </w:tabs>
        <w:rPr>
          <w:rFonts w:ascii="Times New Roman" w:hAnsi="Times New Roman" w:cstheme="minorBidi"/>
          <w:bCs w:val="0"/>
        </w:rPr>
      </w:pPr>
      <w:r>
        <w:rPr>
          <w:rStyle w:val="122"/>
          <w:rFonts w:ascii="Times New Roman" w:hAnsi="Times New Roman"/>
          <w:color w:val="auto"/>
          <w:u w:val="none"/>
          <w:lang w:bidi="ar"/>
        </w:rPr>
        <w:t xml:space="preserve">26.3  </w:t>
      </w:r>
      <w:r>
        <w:rPr>
          <w:rStyle w:val="122"/>
          <w:rFonts w:hint="eastAsia" w:ascii="Times New Roman" w:hAnsi="Times New Roman"/>
          <w:color w:val="auto"/>
          <w:u w:val="none"/>
          <w:lang w:bidi="ar"/>
        </w:rPr>
        <w:t>设备用房及环境要求</w:t>
      </w:r>
      <w:r>
        <w:rPr>
          <w:rFonts w:ascii="Times New Roman" w:hAnsi="Times New Roman"/>
        </w:rPr>
        <w:tab/>
      </w:r>
      <w:r>
        <w:rPr>
          <w:rFonts w:ascii="Times New Roman" w:hAnsi="Times New Roman"/>
        </w:rPr>
        <w:t>583</w:t>
      </w:r>
    </w:p>
    <w:p w14:paraId="3AAE6AE8">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27  </w:t>
      </w:r>
      <w:r>
        <w:rPr>
          <w:rStyle w:val="122"/>
          <w:rFonts w:hint="eastAsia" w:ascii="Times New Roman" w:hAnsi="Times New Roman"/>
          <w:b w:val="0"/>
          <w:i w:val="0"/>
          <w:color w:val="auto"/>
          <w:u w:val="none"/>
        </w:rPr>
        <w:t>控制中心</w:t>
      </w:r>
      <w:r>
        <w:rPr>
          <w:rFonts w:ascii="Times New Roman" w:hAnsi="Times New Roman"/>
          <w:b w:val="0"/>
          <w:i w:val="0"/>
        </w:rPr>
        <w:tab/>
      </w:r>
      <w:r>
        <w:rPr>
          <w:rFonts w:ascii="Times New Roman" w:hAnsi="Times New Roman"/>
          <w:b w:val="0"/>
          <w:i w:val="0"/>
        </w:rPr>
        <w:t>584</w:t>
      </w:r>
    </w:p>
    <w:p w14:paraId="50481974">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27.1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584</w:t>
      </w:r>
    </w:p>
    <w:p w14:paraId="79055972">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27.2  </w:t>
      </w:r>
      <w:r>
        <w:rPr>
          <w:rStyle w:val="122"/>
          <w:rFonts w:hint="eastAsia" w:ascii="Times New Roman" w:hAnsi="Times New Roman"/>
          <w:color w:val="auto"/>
          <w:u w:val="none"/>
        </w:rPr>
        <w:t>控制中心设置</w:t>
      </w:r>
      <w:r>
        <w:rPr>
          <w:rFonts w:ascii="Times New Roman" w:hAnsi="Times New Roman"/>
        </w:rPr>
        <w:tab/>
      </w:r>
      <w:r>
        <w:rPr>
          <w:rFonts w:ascii="Times New Roman" w:hAnsi="Times New Roman"/>
        </w:rPr>
        <w:t>584</w:t>
      </w:r>
    </w:p>
    <w:p w14:paraId="5D45503D">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27.5  </w:t>
      </w:r>
      <w:r>
        <w:rPr>
          <w:rStyle w:val="122"/>
          <w:rFonts w:hint="eastAsia" w:ascii="Times New Roman" w:hAnsi="Times New Roman"/>
          <w:color w:val="auto"/>
          <w:u w:val="none"/>
        </w:rPr>
        <w:t>建筑与结构</w:t>
      </w:r>
      <w:r>
        <w:rPr>
          <w:rFonts w:ascii="Times New Roman" w:hAnsi="Times New Roman"/>
        </w:rPr>
        <w:tab/>
      </w:r>
      <w:r>
        <w:rPr>
          <w:rFonts w:ascii="Times New Roman" w:hAnsi="Times New Roman"/>
        </w:rPr>
        <w:t>585</w:t>
      </w:r>
    </w:p>
    <w:p w14:paraId="47242EAB">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27.6  </w:t>
      </w:r>
      <w:r>
        <w:rPr>
          <w:rStyle w:val="122"/>
          <w:rFonts w:hint="eastAsia" w:ascii="Times New Roman" w:hAnsi="Times New Roman"/>
          <w:color w:val="auto"/>
          <w:u w:val="none"/>
        </w:rPr>
        <w:t>附属设施</w:t>
      </w:r>
      <w:r>
        <w:rPr>
          <w:rFonts w:ascii="Times New Roman" w:hAnsi="Times New Roman"/>
        </w:rPr>
        <w:tab/>
      </w:r>
      <w:r>
        <w:rPr>
          <w:rFonts w:ascii="Times New Roman" w:hAnsi="Times New Roman"/>
        </w:rPr>
        <w:t>585</w:t>
      </w:r>
    </w:p>
    <w:p w14:paraId="521F2F49">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28  </w:t>
      </w:r>
      <w:r>
        <w:rPr>
          <w:rStyle w:val="122"/>
          <w:rFonts w:hint="eastAsia" w:ascii="Times New Roman" w:hAnsi="Times New Roman"/>
          <w:b w:val="0"/>
          <w:i w:val="0"/>
          <w:color w:val="auto"/>
          <w:u w:val="none"/>
        </w:rPr>
        <w:t>车辆基地</w:t>
      </w:r>
      <w:r>
        <w:rPr>
          <w:rFonts w:ascii="Times New Roman" w:hAnsi="Times New Roman"/>
          <w:b w:val="0"/>
          <w:i w:val="0"/>
        </w:rPr>
        <w:tab/>
      </w:r>
      <w:r>
        <w:rPr>
          <w:rFonts w:ascii="Times New Roman" w:hAnsi="Times New Roman"/>
          <w:b w:val="0"/>
          <w:i w:val="0"/>
        </w:rPr>
        <w:t>586</w:t>
      </w:r>
    </w:p>
    <w:p w14:paraId="1165E335">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29  </w:t>
      </w:r>
      <w:r>
        <w:rPr>
          <w:rStyle w:val="122"/>
          <w:rFonts w:hint="eastAsia" w:ascii="Times New Roman" w:hAnsi="Times New Roman"/>
          <w:b w:val="0"/>
          <w:i w:val="0"/>
          <w:color w:val="auto"/>
          <w:u w:val="none"/>
        </w:rPr>
        <w:t>交通接驳</w:t>
      </w:r>
      <w:r>
        <w:rPr>
          <w:rFonts w:ascii="Times New Roman" w:hAnsi="Times New Roman"/>
          <w:b w:val="0"/>
          <w:i w:val="0"/>
        </w:rPr>
        <w:tab/>
      </w:r>
      <w:r>
        <w:rPr>
          <w:rFonts w:ascii="Times New Roman" w:hAnsi="Times New Roman"/>
          <w:b w:val="0"/>
          <w:i w:val="0"/>
        </w:rPr>
        <w:t>589</w:t>
      </w:r>
    </w:p>
    <w:p w14:paraId="0CCA1A02">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30  </w:t>
      </w:r>
      <w:r>
        <w:rPr>
          <w:rStyle w:val="122"/>
          <w:rFonts w:hint="eastAsia" w:ascii="Times New Roman" w:hAnsi="Times New Roman"/>
          <w:b w:val="0"/>
          <w:i w:val="0"/>
          <w:color w:val="auto"/>
          <w:u w:val="none"/>
        </w:rPr>
        <w:t>防</w:t>
      </w:r>
      <w:r>
        <w:rPr>
          <w:rStyle w:val="122"/>
          <w:rFonts w:ascii="Times New Roman" w:hAnsi="Times New Roman"/>
          <w:b w:val="0"/>
          <w:i w:val="0"/>
          <w:color w:val="auto"/>
          <w:u w:val="none"/>
        </w:rPr>
        <w:t xml:space="preserve">    </w:t>
      </w:r>
      <w:r>
        <w:rPr>
          <w:rStyle w:val="122"/>
          <w:rFonts w:hint="eastAsia" w:ascii="Times New Roman" w:hAnsi="Times New Roman"/>
          <w:b w:val="0"/>
          <w:i w:val="0"/>
          <w:color w:val="auto"/>
          <w:u w:val="none"/>
        </w:rPr>
        <w:t>灾</w:t>
      </w:r>
      <w:r>
        <w:rPr>
          <w:rFonts w:ascii="Times New Roman" w:hAnsi="Times New Roman"/>
          <w:b w:val="0"/>
          <w:i w:val="0"/>
        </w:rPr>
        <w:tab/>
      </w:r>
      <w:r>
        <w:rPr>
          <w:rFonts w:ascii="Times New Roman" w:hAnsi="Times New Roman"/>
          <w:b w:val="0"/>
          <w:i w:val="0"/>
        </w:rPr>
        <w:t>590</w:t>
      </w:r>
    </w:p>
    <w:p w14:paraId="40548995">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30.1  </w:t>
      </w:r>
      <w:r>
        <w:rPr>
          <w:rStyle w:val="122"/>
          <w:rFonts w:hint="eastAsia" w:ascii="Times New Roman" w:hAnsi="Times New Roman"/>
          <w:color w:val="auto"/>
          <w:u w:val="none"/>
        </w:rPr>
        <w:t>一般规定</w:t>
      </w:r>
      <w:r>
        <w:rPr>
          <w:rFonts w:ascii="Times New Roman" w:hAnsi="Times New Roman"/>
        </w:rPr>
        <w:tab/>
      </w:r>
      <w:r>
        <w:rPr>
          <w:rFonts w:ascii="Times New Roman" w:hAnsi="Times New Roman"/>
        </w:rPr>
        <w:t>590</w:t>
      </w:r>
    </w:p>
    <w:p w14:paraId="062EDE37">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30.2  </w:t>
      </w:r>
      <w:r>
        <w:rPr>
          <w:rStyle w:val="122"/>
          <w:rFonts w:hint="eastAsia" w:ascii="Times New Roman" w:hAnsi="Times New Roman"/>
          <w:color w:val="auto"/>
          <w:u w:val="none"/>
        </w:rPr>
        <w:t>建筑防火</w:t>
      </w:r>
      <w:r>
        <w:rPr>
          <w:rFonts w:ascii="Times New Roman" w:hAnsi="Times New Roman"/>
        </w:rPr>
        <w:tab/>
      </w:r>
      <w:r>
        <w:rPr>
          <w:rFonts w:ascii="Times New Roman" w:hAnsi="Times New Roman"/>
        </w:rPr>
        <w:t>591</w:t>
      </w:r>
    </w:p>
    <w:p w14:paraId="4F0FA997">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30.3  </w:t>
      </w:r>
      <w:r>
        <w:rPr>
          <w:rStyle w:val="122"/>
          <w:rFonts w:hint="eastAsia" w:ascii="Times New Roman" w:hAnsi="Times New Roman"/>
          <w:color w:val="auto"/>
          <w:u w:val="none"/>
        </w:rPr>
        <w:t>消防给水和灭火设施</w:t>
      </w:r>
      <w:r>
        <w:rPr>
          <w:rFonts w:ascii="Times New Roman" w:hAnsi="Times New Roman"/>
        </w:rPr>
        <w:tab/>
      </w:r>
      <w:r>
        <w:rPr>
          <w:rFonts w:ascii="Times New Roman" w:hAnsi="Times New Roman"/>
        </w:rPr>
        <w:t>618</w:t>
      </w:r>
    </w:p>
    <w:p w14:paraId="26E9D5E1">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30.4  </w:t>
      </w:r>
      <w:r>
        <w:rPr>
          <w:rStyle w:val="122"/>
          <w:rFonts w:hint="eastAsia" w:ascii="Times New Roman" w:hAnsi="Times New Roman"/>
          <w:color w:val="auto"/>
          <w:u w:val="none"/>
        </w:rPr>
        <w:t>防排烟与事故通风</w:t>
      </w:r>
      <w:r>
        <w:rPr>
          <w:rFonts w:ascii="Times New Roman" w:hAnsi="Times New Roman"/>
        </w:rPr>
        <w:tab/>
      </w:r>
      <w:r>
        <w:rPr>
          <w:rFonts w:ascii="Times New Roman" w:hAnsi="Times New Roman"/>
        </w:rPr>
        <w:t>624</w:t>
      </w:r>
    </w:p>
    <w:p w14:paraId="73BEF246">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30.5  </w:t>
      </w:r>
      <w:r>
        <w:rPr>
          <w:rStyle w:val="122"/>
          <w:rFonts w:hint="eastAsia" w:ascii="Times New Roman" w:hAnsi="Times New Roman"/>
          <w:color w:val="auto"/>
          <w:u w:val="none"/>
        </w:rPr>
        <w:t>电气</w:t>
      </w:r>
      <w:r>
        <w:rPr>
          <w:rFonts w:ascii="Times New Roman" w:hAnsi="Times New Roman"/>
        </w:rPr>
        <w:tab/>
      </w:r>
      <w:r>
        <w:rPr>
          <w:rFonts w:ascii="Times New Roman" w:hAnsi="Times New Roman"/>
        </w:rPr>
        <w:t>627</w:t>
      </w:r>
    </w:p>
    <w:p w14:paraId="7F6169F4">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30.7  </w:t>
      </w:r>
      <w:r>
        <w:rPr>
          <w:rStyle w:val="122"/>
          <w:rFonts w:hint="eastAsia" w:ascii="Times New Roman" w:hAnsi="Times New Roman"/>
          <w:color w:val="auto"/>
          <w:u w:val="none"/>
        </w:rPr>
        <w:t>区间安全疏散</w:t>
      </w:r>
      <w:r>
        <w:rPr>
          <w:rFonts w:ascii="Times New Roman" w:hAnsi="Times New Roman"/>
        </w:rPr>
        <w:tab/>
      </w:r>
      <w:r>
        <w:rPr>
          <w:rFonts w:ascii="Times New Roman" w:hAnsi="Times New Roman"/>
        </w:rPr>
        <w:t>629</w:t>
      </w:r>
    </w:p>
    <w:p w14:paraId="572A9FAA">
      <w:pPr>
        <w:pStyle w:val="59"/>
        <w:tabs>
          <w:tab w:val="right" w:leader="dot" w:pos="6114"/>
        </w:tabs>
        <w:rPr>
          <w:rFonts w:ascii="Times New Roman" w:hAnsi="Times New Roman" w:cstheme="minorBidi"/>
          <w:b w:val="0"/>
          <w:bCs w:val="0"/>
          <w:i w:val="0"/>
          <w:iCs w:val="0"/>
          <w:szCs w:val="22"/>
        </w:rPr>
      </w:pPr>
      <w:r>
        <w:rPr>
          <w:rStyle w:val="122"/>
          <w:rFonts w:ascii="Times New Roman" w:hAnsi="Times New Roman"/>
          <w:b w:val="0"/>
          <w:i w:val="0"/>
          <w:color w:val="auto"/>
          <w:u w:val="none"/>
        </w:rPr>
        <w:t xml:space="preserve">31  </w:t>
      </w:r>
      <w:r>
        <w:rPr>
          <w:rStyle w:val="122"/>
          <w:rFonts w:hint="eastAsia" w:ascii="Times New Roman" w:hAnsi="Times New Roman"/>
          <w:b w:val="0"/>
          <w:i w:val="0"/>
          <w:color w:val="auto"/>
          <w:u w:val="none"/>
        </w:rPr>
        <w:t>环保节能</w:t>
      </w:r>
      <w:r>
        <w:rPr>
          <w:rFonts w:ascii="Times New Roman" w:hAnsi="Times New Roman"/>
          <w:b w:val="0"/>
          <w:i w:val="0"/>
        </w:rPr>
        <w:tab/>
      </w:r>
      <w:r>
        <w:rPr>
          <w:rFonts w:ascii="Times New Roman" w:hAnsi="Times New Roman"/>
          <w:b w:val="0"/>
          <w:i w:val="0"/>
        </w:rPr>
        <w:t>631</w:t>
      </w:r>
    </w:p>
    <w:p w14:paraId="193C1780">
      <w:pPr>
        <w:pStyle w:val="74"/>
        <w:tabs>
          <w:tab w:val="right" w:leader="dot" w:pos="6114"/>
        </w:tabs>
        <w:rPr>
          <w:rFonts w:ascii="Times New Roman" w:hAnsi="Times New Roman" w:cstheme="minorBidi"/>
          <w:bCs w:val="0"/>
        </w:rPr>
      </w:pPr>
      <w:r>
        <w:rPr>
          <w:rStyle w:val="122"/>
          <w:rFonts w:ascii="Times New Roman" w:hAnsi="Times New Roman"/>
          <w:color w:val="auto"/>
          <w:u w:val="none"/>
        </w:rPr>
        <w:t xml:space="preserve">31.3  </w:t>
      </w:r>
      <w:r>
        <w:rPr>
          <w:rStyle w:val="122"/>
          <w:rFonts w:hint="eastAsia" w:ascii="Times New Roman" w:hAnsi="Times New Roman"/>
          <w:color w:val="auto"/>
          <w:u w:val="none"/>
        </w:rPr>
        <w:t>节约能源</w:t>
      </w:r>
      <w:r>
        <w:rPr>
          <w:rFonts w:ascii="Times New Roman" w:hAnsi="Times New Roman"/>
        </w:rPr>
        <w:tab/>
      </w:r>
      <w:r>
        <w:rPr>
          <w:rFonts w:ascii="Times New Roman" w:hAnsi="Times New Roman"/>
        </w:rPr>
        <w:t>631</w:t>
      </w:r>
    </w:p>
    <w:p w14:paraId="315E3BB4">
      <w:pPr>
        <w:widowControl/>
        <w:spacing w:line="240" w:lineRule="auto"/>
        <w:jc w:val="left"/>
      </w:pPr>
    </w:p>
    <w:p w14:paraId="072536B2">
      <w:pPr>
        <w:spacing w:line="240" w:lineRule="exact"/>
      </w:pPr>
    </w:p>
    <w:p w14:paraId="39AFF706">
      <w:pPr>
        <w:sectPr>
          <w:headerReference r:id="rId45" w:type="default"/>
          <w:footerReference r:id="rId46" w:type="default"/>
          <w:footerReference r:id="rId47" w:type="even"/>
          <w:pgSz w:w="7938" w:h="11510"/>
          <w:pgMar w:top="1247" w:right="907" w:bottom="1247" w:left="907" w:header="737" w:footer="737" w:gutter="0"/>
          <w:cols w:space="720" w:num="1"/>
        </w:sectPr>
      </w:pPr>
    </w:p>
    <w:p w14:paraId="2EA4690A">
      <w:pPr>
        <w:pStyle w:val="240"/>
      </w:pPr>
      <w:bookmarkStart w:id="2196" w:name="_Toc183765272"/>
      <w:bookmarkStart w:id="2197" w:name="_Toc183699890"/>
      <w:bookmarkStart w:id="2198" w:name="_Toc183735434"/>
      <w:bookmarkStart w:id="2199" w:name="_Toc183454824"/>
      <w:bookmarkStart w:id="2200" w:name="_Toc152793146"/>
      <w:bookmarkStart w:id="2201" w:name="_Toc183454144"/>
      <w:bookmarkStart w:id="2202" w:name="_Toc183888677"/>
      <w:bookmarkStart w:id="2203" w:name="_Toc183454441"/>
      <w:bookmarkStart w:id="2204" w:name="_Toc183790702"/>
      <w:bookmarkStart w:id="2205" w:name="_Toc183882263"/>
      <w:bookmarkStart w:id="2206" w:name="_Toc183888315"/>
      <w:bookmarkStart w:id="2207" w:name="_Toc183882625"/>
      <w:bookmarkStart w:id="2208" w:name="_Toc183738094"/>
      <w:r>
        <w:rPr>
          <w:b/>
        </w:rPr>
        <w:t>1</w:t>
      </w:r>
      <w:r>
        <w:t xml:space="preserve">  </w:t>
      </w:r>
      <w:r>
        <w:rPr>
          <w:rFonts w:hint="eastAsia"/>
        </w:rPr>
        <w:t>总  则</w:t>
      </w:r>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14:paraId="745E5F86">
      <w:pPr>
        <w:rPr>
          <w:rFonts w:ascii="宋体" w:hAnsi="宋体" w:cs="宋体"/>
          <w:szCs w:val="21"/>
        </w:rPr>
      </w:pPr>
      <w:r>
        <w:rPr>
          <w:rFonts w:eastAsia="黑体"/>
          <w:b/>
          <w:bCs/>
          <w:szCs w:val="21"/>
        </w:rPr>
        <w:t>1.0.1</w:t>
      </w:r>
      <w:r>
        <w:t xml:space="preserve">  </w:t>
      </w:r>
      <w:r>
        <w:rPr>
          <w:rFonts w:hint="eastAsia" w:ascii="宋体" w:hAnsi="宋体" w:cs="宋体"/>
          <w:szCs w:val="21"/>
        </w:rPr>
        <w:t>《城市轨道交通工程设计规范》（DB 11995-2013）于2013年发布后对北京市的轨道交通建设起到了巨大的推动作用。到2023年底，北京已开通城市轨道交通运营线路27条，里程386公里，城市轨道交通总体框架基本形成。在新的发展阶段，北京市轨道交通面临新发展环境，主要体现在以下几个方面：一是在非首都功能疏解背景下，北京要在更广的空间尺度上实现高质量发展，对轨道交通提出了新要求；二是为满足人民群众日益多样化的出行需求，轨道交通运营向网络化、精细化运营转变，需要在规划、建设阶段满足相应的运营需求；三是在国家“双碳”战略引导下，轨道交通绿色、低碳建造势在必行，需要对应的标准支撑、引导；四是高质量发展背景下，大力推进机械化及智能化建造，需要统一标准，规范做法，提高效益；五是在城轨交通“绿智融合”发展趋势下，系统融合的理念以及相应的新技术、新设备需要得到标准支撑；六是城轨交通“绿智融合”发展趋势下，系统融合的理念以及相应的新技术、新设备需要得到标准支撑。进一步促进城市轨道交通的高质量、可持续发展，启动了本规范修编工作。</w:t>
      </w:r>
    </w:p>
    <w:p w14:paraId="63838F0A">
      <w:r>
        <w:rPr>
          <w:rFonts w:eastAsia="黑体"/>
          <w:b/>
          <w:bCs/>
          <w:szCs w:val="21"/>
        </w:rPr>
        <w:t>1.0.2</w:t>
      </w:r>
      <w:r>
        <w:t xml:space="preserve">  </w:t>
      </w:r>
      <w:r>
        <w:rPr>
          <w:rFonts w:hint="eastAsia" w:ascii="宋体" w:hAnsi="宋体" w:cs="宋体"/>
        </w:rPr>
        <w:t>本规范仍采用前序命名不变。根据《北京市轨道交通线网规划（2020年-2035年）》的规划要求和北京市未来发展及轨道交通建设需要，将规范设计最高运行速度由原来的100km/h提高至140km/h。</w:t>
      </w:r>
    </w:p>
    <w:p w14:paraId="49135A1C">
      <w:pPr>
        <w:widowControl/>
        <w:spacing w:line="240" w:lineRule="auto"/>
        <w:ind w:firstLine="420"/>
        <w:jc w:val="left"/>
      </w:pPr>
      <w:r>
        <w:br w:type="page"/>
      </w:r>
    </w:p>
    <w:p w14:paraId="0674B818">
      <w:pPr>
        <w:pStyle w:val="240"/>
      </w:pPr>
      <w:bookmarkStart w:id="2209" w:name="_Toc152793149"/>
      <w:bookmarkStart w:id="2210" w:name="_Toc183765273"/>
      <w:bookmarkStart w:id="2211" w:name="_Toc183735435"/>
      <w:bookmarkStart w:id="2212" w:name="_Toc183790703"/>
      <w:bookmarkStart w:id="2213" w:name="_Toc183454145"/>
      <w:bookmarkStart w:id="2214" w:name="_Toc183699891"/>
      <w:bookmarkStart w:id="2215" w:name="_Toc183888316"/>
      <w:bookmarkStart w:id="2216" w:name="_Toc183454442"/>
      <w:bookmarkStart w:id="2217" w:name="_Toc183882626"/>
      <w:bookmarkStart w:id="2218" w:name="_Toc183738095"/>
      <w:bookmarkStart w:id="2219" w:name="_Toc183888678"/>
      <w:bookmarkStart w:id="2220" w:name="_Toc183454825"/>
      <w:bookmarkStart w:id="2221" w:name="_Toc183882264"/>
      <w:r>
        <w:rPr>
          <w:b/>
        </w:rPr>
        <w:t>3</w:t>
      </w:r>
      <w:r>
        <w:t xml:space="preserve">  </w:t>
      </w:r>
      <w:bookmarkEnd w:id="2209"/>
      <w:r>
        <w:rPr>
          <w:rFonts w:hint="eastAsia"/>
        </w:rPr>
        <w:t>基本规定</w:t>
      </w:r>
      <w:bookmarkEnd w:id="2210"/>
      <w:bookmarkEnd w:id="2211"/>
      <w:bookmarkEnd w:id="2212"/>
      <w:bookmarkEnd w:id="2213"/>
      <w:bookmarkEnd w:id="2214"/>
      <w:bookmarkEnd w:id="2215"/>
      <w:bookmarkEnd w:id="2216"/>
      <w:bookmarkEnd w:id="2217"/>
      <w:bookmarkEnd w:id="2218"/>
      <w:bookmarkEnd w:id="2219"/>
      <w:bookmarkEnd w:id="2220"/>
      <w:bookmarkEnd w:id="2221"/>
    </w:p>
    <w:p w14:paraId="46C734FA">
      <w:pPr>
        <w:rPr>
          <w:rFonts w:ascii="宋体" w:hAnsi="宋体" w:cs="宋体"/>
        </w:rPr>
      </w:pPr>
      <w:r>
        <w:rPr>
          <w:rFonts w:eastAsia="黑体"/>
          <w:b/>
          <w:bCs/>
          <w:szCs w:val="21"/>
        </w:rPr>
        <w:t xml:space="preserve">3.0.4 </w:t>
      </w:r>
      <w:r>
        <w:rPr>
          <w:rFonts w:hint="eastAsia" w:ascii="宋体" w:hAnsi="宋体" w:cs="宋体"/>
        </w:rPr>
        <w:t>城市轨道交通线路设计在遵循线网规划的前提下，应重点关注和解决好与网络上其他线路之间的衔接及换乘关系，认真分析换乘节点的换乘量级(等级)、客流特点、实施难度以及预留方式等，确定合理的换乘方案。</w:t>
      </w:r>
    </w:p>
    <w:p w14:paraId="634846DD">
      <w:pPr>
        <w:ind w:firstLine="420"/>
        <w:rPr>
          <w:rFonts w:ascii="宋体" w:hAnsi="宋体" w:cs="宋体"/>
        </w:rPr>
      </w:pPr>
      <w:r>
        <w:rPr>
          <w:rFonts w:hint="eastAsia" w:ascii="宋体" w:hAnsi="宋体" w:cs="宋体"/>
        </w:rPr>
        <w:t>城市轨道交通与城市和城际交通形式的有效衔接，有利于提高城市各种交通方式的整体效率和提高城市交通体系的服务水平。一般情况下，城市轨道交通宜与沿线的其他交通方式（尤其是与非并行方向的其他交通方式）形成有效衔接，必要时，应配合城市轨道交通线路的建成运营对与之衔接的其他交通方式站点进行调整。对分布于城市轨道交通沿线的城际站点及其他重要客流集散点，宜进行一体化的考虑。</w:t>
      </w:r>
    </w:p>
    <w:p w14:paraId="66D389A3">
      <w:r>
        <w:rPr>
          <w:rFonts w:eastAsia="黑体"/>
          <w:b/>
          <w:bCs/>
          <w:szCs w:val="21"/>
        </w:rPr>
        <w:t xml:space="preserve">3.0.6 </w:t>
      </w:r>
      <w:r>
        <w:rPr>
          <w:rFonts w:hint="eastAsia" w:ascii="宋体" w:hAnsi="宋体" w:cs="宋体"/>
          <w:szCs w:val="21"/>
        </w:rPr>
        <w:t>本条调整了“与列车运行有关的土建、线路及相关设备系统等的设计应按行车对数不小于30对/h的能力设计”的说法。城市轨道交通工程建设投资大，使用年限长，运营期客流增长的不确定性大，因此设计时应从发挥工程整体投资效益和提高系统能力的角度，确定建设内容和工程的建设规模。但在以往的工程建设过程中，均按全线大交路满足30对/h设计，这与轨道交通实际运营需求不一致，容易带来部分线路的系统配置冗余。一条线路的行车对数应根据不同区域的客流需求精细化确定，如中心城区客流需求大，为发挥工程整体投资效益，系统能力可按行车对数30对/h设计，而城市外围区域客流需求量小，可不必一律要求满足行车30对/h。并且，轨道交通为满足不同乘客的多样化出行需求，快慢车运行等灵活运营组织手段运用的越来越多，强制要求行车满足30对/h不符合未来轨道交通的发展需求。</w:t>
      </w:r>
    </w:p>
    <w:p w14:paraId="5C542DFF">
      <w:pPr>
        <w:rPr>
          <w:rFonts w:ascii="宋体" w:hAnsi="宋体" w:cs="宋体"/>
          <w:szCs w:val="21"/>
        </w:rPr>
      </w:pPr>
      <w:r>
        <w:rPr>
          <w:rFonts w:eastAsia="黑体"/>
          <w:b/>
          <w:bCs/>
          <w:szCs w:val="21"/>
        </w:rPr>
        <w:t>3.0.13</w:t>
      </w:r>
      <w:r>
        <w:rPr>
          <w:rFonts w:hint="eastAsia" w:ascii="宋体" w:hAnsi="宋体" w:cs="宋体"/>
          <w:szCs w:val="21"/>
        </w:rPr>
        <w:t>出于节约资源和可持续发展的需要，以及对城市轨道交通重要结构工程进行修理、拆除所带来的巨大经济损失和运营干扰的考虑，尽量提高结构设计工作年限有利于充分发挥投资效益和提高社会及环境效益。因此，尽可能提高结构物的安全与耐久性质量，延长结构物的工作年限，应作为结构设计的重要指导原则之一。</w:t>
      </w:r>
    </w:p>
    <w:p w14:paraId="24756C2D">
      <w:pPr>
        <w:ind w:firstLine="420"/>
        <w:rPr>
          <w:rFonts w:ascii="宋体" w:hAnsi="宋体" w:cs="宋体"/>
          <w:szCs w:val="21"/>
        </w:rPr>
      </w:pPr>
      <w:r>
        <w:rPr>
          <w:rFonts w:hint="eastAsia" w:ascii="宋体" w:hAnsi="宋体" w:cs="宋体"/>
          <w:szCs w:val="21"/>
        </w:rPr>
        <w:t>本规范提出城市轨道交通工程的主体结构、路基和道床结构以及损坏或维修会严重影响运营的其他结构工程设计工作年限为100年的规定。工作年限是指在一般维护条件下，能保证结构工程正常使用的最低时段。除主体结构外，如车站内部的钢筋混凝土楼板、站台板等，以及地铁运营控制中心等一些地面的重要建筑物，当破坏或大修时会危及安全或严重影响正常运营时，其设计工作年限也应采用100年，具体保证措施应符合本规范的有关规定。其他结构工程的设计工作年限及技术要求，应符合现行相关国家标准的规定。</w:t>
      </w:r>
    </w:p>
    <w:p w14:paraId="47C3BA56">
      <w:pPr>
        <w:rPr>
          <w:rFonts w:ascii="宋体" w:hAnsi="宋体" w:cs="宋体"/>
          <w:szCs w:val="21"/>
        </w:rPr>
      </w:pPr>
      <w:r>
        <w:rPr>
          <w:rFonts w:eastAsia="黑体"/>
          <w:b/>
          <w:bCs/>
          <w:szCs w:val="21"/>
        </w:rPr>
        <w:t xml:space="preserve">3.0.20 </w:t>
      </w:r>
      <w:r>
        <w:rPr>
          <w:rFonts w:hint="eastAsia" w:ascii="宋体" w:hAnsi="宋体" w:cs="宋体"/>
          <w:szCs w:val="21"/>
        </w:rPr>
        <w:t>城市轨道交通工程防灾设计应坚持“以人为本，预防为主，防消结合”和“自救为主，内外结合”的原则。</w:t>
      </w:r>
    </w:p>
    <w:p w14:paraId="3AD053BA">
      <w:pPr>
        <w:ind w:firstLine="420"/>
        <w:rPr>
          <w:rFonts w:ascii="宋体" w:hAnsi="宋体" w:cs="宋体"/>
          <w:szCs w:val="21"/>
        </w:rPr>
      </w:pPr>
      <w:r>
        <w:rPr>
          <w:rFonts w:hint="eastAsia" w:ascii="宋体" w:hAnsi="宋体" w:cs="宋体"/>
          <w:szCs w:val="21"/>
        </w:rPr>
        <w:t>城市轨道交通可能发生的灾害事故有火灾、水淹、地震、冰雪、风灾、雷击、停电、停车事故及人为事故等灾害，设计时应有针对性的采取措施。</w:t>
      </w:r>
    </w:p>
    <w:p w14:paraId="6528E248">
      <w:pPr>
        <w:ind w:firstLine="420"/>
        <w:rPr>
          <w:rFonts w:ascii="宋体" w:hAnsi="宋体" w:cs="宋体"/>
          <w:szCs w:val="21"/>
        </w:rPr>
      </w:pPr>
      <w:r>
        <w:rPr>
          <w:rFonts w:hint="eastAsia" w:ascii="宋体" w:hAnsi="宋体" w:cs="宋体"/>
          <w:szCs w:val="21"/>
        </w:rPr>
        <w:t>据统计，轨道交通发生最多、人员伤亡和经济损失最严重的事故是火灾，所以应把防止城市轨道交通火灾事故放在首要地位，采用比较全面、先进和可靠的防火灾设施和措施。</w:t>
      </w:r>
    </w:p>
    <w:p w14:paraId="6C7DCA95">
      <w:pPr>
        <w:ind w:firstLine="420"/>
        <w:rPr>
          <w:rFonts w:ascii="宋体" w:hAnsi="宋体" w:cs="宋体"/>
          <w:szCs w:val="21"/>
        </w:rPr>
      </w:pPr>
      <w:r>
        <w:rPr>
          <w:rFonts w:hint="eastAsia" w:ascii="宋体" w:hAnsi="宋体" w:cs="宋体"/>
          <w:szCs w:val="21"/>
        </w:rPr>
        <w:t>地下线路发生水淹事故同样会对设备和正常运营造成较大影响，国内已经有不少教训。城市轨道交通的防淹标准一般均高于城市防涝设防标准，设计中除保证正常情况下充足的排洪能力外，还应对超过标准暴雨强度情况下的应急防范采取措施，出入口应配备防淹栏板，占地多、汇水面积较大的车辆综合基地等宜设置隔离城市雨涝积水的屏障等。</w:t>
      </w:r>
    </w:p>
    <w:p w14:paraId="30D19B95">
      <w:pPr>
        <w:ind w:firstLine="420"/>
        <w:rPr>
          <w:rFonts w:ascii="宋体" w:hAnsi="宋体" w:cs="宋体"/>
          <w:szCs w:val="21"/>
        </w:rPr>
      </w:pPr>
      <w:r>
        <w:rPr>
          <w:rFonts w:hint="eastAsia" w:ascii="宋体" w:hAnsi="宋体" w:cs="宋体"/>
          <w:szCs w:val="21"/>
        </w:rPr>
        <w:t>城市轨道交通结构应具备抵御设计地震作用的能力，并且在高于设计地震烈度1度的罕遇地震作用下结构不出现严重破坏和快速恢复正常运营。虽然地下结构在地震荷载作用下的震害要小于同等震级作用下的地面结构震害，但鉴于城市轨道交通工程结构，尤其是地下结构受震害损坏后修复困难，并有可能长时间影响正常运营，因此要求城市轨道交通结构的抗震设防水平按高于地面结构的水平考虑。</w:t>
      </w:r>
    </w:p>
    <w:p w14:paraId="744A7ADE">
      <w:pPr>
        <w:ind w:firstLine="420"/>
        <w:rPr>
          <w:rFonts w:ascii="宋体" w:hAnsi="宋体" w:cs="宋体"/>
          <w:szCs w:val="21"/>
        </w:rPr>
      </w:pPr>
      <w:r>
        <w:rPr>
          <w:rFonts w:hint="eastAsia" w:ascii="宋体" w:hAnsi="宋体" w:cs="宋体"/>
          <w:szCs w:val="21"/>
        </w:rPr>
        <w:t>风灾主要是指超过一定级别的强风对地面和高架线路产生的影响。主要应关注两个方面的问题：</w:t>
      </w:r>
    </w:p>
    <w:p w14:paraId="68588B62">
      <w:pPr>
        <w:ind w:firstLine="420"/>
      </w:pPr>
      <w:r>
        <w:rPr>
          <w:rFonts w:hint="eastAsia"/>
          <w:b/>
        </w:rPr>
        <w:t xml:space="preserve">1 </w:t>
      </w:r>
      <w:r>
        <w:rPr>
          <w:rFonts w:hint="eastAsia"/>
        </w:rPr>
        <w:t xml:space="preserve"> 强风对列车安全行驶的影响；</w:t>
      </w:r>
    </w:p>
    <w:p w14:paraId="27E82ECE">
      <w:pPr>
        <w:ind w:firstLine="420"/>
      </w:pPr>
      <w:r>
        <w:rPr>
          <w:rFonts w:hint="eastAsia"/>
        </w:rPr>
        <w:t>2  强风对城市轨道交通设施的影响，如对接触网的影响等。</w:t>
      </w:r>
    </w:p>
    <w:p w14:paraId="11586683">
      <w:pPr>
        <w:ind w:firstLine="420"/>
        <w:rPr>
          <w:rFonts w:ascii="宋体" w:hAnsi="宋体" w:cs="宋体"/>
          <w:szCs w:val="21"/>
        </w:rPr>
      </w:pPr>
      <w:r>
        <w:rPr>
          <w:rFonts w:hint="eastAsia" w:ascii="宋体" w:hAnsi="宋体" w:cs="宋体"/>
          <w:szCs w:val="21"/>
        </w:rPr>
        <w:t>冰雪对地面及高架线路会产生较大的影响，设计时应对线路设施的防冰雪采取必要的措施，如在露天设置的岔线区设置融雪装置或设防雪棚，由地下转到地面线路的出洞口的防冰雪问题，坡道的适用坡度和防冰雪问题等。</w:t>
      </w:r>
    </w:p>
    <w:p w14:paraId="0761629F">
      <w:pPr>
        <w:ind w:firstLine="420"/>
        <w:rPr>
          <w:rFonts w:ascii="宋体" w:hAnsi="宋体" w:cs="宋体"/>
          <w:szCs w:val="21"/>
        </w:rPr>
      </w:pPr>
      <w:r>
        <w:rPr>
          <w:rFonts w:hint="eastAsia" w:ascii="宋体" w:hAnsi="宋体" w:cs="宋体"/>
          <w:szCs w:val="21"/>
        </w:rPr>
        <w:t>城市轨道交通地面工程应采取防止雷击的避雷措施。</w:t>
      </w:r>
    </w:p>
    <w:p w14:paraId="3E1115A0">
      <w:pPr>
        <w:rPr>
          <w:rFonts w:ascii="宋体" w:hAnsi="宋体" w:cs="宋体"/>
          <w:szCs w:val="21"/>
        </w:rPr>
      </w:pPr>
      <w:r>
        <w:rPr>
          <w:rFonts w:eastAsia="黑体"/>
          <w:b/>
          <w:bCs/>
          <w:szCs w:val="21"/>
        </w:rPr>
        <w:t xml:space="preserve">3.0.21 </w:t>
      </w:r>
      <w:r>
        <w:rPr>
          <w:rFonts w:ascii="宋体" w:hAnsi="宋体" w:cs="宋体"/>
          <w:b/>
          <w:bCs/>
          <w:szCs w:val="21"/>
        </w:rPr>
        <w:t xml:space="preserve"> </w:t>
      </w:r>
      <w:r>
        <w:rPr>
          <w:rFonts w:hint="eastAsia" w:ascii="宋体" w:hAnsi="宋体" w:cs="宋体"/>
          <w:szCs w:val="21"/>
        </w:rPr>
        <w:t>高架段受线间距限制，部分疏散平台可设置在线路外侧。“应”建议修改为“宜”。</w:t>
      </w:r>
    </w:p>
    <w:p w14:paraId="307766E1">
      <w:pPr>
        <w:widowControl/>
        <w:spacing w:line="240" w:lineRule="auto"/>
        <w:jc w:val="left"/>
        <w:rPr>
          <w:rFonts w:ascii="方正黑体_GBK" w:eastAsia="黑体"/>
          <w:sz w:val="18"/>
          <w:szCs w:val="18"/>
        </w:rPr>
      </w:pPr>
      <w:r>
        <w:rPr>
          <w:rFonts w:eastAsia="黑体"/>
        </w:rPr>
        <w:br w:type="page"/>
      </w:r>
    </w:p>
    <w:p w14:paraId="6FB291B7">
      <w:pPr>
        <w:pStyle w:val="240"/>
      </w:pPr>
      <w:bookmarkStart w:id="2222" w:name="_Toc183882265"/>
      <w:bookmarkStart w:id="2223" w:name="_Toc183735436"/>
      <w:bookmarkStart w:id="2224" w:name="_Toc183699892"/>
      <w:bookmarkStart w:id="2225" w:name="_Toc183882627"/>
      <w:bookmarkStart w:id="2226" w:name="_Toc183888317"/>
      <w:bookmarkStart w:id="2227" w:name="_Toc183790704"/>
      <w:bookmarkStart w:id="2228" w:name="_Toc183738096"/>
      <w:bookmarkStart w:id="2229" w:name="_Toc183765274"/>
      <w:bookmarkStart w:id="2230" w:name="_Toc183888679"/>
      <w:r>
        <w:rPr>
          <w:rFonts w:hint="eastAsia"/>
          <w:b/>
        </w:rPr>
        <w:t xml:space="preserve">4 </w:t>
      </w:r>
      <w:r>
        <w:rPr>
          <w:rFonts w:hint="eastAsia"/>
        </w:rPr>
        <w:t xml:space="preserve"> 运营组织</w:t>
      </w:r>
      <w:bookmarkEnd w:id="2222"/>
      <w:bookmarkEnd w:id="2223"/>
      <w:bookmarkEnd w:id="2224"/>
      <w:bookmarkEnd w:id="2225"/>
      <w:bookmarkEnd w:id="2226"/>
      <w:bookmarkEnd w:id="2227"/>
      <w:bookmarkEnd w:id="2228"/>
      <w:bookmarkEnd w:id="2229"/>
      <w:bookmarkEnd w:id="2230"/>
    </w:p>
    <w:p w14:paraId="308CFA5D">
      <w:pPr>
        <w:pStyle w:val="4"/>
        <w:numPr>
          <w:ilvl w:val="0"/>
          <w:numId w:val="0"/>
        </w:numPr>
      </w:pPr>
      <w:bookmarkStart w:id="2231" w:name="_Toc183882266"/>
      <w:bookmarkStart w:id="2232" w:name="_Toc183882628"/>
      <w:bookmarkStart w:id="2233" w:name="_Toc183738097"/>
      <w:bookmarkStart w:id="2234" w:name="_Toc183888680"/>
      <w:bookmarkStart w:id="2235" w:name="_Toc183765275"/>
      <w:bookmarkStart w:id="2236" w:name="_Toc183790705"/>
      <w:bookmarkStart w:id="2237" w:name="_Toc183888318"/>
      <w:r>
        <w:rPr>
          <w:rFonts w:hint="eastAsia"/>
          <w:b/>
        </w:rPr>
        <w:t>4</w:t>
      </w:r>
      <w:r>
        <w:rPr>
          <w:b/>
        </w:rPr>
        <w:t>.1</w:t>
      </w:r>
      <w:r>
        <w:rPr>
          <w:rFonts w:hint="eastAsia"/>
          <w:b/>
        </w:rPr>
        <w:t xml:space="preserve"> </w:t>
      </w:r>
      <w:r>
        <w:rPr>
          <w:rFonts w:hint="eastAsia"/>
        </w:rPr>
        <w:t xml:space="preserve"> 一般规定</w:t>
      </w:r>
      <w:bookmarkEnd w:id="2231"/>
      <w:bookmarkEnd w:id="2232"/>
      <w:bookmarkEnd w:id="2233"/>
      <w:bookmarkEnd w:id="2234"/>
      <w:bookmarkEnd w:id="2235"/>
      <w:bookmarkEnd w:id="2236"/>
      <w:bookmarkEnd w:id="2237"/>
    </w:p>
    <w:p w14:paraId="2B6D9661">
      <w:r>
        <w:rPr>
          <w:b/>
          <w:bCs/>
          <w:szCs w:val="28"/>
        </w:rPr>
        <w:t xml:space="preserve">4.1.2 </w:t>
      </w:r>
      <w:r>
        <w:rPr>
          <w:rFonts w:hint="eastAsia"/>
          <w:b/>
          <w:bCs/>
          <w:szCs w:val="28"/>
        </w:rPr>
        <w:t xml:space="preserve"> </w:t>
      </w:r>
      <w:r>
        <w:rPr>
          <w:rFonts w:hint="eastAsia"/>
        </w:rPr>
        <w:t>北京线网基本格局已经形成，未来发展的重点以网络优化、局部补强、提速提质、降低成本为方向，将出现多编组、快慢车、互联互通、过轨运输等复杂运输场景，前期客流准确研判的难度增大，运营期间调整的需求增强；为此规定运营设计应多场景分析，综合研判并合理选择适应多种行车模式的方案，并落实在工程建设需求中。</w:t>
      </w:r>
    </w:p>
    <w:p w14:paraId="262EE3DA">
      <w:pPr>
        <w:rPr>
          <w:bCs/>
          <w:szCs w:val="28"/>
        </w:rPr>
      </w:pPr>
      <w:r>
        <w:rPr>
          <w:b/>
          <w:bCs/>
          <w:szCs w:val="28"/>
        </w:rPr>
        <w:t xml:space="preserve">4.1.3 </w:t>
      </w:r>
      <w:r>
        <w:rPr>
          <w:rFonts w:hint="eastAsia"/>
          <w:b/>
          <w:bCs/>
          <w:szCs w:val="28"/>
        </w:rPr>
        <w:t xml:space="preserve"> </w:t>
      </w:r>
      <w:r>
        <w:rPr>
          <w:rFonts w:hint="eastAsia"/>
          <w:bCs/>
          <w:szCs w:val="28"/>
        </w:rPr>
        <w:t>运营规模的设计要求，明确影响运营规模的主要相关内容。</w:t>
      </w:r>
    </w:p>
    <w:p w14:paraId="6FE7E926">
      <w:pPr>
        <w:rPr>
          <w:bCs/>
          <w:szCs w:val="28"/>
        </w:rPr>
      </w:pPr>
      <w:r>
        <w:rPr>
          <w:b/>
        </w:rPr>
        <w:t xml:space="preserve">4.1.4 </w:t>
      </w:r>
      <w:r>
        <w:rPr>
          <w:rFonts w:hint="eastAsia"/>
          <w:b/>
        </w:rPr>
        <w:t xml:space="preserve"> </w:t>
      </w:r>
      <w:r>
        <w:rPr>
          <w:rFonts w:hint="eastAsia"/>
        </w:rPr>
        <w:t>明确系统运输能力与系统设计能力的关系</w:t>
      </w:r>
      <w:r>
        <w:rPr>
          <w:rFonts w:hint="eastAsia"/>
          <w:bCs/>
        </w:rPr>
        <w:t>。系统运输能力是根据客流需求提出的各设计年限的运输能力，系统能力线路设备设施可支持的行车能力，系统运输能力是确定系统设计能力的重要依据，系统设计能力是保障系统运输能力的必要条件。</w:t>
      </w:r>
    </w:p>
    <w:p w14:paraId="2EE85788">
      <w:pPr>
        <w:pStyle w:val="4"/>
        <w:numPr>
          <w:ilvl w:val="0"/>
          <w:numId w:val="0"/>
        </w:numPr>
      </w:pPr>
      <w:bookmarkStart w:id="2238" w:name="_Toc183882629"/>
      <w:bookmarkStart w:id="2239" w:name="_Toc183790706"/>
      <w:bookmarkStart w:id="2240" w:name="_Toc183888681"/>
      <w:bookmarkStart w:id="2241" w:name="_Toc183882267"/>
      <w:bookmarkStart w:id="2242" w:name="_Toc183888319"/>
      <w:bookmarkStart w:id="2243" w:name="_Toc183738098"/>
      <w:bookmarkStart w:id="2244" w:name="_Toc183765276"/>
      <w:r>
        <w:rPr>
          <w:rFonts w:hint="eastAsia"/>
          <w:b/>
        </w:rPr>
        <w:t>4</w:t>
      </w:r>
      <w:r>
        <w:rPr>
          <w:b/>
        </w:rPr>
        <w:t>.2</w:t>
      </w:r>
      <w:r>
        <w:rPr>
          <w:rFonts w:hint="eastAsia"/>
          <w:b/>
        </w:rPr>
        <w:t xml:space="preserve"> </w:t>
      </w:r>
      <w:r>
        <w:rPr>
          <w:rFonts w:hint="eastAsia"/>
        </w:rPr>
        <w:t xml:space="preserve"> 运营规模</w:t>
      </w:r>
      <w:bookmarkEnd w:id="2238"/>
      <w:bookmarkEnd w:id="2239"/>
      <w:bookmarkEnd w:id="2240"/>
      <w:bookmarkEnd w:id="2241"/>
      <w:bookmarkEnd w:id="2242"/>
      <w:bookmarkEnd w:id="2243"/>
      <w:bookmarkEnd w:id="2244"/>
    </w:p>
    <w:p w14:paraId="2272D8A5">
      <w:r>
        <w:rPr>
          <w:b/>
          <w:bCs/>
          <w:szCs w:val="28"/>
        </w:rPr>
        <w:t xml:space="preserve">4.2.1 </w:t>
      </w:r>
      <w:r>
        <w:rPr>
          <w:rFonts w:hint="eastAsia"/>
          <w:b/>
          <w:bCs/>
          <w:szCs w:val="28"/>
        </w:rPr>
        <w:t xml:space="preserve"> </w:t>
      </w:r>
      <w:r>
        <w:t>随着北京轨网规模的扩大，线路单公里客流量呈下降趋势，外围线路更是客流不足，未来客流风险更多的是体现在客流小于预期上，</w:t>
      </w:r>
      <w:r>
        <w:rPr>
          <w:rFonts w:hint="eastAsia"/>
        </w:rPr>
        <w:t>基于站席</w:t>
      </w:r>
      <w:r>
        <w:rPr>
          <w:rFonts w:hint="eastAsia" w:ascii="宋体" w:hAnsi="宋体" w:cs="宋体"/>
          <w:szCs w:val="21"/>
        </w:rPr>
        <w:t>密度</w:t>
      </w:r>
      <w:r>
        <w:rPr>
          <w:rFonts w:hint="eastAsia"/>
        </w:rPr>
        <w:t>标准4~</w:t>
      </w:r>
      <w:r>
        <w:t>5</w:t>
      </w:r>
      <w:r>
        <w:rPr>
          <w:rFonts w:hint="eastAsia"/>
        </w:rPr>
        <w:t>人/平米的标准，本条隐含了基于预测客流断面系统运输能力不留余量的方式。通过系统设计能力为实际运营创造1</w:t>
      </w:r>
      <w:r>
        <w:t>0</w:t>
      </w:r>
      <w:r>
        <w:rPr>
          <w:rFonts w:hint="eastAsia"/>
        </w:rPr>
        <w:t>%的余量条件，以控制规模、节省投资；当客流上浮1</w:t>
      </w:r>
      <w:r>
        <w:t>0</w:t>
      </w:r>
      <w:r>
        <w:rPr>
          <w:rFonts w:hint="eastAsia"/>
        </w:rPr>
        <w:t>%时，最大拥挤度依然不超过6人/平米，也满足项目设计规范对运能余量的要求。</w:t>
      </w:r>
    </w:p>
    <w:p w14:paraId="2AEDFC6C">
      <w:pPr>
        <w:ind w:firstLine="420"/>
        <w:rPr>
          <w:bCs/>
          <w:szCs w:val="28"/>
        </w:rPr>
      </w:pPr>
      <w:r>
        <w:rPr>
          <w:rFonts w:hint="eastAsia"/>
        </w:rPr>
        <w:t>为进一步合理化运能供给，引入了削峰设计的要求，针对</w:t>
      </w:r>
      <w:r>
        <w:t>客流锐化程度较高的线路，为避免因个别拥挤区间造成全线能力配置过高，纳入削峰设计理念。</w:t>
      </w:r>
      <w:r>
        <w:rPr>
          <w:rFonts w:hint="eastAsia"/>
        </w:rPr>
        <w:t>基于北京5人/平米的拥挤度标准，按最大断面折减</w:t>
      </w:r>
      <w:r>
        <w:t>90</w:t>
      </w:r>
      <w:r>
        <w:rPr>
          <w:rFonts w:hint="eastAsia"/>
        </w:rPr>
        <w:t>%配置运能后，最大拥挤度不超过6人/平米，也满足《城市轨道交通工程项目规范》的要求；选择不多于3个断面，一是对断面“锐化”程度有所量化规定，二是控制拥挤度区间数量，避免超过5人/平米数量过多。</w:t>
      </w:r>
    </w:p>
    <w:p w14:paraId="06F983D8">
      <w:r>
        <w:rPr>
          <w:b/>
        </w:rPr>
        <w:t xml:space="preserve">4.2.2 </w:t>
      </w:r>
      <w:r>
        <w:rPr>
          <w:rFonts w:hint="eastAsia"/>
          <w:b/>
        </w:rPr>
        <w:t xml:space="preserve"> </w:t>
      </w:r>
      <w:r>
        <w:rPr>
          <w:rFonts w:hint="eastAsia"/>
        </w:rPr>
        <w:t>本条规定的系统设计能力，是指线路各项基础条件（如配线、供电、信号、配车数量等）可支持的单位小时最大行车量，单位为双向的“对/</w:t>
      </w:r>
      <w:r>
        <w:t>h</w:t>
      </w:r>
      <w:r>
        <w:rPr>
          <w:rFonts w:hint="eastAsia"/>
        </w:rPr>
        <w:t>”，或单向的“列/h”，线路提供的运输能力是在系统设计能力的基础上，根据客流运输需求进行供给。</w:t>
      </w:r>
    </w:p>
    <w:p w14:paraId="2D43A952">
      <w:pPr>
        <w:tabs>
          <w:tab w:val="left" w:pos="709"/>
          <w:tab w:val="left" w:pos="794"/>
          <w:tab w:val="left" w:pos="851"/>
        </w:tabs>
        <w:ind w:firstLine="420"/>
        <w:jc w:val="left"/>
        <w:outlineLvl w:val="2"/>
      </w:pPr>
      <w:r>
        <w:rPr>
          <w:rFonts w:hint="eastAsia"/>
        </w:rPr>
        <w:t xml:space="preserve">第1款 </w:t>
      </w:r>
      <w:r>
        <w:t xml:space="preserve"> </w:t>
      </w:r>
      <w:r>
        <w:rPr>
          <w:rFonts w:hint="eastAsia"/>
        </w:rPr>
        <w:t>规定系统设计能力可为运输能力提供1</w:t>
      </w:r>
      <w:r>
        <w:t>0</w:t>
      </w:r>
      <w:r>
        <w:rPr>
          <w:rFonts w:hint="eastAsia"/>
        </w:rPr>
        <w:t>%的适应性余量，如按运输能力确定行车量为2</w:t>
      </w:r>
      <w:r>
        <w:t>0</w:t>
      </w:r>
      <w:r>
        <w:rPr>
          <w:rFonts w:hint="eastAsia"/>
        </w:rPr>
        <w:t>对/</w:t>
      </w:r>
      <w:r>
        <w:t>h</w:t>
      </w:r>
      <w:r>
        <w:rPr>
          <w:rFonts w:hint="eastAsia"/>
        </w:rPr>
        <w:t>，则系统能力不应低于2</w:t>
      </w:r>
      <w:r>
        <w:t>2</w:t>
      </w:r>
      <w:r>
        <w:rPr>
          <w:rFonts w:hint="eastAsia"/>
        </w:rPr>
        <w:t>对/</w:t>
      </w:r>
      <w:r>
        <w:t>h</w:t>
      </w:r>
      <w:r>
        <w:rPr>
          <w:rFonts w:hint="eastAsia"/>
        </w:rPr>
        <w:t>。是从线路能力层面为运输能力储备余量，以控制实际设计规模。</w:t>
      </w:r>
    </w:p>
    <w:p w14:paraId="17C37CF1">
      <w:pPr>
        <w:tabs>
          <w:tab w:val="left" w:pos="709"/>
          <w:tab w:val="left" w:pos="794"/>
          <w:tab w:val="left" w:pos="851"/>
        </w:tabs>
        <w:ind w:firstLine="420"/>
        <w:jc w:val="left"/>
        <w:outlineLvl w:val="2"/>
      </w:pPr>
      <w:r>
        <w:rPr>
          <w:rFonts w:hint="eastAsia"/>
        </w:rPr>
        <w:t xml:space="preserve">第2款 </w:t>
      </w:r>
      <w:r>
        <w:t xml:space="preserve"> </w:t>
      </w:r>
      <w:r>
        <w:rPr>
          <w:rFonts w:hint="eastAsia"/>
        </w:rPr>
        <w:t>北京市已进入大规模网络运营时代，线路最大客流或最小间隔需求年可能并不出现在远期，为此不规定某设计年限的系统能力要求。同时因城市范围的扩大，同一线路沿线的规划密度、建设条件、服务需求也有较大差异，为提高资源配置效率，提出根据具体需求配置系统能力的原则。</w:t>
      </w:r>
    </w:p>
    <w:p w14:paraId="419CEE56">
      <w:pPr>
        <w:tabs>
          <w:tab w:val="left" w:pos="709"/>
          <w:tab w:val="left" w:pos="794"/>
          <w:tab w:val="left" w:pos="851"/>
        </w:tabs>
        <w:ind w:firstLine="420"/>
        <w:jc w:val="left"/>
        <w:outlineLvl w:val="2"/>
      </w:pPr>
      <w:r>
        <w:rPr>
          <w:rFonts w:hint="eastAsia"/>
        </w:rPr>
        <w:t>因北京市线网结构复杂、客流特征有别，以某具体地理分界难以准确涵盖多样的应用场景，为此针对系统能力与客运需求这一核心供需关系，提出结合客流断面形态，以设计的最大行车密度交路范围划分的方式，最大行车密度范围内站站停模式不宜低于3</w:t>
      </w:r>
      <w:r>
        <w:t>0</w:t>
      </w:r>
      <w:r>
        <w:rPr>
          <w:rFonts w:hint="eastAsia"/>
        </w:rPr>
        <w:t>对</w:t>
      </w:r>
      <w:r>
        <w:t>/h</w:t>
      </w:r>
      <w:r>
        <w:rPr>
          <w:rFonts w:hint="eastAsia"/>
        </w:rPr>
        <w:t>，快慢车模式因有能力扣除不宜低于2</w:t>
      </w:r>
      <w:r>
        <w:t>0</w:t>
      </w:r>
      <w:r>
        <w:rPr>
          <w:rFonts w:hint="eastAsia"/>
        </w:rPr>
        <w:t>对/</w:t>
      </w:r>
      <w:r>
        <w:t>h</w:t>
      </w:r>
      <w:r>
        <w:rPr>
          <w:rFonts w:hint="eastAsia"/>
        </w:rPr>
        <w:t>，充分发挥设备功能；低断面范围不宜低于2</w:t>
      </w:r>
      <w:r>
        <w:t>0</w:t>
      </w:r>
      <w:r>
        <w:rPr>
          <w:rFonts w:hint="eastAsia"/>
        </w:rPr>
        <w:t>对/</w:t>
      </w:r>
      <w:r>
        <w:t>h</w:t>
      </w:r>
      <w:r>
        <w:rPr>
          <w:rFonts w:hint="eastAsia"/>
        </w:rPr>
        <w:t>，节省工程投资的基础上预留发展空间，并包容组织不越行快车等灵活运营方式；支线按具备主支1:1的行车组织比例，以不低于3</w:t>
      </w:r>
      <w:r>
        <w:t>0</w:t>
      </w:r>
      <w:r>
        <w:rPr>
          <w:rFonts w:hint="eastAsia"/>
        </w:rPr>
        <w:t>对/</w:t>
      </w:r>
      <w:r>
        <w:t>h</w:t>
      </w:r>
      <w:r>
        <w:rPr>
          <w:rFonts w:hint="eastAsia"/>
        </w:rPr>
        <w:t>的5</w:t>
      </w:r>
      <w:r>
        <w:t>0</w:t>
      </w:r>
      <w:r>
        <w:rPr>
          <w:rFonts w:hint="eastAsia"/>
        </w:rPr>
        <w:t>%规定。</w:t>
      </w:r>
    </w:p>
    <w:p w14:paraId="3C702957">
      <w:pPr>
        <w:rPr>
          <w:bCs/>
          <w:szCs w:val="28"/>
        </w:rPr>
      </w:pPr>
      <w:r>
        <w:rPr>
          <w:b/>
          <w:bCs/>
          <w:szCs w:val="28"/>
        </w:rPr>
        <w:t>4</w:t>
      </w:r>
      <w:r>
        <w:rPr>
          <w:rFonts w:hint="eastAsia"/>
          <w:b/>
          <w:bCs/>
          <w:szCs w:val="28"/>
        </w:rPr>
        <w:t>.2.</w:t>
      </w:r>
      <w:r>
        <w:rPr>
          <w:b/>
          <w:bCs/>
          <w:szCs w:val="28"/>
        </w:rPr>
        <w:t>3</w:t>
      </w:r>
      <w:r>
        <w:rPr>
          <w:rFonts w:hint="eastAsia"/>
          <w:b/>
          <w:bCs/>
          <w:szCs w:val="28"/>
        </w:rPr>
        <w:t xml:space="preserve">  </w:t>
      </w:r>
      <w:r>
        <w:rPr>
          <w:rFonts w:hint="eastAsia"/>
          <w:bCs/>
          <w:szCs w:val="28"/>
        </w:rPr>
        <w:t xml:space="preserve">第3款 </w:t>
      </w:r>
      <w:r>
        <w:rPr>
          <w:bCs/>
          <w:szCs w:val="28"/>
        </w:rPr>
        <w:t xml:space="preserve"> </w:t>
      </w:r>
      <w:r>
        <w:rPr>
          <w:rFonts w:hint="eastAsia"/>
        </w:rPr>
        <w:t>鉴于不同编组混跑带来的运力不均衡问题，提出最长最短编组列车运能差异的适度限制，避免出现列车拥挤度严重不均衡现象</w:t>
      </w:r>
      <w:r>
        <w:rPr>
          <w:rFonts w:hint="eastAsia"/>
          <w:bCs/>
          <w:szCs w:val="28"/>
        </w:rPr>
        <w:t>。</w:t>
      </w:r>
    </w:p>
    <w:p w14:paraId="35EECF1D">
      <w:pPr>
        <w:rPr>
          <w:bCs/>
          <w:szCs w:val="28"/>
        </w:rPr>
      </w:pPr>
      <w:r>
        <w:rPr>
          <w:rFonts w:hint="eastAsia"/>
          <w:b/>
          <w:bCs/>
          <w:szCs w:val="28"/>
        </w:rPr>
        <w:t>4</w:t>
      </w:r>
      <w:r>
        <w:rPr>
          <w:b/>
          <w:bCs/>
          <w:szCs w:val="28"/>
        </w:rPr>
        <w:t xml:space="preserve">.2.5 </w:t>
      </w:r>
      <w:r>
        <w:rPr>
          <w:rFonts w:hint="eastAsia"/>
          <w:b/>
          <w:bCs/>
          <w:szCs w:val="28"/>
        </w:rPr>
        <w:t xml:space="preserve"> </w:t>
      </w:r>
      <w:r>
        <w:rPr>
          <w:rFonts w:hint="eastAsia"/>
          <w:bCs/>
        </w:rPr>
        <w:t>补充</w:t>
      </w:r>
      <w:r>
        <w:rPr>
          <w:rFonts w:hint="eastAsia" w:ascii="宋体" w:hAnsi="宋体" w:cs="宋体"/>
          <w:szCs w:val="21"/>
        </w:rPr>
        <w:t>线路</w:t>
      </w:r>
      <w:r>
        <w:rPr>
          <w:rFonts w:hint="eastAsia"/>
          <w:bCs/>
        </w:rPr>
        <w:t>最高运行速度确定的原则要求；基于北京市城市空间扩展、组团空间布局、副中心规划落地等要求，线路在物理形态上出现长度长、支线多、站间距随城市建设密度不均衡的特点，同时为保障系统的运输效率，在运营方式上出现快慢车、跨线运营等模式减少出行时间，为此提出了结合不同建设环境、运营方式下的速度比选要求，必要时应进行分段考虑，客流集中运输区段范围保持高速度，客流集散区段保证衔接方便、可适度降低速度标准。</w:t>
      </w:r>
    </w:p>
    <w:p w14:paraId="258C6394">
      <w:r>
        <w:rPr>
          <w:b/>
          <w:bCs/>
          <w:szCs w:val="28"/>
        </w:rPr>
        <w:t>4</w:t>
      </w:r>
      <w:r>
        <w:rPr>
          <w:rFonts w:hint="eastAsia"/>
          <w:b/>
          <w:bCs/>
          <w:szCs w:val="28"/>
        </w:rPr>
        <w:t>.2.</w:t>
      </w:r>
      <w:r>
        <w:rPr>
          <w:b/>
          <w:bCs/>
          <w:szCs w:val="28"/>
        </w:rPr>
        <w:t>6</w:t>
      </w:r>
      <w:r>
        <w:rPr>
          <w:rFonts w:hint="eastAsia"/>
          <w:b/>
          <w:bCs/>
          <w:szCs w:val="28"/>
        </w:rPr>
        <w:t xml:space="preserve">  </w:t>
      </w:r>
      <w:r>
        <w:rPr>
          <w:rFonts w:hint="eastAsia"/>
        </w:rPr>
        <w:t>针对不同的最高速度，结合快慢车、站站停运营模式，提出了不同的速度效率的规定要求。</w:t>
      </w:r>
    </w:p>
    <w:p w14:paraId="15D4E8A7">
      <w:pPr>
        <w:ind w:firstLine="420"/>
        <w:rPr>
          <w:b/>
        </w:rPr>
      </w:pPr>
      <w:r>
        <w:rPr>
          <w:rFonts w:hint="eastAsia"/>
        </w:rPr>
        <w:t>通过对不同线路设计速度、不同站间距条件下的平直段线路进行模拟牵引计算，所得速度效率如下表。</w:t>
      </w:r>
    </w:p>
    <w:p w14:paraId="23EE17E0">
      <w:pPr>
        <w:tabs>
          <w:tab w:val="left" w:pos="709"/>
          <w:tab w:val="left" w:pos="794"/>
          <w:tab w:val="left" w:pos="851"/>
        </w:tabs>
        <w:ind w:firstLine="420"/>
        <w:jc w:val="center"/>
        <w:outlineLvl w:val="2"/>
        <w:rPr>
          <w:bCs/>
          <w:szCs w:val="28"/>
        </w:rPr>
      </w:pPr>
      <w:r>
        <w:rPr>
          <w:rFonts w:hint="eastAsia"/>
          <w:bCs/>
          <w:szCs w:val="28"/>
        </w:rPr>
        <w:t>表4</w:t>
      </w:r>
      <w:r>
        <w:rPr>
          <w:bCs/>
          <w:szCs w:val="28"/>
        </w:rPr>
        <w:t>.</w:t>
      </w:r>
      <w:r>
        <w:rPr>
          <w:rFonts w:hint="eastAsia"/>
          <w:bCs/>
          <w:szCs w:val="28"/>
        </w:rPr>
        <w:t>2.6-</w:t>
      </w:r>
      <w:r>
        <w:rPr>
          <w:bCs/>
          <w:szCs w:val="28"/>
        </w:rPr>
        <w:t xml:space="preserve">1  </w:t>
      </w:r>
      <w:r>
        <w:rPr>
          <w:rFonts w:hint="eastAsia"/>
          <w:bCs/>
          <w:szCs w:val="28"/>
        </w:rPr>
        <w:t>不同停站间距条件下速度效率统计表</w:t>
      </w:r>
    </w:p>
    <w:tbl>
      <w:tblPr>
        <w:tblStyle w:val="88"/>
        <w:tblW w:w="6144" w:type="dxa"/>
        <w:tblInd w:w="0" w:type="dxa"/>
        <w:tblLayout w:type="fixed"/>
        <w:tblCellMar>
          <w:top w:w="0" w:type="dxa"/>
          <w:left w:w="0" w:type="dxa"/>
          <w:bottom w:w="0" w:type="dxa"/>
          <w:right w:w="0" w:type="dxa"/>
        </w:tblCellMar>
      </w:tblPr>
      <w:tblGrid>
        <w:gridCol w:w="583"/>
        <w:gridCol w:w="352"/>
        <w:gridCol w:w="336"/>
        <w:gridCol w:w="400"/>
        <w:gridCol w:w="421"/>
        <w:gridCol w:w="272"/>
        <w:gridCol w:w="398"/>
        <w:gridCol w:w="421"/>
        <w:gridCol w:w="272"/>
        <w:gridCol w:w="398"/>
        <w:gridCol w:w="421"/>
        <w:gridCol w:w="335"/>
        <w:gridCol w:w="398"/>
        <w:gridCol w:w="421"/>
        <w:gridCol w:w="335"/>
        <w:gridCol w:w="381"/>
      </w:tblGrid>
      <w:tr w14:paraId="09D4F892">
        <w:tblPrEx>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0016B19D">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线路定位</w:t>
            </w:r>
          </w:p>
        </w:tc>
        <w:tc>
          <w:tcPr>
            <w:tcW w:w="1088"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01A88139">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普速线</w:t>
            </w:r>
          </w:p>
        </w:tc>
        <w:tc>
          <w:tcPr>
            <w:tcW w:w="4473" w:type="dxa"/>
            <w:gridSpan w:val="12"/>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38720921">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快线</w:t>
            </w:r>
          </w:p>
        </w:tc>
      </w:tr>
      <w:tr w14:paraId="2EBC5D88">
        <w:tblPrEx>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4A50BD13">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线路运营长度</w:t>
            </w:r>
          </w:p>
        </w:tc>
        <w:tc>
          <w:tcPr>
            <w:tcW w:w="1088"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1672590C">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≤40km</w:t>
            </w:r>
          </w:p>
        </w:tc>
        <w:tc>
          <w:tcPr>
            <w:tcW w:w="1091"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3BCEDE5A">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≤50km</w:t>
            </w:r>
          </w:p>
        </w:tc>
        <w:tc>
          <w:tcPr>
            <w:tcW w:w="1091"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0A34F6FE">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≤60km</w:t>
            </w:r>
          </w:p>
        </w:tc>
        <w:tc>
          <w:tcPr>
            <w:tcW w:w="2291" w:type="dxa"/>
            <w:gridSpan w:val="6"/>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2CF42F03">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≤70~80km</w:t>
            </w:r>
          </w:p>
        </w:tc>
      </w:tr>
      <w:tr w14:paraId="0408E065">
        <w:tblPrEx>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0B5D0346">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最高运行速度</w:t>
            </w:r>
          </w:p>
        </w:tc>
        <w:tc>
          <w:tcPr>
            <w:tcW w:w="1088"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0A53583E">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80km/h</w:t>
            </w:r>
          </w:p>
        </w:tc>
        <w:tc>
          <w:tcPr>
            <w:tcW w:w="1091"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3A6D04C3">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100km/h</w:t>
            </w:r>
          </w:p>
        </w:tc>
        <w:tc>
          <w:tcPr>
            <w:tcW w:w="1091"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035C7633">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120km/h</w:t>
            </w:r>
          </w:p>
        </w:tc>
        <w:tc>
          <w:tcPr>
            <w:tcW w:w="1154" w:type="dxa"/>
            <w:gridSpan w:val="3"/>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0D2F2F57">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140km/h</w:t>
            </w:r>
          </w:p>
        </w:tc>
        <w:tc>
          <w:tcPr>
            <w:tcW w:w="1137"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6637C18B">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160km/h</w:t>
            </w:r>
          </w:p>
        </w:tc>
      </w:tr>
      <w:tr w14:paraId="2E04B662">
        <w:tblPrEx>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63952F92">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速度效率</w:t>
            </w:r>
          </w:p>
        </w:tc>
        <w:tc>
          <w:tcPr>
            <w:tcW w:w="35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6D4EECAC">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旅行速度</w:t>
            </w:r>
          </w:p>
        </w:tc>
        <w:tc>
          <w:tcPr>
            <w:tcW w:w="336"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07DA6D43">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站间距</w:t>
            </w:r>
          </w:p>
        </w:tc>
        <w:tc>
          <w:tcPr>
            <w:tcW w:w="400"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619E50AB">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达速比</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1189AC35">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旅行速度</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69A018EF">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站间距</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3DE9850E">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达速比</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42A24A12">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旅行速度</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6700622A">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站间距</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14C2C5FE">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达速比</w:t>
            </w:r>
          </w:p>
        </w:tc>
        <w:tc>
          <w:tcPr>
            <w:tcW w:w="421"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0F3267DC">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旅行速度</w:t>
            </w:r>
          </w:p>
        </w:tc>
        <w:tc>
          <w:tcPr>
            <w:tcW w:w="335"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1BC71A72">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站间距</w:t>
            </w:r>
          </w:p>
        </w:tc>
        <w:tc>
          <w:tcPr>
            <w:tcW w:w="398"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404E51BE">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达速比</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17A2C70F">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旅行速度</w:t>
            </w:r>
          </w:p>
        </w:tc>
        <w:tc>
          <w:tcPr>
            <w:tcW w:w="335"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5ABB468A">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站间距</w:t>
            </w:r>
          </w:p>
        </w:tc>
        <w:tc>
          <w:tcPr>
            <w:tcW w:w="38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5D8E0FE5">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达速比</w:t>
            </w:r>
          </w:p>
        </w:tc>
      </w:tr>
      <w:tr w14:paraId="56C8BBEF">
        <w:tblPrEx>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05D5A08D">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50%</w:t>
            </w:r>
          </w:p>
        </w:tc>
        <w:tc>
          <w:tcPr>
            <w:tcW w:w="35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6F7CF79E">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40</w:t>
            </w:r>
          </w:p>
        </w:tc>
        <w:tc>
          <w:tcPr>
            <w:tcW w:w="336"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283463A8">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1.4</w:t>
            </w:r>
          </w:p>
        </w:tc>
        <w:tc>
          <w:tcPr>
            <w:tcW w:w="400"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7CDFF639">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0.51</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36F5F2E0">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50</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1473531E">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2</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27487446">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0.50</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21A17B1F">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60</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4AFD17FF">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2.8</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6A8E7344">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0.47</w:t>
            </w:r>
          </w:p>
        </w:tc>
        <w:tc>
          <w:tcPr>
            <w:tcW w:w="421"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75E8EB8A">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70</w:t>
            </w:r>
          </w:p>
        </w:tc>
        <w:tc>
          <w:tcPr>
            <w:tcW w:w="335"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03A1064C">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4.0</w:t>
            </w:r>
          </w:p>
        </w:tc>
        <w:tc>
          <w:tcPr>
            <w:tcW w:w="398"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537B3A25">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0.45</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3972818C">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80</w:t>
            </w:r>
          </w:p>
        </w:tc>
        <w:tc>
          <w:tcPr>
            <w:tcW w:w="335"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78E0A51B">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5</w:t>
            </w:r>
          </w:p>
        </w:tc>
        <w:tc>
          <w:tcPr>
            <w:tcW w:w="38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5D2B076D">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0.41</w:t>
            </w:r>
          </w:p>
        </w:tc>
      </w:tr>
      <w:tr w14:paraId="30B80FDC">
        <w:tblPrEx>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6DDEA9C5">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60%</w:t>
            </w:r>
          </w:p>
        </w:tc>
        <w:tc>
          <w:tcPr>
            <w:tcW w:w="35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1223E4A1">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48</w:t>
            </w:r>
          </w:p>
        </w:tc>
        <w:tc>
          <w:tcPr>
            <w:tcW w:w="336"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0606A3EC">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2.2</w:t>
            </w:r>
          </w:p>
        </w:tc>
        <w:tc>
          <w:tcPr>
            <w:tcW w:w="400"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47CB4763">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0.69</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5C7E72B6">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60</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7A039079">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3</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75CA626C">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0.67</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702EBBCC">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72</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4BE776F9">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4.3</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09CBFDA9">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0.66</w:t>
            </w:r>
          </w:p>
        </w:tc>
        <w:tc>
          <w:tcPr>
            <w:tcW w:w="421"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71CEEFA5">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84</w:t>
            </w:r>
          </w:p>
        </w:tc>
        <w:tc>
          <w:tcPr>
            <w:tcW w:w="335"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2ACC7013">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6.0</w:t>
            </w:r>
          </w:p>
        </w:tc>
        <w:tc>
          <w:tcPr>
            <w:tcW w:w="398"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7FF4485D">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0.63</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59891237">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96</w:t>
            </w:r>
          </w:p>
        </w:tc>
        <w:tc>
          <w:tcPr>
            <w:tcW w:w="335"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7A8CC0B0">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7.8</w:t>
            </w:r>
          </w:p>
        </w:tc>
        <w:tc>
          <w:tcPr>
            <w:tcW w:w="38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04C911AF">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0.62</w:t>
            </w:r>
          </w:p>
        </w:tc>
      </w:tr>
      <w:tr w14:paraId="116EE327">
        <w:tblPrEx>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204547FC">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70%</w:t>
            </w:r>
          </w:p>
        </w:tc>
        <w:tc>
          <w:tcPr>
            <w:tcW w:w="35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1CE758F4">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56</w:t>
            </w:r>
          </w:p>
        </w:tc>
        <w:tc>
          <w:tcPr>
            <w:tcW w:w="336"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724C4A46">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3.6</w:t>
            </w:r>
          </w:p>
        </w:tc>
        <w:tc>
          <w:tcPr>
            <w:tcW w:w="400"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73CA6420">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0.81</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367013D7">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70</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04B5EE75">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4.9</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5289BFB1">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0.80</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098BC431">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84</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51F24BF0">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5758229C">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0.79</w:t>
            </w:r>
          </w:p>
        </w:tc>
        <w:tc>
          <w:tcPr>
            <w:tcW w:w="421"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6B348E24">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98</w:t>
            </w:r>
          </w:p>
        </w:tc>
        <w:tc>
          <w:tcPr>
            <w:tcW w:w="335"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5A3DE241">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10</w:t>
            </w:r>
          </w:p>
        </w:tc>
        <w:tc>
          <w:tcPr>
            <w:tcW w:w="398"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131DB61A">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0.78</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75DFB8CB">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112</w:t>
            </w:r>
          </w:p>
        </w:tc>
        <w:tc>
          <w:tcPr>
            <w:tcW w:w="335"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22C12A2D">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12.9</w:t>
            </w:r>
          </w:p>
        </w:tc>
        <w:tc>
          <w:tcPr>
            <w:tcW w:w="38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677BBF83">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0.77</w:t>
            </w:r>
          </w:p>
        </w:tc>
      </w:tr>
      <w:tr w14:paraId="32BCFA21">
        <w:tblPrEx>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660D0B7C">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80%</w:t>
            </w:r>
          </w:p>
        </w:tc>
        <w:tc>
          <w:tcPr>
            <w:tcW w:w="35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1D7E765B">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64</w:t>
            </w:r>
          </w:p>
        </w:tc>
        <w:tc>
          <w:tcPr>
            <w:tcW w:w="336"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178F4087">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7.1</w:t>
            </w:r>
          </w:p>
        </w:tc>
        <w:tc>
          <w:tcPr>
            <w:tcW w:w="400"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6DAB28BF">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0.90</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5A471FF2">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80</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75A16ACA">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9.4</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4C8ACC74">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0.89</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03D26EC3">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96</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3AEFE28A">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13</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1FD2AEB6">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0.89</w:t>
            </w:r>
          </w:p>
        </w:tc>
        <w:tc>
          <w:tcPr>
            <w:tcW w:w="421"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70854924">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112</w:t>
            </w:r>
          </w:p>
        </w:tc>
        <w:tc>
          <w:tcPr>
            <w:tcW w:w="335"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4453DFCA">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20.3</w:t>
            </w:r>
          </w:p>
        </w:tc>
        <w:tc>
          <w:tcPr>
            <w:tcW w:w="398"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14:paraId="60BD3002">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0.89</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54E79E95">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128</w:t>
            </w:r>
          </w:p>
        </w:tc>
        <w:tc>
          <w:tcPr>
            <w:tcW w:w="335"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54BB9C82">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25.6</w:t>
            </w:r>
          </w:p>
        </w:tc>
        <w:tc>
          <w:tcPr>
            <w:tcW w:w="38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14:paraId="3C701406">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0.88</w:t>
            </w:r>
          </w:p>
        </w:tc>
      </w:tr>
    </w:tbl>
    <w:p w14:paraId="16D49690">
      <w:pPr>
        <w:tabs>
          <w:tab w:val="left" w:pos="709"/>
          <w:tab w:val="left" w:pos="794"/>
          <w:tab w:val="left" w:pos="851"/>
        </w:tabs>
        <w:ind w:firstLine="420"/>
        <w:jc w:val="left"/>
        <w:outlineLvl w:val="2"/>
        <w:rPr>
          <w:bCs/>
          <w:szCs w:val="28"/>
        </w:rPr>
      </w:pPr>
      <w:r>
        <w:rPr>
          <w:rFonts w:hint="eastAsia"/>
          <w:bCs/>
          <w:szCs w:val="28"/>
        </w:rPr>
        <w:t>上述理论计算是基于平直段的良好线路条件，现实中多有限速曲线、出站上坡等不利因素；结合北京各交通圈层设站宏观规律以及运营各线实际速度效率水平，提出站站停模式全线速度效率不低于4</w:t>
      </w:r>
      <w:r>
        <w:rPr>
          <w:bCs/>
          <w:szCs w:val="28"/>
        </w:rPr>
        <w:t>5</w:t>
      </w:r>
      <w:r>
        <w:rPr>
          <w:rFonts w:hint="eastAsia"/>
          <w:bCs/>
          <w:szCs w:val="28"/>
        </w:rPr>
        <w:t>%，通勤主通道客流断面高，时间节省对总体出行效率提高意义更加重点，为此提高效率要求至5</w:t>
      </w:r>
      <w:r>
        <w:rPr>
          <w:bCs/>
          <w:szCs w:val="28"/>
        </w:rPr>
        <w:t>0</w:t>
      </w:r>
      <w:r>
        <w:rPr>
          <w:rFonts w:hint="eastAsia"/>
          <w:bCs/>
          <w:szCs w:val="28"/>
        </w:rPr>
        <w:t>%。</w:t>
      </w:r>
    </w:p>
    <w:p w14:paraId="74A0CC3B">
      <w:pPr>
        <w:tabs>
          <w:tab w:val="left" w:pos="709"/>
          <w:tab w:val="left" w:pos="794"/>
          <w:tab w:val="left" w:pos="851"/>
        </w:tabs>
        <w:ind w:firstLine="420"/>
        <w:jc w:val="left"/>
        <w:outlineLvl w:val="2"/>
        <w:rPr>
          <w:bCs/>
          <w:szCs w:val="28"/>
        </w:rPr>
      </w:pPr>
      <w:r>
        <w:rPr>
          <w:rFonts w:hint="eastAsia"/>
          <w:bCs/>
          <w:szCs w:val="28"/>
        </w:rPr>
        <w:t>快车速度效率不宜低于6</w:t>
      </w:r>
      <w:r>
        <w:rPr>
          <w:bCs/>
          <w:szCs w:val="28"/>
        </w:rPr>
        <w:t>0</w:t>
      </w:r>
      <w:r>
        <w:rPr>
          <w:rFonts w:hint="eastAsia"/>
          <w:bCs/>
          <w:szCs w:val="28"/>
        </w:rPr>
        <w:t>%，是基于甩站</w:t>
      </w:r>
      <w:r>
        <w:rPr>
          <w:bCs/>
          <w:szCs w:val="28"/>
        </w:rPr>
        <w:t>33</w:t>
      </w:r>
      <w:r>
        <w:rPr>
          <w:rFonts w:hint="eastAsia"/>
          <w:bCs/>
          <w:szCs w:val="28"/>
        </w:rPr>
        <w:t>%的比例，通过停站间距的分析，慢车不宜低于4</w:t>
      </w:r>
      <w:r>
        <w:rPr>
          <w:bCs/>
          <w:szCs w:val="28"/>
        </w:rPr>
        <w:t>0</w:t>
      </w:r>
      <w:r>
        <w:rPr>
          <w:rFonts w:hint="eastAsia"/>
          <w:bCs/>
          <w:szCs w:val="28"/>
        </w:rPr>
        <w:t>%是底限要求。</w:t>
      </w:r>
    </w:p>
    <w:p w14:paraId="57C7DCEE">
      <w:pPr>
        <w:rPr>
          <w:bCs/>
          <w:szCs w:val="28"/>
        </w:rPr>
      </w:pPr>
      <w:r>
        <w:rPr>
          <w:rFonts w:hint="eastAsia"/>
          <w:b/>
          <w:bCs/>
          <w:szCs w:val="28"/>
        </w:rPr>
        <w:t>4</w:t>
      </w:r>
      <w:r>
        <w:rPr>
          <w:b/>
          <w:bCs/>
          <w:szCs w:val="28"/>
        </w:rPr>
        <w:t xml:space="preserve">.2.6  </w:t>
      </w:r>
      <w:r>
        <w:rPr>
          <w:rFonts w:hint="eastAsia"/>
        </w:rPr>
        <w:t>全自动运行线路列车具备自动进出正线停车线及休眠、唤醒功能，对司机绑定不强，为此提出可结合列检周期进行正线停车，即节约了车辆基地占地同时可减少列车空走，便于早晚收发车。</w:t>
      </w:r>
    </w:p>
    <w:p w14:paraId="29738D13">
      <w:pPr>
        <w:pStyle w:val="4"/>
        <w:numPr>
          <w:ilvl w:val="0"/>
          <w:numId w:val="0"/>
        </w:numPr>
      </w:pPr>
      <w:bookmarkStart w:id="2245" w:name="_Toc357929495"/>
      <w:bookmarkStart w:id="2246" w:name="_Toc183765277"/>
      <w:bookmarkStart w:id="2247" w:name="_Toc183888320"/>
      <w:bookmarkStart w:id="2248" w:name="_Toc183790707"/>
      <w:bookmarkStart w:id="2249" w:name="_Toc183882268"/>
      <w:bookmarkStart w:id="2250" w:name="_Toc183888682"/>
      <w:bookmarkStart w:id="2251" w:name="_Toc183738099"/>
      <w:bookmarkStart w:id="2252" w:name="_Toc183882630"/>
      <w:r>
        <w:rPr>
          <w:b/>
        </w:rPr>
        <w:t>4</w:t>
      </w:r>
      <w:r>
        <w:rPr>
          <w:rFonts w:hint="eastAsia"/>
          <w:b/>
        </w:rPr>
        <w:t xml:space="preserve">.3 </w:t>
      </w:r>
      <w:r>
        <w:rPr>
          <w:rFonts w:hint="eastAsia"/>
        </w:rPr>
        <w:t xml:space="preserve"> 行车组织</w:t>
      </w:r>
      <w:bookmarkEnd w:id="2245"/>
      <w:bookmarkEnd w:id="2246"/>
      <w:bookmarkEnd w:id="2247"/>
      <w:bookmarkEnd w:id="2248"/>
      <w:bookmarkEnd w:id="2249"/>
      <w:bookmarkEnd w:id="2250"/>
      <w:bookmarkEnd w:id="2251"/>
      <w:bookmarkEnd w:id="2252"/>
    </w:p>
    <w:p w14:paraId="50F7D9FC">
      <w:pPr>
        <w:rPr>
          <w:szCs w:val="18"/>
        </w:rPr>
      </w:pPr>
      <w:r>
        <w:rPr>
          <w:b/>
          <w:bCs/>
          <w:szCs w:val="28"/>
        </w:rPr>
        <w:t xml:space="preserve">4.3.1 </w:t>
      </w:r>
      <w:r>
        <w:rPr>
          <w:rFonts w:hint="eastAsia"/>
          <w:b/>
          <w:bCs/>
          <w:szCs w:val="28"/>
        </w:rPr>
        <w:t xml:space="preserve"> </w:t>
      </w:r>
      <w:r>
        <w:rPr>
          <w:rFonts w:hint="eastAsia"/>
          <w:szCs w:val="18"/>
        </w:rPr>
        <w:t>双线线路、右侧行车是我国城市轨道交通的统一制式。上、下行方向的</w:t>
      </w:r>
      <w:r>
        <w:rPr>
          <w:rFonts w:hint="eastAsia"/>
          <w:bCs/>
          <w:szCs w:val="28"/>
        </w:rPr>
        <w:t>划分</w:t>
      </w:r>
      <w:r>
        <w:rPr>
          <w:rFonts w:hint="eastAsia"/>
          <w:szCs w:val="18"/>
        </w:rPr>
        <w:t>与既有北京</w:t>
      </w:r>
      <w:r>
        <w:rPr>
          <w:rFonts w:hint="eastAsia" w:ascii="宋体" w:hAnsi="宋体" w:cs="宋体"/>
          <w:szCs w:val="21"/>
        </w:rPr>
        <w:t>轨道</w:t>
      </w:r>
      <w:r>
        <w:rPr>
          <w:rFonts w:hint="eastAsia"/>
          <w:szCs w:val="18"/>
        </w:rPr>
        <w:t>交通的划分一致，以后的线路均应按上述规定进行划分，以保持线网的一致性，便于调度指挥。斜向线路、L型、U型线路参照上述标准根据实际情况确定。</w:t>
      </w:r>
    </w:p>
    <w:p w14:paraId="4F726858">
      <w:pPr>
        <w:rPr>
          <w:szCs w:val="18"/>
        </w:rPr>
      </w:pPr>
      <w:r>
        <w:rPr>
          <w:b/>
          <w:szCs w:val="18"/>
        </w:rPr>
        <w:t>4</w:t>
      </w:r>
      <w:r>
        <w:rPr>
          <w:rFonts w:hint="eastAsia"/>
          <w:b/>
          <w:szCs w:val="18"/>
        </w:rPr>
        <w:t xml:space="preserve">.3.2  </w:t>
      </w:r>
      <w:r>
        <w:rPr>
          <w:rFonts w:hint="eastAsia"/>
          <w:szCs w:val="18"/>
        </w:rPr>
        <w:t>车站接轨、进站平行进路或大大提高工程实施难度提高投资，为实现精准设计，如外围衔接、互联互通占比较小时，可在能力评估可行后，采用区间接轨或不设平行进路。为提高通过能力宜设置安全线缩短一度停车点距道岔区的长度，地下线设置逃生通道便于应急处理。</w:t>
      </w:r>
    </w:p>
    <w:p w14:paraId="7319E2F7">
      <w:pPr>
        <w:rPr>
          <w:szCs w:val="18"/>
        </w:rPr>
      </w:pPr>
      <w:r>
        <w:rPr>
          <w:b/>
          <w:szCs w:val="18"/>
        </w:rPr>
        <w:t>4</w:t>
      </w:r>
      <w:r>
        <w:rPr>
          <w:rFonts w:hint="eastAsia"/>
          <w:b/>
          <w:szCs w:val="18"/>
        </w:rPr>
        <w:t xml:space="preserve">.3.3 </w:t>
      </w:r>
      <w:r>
        <w:rPr>
          <w:rFonts w:hint="eastAsia"/>
          <w:szCs w:val="18"/>
        </w:rPr>
        <w:t xml:space="preserve"> 随着北京线网边界的逐渐扩展，后期开通线路尤其是贯通中心城的超长线路，不同区段、不同方向的客流特征差异性巨大，应积极采用多交路的运行方式，提高运输能力供给与客流需求的匹配性，降低运营成本；同时提出同站同方向乘客选择不宜多于3个，避免误乘。</w:t>
      </w:r>
    </w:p>
    <w:p w14:paraId="43250641">
      <w:pPr>
        <w:rPr>
          <w:szCs w:val="18"/>
        </w:rPr>
      </w:pPr>
      <w:r>
        <w:rPr>
          <w:b/>
          <w:bCs/>
          <w:szCs w:val="28"/>
        </w:rPr>
        <w:t xml:space="preserve">4.3.4  </w:t>
      </w:r>
      <w:r>
        <w:rPr>
          <w:rFonts w:hint="eastAsia"/>
        </w:rPr>
        <w:t>通勤线路客流</w:t>
      </w:r>
      <w:r>
        <w:rPr>
          <w:rFonts w:hint="eastAsia"/>
          <w:szCs w:val="18"/>
        </w:rPr>
        <w:t>潮汐</w:t>
      </w:r>
      <w:r>
        <w:rPr>
          <w:rFonts w:hint="eastAsia"/>
        </w:rPr>
        <w:t>性为常态，小客流方向多存在较大的运能浪费，为此提出结合客流不均衡性组织不对称交路的方式，且该方式在北京多条线路如</w:t>
      </w:r>
      <w:r>
        <w:t>1</w:t>
      </w:r>
      <w:r>
        <w:rPr>
          <w:rFonts w:hint="eastAsia"/>
        </w:rPr>
        <w:t>号线、6号线、8号线均有采用，技术及管理上均可实现。</w:t>
      </w:r>
    </w:p>
    <w:p w14:paraId="7E6DD46F">
      <w:pPr>
        <w:rPr>
          <w:szCs w:val="18"/>
        </w:rPr>
      </w:pPr>
      <w:r>
        <w:rPr>
          <w:b/>
          <w:bCs/>
          <w:szCs w:val="28"/>
        </w:rPr>
        <w:t>4</w:t>
      </w:r>
      <w:r>
        <w:rPr>
          <w:rFonts w:hint="eastAsia"/>
          <w:b/>
          <w:bCs/>
          <w:szCs w:val="28"/>
        </w:rPr>
        <w:t xml:space="preserve">.3.5  </w:t>
      </w:r>
      <w:r>
        <w:rPr>
          <w:rFonts w:hint="eastAsia"/>
          <w:bCs/>
          <w:szCs w:val="28"/>
        </w:rPr>
        <w:t>列</w:t>
      </w:r>
      <w:r>
        <w:rPr>
          <w:rFonts w:hint="eastAsia"/>
          <w:szCs w:val="18"/>
        </w:rPr>
        <w:t>车牵引计算是轨道、信号专业的设计基础资料，提供最高运行速度和正常运行速度的牵引曲线是便于相关专业设计参考。在实际运行中，受各种不定因素的干扰，列车很难按照设计的牵引计算运行，在设计时需考虑一定的余量。一般情况下，正常运行速度应在区间最高运行速度的基础上留有5%～10%的余量。</w:t>
      </w:r>
    </w:p>
    <w:p w14:paraId="567BAAF2">
      <w:pPr>
        <w:rPr>
          <w:szCs w:val="18"/>
        </w:rPr>
      </w:pPr>
      <w:r>
        <w:rPr>
          <w:b/>
          <w:bCs/>
          <w:szCs w:val="28"/>
        </w:rPr>
        <w:t>4.</w:t>
      </w:r>
      <w:r>
        <w:rPr>
          <w:rFonts w:hint="eastAsia"/>
          <w:b/>
          <w:bCs/>
          <w:szCs w:val="28"/>
        </w:rPr>
        <w:t>3.</w:t>
      </w:r>
      <w:r>
        <w:rPr>
          <w:b/>
          <w:bCs/>
          <w:szCs w:val="28"/>
        </w:rPr>
        <w:t>6</w:t>
      </w:r>
      <w:r>
        <w:rPr>
          <w:rFonts w:hint="eastAsia"/>
          <w:b/>
          <w:bCs/>
          <w:szCs w:val="28"/>
        </w:rPr>
        <w:t xml:space="preserve"> </w:t>
      </w:r>
      <w:r>
        <w:rPr>
          <w:rFonts w:hint="eastAsia"/>
          <w:bCs/>
          <w:szCs w:val="28"/>
        </w:rPr>
        <w:t xml:space="preserve"> </w:t>
      </w:r>
      <w:r>
        <w:rPr>
          <w:rFonts w:hint="eastAsia"/>
          <w:szCs w:val="18"/>
        </w:rPr>
        <w:t>第</w:t>
      </w:r>
      <w:r>
        <w:rPr>
          <w:szCs w:val="18"/>
        </w:rPr>
        <w:t>1</w:t>
      </w:r>
      <w:r>
        <w:rPr>
          <w:rFonts w:hint="eastAsia"/>
          <w:szCs w:val="18"/>
        </w:rPr>
        <w:t>款：列车进站速度的高低，不仅影响到列车运行的效率，同时也取决于乘客的舒适度。进站速度过低，列车的区间运行时间就会加长，占用车站区段的时间也会加长，影响后续列车的追踪；进站速度过高，则进站制动的减速度就会加大，乘客舒适度会降低，不利于提高服务水平。因此，表中的数据是参考实际运行情况和经验计算，采用进站ATO控制，一次停车制动，进站制动减速度在0.8～0.9之间的情况下，提出了列车在进站过程中实际速度控制的参考数值。</w:t>
      </w:r>
    </w:p>
    <w:p w14:paraId="6159F33C">
      <w:pPr>
        <w:ind w:firstLine="420"/>
        <w:rPr>
          <w:szCs w:val="18"/>
        </w:rPr>
      </w:pPr>
      <w:r>
        <w:rPr>
          <w:rFonts w:hint="eastAsia"/>
          <w:szCs w:val="18"/>
        </w:rPr>
        <w:t>第2款：为了提高列车的运行效率，发挥城市轨道交通快速的优势，同时考虑到列车在运营过程中调整间隔的需要，在站间距及线路条件允许的情况下，区间直线和不限速地段应该允许列车按照车辆设计允许的最高运行速度运行。</w:t>
      </w:r>
    </w:p>
    <w:p w14:paraId="52D51F29">
      <w:pPr>
        <w:ind w:firstLine="420"/>
        <w:rPr>
          <w:szCs w:val="18"/>
        </w:rPr>
      </w:pPr>
      <w:r>
        <w:rPr>
          <w:rFonts w:hint="eastAsia"/>
          <w:szCs w:val="18"/>
        </w:rPr>
        <w:t>第</w:t>
      </w:r>
      <w:r>
        <w:rPr>
          <w:szCs w:val="18"/>
        </w:rPr>
        <w:t>3</w:t>
      </w:r>
      <w:r>
        <w:rPr>
          <w:rFonts w:hint="eastAsia"/>
          <w:szCs w:val="18"/>
        </w:rPr>
        <w:t>款：列车正常运行时在曲线区段的运行速度是以允许的未被平衡加速度不超过0.4m/s</w:t>
      </w:r>
      <w:r>
        <w:rPr>
          <w:rFonts w:hint="eastAsia"/>
          <w:szCs w:val="18"/>
          <w:vertAlign w:val="superscript"/>
        </w:rPr>
        <w:t>2</w:t>
      </w:r>
      <w:r>
        <w:rPr>
          <w:rFonts w:hint="eastAsia"/>
          <w:szCs w:val="18"/>
        </w:rPr>
        <w:t>为前提的，是保证乘客舒适度的标准。当曲线超高和欠超高分别为120mm、61mm，限速计算公式为：</w:t>
      </w:r>
    </w:p>
    <w:p w14:paraId="551943FB">
      <w:pPr>
        <w:wordWrap w:val="0"/>
        <w:ind w:firstLine="420"/>
        <w:jc w:val="right"/>
        <w:rPr>
          <w:szCs w:val="18"/>
        </w:rPr>
      </w:pPr>
      <w:r>
        <w:rPr>
          <w:rFonts w:hint="eastAsia"/>
          <w:i/>
          <w:iCs/>
          <w:szCs w:val="18"/>
        </w:rPr>
        <w:t>V</w:t>
      </w:r>
      <w:r>
        <w:rPr>
          <w:rFonts w:hint="eastAsia"/>
          <w:szCs w:val="18"/>
          <w:vertAlign w:val="subscript"/>
        </w:rPr>
        <w:t>lim</w:t>
      </w:r>
      <w:r>
        <w:rPr>
          <w:rFonts w:hint="eastAsia"/>
          <w:szCs w:val="18"/>
        </w:rPr>
        <w:t>＝［（</w:t>
      </w:r>
      <w:r>
        <w:rPr>
          <w:rFonts w:hint="eastAsia"/>
          <w:i/>
          <w:iCs/>
          <w:szCs w:val="18"/>
        </w:rPr>
        <w:t>h</w:t>
      </w:r>
      <w:r>
        <w:rPr>
          <w:rFonts w:hint="eastAsia"/>
          <w:szCs w:val="18"/>
        </w:rPr>
        <w:t>+</w:t>
      </w:r>
      <w:r>
        <w:rPr>
          <w:rFonts w:hint="eastAsia"/>
          <w:i/>
          <w:iCs/>
          <w:szCs w:val="18"/>
        </w:rPr>
        <w:t>h</w:t>
      </w:r>
      <w:r>
        <w:rPr>
          <w:rFonts w:hint="eastAsia"/>
          <w:szCs w:val="18"/>
          <w:vertAlign w:val="subscript"/>
        </w:rPr>
        <w:t>0</w:t>
      </w:r>
      <w:r>
        <w:rPr>
          <w:rFonts w:hint="eastAsia"/>
          <w:szCs w:val="18"/>
        </w:rPr>
        <w:t>）</w:t>
      </w:r>
      <w:r>
        <w:rPr>
          <w:rFonts w:hint="eastAsia"/>
          <w:i/>
          <w:iCs/>
          <w:szCs w:val="18"/>
        </w:rPr>
        <w:t>R</w:t>
      </w:r>
      <w:r>
        <w:rPr>
          <w:rFonts w:hint="eastAsia"/>
          <w:szCs w:val="18"/>
        </w:rPr>
        <w:t>/11.8］</w:t>
      </w:r>
      <w:r>
        <w:rPr>
          <w:rFonts w:hint="eastAsia"/>
          <w:szCs w:val="18"/>
          <w:vertAlign w:val="superscript"/>
        </w:rPr>
        <w:t>1/2</w:t>
      </w:r>
      <w:r>
        <w:rPr>
          <w:rFonts w:hint="eastAsia"/>
          <w:szCs w:val="18"/>
        </w:rPr>
        <w:t>＝3.9</w:t>
      </w:r>
      <w:r>
        <w:rPr>
          <w:rFonts w:hint="eastAsia"/>
          <w:i/>
          <w:iCs/>
          <w:szCs w:val="18"/>
        </w:rPr>
        <w:t>R</w:t>
      </w:r>
      <w:r>
        <w:rPr>
          <w:rFonts w:hint="eastAsia"/>
          <w:szCs w:val="18"/>
          <w:vertAlign w:val="superscript"/>
        </w:rPr>
        <w:t>1/2</w:t>
      </w:r>
      <w:r>
        <w:rPr>
          <w:rFonts w:hint="eastAsia"/>
          <w:szCs w:val="18"/>
        </w:rPr>
        <w:t xml:space="preserve">                 （1）</w:t>
      </w:r>
    </w:p>
    <w:p w14:paraId="4551D717">
      <w:pPr>
        <w:ind w:firstLine="155" w:firstLineChars="74"/>
        <w:rPr>
          <w:szCs w:val="18"/>
        </w:rPr>
      </w:pPr>
      <w:r>
        <w:rPr>
          <w:rFonts w:hint="eastAsia"/>
          <w:szCs w:val="18"/>
        </w:rPr>
        <w:t xml:space="preserve">式中  </w:t>
      </w:r>
      <w:r>
        <w:rPr>
          <w:rFonts w:hint="eastAsia"/>
          <w:i/>
          <w:iCs/>
          <w:szCs w:val="18"/>
        </w:rPr>
        <w:t>R</w:t>
      </w:r>
      <w:r>
        <w:rPr>
          <w:rFonts w:hint="eastAsia" w:ascii="Times" w:hAnsi="Times"/>
          <w:szCs w:val="18"/>
        </w:rPr>
        <w:t>——</w:t>
      </w:r>
      <w:r>
        <w:rPr>
          <w:rFonts w:hint="eastAsia"/>
          <w:szCs w:val="18"/>
        </w:rPr>
        <w:t>曲线半径（m）；</w:t>
      </w:r>
    </w:p>
    <w:p w14:paraId="6FB55E33">
      <w:pPr>
        <w:ind w:firstLine="420"/>
        <w:rPr>
          <w:szCs w:val="18"/>
        </w:rPr>
      </w:pPr>
      <w:r>
        <w:rPr>
          <w:rFonts w:hint="eastAsia"/>
          <w:szCs w:val="18"/>
        </w:rPr>
        <w:t>（</w:t>
      </w:r>
      <w:r>
        <w:rPr>
          <w:rFonts w:hint="eastAsia"/>
          <w:i/>
          <w:iCs/>
          <w:szCs w:val="18"/>
        </w:rPr>
        <w:t>h</w:t>
      </w:r>
      <w:r>
        <w:rPr>
          <w:rFonts w:hint="eastAsia"/>
          <w:szCs w:val="18"/>
        </w:rPr>
        <w:t>+</w:t>
      </w:r>
      <w:r>
        <w:rPr>
          <w:rFonts w:hint="eastAsia"/>
          <w:i/>
          <w:iCs/>
          <w:szCs w:val="18"/>
        </w:rPr>
        <w:t>h</w:t>
      </w:r>
      <w:r>
        <w:rPr>
          <w:rFonts w:hint="eastAsia"/>
          <w:szCs w:val="18"/>
          <w:vertAlign w:val="subscript"/>
        </w:rPr>
        <w:t>0</w:t>
      </w:r>
      <w:r>
        <w:rPr>
          <w:rFonts w:hint="eastAsia"/>
          <w:szCs w:val="18"/>
        </w:rPr>
        <w:t>）</w:t>
      </w:r>
      <w:r>
        <w:rPr>
          <w:rFonts w:hint="eastAsia" w:ascii="Times" w:hAnsi="Times"/>
          <w:szCs w:val="18"/>
        </w:rPr>
        <w:t>——</w:t>
      </w:r>
      <w:r>
        <w:rPr>
          <w:rFonts w:hint="eastAsia"/>
          <w:szCs w:val="18"/>
        </w:rPr>
        <w:t>曲线超高和欠超高（mm）。</w:t>
      </w:r>
    </w:p>
    <w:p w14:paraId="1BEBCA5C">
      <w:pPr>
        <w:ind w:firstLine="420"/>
        <w:rPr>
          <w:szCs w:val="18"/>
        </w:rPr>
      </w:pPr>
      <w:r>
        <w:rPr>
          <w:rFonts w:hint="eastAsia"/>
          <w:szCs w:val="18"/>
        </w:rPr>
        <w:t>第</w:t>
      </w:r>
      <w:r>
        <w:rPr>
          <w:szCs w:val="18"/>
        </w:rPr>
        <w:t>4</w:t>
      </w:r>
      <w:r>
        <w:rPr>
          <w:rFonts w:hint="eastAsia"/>
          <w:szCs w:val="18"/>
        </w:rPr>
        <w:t>款：</w:t>
      </w:r>
      <w:r>
        <w:rPr>
          <w:rFonts w:hint="eastAsia"/>
        </w:rPr>
        <w:t>折返能力是影响系统设计能力的重要因素，其余列车长度、侧向通过道岔速度密切相关，结合各项目计算经验，给出了折返道岔选型参考</w:t>
      </w:r>
      <w:r>
        <w:rPr>
          <w:rFonts w:hint="eastAsia"/>
          <w:szCs w:val="18"/>
        </w:rPr>
        <w:t>。</w:t>
      </w:r>
    </w:p>
    <w:p w14:paraId="3FBEDA67">
      <w:pPr>
        <w:rPr>
          <w:szCs w:val="18"/>
        </w:rPr>
      </w:pPr>
      <w:r>
        <w:rPr>
          <w:b/>
          <w:bCs/>
          <w:szCs w:val="28"/>
        </w:rPr>
        <w:t>4</w:t>
      </w:r>
      <w:r>
        <w:rPr>
          <w:rFonts w:hint="eastAsia"/>
          <w:b/>
          <w:bCs/>
          <w:szCs w:val="28"/>
        </w:rPr>
        <w:t>.3.</w:t>
      </w:r>
      <w:r>
        <w:rPr>
          <w:b/>
          <w:bCs/>
          <w:szCs w:val="28"/>
        </w:rPr>
        <w:t>8</w:t>
      </w:r>
      <w:r>
        <w:rPr>
          <w:rFonts w:hint="eastAsia"/>
          <w:b/>
          <w:bCs/>
          <w:szCs w:val="28"/>
        </w:rPr>
        <w:t xml:space="preserve">  </w:t>
      </w:r>
      <w:r>
        <w:rPr>
          <w:rFonts w:hint="eastAsia"/>
          <w:bCs/>
          <w:szCs w:val="28"/>
        </w:rPr>
        <w:t>列</w:t>
      </w:r>
      <w:r>
        <w:rPr>
          <w:rFonts w:hint="eastAsia"/>
          <w:szCs w:val="18"/>
        </w:rPr>
        <w:t>车间隔时间的长短反映了系统服务水平的高低，是对乘客吸引力的重要参数。根据相关研究的结果，客流量随着行车间隔的减小而增加，但增长量变化逐渐减小，行车间隔4分钟左右时客流量弹性系数最大。为了提高轨道交通的效能和作用，兼顾客流大小范围的运营经济性，并结合既有线网服务要求，提出了普线高峰4分钟、6分钟，平峰6分钟、1</w:t>
      </w:r>
      <w:r>
        <w:rPr>
          <w:szCs w:val="18"/>
        </w:rPr>
        <w:t>0</w:t>
      </w:r>
      <w:r>
        <w:rPr>
          <w:rFonts w:hint="eastAsia"/>
          <w:szCs w:val="18"/>
        </w:rPr>
        <w:t>分钟的服务水平要求；快线可适度加大间隔。</w:t>
      </w:r>
    </w:p>
    <w:p w14:paraId="17CD76FD">
      <w:pPr>
        <w:rPr>
          <w:szCs w:val="18"/>
        </w:rPr>
      </w:pPr>
      <w:r>
        <w:rPr>
          <w:b/>
          <w:bCs/>
          <w:szCs w:val="28"/>
        </w:rPr>
        <w:t>4</w:t>
      </w:r>
      <w:r>
        <w:rPr>
          <w:rFonts w:hint="eastAsia"/>
          <w:b/>
          <w:bCs/>
          <w:szCs w:val="28"/>
        </w:rPr>
        <w:t>.3.</w:t>
      </w:r>
      <w:r>
        <w:rPr>
          <w:b/>
          <w:bCs/>
          <w:szCs w:val="28"/>
        </w:rPr>
        <w:t>9</w:t>
      </w:r>
      <w:r>
        <w:rPr>
          <w:rFonts w:hint="eastAsia"/>
          <w:b/>
          <w:bCs/>
          <w:szCs w:val="28"/>
        </w:rPr>
        <w:t xml:space="preserve">  </w:t>
      </w:r>
      <w:r>
        <w:rPr>
          <w:rFonts w:hint="eastAsia"/>
          <w:bCs/>
          <w:szCs w:val="28"/>
        </w:rPr>
        <w:t>列</w:t>
      </w:r>
      <w:r>
        <w:rPr>
          <w:rFonts w:hint="eastAsia"/>
          <w:szCs w:val="18"/>
        </w:rPr>
        <w:t>车停站时间包括乘客上下车时间、列车开关门及附加时间、屏蔽门延时。乘客上下车时间按0.6s/人计算，开门3s、关门（含预告时间）6s、各车门上下客不均衡延误3s、关门后列车启动反应时间2s、站台门延时3s，共计17s；全自动线路在发车前的夹人夹物确认阶段较人工观察有一定的时间优势，经调研可减少约</w:t>
      </w:r>
      <w:r>
        <w:rPr>
          <w:szCs w:val="18"/>
        </w:rPr>
        <w:t>3</w:t>
      </w:r>
      <w:r>
        <w:rPr>
          <w:rFonts w:hint="eastAsia"/>
          <w:szCs w:val="18"/>
        </w:rPr>
        <w:t>~</w:t>
      </w:r>
      <w:r>
        <w:rPr>
          <w:szCs w:val="18"/>
        </w:rPr>
        <w:t>5</w:t>
      </w:r>
      <w:r>
        <w:rPr>
          <w:rFonts w:hint="eastAsia"/>
          <w:szCs w:val="18"/>
        </w:rPr>
        <w:t>秒。</w:t>
      </w:r>
    </w:p>
    <w:p w14:paraId="405A8C05">
      <w:pPr>
        <w:rPr>
          <w:szCs w:val="18"/>
        </w:rPr>
      </w:pPr>
      <w:r>
        <w:rPr>
          <w:rFonts w:hint="eastAsia"/>
          <w:b/>
          <w:szCs w:val="18"/>
        </w:rPr>
        <w:t>4</w:t>
      </w:r>
      <w:r>
        <w:rPr>
          <w:b/>
          <w:szCs w:val="18"/>
        </w:rPr>
        <w:t xml:space="preserve">.3.13 </w:t>
      </w:r>
      <w:r>
        <w:rPr>
          <w:rFonts w:hint="eastAsia"/>
          <w:b/>
          <w:szCs w:val="18"/>
        </w:rPr>
        <w:t xml:space="preserve"> </w:t>
      </w:r>
      <w:r>
        <w:rPr>
          <w:rFonts w:hint="eastAsia"/>
          <w:szCs w:val="18"/>
        </w:rPr>
        <w:t xml:space="preserve">第1款 </w:t>
      </w:r>
      <w:r>
        <w:rPr>
          <w:szCs w:val="18"/>
        </w:rPr>
        <w:t xml:space="preserve"> </w:t>
      </w:r>
      <w:r>
        <w:rPr>
          <w:rFonts w:hint="eastAsia"/>
        </w:rPr>
        <w:t>快慢车模式可以减少快车可服务站点之间客流的在轨时间，但或可增加乘客在站候车时间，对于出行O</w:t>
      </w:r>
      <w:r>
        <w:t>D</w:t>
      </w:r>
      <w:r>
        <w:rPr>
          <w:rFonts w:hint="eastAsia"/>
        </w:rPr>
        <w:t>不在快车服务车站范围的</w:t>
      </w:r>
      <w:r>
        <w:rPr>
          <w:rFonts w:hint="eastAsia"/>
          <w:szCs w:val="18"/>
        </w:rPr>
        <w:t>客流</w:t>
      </w:r>
      <w:r>
        <w:rPr>
          <w:rFonts w:hint="eastAsia"/>
        </w:rPr>
        <w:t>出行时间也有可能增加。因此是否组织快慢车应当综合分析，原则上应使得全口径服务乘客的总出行时间有效降低。</w:t>
      </w:r>
    </w:p>
    <w:p w14:paraId="6CBA79ED">
      <w:pPr>
        <w:ind w:firstLine="420"/>
      </w:pPr>
      <w:r>
        <w:rPr>
          <w:rFonts w:hint="eastAsia"/>
          <w:szCs w:val="18"/>
        </w:rPr>
        <w:t xml:space="preserve">第3款 </w:t>
      </w:r>
      <w:r>
        <w:rPr>
          <w:szCs w:val="18"/>
        </w:rPr>
        <w:t xml:space="preserve"> </w:t>
      </w:r>
      <w:r>
        <w:rPr>
          <w:rFonts w:hint="eastAsia"/>
        </w:rPr>
        <w:t xml:space="preserve">定慢车在站被快车越行次数及时间、全线被越次数，是为保证慢车必要的旅行速度，同时停车时间过长也以引发乘客不满。第4款 </w:t>
      </w:r>
      <w:r>
        <w:t xml:space="preserve"> </w:t>
      </w:r>
      <w:r>
        <w:rPr>
          <w:rFonts w:hint="eastAsia"/>
        </w:rPr>
        <w:t>根据不同越行工况的车头时距计算，在C</w:t>
      </w:r>
      <w:r>
        <w:t>BTC</w:t>
      </w:r>
      <w:r>
        <w:rPr>
          <w:rFonts w:hint="eastAsia"/>
        </w:rPr>
        <w:t>控车条件下，慢车到达与快车通过之间的最小计算时间在</w:t>
      </w:r>
      <w:r>
        <w:t>40</w:t>
      </w:r>
      <w:r>
        <w:rPr>
          <w:rFonts w:hint="eastAsia"/>
        </w:rPr>
        <w:t>~</w:t>
      </w:r>
      <w:r>
        <w:t>50</w:t>
      </w:r>
      <w:r>
        <w:rPr>
          <w:rFonts w:hint="eastAsia"/>
        </w:rPr>
        <w:t>秒之间，另考虑一定的安全裕量，到通间隔按不小于1分钟控制，通发时间对安全性影响较小，可通过能力计算确定。</w:t>
      </w:r>
    </w:p>
    <w:p w14:paraId="48E45855">
      <w:pPr>
        <w:ind w:firstLine="420"/>
      </w:pPr>
      <w:r>
        <w:rPr>
          <w:rFonts w:hint="eastAsia"/>
        </w:rPr>
        <w:t xml:space="preserve">第5款 </w:t>
      </w:r>
      <w:r>
        <w:t xml:space="preserve"> </w:t>
      </w:r>
      <w:r>
        <w:rPr>
          <w:rFonts w:hint="eastAsia"/>
        </w:rPr>
        <w:t>经多专业分析当站台边缘为车宽+</w:t>
      </w:r>
      <w:r>
        <w:t>100</w:t>
      </w:r>
      <w:r>
        <w:rPr>
          <w:rFonts w:hint="eastAsia"/>
        </w:rPr>
        <w:t>mm、站台门限界为车宽+</w:t>
      </w:r>
      <w:r>
        <w:t>140</w:t>
      </w:r>
      <w:r>
        <w:rPr>
          <w:rFonts w:hint="eastAsia"/>
        </w:rPr>
        <w:t>mm时，列车临站台过站速度可以达到</w:t>
      </w:r>
      <w:r>
        <w:t>80</w:t>
      </w:r>
      <w:r>
        <w:rPr>
          <w:rFonts w:hint="eastAsia"/>
        </w:rPr>
        <w:t>km</w:t>
      </w:r>
      <w:r>
        <w:t>/h</w:t>
      </w:r>
      <w:r>
        <w:rPr>
          <w:rFonts w:hint="eastAsia"/>
        </w:rPr>
        <w:t>，同时可以保证运营安全，为提高系统运行效率，故规定列车临站台过站速度不宜低于8</w:t>
      </w:r>
      <w:r>
        <w:t>0</w:t>
      </w:r>
      <w:r>
        <w:rPr>
          <w:rFonts w:hint="eastAsia"/>
        </w:rPr>
        <w:t>km</w:t>
      </w:r>
      <w:r>
        <w:t>/h</w:t>
      </w:r>
      <w:r>
        <w:rPr>
          <w:rFonts w:hint="eastAsia"/>
        </w:rPr>
        <w:t>。</w:t>
      </w:r>
    </w:p>
    <w:p w14:paraId="7B1D899F">
      <w:pPr>
        <w:rPr>
          <w:bCs/>
        </w:rPr>
      </w:pPr>
      <w:r>
        <w:rPr>
          <w:rFonts w:hint="eastAsia"/>
          <w:b/>
          <w:szCs w:val="18"/>
        </w:rPr>
        <w:t>4</w:t>
      </w:r>
      <w:r>
        <w:rPr>
          <w:b/>
          <w:szCs w:val="18"/>
        </w:rPr>
        <w:t>.3.15</w:t>
      </w:r>
      <w:r>
        <w:rPr>
          <w:rFonts w:hint="eastAsia"/>
          <w:szCs w:val="18"/>
        </w:rPr>
        <w:t xml:space="preserve"> </w:t>
      </w:r>
      <w:r>
        <w:rPr>
          <w:szCs w:val="18"/>
        </w:rPr>
        <w:t xml:space="preserve"> </w:t>
      </w:r>
      <w:r>
        <w:rPr>
          <w:rFonts w:hint="eastAsia"/>
          <w:szCs w:val="18"/>
        </w:rPr>
        <w:t xml:space="preserve">第1款 </w:t>
      </w:r>
      <w:r>
        <w:rPr>
          <w:szCs w:val="18"/>
        </w:rPr>
        <w:t xml:space="preserve"> </w:t>
      </w:r>
      <w:r>
        <w:rPr>
          <w:rFonts w:hint="eastAsia"/>
          <w:bCs/>
        </w:rPr>
        <w:t>跨线运营可以有效减少乘客换乘提高送达速度，但同时也带来配线工程规模增加、线路能力折减、行车组织复杂化等问题；因此在两线是否跨线应当有必要的跨线客流需求作支撑，在设计阶段应作综合比选。</w:t>
      </w:r>
    </w:p>
    <w:p w14:paraId="37358350">
      <w:pPr>
        <w:ind w:firstLine="420"/>
      </w:pPr>
      <w:r>
        <w:rPr>
          <w:rFonts w:hint="eastAsia"/>
          <w:bCs/>
        </w:rPr>
        <w:t>第</w:t>
      </w:r>
      <w:r>
        <w:rPr>
          <w:bCs/>
        </w:rPr>
        <w:t>3</w:t>
      </w:r>
      <w:r>
        <w:rPr>
          <w:rFonts w:hint="eastAsia"/>
          <w:bCs/>
        </w:rPr>
        <w:t xml:space="preserve">款 </w:t>
      </w:r>
      <w:r>
        <w:rPr>
          <w:bCs/>
        </w:rPr>
        <w:t xml:space="preserve"> </w:t>
      </w:r>
      <w:r>
        <w:rPr>
          <w:rFonts w:hint="eastAsia"/>
        </w:rPr>
        <w:t>当跨线列车开行数量较少，服务频率偏低时，乘客等待时间过长，因此乘客仍然会选择换乘，跨线列车也就失去吸引力，因此跨线列车开行应保证一定的服务频率，故提出高断面范围不宜小于</w:t>
      </w:r>
      <w:r>
        <w:t>6</w:t>
      </w:r>
      <w:r>
        <w:rPr>
          <w:rFonts w:hint="eastAsia"/>
        </w:rPr>
        <w:t>对/</w:t>
      </w:r>
      <w:r>
        <w:t>h</w:t>
      </w:r>
      <w:r>
        <w:rPr>
          <w:rFonts w:hint="eastAsia"/>
        </w:rPr>
        <w:t>，达到公交化服务的最低水平，并采用时刻表指引乘客候车。低断面范围可能总行车量较小，因此以开行比例作为指导跨线列车行车量的指标。</w:t>
      </w:r>
    </w:p>
    <w:p w14:paraId="1AFB52EE">
      <w:pPr>
        <w:pStyle w:val="4"/>
        <w:numPr>
          <w:ilvl w:val="0"/>
          <w:numId w:val="0"/>
        </w:numPr>
      </w:pPr>
      <w:bookmarkStart w:id="2253" w:name="_Toc183790708"/>
      <w:bookmarkStart w:id="2254" w:name="_Toc183882631"/>
      <w:bookmarkStart w:id="2255" w:name="_Toc183888683"/>
      <w:bookmarkStart w:id="2256" w:name="_Toc183765278"/>
      <w:bookmarkStart w:id="2257" w:name="_Toc183738100"/>
      <w:bookmarkStart w:id="2258" w:name="_Toc183882269"/>
      <w:bookmarkStart w:id="2259" w:name="_Toc357929496"/>
      <w:bookmarkStart w:id="2260" w:name="_Toc183888321"/>
      <w:r>
        <w:rPr>
          <w:b/>
        </w:rPr>
        <w:t>4</w:t>
      </w:r>
      <w:r>
        <w:rPr>
          <w:rFonts w:hint="eastAsia"/>
          <w:b/>
        </w:rPr>
        <w:t xml:space="preserve">.4 </w:t>
      </w:r>
      <w:r>
        <w:rPr>
          <w:rFonts w:hint="eastAsia"/>
        </w:rPr>
        <w:t xml:space="preserve"> 配    线</w:t>
      </w:r>
      <w:bookmarkEnd w:id="2253"/>
      <w:bookmarkEnd w:id="2254"/>
      <w:bookmarkEnd w:id="2255"/>
      <w:bookmarkEnd w:id="2256"/>
      <w:bookmarkEnd w:id="2257"/>
      <w:bookmarkEnd w:id="2258"/>
      <w:bookmarkEnd w:id="2259"/>
      <w:bookmarkEnd w:id="2260"/>
    </w:p>
    <w:p w14:paraId="36A93726">
      <w:pPr>
        <w:rPr>
          <w:szCs w:val="18"/>
        </w:rPr>
      </w:pPr>
      <w:r>
        <w:rPr>
          <w:b/>
          <w:szCs w:val="18"/>
        </w:rPr>
        <w:t>4</w:t>
      </w:r>
      <w:r>
        <w:rPr>
          <w:rFonts w:hint="eastAsia"/>
          <w:b/>
          <w:szCs w:val="18"/>
        </w:rPr>
        <w:t xml:space="preserve">.4.1  </w:t>
      </w:r>
      <w:r>
        <w:rPr>
          <w:rFonts w:hint="eastAsia"/>
          <w:szCs w:val="18"/>
        </w:rPr>
        <w:t xml:space="preserve">第2款 </w:t>
      </w:r>
      <w:r>
        <w:rPr>
          <w:szCs w:val="18"/>
        </w:rPr>
        <w:t xml:space="preserve"> </w:t>
      </w:r>
      <w:r>
        <w:rPr>
          <w:rFonts w:hint="eastAsia"/>
          <w:szCs w:val="18"/>
        </w:rPr>
        <w:t>结合中间站大交交路要求，细化了中间配线折返能力与系统能力之间的关系。</w:t>
      </w:r>
    </w:p>
    <w:p w14:paraId="14B5799C">
      <w:pPr>
        <w:ind w:firstLine="420"/>
        <w:rPr>
          <w:szCs w:val="18"/>
        </w:rPr>
      </w:pPr>
      <w:r>
        <w:rPr>
          <w:rFonts w:hint="eastAsia"/>
          <w:szCs w:val="18"/>
        </w:rPr>
        <w:t>第3款</w:t>
      </w:r>
      <w:r>
        <w:rPr>
          <w:szCs w:val="18"/>
        </w:rPr>
        <w:t xml:space="preserve"> </w:t>
      </w:r>
      <w:r>
        <w:rPr>
          <w:rFonts w:hint="eastAsia"/>
          <w:szCs w:val="18"/>
        </w:rPr>
        <w:t>折返线道岔为关键道岔，动作频繁且一旦故障将大大降低运输能力，需重点保障功能；为此折返道岔一般临近车站设置方便管理与应急处置，如不得已设于区间，一是与车站之间为正线追踪运行模式，以提高折返能力；二是结合工法设置进出条件，方便故障状态时工作人员快速到达现场处置。</w:t>
      </w:r>
    </w:p>
    <w:p w14:paraId="1107101E">
      <w:pPr>
        <w:rPr>
          <w:szCs w:val="18"/>
        </w:rPr>
      </w:pPr>
      <w:r>
        <w:rPr>
          <w:rFonts w:hint="eastAsia"/>
          <w:b/>
          <w:szCs w:val="18"/>
        </w:rPr>
        <w:t>4</w:t>
      </w:r>
      <w:r>
        <w:rPr>
          <w:b/>
          <w:szCs w:val="18"/>
        </w:rPr>
        <w:t xml:space="preserve">.4.2 </w:t>
      </w:r>
      <w:r>
        <w:rPr>
          <w:rFonts w:hint="eastAsia"/>
          <w:b/>
          <w:szCs w:val="18"/>
        </w:rPr>
        <w:t xml:space="preserve"> </w:t>
      </w:r>
      <w:r>
        <w:rPr>
          <w:rFonts w:hint="eastAsia"/>
          <w:szCs w:val="18"/>
        </w:rPr>
        <w:t>第3款，根据工程经验及能力计算，当车辆基地停车规模大于4</w:t>
      </w:r>
      <w:r>
        <w:rPr>
          <w:szCs w:val="18"/>
        </w:rPr>
        <w:t>8</w:t>
      </w:r>
      <w:r>
        <w:rPr>
          <w:rFonts w:hint="eastAsia"/>
          <w:szCs w:val="18"/>
        </w:rPr>
        <w:t>列位时，单线收发车能力将难以满足运营需求，为此提出需具备两线同时收发车的条件。</w:t>
      </w:r>
    </w:p>
    <w:p w14:paraId="57021C73">
      <w:pPr>
        <w:rPr>
          <w:szCs w:val="18"/>
        </w:rPr>
      </w:pPr>
      <w:r>
        <w:rPr>
          <w:b/>
          <w:szCs w:val="18"/>
        </w:rPr>
        <w:t>4</w:t>
      </w:r>
      <w:r>
        <w:rPr>
          <w:rFonts w:hint="eastAsia"/>
          <w:b/>
          <w:szCs w:val="18"/>
        </w:rPr>
        <w:t>.4.</w:t>
      </w:r>
      <w:r>
        <w:rPr>
          <w:b/>
          <w:szCs w:val="18"/>
        </w:rPr>
        <w:t>3</w:t>
      </w:r>
      <w:r>
        <w:rPr>
          <w:rFonts w:hint="eastAsia"/>
          <w:b/>
          <w:szCs w:val="18"/>
        </w:rPr>
        <w:t xml:space="preserve">  </w:t>
      </w:r>
      <w:r>
        <w:rPr>
          <w:rFonts w:hint="eastAsia"/>
          <w:szCs w:val="18"/>
        </w:rPr>
        <w:t xml:space="preserve">第2款 </w:t>
      </w:r>
      <w:r>
        <w:rPr>
          <w:szCs w:val="18"/>
        </w:rPr>
        <w:t xml:space="preserve"> </w:t>
      </w:r>
      <w:r>
        <w:rPr>
          <w:rFonts w:hint="eastAsia"/>
          <w:szCs w:val="18"/>
        </w:rPr>
        <w:t>列车在运行中出现故障需要下线处理时，为了减小对正常运营的影响，应就近待避或转线。故障列车停车线的间距按故障列车以限制人工驾驶模式运行，运行时间控制在20min左右，故障列车下线处理时间控制在30min，按3</w:t>
      </w:r>
      <w:r>
        <w:rPr>
          <w:szCs w:val="18"/>
        </w:rPr>
        <w:t>0</w:t>
      </w:r>
      <w:r>
        <w:rPr>
          <w:rFonts w:hint="eastAsia"/>
          <w:szCs w:val="18"/>
        </w:rPr>
        <w:t>km</w:t>
      </w:r>
      <w:r>
        <w:rPr>
          <w:szCs w:val="18"/>
        </w:rPr>
        <w:t>/h</w:t>
      </w:r>
      <w:r>
        <w:rPr>
          <w:rFonts w:hint="eastAsia"/>
          <w:szCs w:val="18"/>
        </w:rPr>
        <w:t>的推送速度，停车线间距大约10km。同时快线站间距普遍较大，为避免引起过大的工程投资，适度放宽停车线间距。</w:t>
      </w:r>
    </w:p>
    <w:p w14:paraId="070A418C">
      <w:pPr>
        <w:ind w:firstLine="420"/>
        <w:rPr>
          <w:szCs w:val="18"/>
        </w:rPr>
      </w:pPr>
      <w:r>
        <w:rPr>
          <w:rFonts w:hint="eastAsia"/>
          <w:szCs w:val="18"/>
        </w:rPr>
        <w:t>而当车辆段与停车场相距较远时，故障列车回段需要很长时间，对正线运营干扰很大，为了使故障列车尽快下线，规定线路中部设停车线。而一线两列位的停车线对于后车救援故障车的连挂列车的停放更方便。</w:t>
      </w:r>
    </w:p>
    <w:p w14:paraId="2F813C33">
      <w:pPr>
        <w:rPr>
          <w:szCs w:val="18"/>
        </w:rPr>
      </w:pPr>
      <w:r>
        <w:rPr>
          <w:rFonts w:hint="eastAsia"/>
          <w:b/>
          <w:szCs w:val="18"/>
        </w:rPr>
        <w:t>4</w:t>
      </w:r>
      <w:r>
        <w:rPr>
          <w:b/>
          <w:szCs w:val="18"/>
        </w:rPr>
        <w:t xml:space="preserve">.4.7  </w:t>
      </w:r>
      <w:r>
        <w:rPr>
          <w:rFonts w:hint="eastAsia"/>
          <w:szCs w:val="18"/>
        </w:rPr>
        <w:t>配线设置宜结合功能需求与土建实施条件，进行综合布设，有条件时应进行复合，如越行线与停车线复合、出入线与互联互通联络线复合等，目的是减少配线站数量，节约土建规模</w:t>
      </w:r>
      <w:r>
        <w:rPr>
          <w:szCs w:val="18"/>
        </w:rPr>
        <w:t>。</w:t>
      </w:r>
    </w:p>
    <w:p w14:paraId="0BEF4E0B">
      <w:pPr>
        <w:pStyle w:val="4"/>
        <w:numPr>
          <w:ilvl w:val="0"/>
          <w:numId w:val="0"/>
        </w:numPr>
      </w:pPr>
      <w:bookmarkStart w:id="2261" w:name="_Toc183765279"/>
      <w:bookmarkStart w:id="2262" w:name="_Toc183882632"/>
      <w:bookmarkStart w:id="2263" w:name="_Toc183738101"/>
      <w:bookmarkStart w:id="2264" w:name="_Toc183790709"/>
      <w:bookmarkStart w:id="2265" w:name="_Toc357929498"/>
      <w:bookmarkStart w:id="2266" w:name="_Toc183888684"/>
      <w:bookmarkStart w:id="2267" w:name="_Toc183888322"/>
      <w:bookmarkStart w:id="2268" w:name="_Toc183882270"/>
      <w:r>
        <w:rPr>
          <w:b/>
        </w:rPr>
        <w:t>4</w:t>
      </w:r>
      <w:r>
        <w:rPr>
          <w:rFonts w:hint="eastAsia"/>
          <w:b/>
        </w:rPr>
        <w:t>.</w:t>
      </w:r>
      <w:r>
        <w:rPr>
          <w:b/>
        </w:rPr>
        <w:t>5</w:t>
      </w:r>
      <w:r>
        <w:rPr>
          <w:rFonts w:hint="eastAsia"/>
          <w:b/>
        </w:rPr>
        <w:t xml:space="preserve"> </w:t>
      </w:r>
      <w:r>
        <w:rPr>
          <w:rFonts w:hint="eastAsia"/>
        </w:rPr>
        <w:t xml:space="preserve"> 运营管理</w:t>
      </w:r>
      <w:bookmarkEnd w:id="2261"/>
      <w:bookmarkEnd w:id="2262"/>
      <w:bookmarkEnd w:id="2263"/>
      <w:bookmarkEnd w:id="2264"/>
      <w:bookmarkEnd w:id="2265"/>
      <w:bookmarkEnd w:id="2266"/>
      <w:bookmarkEnd w:id="2267"/>
      <w:bookmarkEnd w:id="2268"/>
    </w:p>
    <w:p w14:paraId="7691A37B">
      <w:pPr>
        <w:rPr>
          <w:rFonts w:ascii="Arial" w:hAnsi="Arial" w:cs="Arial"/>
          <w:szCs w:val="18"/>
        </w:rPr>
      </w:pPr>
      <w:r>
        <w:rPr>
          <w:rFonts w:hint="eastAsia"/>
          <w:b/>
          <w:szCs w:val="18"/>
        </w:rPr>
        <w:t>4</w:t>
      </w:r>
      <w:r>
        <w:rPr>
          <w:b/>
          <w:szCs w:val="18"/>
        </w:rPr>
        <w:t xml:space="preserve">.5.3  </w:t>
      </w:r>
      <w:r>
        <w:rPr>
          <w:rFonts w:hint="eastAsia"/>
          <w:szCs w:val="18"/>
        </w:rPr>
        <w:t>城市轨道交通系统站间距短、列车运行密度高，列车与列车之间的距离很近，为保证运行安全，投入运营的载客列车必须配备安全防护系统。正常运行时由防护系统监控，保证载客列车安全运行。非正常情况或无安全防护系统的其他车辆应由监控设备或人工确认安全后才能下线运行。</w:t>
      </w:r>
    </w:p>
    <w:p w14:paraId="4C399B52">
      <w:pPr>
        <w:rPr>
          <w:szCs w:val="18"/>
        </w:rPr>
      </w:pPr>
      <w:r>
        <w:rPr>
          <w:b/>
          <w:szCs w:val="18"/>
        </w:rPr>
        <w:t>4</w:t>
      </w:r>
      <w:r>
        <w:rPr>
          <w:rFonts w:hint="eastAsia"/>
          <w:b/>
          <w:szCs w:val="18"/>
        </w:rPr>
        <w:t>.</w:t>
      </w:r>
      <w:r>
        <w:rPr>
          <w:b/>
          <w:szCs w:val="18"/>
        </w:rPr>
        <w:t>5</w:t>
      </w:r>
      <w:r>
        <w:rPr>
          <w:rFonts w:hint="eastAsia"/>
          <w:b/>
          <w:szCs w:val="18"/>
        </w:rPr>
        <w:t>.</w:t>
      </w:r>
      <w:r>
        <w:rPr>
          <w:b/>
          <w:szCs w:val="18"/>
        </w:rPr>
        <w:t>4</w:t>
      </w:r>
      <w:r>
        <w:rPr>
          <w:rFonts w:hint="eastAsia"/>
          <w:b/>
          <w:szCs w:val="18"/>
        </w:rPr>
        <w:t xml:space="preserve">  </w:t>
      </w:r>
      <w:r>
        <w:rPr>
          <w:rFonts w:hint="eastAsia"/>
          <w:szCs w:val="18"/>
        </w:rPr>
        <w:t>北京轨道交通系统已渐成网络，对于运营管理已经有相当成熟的经验，</w:t>
      </w:r>
      <w:r>
        <w:rPr>
          <w:szCs w:val="18"/>
        </w:rPr>
        <w:t>结合北京最新开通线路及各地定员配置情况，常规线路可以控制在40</w:t>
      </w:r>
      <w:r>
        <w:rPr>
          <w:rFonts w:hint="eastAsia"/>
          <w:szCs w:val="18"/>
        </w:rPr>
        <w:t>~</w:t>
      </w:r>
      <w:r>
        <w:rPr>
          <w:szCs w:val="18"/>
        </w:rPr>
        <w:t>50人/km</w:t>
      </w:r>
      <w:r>
        <w:rPr>
          <w:rFonts w:hint="eastAsia"/>
          <w:szCs w:val="18"/>
        </w:rPr>
        <w:t>。</w:t>
      </w:r>
    </w:p>
    <w:p w14:paraId="59087985">
      <w:pPr>
        <w:rPr>
          <w:szCs w:val="18"/>
        </w:rPr>
      </w:pPr>
      <w:r>
        <w:rPr>
          <w:b/>
          <w:szCs w:val="18"/>
        </w:rPr>
        <w:t>4</w:t>
      </w:r>
      <w:r>
        <w:rPr>
          <w:rFonts w:hint="eastAsia"/>
          <w:b/>
          <w:szCs w:val="18"/>
        </w:rPr>
        <w:t>.</w:t>
      </w:r>
      <w:r>
        <w:rPr>
          <w:b/>
          <w:szCs w:val="18"/>
        </w:rPr>
        <w:t>5</w:t>
      </w:r>
      <w:r>
        <w:rPr>
          <w:rFonts w:hint="eastAsia"/>
          <w:b/>
          <w:szCs w:val="18"/>
        </w:rPr>
        <w:t>.</w:t>
      </w:r>
      <w:r>
        <w:rPr>
          <w:b/>
          <w:szCs w:val="18"/>
        </w:rPr>
        <w:t>5</w:t>
      </w:r>
      <w:r>
        <w:rPr>
          <w:rFonts w:hint="eastAsia"/>
          <w:b/>
          <w:szCs w:val="18"/>
        </w:rPr>
        <w:t xml:space="preserve">  </w:t>
      </w:r>
      <w:r>
        <w:rPr>
          <w:rFonts w:hint="eastAsia"/>
          <w:szCs w:val="18"/>
        </w:rPr>
        <w:t>目前北京已经运营的线路均采用站区管理模式，为了统一标准，以后的新线建设也采用相同的模式。为了加强车站内各岗位工作人员的联系，应配备必要的通讯设备。</w:t>
      </w:r>
    </w:p>
    <w:p w14:paraId="352AD043">
      <w:pPr>
        <w:rPr>
          <w:szCs w:val="18"/>
        </w:rPr>
      </w:pPr>
      <w:r>
        <w:rPr>
          <w:rStyle w:val="176"/>
          <w:b/>
        </w:rPr>
        <w:t>4</w:t>
      </w:r>
      <w:r>
        <w:rPr>
          <w:rStyle w:val="176"/>
          <w:rFonts w:hint="eastAsia"/>
          <w:b/>
        </w:rPr>
        <w:t>.</w:t>
      </w:r>
      <w:r>
        <w:rPr>
          <w:rStyle w:val="176"/>
          <w:b/>
        </w:rPr>
        <w:t>5</w:t>
      </w:r>
      <w:r>
        <w:rPr>
          <w:rStyle w:val="176"/>
          <w:rFonts w:hint="eastAsia"/>
          <w:b/>
        </w:rPr>
        <w:t>.</w:t>
      </w:r>
      <w:r>
        <w:rPr>
          <w:rStyle w:val="176"/>
          <w:b/>
        </w:rPr>
        <w:t>6</w:t>
      </w:r>
      <w:r>
        <w:rPr>
          <w:rStyle w:val="176"/>
          <w:rFonts w:hint="eastAsia"/>
          <w:b/>
        </w:rPr>
        <w:t xml:space="preserve"> </w:t>
      </w:r>
      <w:r>
        <w:rPr>
          <w:rStyle w:val="176"/>
          <w:rFonts w:hint="eastAsia"/>
        </w:rPr>
        <w:t xml:space="preserve"> </w:t>
      </w:r>
      <w:r>
        <w:rPr>
          <w:rFonts w:hint="eastAsia"/>
          <w:szCs w:val="18"/>
        </w:rPr>
        <w:t>车站管理用房是保证车站正常运转、维护乘车秩序、保证正常运营必不可少的设施。用房的数量和面积应根据不同功能确定，采用群组化、集中化管理有助于控制总建设规模，提高管理效率。中心站是站区管理机构所在地，应适当增加功能用房，小客流车站应精简用房配置。</w:t>
      </w:r>
    </w:p>
    <w:p w14:paraId="4684783A">
      <w:pPr>
        <w:widowControl/>
        <w:ind w:firstLine="560"/>
        <w:jc w:val="left"/>
        <w:rPr>
          <w:rFonts w:eastAsia="黑体"/>
          <w:bCs/>
          <w:kern w:val="44"/>
          <w:sz w:val="28"/>
          <w:szCs w:val="44"/>
        </w:rPr>
        <w:sectPr>
          <w:headerReference r:id="rId48" w:type="default"/>
          <w:footerReference r:id="rId50" w:type="default"/>
          <w:headerReference r:id="rId49" w:type="even"/>
          <w:footerReference r:id="rId51" w:type="even"/>
          <w:pgSz w:w="7938" w:h="11510"/>
          <w:pgMar w:top="1247" w:right="907" w:bottom="1247" w:left="907" w:header="737" w:footer="737" w:gutter="0"/>
          <w:cols w:space="720" w:num="1"/>
          <w:docGrid w:linePitch="286" w:charSpace="0"/>
        </w:sectPr>
      </w:pPr>
    </w:p>
    <w:p w14:paraId="63051366">
      <w:pPr>
        <w:pStyle w:val="198"/>
        <w:jc w:val="both"/>
      </w:pPr>
    </w:p>
    <w:p w14:paraId="54C61116">
      <w:pPr>
        <w:pStyle w:val="240"/>
      </w:pPr>
      <w:bookmarkStart w:id="2269" w:name="_Toc152793147"/>
      <w:bookmarkStart w:id="2270" w:name="_Toc183738102"/>
      <w:bookmarkStart w:id="2271" w:name="_Toc183882633"/>
      <w:bookmarkStart w:id="2272" w:name="_Toc183888685"/>
      <w:bookmarkStart w:id="2273" w:name="_Toc183888323"/>
      <w:bookmarkStart w:id="2274" w:name="_Toc183790710"/>
      <w:bookmarkStart w:id="2275" w:name="_Toc183735437"/>
      <w:bookmarkStart w:id="2276" w:name="_Toc183699893"/>
      <w:bookmarkStart w:id="2277" w:name="_Toc183882271"/>
      <w:bookmarkStart w:id="2278" w:name="_Toc183765280"/>
      <w:r>
        <w:rPr>
          <w:rFonts w:hint="eastAsia"/>
          <w:b/>
        </w:rPr>
        <w:t>5</w:t>
      </w:r>
      <w:r>
        <w:rPr>
          <w:b/>
        </w:rPr>
        <w:t xml:space="preserve"> </w:t>
      </w:r>
      <w:r>
        <w:t xml:space="preserve"> </w:t>
      </w:r>
      <w:r>
        <w:rPr>
          <w:rFonts w:hint="eastAsia"/>
        </w:rPr>
        <w:t xml:space="preserve">车  </w:t>
      </w:r>
      <w:bookmarkEnd w:id="2269"/>
      <w:r>
        <w:rPr>
          <w:rFonts w:hint="eastAsia"/>
        </w:rPr>
        <w:t>辆</w:t>
      </w:r>
      <w:bookmarkEnd w:id="2270"/>
      <w:bookmarkEnd w:id="2271"/>
      <w:bookmarkEnd w:id="2272"/>
      <w:bookmarkEnd w:id="2273"/>
      <w:bookmarkEnd w:id="2274"/>
      <w:bookmarkEnd w:id="2275"/>
      <w:bookmarkEnd w:id="2276"/>
      <w:bookmarkEnd w:id="2277"/>
      <w:bookmarkEnd w:id="2278"/>
    </w:p>
    <w:p w14:paraId="4D8A5B73">
      <w:pPr>
        <w:pStyle w:val="4"/>
        <w:numPr>
          <w:ilvl w:val="0"/>
          <w:numId w:val="0"/>
        </w:numPr>
      </w:pPr>
      <w:bookmarkStart w:id="2279" w:name="_Toc183888324"/>
      <w:bookmarkStart w:id="2280" w:name="_Toc183882272"/>
      <w:bookmarkStart w:id="2281" w:name="_Toc183790711"/>
      <w:bookmarkStart w:id="2282" w:name="_Toc183882634"/>
      <w:bookmarkStart w:id="2283" w:name="_Toc183765281"/>
      <w:bookmarkStart w:id="2284" w:name="_Toc183738103"/>
      <w:bookmarkStart w:id="2285" w:name="_Toc183888686"/>
      <w:r>
        <w:rPr>
          <w:rFonts w:hint="eastAsia"/>
          <w:b/>
        </w:rPr>
        <w:t>5.1</w:t>
      </w:r>
      <w:r>
        <w:rPr>
          <w:rFonts w:hint="eastAsia"/>
        </w:rPr>
        <w:t xml:space="preserve">  一般规定</w:t>
      </w:r>
      <w:bookmarkEnd w:id="2279"/>
      <w:bookmarkEnd w:id="2280"/>
      <w:bookmarkEnd w:id="2281"/>
      <w:bookmarkEnd w:id="2282"/>
      <w:bookmarkEnd w:id="2283"/>
      <w:bookmarkEnd w:id="2284"/>
      <w:bookmarkEnd w:id="2285"/>
    </w:p>
    <w:p w14:paraId="4FE3182D">
      <w:pPr>
        <w:rPr>
          <w:rFonts w:ascii="宋体" w:hAnsi="宋体" w:cs="宋体"/>
        </w:rPr>
      </w:pPr>
      <w:r>
        <w:rPr>
          <w:rFonts w:eastAsia="黑体"/>
          <w:b/>
          <w:bCs/>
          <w:szCs w:val="21"/>
        </w:rPr>
        <w:t>5.1.2</w:t>
      </w:r>
      <w:r>
        <w:rPr>
          <w:rFonts w:hint="eastAsia"/>
        </w:rPr>
        <w:t xml:space="preserve">  </w:t>
      </w:r>
      <w:r>
        <w:rPr>
          <w:rFonts w:hint="eastAsia" w:ascii="宋体" w:hAnsi="宋体" w:cs="宋体"/>
        </w:rPr>
        <w:t>随着北京轨道交通线网的不断建设，提出了线路互联互通的需求，本条文补充了互联互通要求的线路宜车型统一，此外还应考虑供电制式、信号制式、车辆限界、车门位置、乘客信息显示系统等其他因素对于互联互通线路的影响。</w:t>
      </w:r>
    </w:p>
    <w:p w14:paraId="5623688A">
      <w:pPr>
        <w:rPr>
          <w:rFonts w:ascii="宋体" w:hAnsi="宋体" w:cs="宋体"/>
        </w:rPr>
      </w:pPr>
      <w:r>
        <w:rPr>
          <w:rFonts w:eastAsia="黑体"/>
          <w:b/>
          <w:bCs/>
          <w:szCs w:val="21"/>
        </w:rPr>
        <w:t xml:space="preserve">5.1.8  </w:t>
      </w:r>
      <w:r>
        <w:rPr>
          <w:rFonts w:hint="eastAsia" w:ascii="宋体" w:hAnsi="宋体" w:cs="宋体"/>
        </w:rPr>
        <w:t>结合城市轨道交通智能化要求，车辆从实现智能化角度提出设置健康管理系统的要求，各线车辆可结合智能化的要求灵活配置。</w:t>
      </w:r>
    </w:p>
    <w:p w14:paraId="276E4915">
      <w:pPr>
        <w:pStyle w:val="4"/>
        <w:numPr>
          <w:ilvl w:val="0"/>
          <w:numId w:val="0"/>
        </w:numPr>
      </w:pPr>
      <w:bookmarkStart w:id="2286" w:name="_Toc183765282"/>
      <w:bookmarkStart w:id="2287" w:name="_Toc183738104"/>
      <w:bookmarkStart w:id="2288" w:name="_Toc183888687"/>
      <w:bookmarkStart w:id="2289" w:name="_Toc183882273"/>
      <w:bookmarkStart w:id="2290" w:name="_Toc183790712"/>
      <w:bookmarkStart w:id="2291" w:name="_Toc183888325"/>
      <w:bookmarkStart w:id="2292" w:name="_Toc183882635"/>
      <w:r>
        <w:rPr>
          <w:rFonts w:hint="eastAsia"/>
          <w:b/>
        </w:rPr>
        <w:t xml:space="preserve">5.2 </w:t>
      </w:r>
      <w:r>
        <w:rPr>
          <w:rFonts w:hint="eastAsia"/>
        </w:rPr>
        <w:t xml:space="preserve"> 车辆使用条件</w:t>
      </w:r>
      <w:bookmarkEnd w:id="2286"/>
      <w:bookmarkEnd w:id="2287"/>
      <w:bookmarkEnd w:id="2288"/>
      <w:bookmarkEnd w:id="2289"/>
      <w:bookmarkEnd w:id="2290"/>
      <w:bookmarkEnd w:id="2291"/>
      <w:bookmarkEnd w:id="2292"/>
    </w:p>
    <w:p w14:paraId="4CF66107">
      <w:pPr>
        <w:rPr>
          <w:rFonts w:eastAsia="黑体"/>
          <w:b/>
          <w:bCs/>
          <w:szCs w:val="21"/>
        </w:rPr>
      </w:pPr>
      <w:r>
        <w:rPr>
          <w:rFonts w:eastAsia="黑体"/>
          <w:b/>
          <w:bCs/>
          <w:szCs w:val="21"/>
        </w:rPr>
        <w:t xml:space="preserve">5.2.3  </w:t>
      </w:r>
      <w:r>
        <w:rPr>
          <w:rFonts w:ascii="宋体" w:hAnsi="宋体" w:cs="宋体"/>
        </w:rPr>
        <w:t>当线路</w:t>
      </w:r>
      <w:r>
        <w:rPr>
          <w:rFonts w:hint="eastAsia" w:ascii="宋体" w:hAnsi="宋体" w:cs="宋体"/>
        </w:rPr>
        <w:t>最大坡度在困难</w:t>
      </w:r>
      <w:r>
        <w:rPr>
          <w:rFonts w:ascii="宋体" w:hAnsi="宋体" w:cs="宋体"/>
        </w:rPr>
        <w:t>条件</w:t>
      </w:r>
      <w:r>
        <w:rPr>
          <w:rFonts w:hint="eastAsia" w:ascii="宋体" w:hAnsi="宋体" w:cs="宋体"/>
        </w:rPr>
        <w:t>下</w:t>
      </w:r>
      <w:r>
        <w:rPr>
          <w:rFonts w:ascii="宋体" w:hAnsi="宋体" w:cs="宋体"/>
        </w:rPr>
        <w:t>突破本条所规定时，</w:t>
      </w:r>
      <w:r>
        <w:rPr>
          <w:rFonts w:hint="eastAsia" w:ascii="宋体" w:hAnsi="宋体" w:cs="宋体"/>
        </w:rPr>
        <w:t>可以通过对</w:t>
      </w:r>
      <w:r>
        <w:rPr>
          <w:rFonts w:ascii="宋体" w:hAnsi="宋体" w:cs="宋体"/>
        </w:rPr>
        <w:t>车辆</w:t>
      </w:r>
      <w:r>
        <w:rPr>
          <w:rFonts w:hint="eastAsia" w:ascii="宋体" w:hAnsi="宋体" w:cs="宋体"/>
        </w:rPr>
        <w:t>牵引</w:t>
      </w:r>
      <w:r>
        <w:rPr>
          <w:rFonts w:ascii="宋体" w:hAnsi="宋体" w:cs="宋体"/>
        </w:rPr>
        <w:t>能力进行</w:t>
      </w:r>
      <w:r>
        <w:rPr>
          <w:rFonts w:hint="eastAsia" w:ascii="宋体" w:hAnsi="宋体" w:cs="宋体"/>
        </w:rPr>
        <w:t>仿真，</w:t>
      </w:r>
      <w:r>
        <w:rPr>
          <w:rFonts w:ascii="宋体" w:hAnsi="宋体" w:cs="宋体"/>
        </w:rPr>
        <w:t>校核验证</w:t>
      </w:r>
      <w:r>
        <w:rPr>
          <w:rFonts w:hint="eastAsia" w:ascii="宋体" w:hAnsi="宋体" w:cs="宋体"/>
        </w:rPr>
        <w:t>车辆对线路条件的适应性</w:t>
      </w:r>
      <w:r>
        <w:rPr>
          <w:rFonts w:ascii="宋体" w:hAnsi="宋体" w:cs="宋体"/>
        </w:rPr>
        <w:t>。</w:t>
      </w:r>
    </w:p>
    <w:p w14:paraId="22F51E70">
      <w:pPr>
        <w:pStyle w:val="4"/>
        <w:numPr>
          <w:ilvl w:val="0"/>
          <w:numId w:val="0"/>
        </w:numPr>
      </w:pPr>
      <w:bookmarkStart w:id="2293" w:name="_Toc183790713"/>
      <w:bookmarkStart w:id="2294" w:name="_Toc183888688"/>
      <w:bookmarkStart w:id="2295" w:name="_Toc183738105"/>
      <w:bookmarkStart w:id="2296" w:name="_Toc183765283"/>
      <w:bookmarkStart w:id="2297" w:name="_Toc183882636"/>
      <w:bookmarkStart w:id="2298" w:name="_Toc183888326"/>
      <w:bookmarkStart w:id="2299" w:name="_Toc183882274"/>
      <w:r>
        <w:rPr>
          <w:rFonts w:hint="eastAsia"/>
          <w:b/>
        </w:rPr>
        <w:t xml:space="preserve">5.3 </w:t>
      </w:r>
      <w:r>
        <w:rPr>
          <w:rFonts w:hint="eastAsia"/>
        </w:rPr>
        <w:t xml:space="preserve"> 车辆主要技术规格</w:t>
      </w:r>
      <w:bookmarkEnd w:id="2293"/>
      <w:bookmarkEnd w:id="2294"/>
      <w:bookmarkEnd w:id="2295"/>
      <w:bookmarkEnd w:id="2296"/>
      <w:bookmarkEnd w:id="2297"/>
      <w:bookmarkEnd w:id="2298"/>
      <w:bookmarkEnd w:id="2299"/>
    </w:p>
    <w:p w14:paraId="309D80CF">
      <w:pPr>
        <w:rPr>
          <w:rFonts w:ascii="宋体" w:hAnsi="宋体" w:cs="宋体"/>
        </w:rPr>
      </w:pPr>
      <w:r>
        <w:rPr>
          <w:rFonts w:eastAsia="黑体"/>
          <w:b/>
          <w:bCs/>
          <w:szCs w:val="21"/>
        </w:rPr>
        <w:t>5.3.1</w:t>
      </w:r>
      <w:r>
        <w:rPr>
          <w:rFonts w:hint="eastAsia" w:ascii="宋体" w:hAnsi="宋体" w:cs="宋体"/>
        </w:rPr>
        <w:t xml:space="preserve">  本规范车辆最高运行速度为80km/h~140km/h，对车辆主要技术规格进行调整。</w:t>
      </w:r>
    </w:p>
    <w:p w14:paraId="2563620A">
      <w:pPr>
        <w:ind w:firstLine="422"/>
      </w:pPr>
      <w:r>
        <w:rPr>
          <w:rFonts w:hint="eastAsia"/>
          <w:b/>
          <w:bCs/>
        </w:rPr>
        <w:t>1</w:t>
      </w:r>
      <w:r>
        <w:rPr>
          <w:rFonts w:hint="eastAsia"/>
        </w:rPr>
        <w:t xml:space="preserve">  在不同的最高运行速度等级下，对车辆供电制式、受电弓落弓高度、轴重等技术规格提出细化要求。</w:t>
      </w:r>
    </w:p>
    <w:p w14:paraId="70B4CF21">
      <w:pPr>
        <w:ind w:firstLine="422"/>
      </w:pPr>
      <w:r>
        <w:rPr>
          <w:rFonts w:hint="eastAsia"/>
          <w:b/>
          <w:bCs/>
        </w:rPr>
        <w:t>2</w:t>
      </w:r>
      <w:r>
        <w:rPr>
          <w:rFonts w:hint="eastAsia"/>
        </w:rPr>
        <w:t xml:space="preserve">  随着北京轨道交通线网的不断建设，提出了灵活编组的运营需求。A型车采用灵活编组条件下，将端部车辆车钩连接中心点间距离的长度加长为25080mm后，可满足车门与站台屏蔽门对位要求。</w:t>
      </w:r>
    </w:p>
    <w:p w14:paraId="637B195A">
      <w:pPr>
        <w:ind w:firstLine="422"/>
      </w:pPr>
      <w:r>
        <w:rPr>
          <w:rFonts w:hint="eastAsia"/>
          <w:b/>
          <w:bCs/>
        </w:rPr>
        <w:t>3</w:t>
      </w:r>
      <w:r>
        <w:rPr>
          <w:rFonts w:hint="eastAsia"/>
        </w:rPr>
        <w:t xml:space="preserve">  结合工程具体条件，当存在采用不同供电制式的跨线运营线路，可采用双供电制式的车辆。</w:t>
      </w:r>
    </w:p>
    <w:p w14:paraId="04886EFC">
      <w:pPr>
        <w:ind w:firstLine="422"/>
      </w:pPr>
      <w:r>
        <w:rPr>
          <w:rFonts w:hint="eastAsia"/>
          <w:b/>
          <w:bCs/>
        </w:rPr>
        <w:t>4</w:t>
      </w:r>
      <w:r>
        <w:rPr>
          <w:rFonts w:hint="eastAsia"/>
        </w:rPr>
        <w:t xml:space="preserve">  跨线运营车辆受电弓落弓高度可结合实际工程条件进行调整。</w:t>
      </w:r>
    </w:p>
    <w:p w14:paraId="0116727F">
      <w:pPr>
        <w:pStyle w:val="4"/>
        <w:numPr>
          <w:ilvl w:val="0"/>
          <w:numId w:val="0"/>
        </w:numPr>
      </w:pPr>
      <w:bookmarkStart w:id="2300" w:name="_Toc183765284"/>
      <w:bookmarkStart w:id="2301" w:name="_Toc183882637"/>
      <w:bookmarkStart w:id="2302" w:name="_Toc183790714"/>
      <w:bookmarkStart w:id="2303" w:name="_Toc183738106"/>
      <w:bookmarkStart w:id="2304" w:name="_Toc183888327"/>
      <w:bookmarkStart w:id="2305" w:name="_Toc183888689"/>
      <w:bookmarkStart w:id="2306" w:name="_Toc183882275"/>
      <w:r>
        <w:rPr>
          <w:rFonts w:hint="eastAsia"/>
        </w:rPr>
        <w:t>5.4  车辆运行主要技术指标</w:t>
      </w:r>
      <w:bookmarkEnd w:id="2300"/>
      <w:bookmarkEnd w:id="2301"/>
      <w:bookmarkEnd w:id="2302"/>
      <w:bookmarkEnd w:id="2303"/>
      <w:bookmarkEnd w:id="2304"/>
      <w:bookmarkEnd w:id="2305"/>
      <w:bookmarkEnd w:id="2306"/>
    </w:p>
    <w:p w14:paraId="55332769">
      <w:pPr>
        <w:rPr>
          <w:rFonts w:ascii="宋体" w:hAnsi="宋体" w:cs="宋体"/>
        </w:rPr>
      </w:pPr>
      <w:r>
        <w:rPr>
          <w:rFonts w:eastAsia="黑体"/>
          <w:b/>
          <w:bCs/>
          <w:szCs w:val="21"/>
        </w:rPr>
        <w:t>5.4.2</w:t>
      </w:r>
      <w:r>
        <w:rPr>
          <w:rFonts w:hint="eastAsia" w:ascii="宋体" w:hAnsi="宋体" w:cs="宋体"/>
        </w:rPr>
        <w:t xml:space="preserve">  本规范车辆最高运行速度为80km/h~140km/h，车辆加速度要求按照不同速度等级进行区分。</w:t>
      </w:r>
    </w:p>
    <w:p w14:paraId="267BC69B">
      <w:pPr>
        <w:rPr>
          <w:rFonts w:ascii="宋体" w:hAnsi="宋体" w:cs="宋体"/>
        </w:rPr>
      </w:pPr>
      <w:r>
        <w:rPr>
          <w:rFonts w:eastAsia="黑体"/>
          <w:b/>
          <w:bCs/>
          <w:szCs w:val="21"/>
        </w:rPr>
        <w:t>5.4.9</w:t>
      </w:r>
      <w:r>
        <w:rPr>
          <w:rFonts w:hint="eastAsia" w:ascii="宋体" w:hAnsi="宋体" w:cs="宋体"/>
        </w:rPr>
        <w:t xml:space="preserve">  本规范车辆最高运行速度为80km/h~140km/h，最高运行速度120km/h~140km/h列车从乘客舒适度、工程实施难度等方面考虑，可采用密封性列车。</w:t>
      </w:r>
    </w:p>
    <w:p w14:paraId="757EF6FB">
      <w:pPr>
        <w:pStyle w:val="4"/>
        <w:numPr>
          <w:ilvl w:val="0"/>
          <w:numId w:val="0"/>
        </w:numPr>
      </w:pPr>
      <w:bookmarkStart w:id="2307" w:name="_Toc183882276"/>
      <w:bookmarkStart w:id="2308" w:name="_Toc183882638"/>
      <w:bookmarkStart w:id="2309" w:name="_Toc183765285"/>
      <w:bookmarkStart w:id="2310" w:name="_Toc183888328"/>
      <w:bookmarkStart w:id="2311" w:name="_Toc183790715"/>
      <w:bookmarkStart w:id="2312" w:name="_Toc183738107"/>
      <w:bookmarkStart w:id="2313" w:name="_Toc183888690"/>
      <w:r>
        <w:rPr>
          <w:rFonts w:hint="eastAsia"/>
          <w:b/>
        </w:rPr>
        <w:t xml:space="preserve">5.7 </w:t>
      </w:r>
      <w:r>
        <w:rPr>
          <w:rFonts w:hint="eastAsia"/>
        </w:rPr>
        <w:t xml:space="preserve"> 全自动驾驶车辆</w:t>
      </w:r>
      <w:bookmarkEnd w:id="2307"/>
      <w:bookmarkEnd w:id="2308"/>
      <w:bookmarkEnd w:id="2309"/>
      <w:bookmarkEnd w:id="2310"/>
      <w:bookmarkEnd w:id="2311"/>
      <w:bookmarkEnd w:id="2312"/>
      <w:bookmarkEnd w:id="2313"/>
    </w:p>
    <w:p w14:paraId="22D5F0C0">
      <w:pPr>
        <w:ind w:firstLine="420"/>
      </w:pPr>
      <w:r>
        <w:rPr>
          <w:rFonts w:hint="eastAsia"/>
        </w:rPr>
        <w:t>本规范新增针对全自动驾驶车辆的要求，对全自动驾驶车辆技术要求做指导性建议。</w:t>
      </w:r>
    </w:p>
    <w:p w14:paraId="0481A914">
      <w:pPr>
        <w:rPr>
          <w:rFonts w:ascii="宋体" w:hAnsi="宋体" w:cs="宋体"/>
        </w:rPr>
      </w:pPr>
    </w:p>
    <w:p w14:paraId="7D4027FF">
      <w:r>
        <w:br w:type="page"/>
      </w:r>
    </w:p>
    <w:p w14:paraId="214B69A2">
      <w:pPr>
        <w:pStyle w:val="240"/>
      </w:pPr>
      <w:bookmarkStart w:id="2314" w:name="_Toc183765286"/>
      <w:bookmarkStart w:id="2315" w:name="_Toc4056"/>
      <w:bookmarkStart w:id="2316" w:name="_Toc183738108"/>
      <w:bookmarkStart w:id="2317" w:name="_Toc183888329"/>
      <w:bookmarkStart w:id="2318" w:name="_Toc183454839"/>
      <w:bookmarkStart w:id="2319" w:name="_Toc183699894"/>
      <w:bookmarkStart w:id="2320" w:name="_Toc183454456"/>
      <w:bookmarkStart w:id="2321" w:name="_Toc183454159"/>
      <w:bookmarkStart w:id="2322" w:name="_Toc183882277"/>
      <w:bookmarkStart w:id="2323" w:name="_Toc183882639"/>
      <w:bookmarkStart w:id="2324" w:name="_Toc183888691"/>
      <w:bookmarkStart w:id="2325" w:name="_Toc183735438"/>
      <w:bookmarkStart w:id="2326" w:name="_Toc183790716"/>
      <w:r>
        <w:rPr>
          <w:rFonts w:hint="eastAsia"/>
          <w:b/>
        </w:rPr>
        <w:t xml:space="preserve">6  </w:t>
      </w:r>
      <w:r>
        <w:rPr>
          <w:rFonts w:hint="eastAsia"/>
        </w:rPr>
        <w:t>限  界</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14:paraId="65203967">
      <w:pPr>
        <w:pStyle w:val="4"/>
        <w:numPr>
          <w:ilvl w:val="0"/>
          <w:numId w:val="0"/>
        </w:numPr>
      </w:pPr>
      <w:bookmarkStart w:id="2327" w:name="_Toc183765287"/>
      <w:bookmarkStart w:id="2328" w:name="_Toc357929500"/>
      <w:bookmarkStart w:id="2329" w:name="_Toc183454840"/>
      <w:bookmarkStart w:id="2330" w:name="_Toc183454457"/>
      <w:bookmarkStart w:id="2331" w:name="_Toc183888330"/>
      <w:bookmarkStart w:id="2332" w:name="_Toc183454160"/>
      <w:bookmarkStart w:id="2333" w:name="_Toc183738109"/>
      <w:bookmarkStart w:id="2334" w:name="_Toc183882278"/>
      <w:bookmarkStart w:id="2335" w:name="_Toc183882640"/>
      <w:bookmarkStart w:id="2336" w:name="_Toc183790717"/>
      <w:bookmarkStart w:id="2337" w:name="_Toc183888692"/>
      <w:r>
        <w:rPr>
          <w:rFonts w:hint="eastAsia"/>
          <w:b/>
        </w:rPr>
        <w:t>6.1</w:t>
      </w:r>
      <w:r>
        <w:rPr>
          <w:b/>
        </w:rPr>
        <w:t xml:space="preserve"> </w:t>
      </w:r>
      <w:r>
        <w:t xml:space="preserve"> 一</w:t>
      </w:r>
      <w:r>
        <w:rPr>
          <w:rFonts w:hint="eastAsia"/>
        </w:rPr>
        <w:t>般规定</w:t>
      </w:r>
      <w:bookmarkEnd w:id="2327"/>
      <w:bookmarkEnd w:id="2328"/>
      <w:bookmarkEnd w:id="2329"/>
      <w:bookmarkEnd w:id="2330"/>
      <w:bookmarkEnd w:id="2331"/>
      <w:bookmarkEnd w:id="2332"/>
      <w:bookmarkEnd w:id="2333"/>
      <w:bookmarkEnd w:id="2334"/>
      <w:bookmarkEnd w:id="2335"/>
      <w:bookmarkEnd w:id="2336"/>
      <w:bookmarkEnd w:id="2337"/>
    </w:p>
    <w:p w14:paraId="2046FE2F">
      <w:pPr>
        <w:rPr>
          <w:rFonts w:ascii="宋体" w:hAnsi="宋体" w:cs="宋体"/>
          <w:szCs w:val="21"/>
        </w:rPr>
      </w:pPr>
      <w:r>
        <w:rPr>
          <w:rFonts w:eastAsia="黑体"/>
          <w:b/>
          <w:szCs w:val="21"/>
        </w:rPr>
        <w:t xml:space="preserve">6.1.1 </w:t>
      </w:r>
      <w:r>
        <w:rPr>
          <w:rFonts w:hint="eastAsia" w:ascii="宋体" w:hAnsi="宋体" w:cs="宋体"/>
          <w:b/>
          <w:szCs w:val="21"/>
        </w:rPr>
        <w:t xml:space="preserve"> </w:t>
      </w:r>
      <w:r>
        <w:rPr>
          <w:rFonts w:hint="eastAsia" w:ascii="宋体" w:hAnsi="宋体" w:cs="宋体"/>
          <w:szCs w:val="21"/>
        </w:rPr>
        <w:t>限界的形状大小由各控制点及其连接线组成，为了统一确定各控制点的准确位置、方便计算，需规定限界设计的基准坐标。在设置曲线超高地段，限界坐标不随超高角旋转。</w:t>
      </w:r>
    </w:p>
    <w:p w14:paraId="5E921BC7">
      <w:pPr>
        <w:rPr>
          <w:rFonts w:ascii="宋体" w:hAnsi="宋体" w:cs="宋体"/>
          <w:szCs w:val="21"/>
        </w:rPr>
      </w:pPr>
      <w:r>
        <w:rPr>
          <w:rFonts w:eastAsia="黑体"/>
          <w:b/>
          <w:szCs w:val="21"/>
        </w:rPr>
        <w:t xml:space="preserve">6.1.2  </w:t>
      </w:r>
      <w:r>
        <w:rPr>
          <w:rFonts w:hint="eastAsia" w:ascii="宋体" w:hAnsi="宋体" w:cs="宋体"/>
          <w:szCs w:val="21"/>
        </w:rPr>
        <w:t>车辆限界的计算需综合考虑车辆制造公差、轮轨磨耗、车辆运行时的动态偏移及轨道状态对车辆偏移等因素。隧道内外区域划分主要是考虑车辆在隧道内、外所受风力不同，由此引起的车辆限界偏移量也不同，隧道外（有风）车辆限界大于隧道内（无风）车辆限界；按列车运行区域划分主要是考虑车辆的运行速度不同，不同速度及不同道床引起的车辆限界偏移量也不同。</w:t>
      </w:r>
    </w:p>
    <w:p w14:paraId="26407ECE">
      <w:pPr>
        <w:rPr>
          <w:rFonts w:eastAsia="黑体"/>
          <w:b/>
          <w:bCs/>
          <w:szCs w:val="21"/>
        </w:rPr>
      </w:pPr>
      <w:r>
        <w:rPr>
          <w:rFonts w:eastAsia="黑体"/>
          <w:b/>
          <w:szCs w:val="21"/>
        </w:rPr>
        <w:t xml:space="preserve">6.1.3 </w:t>
      </w:r>
      <w:r>
        <w:rPr>
          <w:rFonts w:eastAsia="黑体"/>
          <w:szCs w:val="21"/>
        </w:rPr>
        <w:t xml:space="preserve"> </w:t>
      </w:r>
      <w:r>
        <w:rPr>
          <w:rFonts w:hint="eastAsia" w:ascii="宋体" w:hAnsi="宋体" w:cs="宋体"/>
          <w:szCs w:val="21"/>
        </w:rPr>
        <w:t>建筑限界是永久性建筑结构物（隧道、桥梁、声屏障等）的最小尺寸，是建筑结构物在除去测量误差、施工误差、结构沉降和位移变形等因素后必需保证的净空。各种误差由土建设计等相关专业在建筑限界之外给予考虑。</w:t>
      </w:r>
    </w:p>
    <w:p w14:paraId="134D72B1">
      <w:pPr>
        <w:rPr>
          <w:rFonts w:eastAsia="黑体"/>
          <w:b/>
          <w:bCs/>
          <w:szCs w:val="21"/>
        </w:rPr>
      </w:pPr>
      <w:r>
        <w:rPr>
          <w:rFonts w:eastAsia="黑体"/>
          <w:b/>
          <w:szCs w:val="21"/>
        </w:rPr>
        <w:t xml:space="preserve">6.1.4 </w:t>
      </w:r>
      <w:r>
        <w:rPr>
          <w:rFonts w:eastAsia="黑体"/>
          <w:szCs w:val="21"/>
        </w:rPr>
        <w:t xml:space="preserve"> </w:t>
      </w:r>
      <w:r>
        <w:rPr>
          <w:rFonts w:hint="eastAsia" w:ascii="宋体" w:hAnsi="宋体" w:cs="宋体"/>
          <w:szCs w:val="21"/>
        </w:rPr>
        <w:t>最小线间距应大于设备限界加不小于100mm安全间隙及必要的设备（如接触轨等）维修空间，本条规定的最小线间距参照了北京在建线的实际标准和运营维护的空间需求。</w:t>
      </w:r>
    </w:p>
    <w:p w14:paraId="1D359937">
      <w:pPr>
        <w:rPr>
          <w:rFonts w:ascii="宋体" w:hAnsi="宋体" w:cs="宋体"/>
          <w:szCs w:val="21"/>
        </w:rPr>
      </w:pPr>
      <w:r>
        <w:rPr>
          <w:rFonts w:eastAsia="黑体"/>
          <w:b/>
          <w:szCs w:val="21"/>
        </w:rPr>
        <w:t xml:space="preserve">6.1.5 </w:t>
      </w:r>
      <w:r>
        <w:rPr>
          <w:rFonts w:eastAsia="黑体"/>
          <w:szCs w:val="21"/>
        </w:rPr>
        <w:t xml:space="preserve"> </w:t>
      </w:r>
      <w:r>
        <w:rPr>
          <w:rFonts w:hint="eastAsia" w:ascii="宋体" w:hAnsi="宋体" w:cs="宋体"/>
          <w:szCs w:val="21"/>
        </w:rPr>
        <w:t>本条为修订条文，</w:t>
      </w:r>
      <w:r>
        <w:rPr>
          <w:rFonts w:hint="eastAsia"/>
          <w:szCs w:val="18"/>
        </w:rPr>
        <w:t>修订以后满足《地铁设计防火标准》要求。</w:t>
      </w:r>
      <w:r>
        <w:rPr>
          <w:rFonts w:hint="eastAsia" w:ascii="宋体" w:hAnsi="宋体" w:cs="宋体"/>
          <w:szCs w:val="21"/>
        </w:rPr>
        <w:t>对中心排水沟道床面可考虑设置水沟盖板，对于突出道床面（两轨之间）的轨旁设备（如信标等）可考虑设置坡道相接。</w:t>
      </w:r>
    </w:p>
    <w:p w14:paraId="2C438D34">
      <w:pPr>
        <w:rPr>
          <w:rFonts w:ascii="宋体" w:hAnsi="宋体" w:cs="宋体"/>
          <w:szCs w:val="21"/>
        </w:rPr>
      </w:pPr>
      <w:r>
        <w:rPr>
          <w:rFonts w:eastAsia="黑体"/>
          <w:b/>
          <w:szCs w:val="21"/>
        </w:rPr>
        <w:t xml:space="preserve">6.1.6 </w:t>
      </w:r>
      <w:r>
        <w:rPr>
          <w:rFonts w:eastAsia="黑体"/>
          <w:szCs w:val="21"/>
        </w:rPr>
        <w:t xml:space="preserve"> </w:t>
      </w:r>
      <w:r>
        <w:rPr>
          <w:rFonts w:hint="eastAsia" w:ascii="宋体" w:hAnsi="宋体" w:cs="宋体"/>
          <w:szCs w:val="21"/>
        </w:rPr>
        <w:t>进入线路运行的其他运营车辆及各种工程车辆的车辆限界均不应突破正线运行车型的车辆限界，目的在于保证上线车辆运行的安全以及建筑物和周边管线设备的安全。</w:t>
      </w:r>
    </w:p>
    <w:p w14:paraId="368CBC8A">
      <w:pPr>
        <w:rPr>
          <w:rFonts w:eastAsia="黑体"/>
          <w:b/>
          <w:bCs/>
          <w:szCs w:val="21"/>
        </w:rPr>
      </w:pPr>
      <w:r>
        <w:rPr>
          <w:rFonts w:eastAsia="黑体"/>
          <w:b/>
          <w:szCs w:val="21"/>
        </w:rPr>
        <w:t xml:space="preserve">6.1.7 </w:t>
      </w:r>
      <w:r>
        <w:rPr>
          <w:rFonts w:eastAsia="黑体"/>
          <w:szCs w:val="21"/>
        </w:rPr>
        <w:t xml:space="preserve"> </w:t>
      </w:r>
      <w:r>
        <w:rPr>
          <w:rFonts w:hint="eastAsia" w:ascii="宋体" w:hAnsi="宋体" w:cs="宋体"/>
          <w:szCs w:val="21"/>
        </w:rPr>
        <w:t>列车最高运行速度80km/h～140km/h，对车辆限界及设备限界取值影响较小，同时也采用了限制速度88km/h～154km/h进行了核算，结果差异不大，故采用同一限界有利设计。</w:t>
      </w:r>
    </w:p>
    <w:p w14:paraId="5029B9E5">
      <w:pPr>
        <w:pStyle w:val="4"/>
        <w:numPr>
          <w:ilvl w:val="0"/>
          <w:numId w:val="0"/>
        </w:numPr>
      </w:pPr>
      <w:bookmarkStart w:id="2338" w:name="_Toc183765288"/>
      <w:bookmarkStart w:id="2339" w:name="_Toc183790718"/>
      <w:bookmarkStart w:id="2340" w:name="_Toc183888331"/>
      <w:bookmarkStart w:id="2341" w:name="_Toc357929501"/>
      <w:bookmarkStart w:id="2342" w:name="_Toc183882279"/>
      <w:bookmarkStart w:id="2343" w:name="_Toc183454458"/>
      <w:bookmarkStart w:id="2344" w:name="_Toc183888693"/>
      <w:bookmarkStart w:id="2345" w:name="_Toc183454161"/>
      <w:bookmarkStart w:id="2346" w:name="_Toc183882641"/>
      <w:bookmarkStart w:id="2347" w:name="_Toc183454841"/>
      <w:bookmarkStart w:id="2348" w:name="_Toc183738110"/>
      <w:r>
        <w:rPr>
          <w:rFonts w:hint="eastAsia"/>
          <w:b/>
        </w:rPr>
        <w:t>6.2</w:t>
      </w:r>
      <w:r>
        <w:rPr>
          <w:rFonts w:hint="eastAsia"/>
        </w:rPr>
        <w:t xml:space="preserve">  制定限界的基本参数</w:t>
      </w:r>
      <w:bookmarkEnd w:id="2338"/>
      <w:bookmarkEnd w:id="2339"/>
      <w:bookmarkEnd w:id="2340"/>
      <w:bookmarkEnd w:id="2341"/>
      <w:bookmarkEnd w:id="2342"/>
      <w:bookmarkEnd w:id="2343"/>
      <w:bookmarkEnd w:id="2344"/>
      <w:bookmarkEnd w:id="2345"/>
      <w:bookmarkEnd w:id="2346"/>
      <w:bookmarkEnd w:id="2347"/>
      <w:bookmarkEnd w:id="2348"/>
    </w:p>
    <w:p w14:paraId="6BCD7622">
      <w:pPr>
        <w:rPr>
          <w:rFonts w:ascii="宋体" w:hAnsi="宋体" w:cs="宋体"/>
          <w:szCs w:val="21"/>
        </w:rPr>
      </w:pPr>
      <w:r>
        <w:rPr>
          <w:rFonts w:eastAsia="黑体"/>
          <w:b/>
          <w:szCs w:val="21"/>
        </w:rPr>
        <w:t xml:space="preserve">6.2.2 </w:t>
      </w:r>
      <w:r>
        <w:rPr>
          <w:rFonts w:hint="eastAsia" w:ascii="宋体" w:hAnsi="宋体" w:cs="宋体"/>
          <w:szCs w:val="21"/>
        </w:rPr>
        <w:t xml:space="preserve"> 纵向辅助疏散平台平时供维修人员行走，在紧急情况下可作为疏散乘客的辅助通道，其设置位置主要从方便行走、方便上下行线之间的沟通联络、方便区间与车站的衔接以及疏散人流的组织考虑。</w:t>
      </w:r>
    </w:p>
    <w:p w14:paraId="4439DE6D">
      <w:pPr>
        <w:ind w:firstLine="630" w:firstLineChars="300"/>
        <w:rPr>
          <w:rFonts w:ascii="宋体" w:hAnsi="宋体" w:cs="宋体"/>
          <w:szCs w:val="21"/>
        </w:rPr>
      </w:pPr>
      <w:r>
        <w:rPr>
          <w:rFonts w:hint="eastAsia" w:ascii="宋体" w:hAnsi="宋体" w:cs="宋体"/>
          <w:szCs w:val="21"/>
        </w:rPr>
        <w:t>纵向辅助疏散平台的最小宽度主要考虑了人员行走的最小有效宽度及各种结构断面的形状影响；本次修订缩小了疏散平台板至车厢地板面的高差，方便车内乘客下到平台，直线段和曲线地段纵向疏散平台距轨道中心线高度宜统一按低于轨道中心线处的车厢地板面高度150mm~200mm确定。与设备限界之间的间隙既要保证行车安全，又要方便车内乘客下到平台。总结北京近年新建线的设计实践提出了统一规定。</w:t>
      </w:r>
    </w:p>
    <w:p w14:paraId="7B16E0F9">
      <w:pPr>
        <w:rPr>
          <w:rFonts w:ascii="宋体" w:hAnsi="宋体" w:cs="宋体"/>
          <w:szCs w:val="21"/>
        </w:rPr>
      </w:pPr>
      <w:r>
        <w:rPr>
          <w:rFonts w:eastAsia="黑体"/>
          <w:b/>
          <w:szCs w:val="21"/>
        </w:rPr>
        <w:t xml:space="preserve">6.2.2 </w:t>
      </w:r>
      <w:r>
        <w:rPr>
          <w:rFonts w:hint="eastAsia" w:ascii="宋体" w:hAnsi="宋体" w:cs="宋体"/>
          <w:szCs w:val="21"/>
        </w:rPr>
        <w:t>为匹配本标准最高运行速度调整，补充隧道阻塞比相关要求。</w:t>
      </w:r>
    </w:p>
    <w:p w14:paraId="37C1A772">
      <w:pPr>
        <w:pStyle w:val="4"/>
        <w:numPr>
          <w:ilvl w:val="0"/>
          <w:numId w:val="0"/>
        </w:numPr>
      </w:pPr>
      <w:bookmarkStart w:id="2349" w:name="_Toc183454162"/>
      <w:bookmarkStart w:id="2350" w:name="_Toc183454459"/>
      <w:bookmarkStart w:id="2351" w:name="_Toc183765289"/>
      <w:bookmarkStart w:id="2352" w:name="_Toc183888694"/>
      <w:bookmarkStart w:id="2353" w:name="_Toc183790719"/>
      <w:bookmarkStart w:id="2354" w:name="_Toc357929502"/>
      <w:bookmarkStart w:id="2355" w:name="_Toc183454842"/>
      <w:bookmarkStart w:id="2356" w:name="_Toc183882280"/>
      <w:bookmarkStart w:id="2357" w:name="_Toc183882642"/>
      <w:bookmarkStart w:id="2358" w:name="_Toc183738111"/>
      <w:bookmarkStart w:id="2359" w:name="_Toc183888332"/>
      <w:r>
        <w:rPr>
          <w:rFonts w:hint="eastAsia"/>
          <w:b/>
        </w:rPr>
        <w:t>6.3</w:t>
      </w:r>
      <w:r>
        <w:rPr>
          <w:rFonts w:hint="eastAsia"/>
        </w:rPr>
        <w:t xml:space="preserve">  建 筑 限 界</w:t>
      </w:r>
      <w:bookmarkEnd w:id="2349"/>
      <w:bookmarkEnd w:id="2350"/>
      <w:bookmarkEnd w:id="2351"/>
      <w:bookmarkEnd w:id="2352"/>
      <w:bookmarkEnd w:id="2353"/>
      <w:bookmarkEnd w:id="2354"/>
      <w:bookmarkEnd w:id="2355"/>
      <w:bookmarkEnd w:id="2356"/>
      <w:bookmarkEnd w:id="2357"/>
      <w:bookmarkEnd w:id="2358"/>
      <w:bookmarkEnd w:id="2359"/>
    </w:p>
    <w:p w14:paraId="1B4184FA">
      <w:pPr>
        <w:rPr>
          <w:rFonts w:eastAsia="黑体"/>
          <w:b/>
          <w:bCs/>
          <w:szCs w:val="21"/>
        </w:rPr>
      </w:pPr>
      <w:r>
        <w:rPr>
          <w:rFonts w:eastAsia="黑体"/>
          <w:b/>
          <w:szCs w:val="21"/>
        </w:rPr>
        <w:t xml:space="preserve">6.3.1 </w:t>
      </w:r>
      <w:r>
        <w:rPr>
          <w:rFonts w:eastAsia="黑体"/>
          <w:szCs w:val="21"/>
        </w:rPr>
        <w:t xml:space="preserve"> </w:t>
      </w:r>
      <w:r>
        <w:rPr>
          <w:rFonts w:hint="eastAsia" w:ascii="宋体" w:hAnsi="宋体" w:cs="宋体"/>
          <w:szCs w:val="21"/>
        </w:rPr>
        <w:t>直线地段矩形隧道建筑限界以直线地段设备限界为计算基础，此外还需考虑轨行区周边所布置的各种设备及管线所需的空间及安全间隙。</w:t>
      </w:r>
    </w:p>
    <w:p w14:paraId="3B972604">
      <w:pPr>
        <w:rPr>
          <w:rFonts w:ascii="宋体" w:hAnsi="宋体" w:cs="宋体"/>
          <w:szCs w:val="21"/>
        </w:rPr>
      </w:pPr>
      <w:r>
        <w:rPr>
          <w:rFonts w:eastAsia="黑体"/>
          <w:b/>
          <w:szCs w:val="21"/>
        </w:rPr>
        <w:t xml:space="preserve">6.3.3 </w:t>
      </w:r>
      <w:r>
        <w:rPr>
          <w:rFonts w:eastAsia="黑体"/>
          <w:szCs w:val="21"/>
        </w:rPr>
        <w:t xml:space="preserve"> </w:t>
      </w:r>
      <w:r>
        <w:rPr>
          <w:rFonts w:hint="eastAsia" w:ascii="宋体" w:hAnsi="宋体" w:cs="宋体"/>
          <w:szCs w:val="21"/>
        </w:rPr>
        <w:t>正线地段的最小平面曲线半径一般都大于等于300m，对于单线马蹄形隧道而言，直线地段建筑限界和曲线地段建筑限界的断面尺寸差别不大，为了简化设计，方便采用一种模板台车进行施工，全线宜按规定运行速度、用最小曲线半径和最大超高值计算的曲线设备限界以及设备安装尺寸、误差等因素来设计马蹄形隧道建筑限界；单洞双线马蹄形隧道一般出现道岔区及线间距较小（不足以设中隔墙）处，其断面控制尺寸应根据本条要求及设备布置的需要拟定。</w:t>
      </w:r>
    </w:p>
    <w:p w14:paraId="309A2DF6">
      <w:pPr>
        <w:rPr>
          <w:rFonts w:ascii="宋体" w:hAnsi="宋体" w:cs="宋体"/>
          <w:szCs w:val="21"/>
        </w:rPr>
      </w:pPr>
      <w:r>
        <w:rPr>
          <w:rFonts w:eastAsia="黑体"/>
          <w:b/>
          <w:szCs w:val="21"/>
        </w:rPr>
        <w:t>6.3.4</w:t>
      </w:r>
      <w:r>
        <w:rPr>
          <w:rFonts w:hint="eastAsia" w:ascii="宋体" w:hAnsi="宋体" w:cs="宋体"/>
          <w:b/>
          <w:szCs w:val="21"/>
        </w:rPr>
        <w:t xml:space="preserve"> </w:t>
      </w:r>
      <w:r>
        <w:rPr>
          <w:rFonts w:hint="eastAsia" w:ascii="宋体" w:hAnsi="宋体" w:cs="宋体"/>
          <w:szCs w:val="21"/>
        </w:rPr>
        <w:t xml:space="preserve"> 在无设备或管线安装的建筑表面，要求建筑限界与设备限界之间的最小间隙不宜小于200mm（300mm），主要考虑建筑结构在使用寿命区内可能发生的变形及结构内衬修补所需空间。</w:t>
      </w:r>
    </w:p>
    <w:p w14:paraId="25E20D49">
      <w:pPr>
        <w:rPr>
          <w:rFonts w:eastAsia="黑体"/>
          <w:b/>
          <w:bCs/>
          <w:szCs w:val="21"/>
        </w:rPr>
      </w:pPr>
      <w:r>
        <w:rPr>
          <w:rFonts w:eastAsia="黑体"/>
          <w:b/>
          <w:szCs w:val="21"/>
        </w:rPr>
        <w:t xml:space="preserve">6.3.5 </w:t>
      </w:r>
      <w:r>
        <w:rPr>
          <w:rFonts w:eastAsia="黑体"/>
          <w:szCs w:val="21"/>
        </w:rPr>
        <w:t xml:space="preserve"> </w:t>
      </w:r>
      <w:r>
        <w:rPr>
          <w:rFonts w:hint="eastAsia" w:ascii="宋体" w:hAnsi="宋体" w:cs="宋体"/>
          <w:szCs w:val="21"/>
        </w:rPr>
        <w:t>轨道超高造成设备限界倾斜，使之与建筑限界之间的空隙分配不均。为充分、合理的分配建筑限界空间，推导建立了隧道中心线横向位移公式（6.3.6-1）和竖向位移公式（6.3.6-2）。实际设计计算表明，竖向位移量只在毫米级变化，为了简化施工，竖向位移可忽略不计。在马蹄形隧道横向偏移量的计算中，圆心位置应取隧道顶部弧线的圆心。</w:t>
      </w:r>
    </w:p>
    <w:p w14:paraId="6C2477F8">
      <w:pPr>
        <w:rPr>
          <w:rFonts w:eastAsia="黑体"/>
          <w:b/>
          <w:bCs/>
          <w:szCs w:val="21"/>
        </w:rPr>
      </w:pPr>
      <w:r>
        <w:rPr>
          <w:rFonts w:eastAsia="黑体"/>
          <w:b/>
          <w:szCs w:val="21"/>
        </w:rPr>
        <w:t xml:space="preserve">6.3.6 </w:t>
      </w:r>
      <w:r>
        <w:rPr>
          <w:rFonts w:eastAsia="黑体"/>
          <w:szCs w:val="21"/>
        </w:rPr>
        <w:t xml:space="preserve"> </w:t>
      </w:r>
      <w:r>
        <w:rPr>
          <w:rFonts w:hint="eastAsia" w:ascii="宋体" w:hAnsi="宋体" w:cs="宋体"/>
          <w:szCs w:val="21"/>
        </w:rPr>
        <w:t>隧道外的区间建筑限界，包括高架区间、地面区间和U形槽过渡段，均按照隧道外设备限界设计。隧道外区间多为双线地段，设置纵向辅助疏散平台时，线间距按设备限界（直线地段采用直线设备限界、曲线地段采用曲线设备限界）加纵向辅助疏散平台宽度以及安全间隙50mm计算确定。安全间隙规定50mm有利于调节线间距（当纵向辅助疏散平台宽度为定值时）或纵向辅助疏散平台宽度取整（当曲、直线线间距相同时）。建筑限界宽度参照矩形隧道建筑限界制定方法确定。</w:t>
      </w:r>
    </w:p>
    <w:p w14:paraId="4E1B45C0">
      <w:pPr>
        <w:ind w:firstLine="420"/>
        <w:rPr>
          <w:rFonts w:ascii="宋体" w:hAnsi="宋体" w:cs="宋体"/>
          <w:szCs w:val="21"/>
        </w:rPr>
      </w:pPr>
      <w:r>
        <w:rPr>
          <w:rFonts w:hint="eastAsia" w:ascii="宋体" w:hAnsi="宋体" w:cs="宋体"/>
          <w:szCs w:val="21"/>
        </w:rPr>
        <w:t>接触网支柱和声屏障的设置，本条只作原则规定，应由接触网专业和声屏障专业具体设计。</w:t>
      </w:r>
    </w:p>
    <w:p w14:paraId="074FBCE2">
      <w:pPr>
        <w:ind w:firstLine="420"/>
        <w:rPr>
          <w:rFonts w:ascii="宋体" w:hAnsi="宋体" w:cs="宋体"/>
          <w:szCs w:val="21"/>
        </w:rPr>
      </w:pPr>
      <w:r>
        <w:rPr>
          <w:rFonts w:hint="eastAsia" w:ascii="宋体" w:hAnsi="宋体" w:cs="宋体"/>
          <w:szCs w:val="21"/>
        </w:rPr>
        <w:t>建筑限界高度：对于采用受电弓受流的A型车和B2型车，建筑限界高度为受电弓工作高度［注：不大于4600mm（自轨顶面）］与接触网系统结构高度之和。</w:t>
      </w:r>
    </w:p>
    <w:p w14:paraId="190DCD52">
      <w:pPr>
        <w:ind w:firstLine="420"/>
        <w:rPr>
          <w:rFonts w:ascii="宋体" w:hAnsi="宋体" w:cs="宋体"/>
          <w:szCs w:val="21"/>
        </w:rPr>
      </w:pPr>
      <w:r>
        <w:rPr>
          <w:rFonts w:hint="eastAsia" w:ascii="宋体" w:hAnsi="宋体" w:cs="宋体"/>
          <w:szCs w:val="21"/>
        </w:rPr>
        <w:t>对于采用受流器受流的B1型车，应按车辆设备限界高度另加不小于200mm的安全间隙。</w:t>
      </w:r>
    </w:p>
    <w:p w14:paraId="418A8480">
      <w:pPr>
        <w:rPr>
          <w:rFonts w:ascii="宋体" w:hAnsi="宋体" w:cs="宋体"/>
          <w:szCs w:val="21"/>
        </w:rPr>
      </w:pPr>
      <w:r>
        <w:rPr>
          <w:rFonts w:eastAsia="黑体"/>
          <w:b/>
          <w:szCs w:val="21"/>
        </w:rPr>
        <w:t xml:space="preserve">6.3.7 </w:t>
      </w:r>
      <w:r>
        <w:rPr>
          <w:rFonts w:eastAsia="黑体"/>
          <w:szCs w:val="21"/>
        </w:rPr>
        <w:t xml:space="preserve"> </w:t>
      </w:r>
      <w:r>
        <w:rPr>
          <w:rFonts w:hint="eastAsia" w:ascii="宋体" w:hAnsi="宋体" w:cs="宋体"/>
          <w:szCs w:val="21"/>
        </w:rPr>
        <w:t>道岔区建筑限界加宽量，是指列车在道岔侧股上运行时产生的内外侧加宽量，它由曲线几何加宽量、列车以过岔速度运行时产生的欠超高、道岔区轨距加宽量、钢轨磨耗量以及一、二系悬挂在过岔时的横向位移量等数值相加而成。通常可根据道岔总平面图采用图解及计算相结合的方法确定道岔区建筑限界加宽量。</w:t>
      </w:r>
    </w:p>
    <w:p w14:paraId="7A0A07CD">
      <w:pPr>
        <w:rPr>
          <w:rFonts w:ascii="宋体" w:hAnsi="宋体" w:cs="宋体"/>
          <w:szCs w:val="21"/>
        </w:rPr>
      </w:pPr>
      <w:r>
        <w:rPr>
          <w:rFonts w:hint="eastAsia" w:ascii="宋体" w:hAnsi="宋体" w:cs="宋体"/>
          <w:szCs w:val="21"/>
        </w:rPr>
        <w:t>电缆过道岔，通常都由隧道顶部通过。A型车和B2型车，电缆桥架或支架与接触网带电体之间应保持150mm净距，一般不必加高建筑限界高度；B1型车，若车辆设备限界顶部至电缆桥架或支架的净空不足200mm时，应采取局部加高建筑限界高度。</w:t>
      </w:r>
    </w:p>
    <w:p w14:paraId="6DDA337D">
      <w:pPr>
        <w:rPr>
          <w:rFonts w:ascii="宋体" w:hAnsi="宋体" w:cs="宋体"/>
          <w:szCs w:val="21"/>
        </w:rPr>
      </w:pPr>
      <w:r>
        <w:rPr>
          <w:rFonts w:eastAsia="黑体"/>
          <w:b/>
          <w:szCs w:val="21"/>
        </w:rPr>
        <w:t xml:space="preserve">6.3.8 </w:t>
      </w:r>
      <w:r>
        <w:rPr>
          <w:rFonts w:eastAsia="黑体"/>
          <w:szCs w:val="21"/>
        </w:rPr>
        <w:t xml:space="preserve"> </w:t>
      </w:r>
      <w:r>
        <w:rPr>
          <w:rFonts w:hint="eastAsia" w:ascii="宋体" w:hAnsi="宋体" w:cs="宋体"/>
          <w:szCs w:val="21"/>
        </w:rPr>
        <w:t>第1款：站台面高度以走行轨（新轨）顶面、新车轮、空车状态下的车厢地板面高度作为计算基准，车厢地板面在任何情况下（轮轨磨耗、车体下垂、弹簧变形等）不得低于站台高度。</w:t>
      </w:r>
    </w:p>
    <w:p w14:paraId="66F63187">
      <w:pPr>
        <w:rPr>
          <w:rFonts w:ascii="宋体" w:hAnsi="宋体" w:cs="宋体"/>
          <w:szCs w:val="21"/>
        </w:rPr>
      </w:pPr>
      <w:r>
        <w:rPr>
          <w:rFonts w:hint="eastAsia" w:ascii="宋体" w:hAnsi="宋体" w:cs="宋体"/>
          <w:szCs w:val="21"/>
        </w:rPr>
        <w:t>第2款：站台计算长度内的站台边缘至轨道中心线的距离除考虑列车停靠的最大安全间隙外还应考虑列车不停车过站安全运行需求。</w:t>
      </w:r>
    </w:p>
    <w:p w14:paraId="0DD6F046">
      <w:pPr>
        <w:rPr>
          <w:rFonts w:ascii="宋体" w:hAnsi="宋体" w:cs="宋体"/>
          <w:szCs w:val="21"/>
        </w:rPr>
      </w:pPr>
      <w:r>
        <w:rPr>
          <w:rFonts w:hint="eastAsia" w:ascii="宋体" w:hAnsi="宋体" w:cs="宋体"/>
          <w:szCs w:val="21"/>
        </w:rPr>
        <w:t>第3款：站台门至车辆限界之间的安全间隙不小于25mm的规定，考虑了北京既有车型的动态限界及现行车辆的实际车辆限界情况确定，具有一定包容性。</w:t>
      </w:r>
    </w:p>
    <w:p w14:paraId="09CC53F2">
      <w:pPr>
        <w:rPr>
          <w:rFonts w:eastAsia="黑体"/>
          <w:b/>
          <w:bCs/>
          <w:szCs w:val="21"/>
        </w:rPr>
      </w:pPr>
      <w:r>
        <w:rPr>
          <w:rFonts w:hint="eastAsia" w:ascii="宋体" w:hAnsi="宋体" w:cs="宋体"/>
          <w:szCs w:val="21"/>
        </w:rPr>
        <w:t>第5款：本条规定，综合考虑道岔内、外侧限界加宽及管片起点位置施工沉降普遍偏大、调坡调线困难因素综合确定。岔心至盾构管片起点的最小距离指的是道岔尖轨方向。</w:t>
      </w:r>
    </w:p>
    <w:p w14:paraId="7EBD2C53">
      <w:pPr>
        <w:rPr>
          <w:rFonts w:eastAsia="黑体"/>
          <w:b/>
          <w:bCs/>
          <w:szCs w:val="21"/>
        </w:rPr>
      </w:pPr>
      <w:r>
        <w:rPr>
          <w:rFonts w:eastAsia="黑体"/>
          <w:b/>
          <w:szCs w:val="21"/>
        </w:rPr>
        <w:t xml:space="preserve">6.3.10  </w:t>
      </w:r>
      <w:r>
        <w:rPr>
          <w:rFonts w:hint="eastAsia" w:ascii="宋体" w:hAnsi="宋体" w:cs="宋体"/>
          <w:szCs w:val="21"/>
        </w:rPr>
        <w:t>本条第1款为修订条文，人防门、防淹门宽度除了保证列策划通过限界，同时考虑了人员疏散空间。防淹门和人防隔断门建筑限界内除架空接触导线外的一切管线都需在门框以外通过。考虑空气动力学因素，规定门框高度应与区间矩形隧道的限界高度一致。</w:t>
      </w:r>
    </w:p>
    <w:p w14:paraId="3A5A5BF2">
      <w:pPr>
        <w:rPr>
          <w:rFonts w:eastAsia="黑体"/>
          <w:b/>
          <w:bCs/>
          <w:szCs w:val="21"/>
        </w:rPr>
      </w:pPr>
      <w:r>
        <w:rPr>
          <w:rFonts w:eastAsia="黑体"/>
          <w:b/>
          <w:szCs w:val="21"/>
        </w:rPr>
        <w:t xml:space="preserve">6.3.11  </w:t>
      </w:r>
      <w:r>
        <w:rPr>
          <w:rFonts w:hint="eastAsia" w:ascii="宋体" w:hAnsi="宋体" w:cs="宋体"/>
          <w:szCs w:val="21"/>
        </w:rPr>
        <w:t>射流风机、风管、道岔转辙机等设备体量较大，有的还需要一定的动作空间，所以必需对其限界进行检算。</w:t>
      </w:r>
    </w:p>
    <w:p w14:paraId="37862D0E">
      <w:pPr>
        <w:rPr>
          <w:rFonts w:ascii="宋体" w:hAnsi="宋体" w:cs="宋体"/>
          <w:szCs w:val="21"/>
        </w:rPr>
      </w:pPr>
      <w:r>
        <w:rPr>
          <w:rFonts w:eastAsia="黑体"/>
          <w:b/>
          <w:szCs w:val="21"/>
        </w:rPr>
        <w:t xml:space="preserve">6.3.12  </w:t>
      </w:r>
      <w:r>
        <w:rPr>
          <w:rFonts w:hint="eastAsia" w:ascii="宋体" w:hAnsi="宋体" w:cs="宋体"/>
          <w:szCs w:val="21"/>
        </w:rPr>
        <w:t>第1款：车辆综合基地库外车场线一般采用碎石道床，列车运行工况为：空车、速度25km/h及以下，为简化设计，此处规定库外线限界执行区间限界是偏于安全的。</w:t>
      </w:r>
    </w:p>
    <w:p w14:paraId="317B3945">
      <w:pPr>
        <w:ind w:firstLine="420"/>
        <w:rPr>
          <w:rFonts w:ascii="宋体" w:hAnsi="宋体" w:cs="宋体"/>
          <w:szCs w:val="21"/>
        </w:rPr>
      </w:pPr>
      <w:r>
        <w:rPr>
          <w:rFonts w:hint="eastAsia" w:ascii="宋体" w:hAnsi="宋体" w:cs="宋体"/>
          <w:szCs w:val="21"/>
        </w:rPr>
        <w:t>第2款：车辆综合基地库内高架双层检修平台的高平台及安全栅栏的建筑限界按空车在整体道床轨道上以5km/h及以下速度运行进行设计。此时车辆转向架一、二系弹簧不变形，只产生轮轨间隙的随机变化，车体和转向架之间横动量的随机变化。故车体轮廓线和高平台（安全栅栏）之间按80mm间隙进行建筑限界设计是安全的，这个间隙也能有效防止工人高空作业时出现安全事故。</w:t>
      </w:r>
    </w:p>
    <w:p w14:paraId="5F50D4F8">
      <w:pPr>
        <w:ind w:firstLine="420"/>
        <w:rPr>
          <w:rFonts w:ascii="宋体" w:hAnsi="宋体" w:cs="宋体"/>
          <w:szCs w:val="21"/>
        </w:rPr>
      </w:pPr>
      <w:r>
        <w:rPr>
          <w:rFonts w:hint="eastAsia" w:ascii="宋体" w:hAnsi="宋体" w:cs="宋体"/>
          <w:szCs w:val="21"/>
        </w:rPr>
        <w:t>第3款：车库大门宽度已在车辆综合基地条文中规定，B1型车的车库大门高度与矩形隧道建筑限界高度相同；A型车和B2型车的车库大门高度应根据接触网进库与否分别规定。</w:t>
      </w:r>
    </w:p>
    <w:p w14:paraId="3B07242E">
      <w:pPr>
        <w:rPr>
          <w:rFonts w:eastAsia="黑体"/>
          <w:b/>
          <w:bCs/>
          <w:szCs w:val="21"/>
        </w:rPr>
      </w:pPr>
      <w:r>
        <w:rPr>
          <w:rFonts w:eastAsia="黑体"/>
          <w:b/>
          <w:szCs w:val="21"/>
        </w:rPr>
        <w:t xml:space="preserve">6.3.13 </w:t>
      </w:r>
      <w:r>
        <w:rPr>
          <w:rFonts w:eastAsia="黑体"/>
          <w:szCs w:val="21"/>
        </w:rPr>
        <w:t xml:space="preserve"> </w:t>
      </w:r>
      <w:r>
        <w:rPr>
          <w:rFonts w:hint="eastAsia" w:ascii="宋体" w:hAnsi="宋体" w:cs="宋体"/>
          <w:szCs w:val="21"/>
        </w:rPr>
        <w:t>设置道岔警冲标的目的是控制列车的停车位置，需保证岔后一线停车，另一线能正常过车的要求。</w:t>
      </w:r>
    </w:p>
    <w:p w14:paraId="1C03DCBE">
      <w:pPr>
        <w:pStyle w:val="4"/>
        <w:numPr>
          <w:ilvl w:val="0"/>
          <w:numId w:val="0"/>
        </w:numPr>
      </w:pPr>
      <w:bookmarkStart w:id="2360" w:name="_Toc183738112"/>
      <w:bookmarkStart w:id="2361" w:name="_Toc183888695"/>
      <w:bookmarkStart w:id="2362" w:name="_Toc183882281"/>
      <w:bookmarkStart w:id="2363" w:name="_Toc183765290"/>
      <w:bookmarkStart w:id="2364" w:name="_Toc183790720"/>
      <w:bookmarkStart w:id="2365" w:name="_Toc183882643"/>
      <w:bookmarkStart w:id="2366" w:name="_Toc183454843"/>
      <w:bookmarkStart w:id="2367" w:name="_Toc183454163"/>
      <w:bookmarkStart w:id="2368" w:name="_Toc357929503"/>
      <w:bookmarkStart w:id="2369" w:name="_Toc183454460"/>
      <w:bookmarkStart w:id="2370" w:name="_Toc183888333"/>
      <w:r>
        <w:rPr>
          <w:rFonts w:hint="eastAsia"/>
          <w:b/>
        </w:rPr>
        <w:t xml:space="preserve">6.4 </w:t>
      </w:r>
      <w:r>
        <w:rPr>
          <w:rFonts w:hint="eastAsia"/>
        </w:rPr>
        <w:t xml:space="preserve"> 轨行区管线设备布置原则</w:t>
      </w:r>
      <w:bookmarkEnd w:id="2360"/>
      <w:bookmarkEnd w:id="2361"/>
      <w:bookmarkEnd w:id="2362"/>
      <w:bookmarkEnd w:id="2363"/>
      <w:bookmarkEnd w:id="2364"/>
      <w:bookmarkEnd w:id="2365"/>
      <w:bookmarkEnd w:id="2366"/>
      <w:bookmarkEnd w:id="2367"/>
      <w:bookmarkEnd w:id="2368"/>
      <w:bookmarkEnd w:id="2369"/>
      <w:bookmarkEnd w:id="2370"/>
    </w:p>
    <w:p w14:paraId="5B382B4E">
      <w:pPr>
        <w:rPr>
          <w:rFonts w:ascii="宋体" w:hAnsi="宋体" w:cs="宋体"/>
          <w:szCs w:val="21"/>
        </w:rPr>
      </w:pPr>
      <w:r>
        <w:rPr>
          <w:rFonts w:eastAsia="黑体"/>
          <w:b/>
          <w:szCs w:val="21"/>
        </w:rPr>
        <w:t xml:space="preserve">6.4.1 </w:t>
      </w:r>
      <w:r>
        <w:rPr>
          <w:rFonts w:hint="eastAsia" w:ascii="宋体" w:hAnsi="宋体" w:cs="宋体"/>
          <w:b/>
          <w:szCs w:val="21"/>
        </w:rPr>
        <w:t xml:space="preserve"> </w:t>
      </w:r>
      <w:r>
        <w:rPr>
          <w:rFonts w:hint="eastAsia" w:ascii="宋体" w:hAnsi="宋体" w:cs="宋体"/>
          <w:szCs w:val="21"/>
        </w:rPr>
        <w:t>本条规定的目的在于保证列车在带故障状态运行时不会与轨行区的管线、设备擦碰，以及限界检测车的顺利通过。</w:t>
      </w:r>
    </w:p>
    <w:p w14:paraId="14E237B7">
      <w:pPr>
        <w:rPr>
          <w:rFonts w:ascii="宋体" w:hAnsi="宋体" w:cs="宋体"/>
          <w:szCs w:val="21"/>
        </w:rPr>
      </w:pPr>
      <w:r>
        <w:rPr>
          <w:rFonts w:eastAsia="黑体"/>
          <w:b/>
          <w:szCs w:val="21"/>
        </w:rPr>
        <w:t xml:space="preserve">6.4.2 </w:t>
      </w:r>
      <w:r>
        <w:rPr>
          <w:rFonts w:eastAsia="黑体"/>
          <w:szCs w:val="21"/>
        </w:rPr>
        <w:t xml:space="preserve"> </w:t>
      </w:r>
      <w:r>
        <w:rPr>
          <w:rFonts w:hint="eastAsia" w:ascii="宋体" w:hAnsi="宋体" w:cs="宋体"/>
          <w:szCs w:val="21"/>
        </w:rPr>
        <w:t>强电主要指10kV或35kV环网电缆，弱电主要指通信、信号电缆。电缆路由需考虑减少过轨、方便与相关设备连接等因素。强电电缆一般宜布置在轨行区行车方向的左侧（减少过轨），弱电电缆一般布置在轨行区行车方向的右侧（方便与信号机、通信直放站等设备连接）。动照电缆一般布置在轨行区行车方向左侧或与纵向辅助疏散平台同侧，以方便与区间照明灯连接。维修电源插座箱及其电缆宜布置在弱电电缆侧。轨行区两侧的各种管线应排列有序，保持顺直，避免频繁过轨或交叉。道岔区转辙机、信号机的安装位置应根据信号系统的布置确定。</w:t>
      </w:r>
    </w:p>
    <w:p w14:paraId="45801BEE">
      <w:pPr>
        <w:rPr>
          <w:rFonts w:ascii="宋体" w:hAnsi="宋体" w:cs="宋体"/>
          <w:szCs w:val="21"/>
        </w:rPr>
      </w:pPr>
      <w:r>
        <w:rPr>
          <w:rFonts w:eastAsia="黑体"/>
          <w:b/>
          <w:szCs w:val="21"/>
        </w:rPr>
        <w:t xml:space="preserve">6.4.3  </w:t>
      </w:r>
      <w:r>
        <w:rPr>
          <w:rFonts w:hint="eastAsia" w:ascii="宋体" w:hAnsi="宋体" w:cs="宋体"/>
          <w:szCs w:val="21"/>
        </w:rPr>
        <w:t>由于地铁采用右线行车制，所以信号机安装在行车方向的右侧，道岔区则根据信号的设计要求布置。</w:t>
      </w:r>
    </w:p>
    <w:p w14:paraId="5EBC58FE">
      <w:pPr>
        <w:widowControl/>
        <w:spacing w:line="240" w:lineRule="auto"/>
        <w:jc w:val="left"/>
        <w:rPr>
          <w:rFonts w:ascii="宋体" w:hAnsi="宋体" w:cs="宋体"/>
          <w:szCs w:val="21"/>
        </w:rPr>
      </w:pPr>
      <w:r>
        <w:rPr>
          <w:rFonts w:ascii="宋体" w:hAnsi="宋体" w:cs="宋体"/>
          <w:szCs w:val="21"/>
        </w:rPr>
        <w:br w:type="page"/>
      </w:r>
    </w:p>
    <w:p w14:paraId="7AAEF8D0">
      <w:pPr>
        <w:pStyle w:val="240"/>
      </w:pPr>
      <w:bookmarkStart w:id="2371" w:name="_Toc183454844"/>
      <w:bookmarkStart w:id="2372" w:name="_Toc183882282"/>
      <w:bookmarkStart w:id="2373" w:name="_Toc183888334"/>
      <w:bookmarkStart w:id="2374" w:name="_Toc183738113"/>
      <w:bookmarkStart w:id="2375" w:name="_Toc183699895"/>
      <w:bookmarkStart w:id="2376" w:name="_Toc183454164"/>
      <w:bookmarkStart w:id="2377" w:name="_Toc183888696"/>
      <w:bookmarkStart w:id="2378" w:name="_Toc183790721"/>
      <w:bookmarkStart w:id="2379" w:name="_Toc183882644"/>
      <w:bookmarkStart w:id="2380" w:name="_Toc183454461"/>
      <w:bookmarkStart w:id="2381" w:name="_Toc183735439"/>
      <w:bookmarkStart w:id="2382" w:name="_Toc183765291"/>
      <w:r>
        <w:rPr>
          <w:b/>
        </w:rPr>
        <w:t xml:space="preserve">7 </w:t>
      </w:r>
      <w:r>
        <w:t xml:space="preserve"> </w:t>
      </w:r>
      <w:r>
        <w:rPr>
          <w:rFonts w:hint="eastAsia"/>
        </w:rPr>
        <w:t>线  路</w:t>
      </w:r>
      <w:bookmarkEnd w:id="2371"/>
      <w:bookmarkEnd w:id="2372"/>
      <w:bookmarkEnd w:id="2373"/>
      <w:bookmarkEnd w:id="2374"/>
      <w:bookmarkEnd w:id="2375"/>
      <w:bookmarkEnd w:id="2376"/>
      <w:bookmarkEnd w:id="2377"/>
      <w:bookmarkEnd w:id="2378"/>
      <w:bookmarkEnd w:id="2379"/>
      <w:bookmarkEnd w:id="2380"/>
      <w:bookmarkEnd w:id="2381"/>
      <w:bookmarkEnd w:id="2382"/>
    </w:p>
    <w:p w14:paraId="258C3D06">
      <w:pPr>
        <w:rPr>
          <w:rFonts w:ascii="宋体" w:hAnsi="宋体" w:cs="宋体"/>
          <w:szCs w:val="21"/>
        </w:rPr>
      </w:pPr>
      <w:r>
        <w:rPr>
          <w:rFonts w:eastAsia="黑体"/>
          <w:b/>
          <w:bCs/>
          <w:szCs w:val="21"/>
        </w:rPr>
        <w:t xml:space="preserve">7.1.1 </w:t>
      </w:r>
      <w:r>
        <w:rPr>
          <w:rFonts w:hint="eastAsia" w:eastAsia="黑体"/>
          <w:b/>
          <w:bCs/>
          <w:szCs w:val="21"/>
        </w:rPr>
        <w:t xml:space="preserve"> </w:t>
      </w:r>
      <w:r>
        <w:rPr>
          <w:rFonts w:hint="eastAsia" w:ascii="宋体" w:hAnsi="宋体" w:cs="宋体"/>
          <w:szCs w:val="21"/>
        </w:rPr>
        <w:t>第1款2021年12月22日北京市规划和自然资源委员会发布“关于启用“北京2000坐标系”的公告“根据《中华人民共和国测绘法》，经自然资源部批准、市人民政府同意，我市自2022年1月1日起，在全市范围内启用“北京2000相对独立的平面坐标系统”（简称“北京2000坐标系”）。其中提到“北京2000坐标系”与现行坐标系转换、衔接的过渡期为1年。过渡期内，现有各类测绘地理信息成果和地理信息系统，应根据实际情况逐步过渡到“北京2000坐标系”，2023年1月1日起停止使用我市原有的北京地方坐标系。国家对使用坐标系另有规定的，从其规定。</w:t>
      </w:r>
    </w:p>
    <w:p w14:paraId="100DD398">
      <w:pPr>
        <w:ind w:firstLine="420"/>
        <w:rPr>
          <w:rFonts w:ascii="宋体" w:hAnsi="宋体" w:cs="宋体"/>
          <w:szCs w:val="21"/>
        </w:rPr>
      </w:pPr>
      <w:r>
        <w:rPr>
          <w:rFonts w:hint="eastAsia" w:ascii="宋体" w:hAnsi="宋体" w:cs="宋体"/>
          <w:szCs w:val="21"/>
        </w:rPr>
        <w:t>第</w:t>
      </w:r>
      <w:r>
        <w:rPr>
          <w:rFonts w:ascii="宋体" w:hAnsi="宋体" w:cs="宋体"/>
          <w:szCs w:val="21"/>
        </w:rPr>
        <w:t>4</w:t>
      </w:r>
      <w:r>
        <w:rPr>
          <w:rFonts w:hint="eastAsia" w:ascii="宋体" w:hAnsi="宋体" w:cs="宋体"/>
          <w:szCs w:val="21"/>
        </w:rPr>
        <w:t>款</w:t>
      </w:r>
      <w:r>
        <w:rPr>
          <w:rFonts w:ascii="宋体" w:hAnsi="宋体" w:cs="宋体"/>
          <w:szCs w:val="21"/>
        </w:rPr>
        <w:t>为提高网络运营效率，减少节点不畅，在系统能力可支持的前提下，互联互通、共线运营应是发展的方向，建议删除独立运行的规定。</w:t>
      </w:r>
      <w:r>
        <w:rPr>
          <w:rFonts w:hint="eastAsia" w:ascii="宋体" w:hAnsi="宋体" w:cs="宋体"/>
          <w:szCs w:val="21"/>
        </w:rPr>
        <w:t>车站接轨、进站平行进路或大大提高工程实施难度提高投资，为实现精准设计，如外围衔接、互联互通占比较小时，可在能力评估可行后，采用区间接轨或不设平行进路。为提高通过能力宜设置安全线缩短一度停车点距道岔区的长度，地下线设置逃生通道便于应急处理。</w:t>
      </w:r>
    </w:p>
    <w:p w14:paraId="7D7B1B79">
      <w:pPr>
        <w:rPr>
          <w:rFonts w:ascii="宋体" w:hAnsi="宋体" w:cs="宋体"/>
          <w:szCs w:val="21"/>
        </w:rPr>
      </w:pPr>
      <w:r>
        <w:rPr>
          <w:rFonts w:eastAsia="黑体"/>
          <w:b/>
          <w:bCs/>
          <w:szCs w:val="21"/>
        </w:rPr>
        <w:t>7.2.</w:t>
      </w:r>
      <w:r>
        <w:rPr>
          <w:rFonts w:hint="eastAsia" w:eastAsia="黑体"/>
          <w:b/>
          <w:bCs/>
          <w:szCs w:val="21"/>
        </w:rPr>
        <w:t>2</w:t>
      </w:r>
      <w:r>
        <w:rPr>
          <w:rFonts w:eastAsia="黑体"/>
          <w:b/>
          <w:bCs/>
          <w:szCs w:val="21"/>
        </w:rPr>
        <w:t xml:space="preserve"> </w:t>
      </w:r>
      <w:r>
        <w:rPr>
          <w:rFonts w:hint="eastAsia" w:eastAsia="黑体"/>
          <w:b/>
          <w:bCs/>
          <w:szCs w:val="21"/>
        </w:rPr>
        <w:t xml:space="preserve"> </w:t>
      </w:r>
      <w:r>
        <w:rPr>
          <w:rFonts w:hint="eastAsia"/>
        </w:rPr>
        <w:t>为避免列车在曲线上运行时，车辆瞬时超受限从而影响行车效率，速</w:t>
      </w:r>
      <w:r>
        <w:t>线路缓和曲线长度</w:t>
      </w:r>
      <w:r>
        <w:rPr>
          <w:rFonts w:hint="eastAsia"/>
        </w:rPr>
        <w:t>表中将速度提高至155km/h，供线路设计中结合具体情况参考选用。</w:t>
      </w:r>
    </w:p>
    <w:p w14:paraId="76D9E611">
      <w:pPr>
        <w:rPr>
          <w:rFonts w:ascii="宋体" w:hAnsi="宋体" w:cs="宋体"/>
          <w:szCs w:val="21"/>
        </w:rPr>
      </w:pPr>
      <w:r>
        <w:rPr>
          <w:rFonts w:eastAsia="黑体"/>
          <w:b/>
          <w:bCs/>
          <w:szCs w:val="21"/>
        </w:rPr>
        <w:t xml:space="preserve">7.2.5 </w:t>
      </w:r>
      <w:r>
        <w:rPr>
          <w:rFonts w:hint="eastAsia" w:eastAsia="黑体"/>
          <w:b/>
          <w:bCs/>
          <w:szCs w:val="21"/>
        </w:rPr>
        <w:t xml:space="preserve"> </w:t>
      </w:r>
      <w:r>
        <w:rPr>
          <w:rFonts w:hint="eastAsia" w:ascii="宋体" w:hAnsi="宋体" w:cs="宋体"/>
          <w:szCs w:val="21"/>
        </w:rPr>
        <w:t>第4款</w:t>
      </w:r>
      <w:r>
        <w:rPr>
          <w:rFonts w:ascii="宋体" w:hAnsi="宋体" w:cs="宋体"/>
          <w:szCs w:val="21"/>
        </w:rPr>
        <w:t>1）道岔应设在直线地段。有利道岔保持良好状态，有利道岔铺设和维修的方便，有利列车安全运行。</w:t>
      </w:r>
    </w:p>
    <w:p w14:paraId="205C16C9">
      <w:pPr>
        <w:rPr>
          <w:rFonts w:ascii="宋体" w:hAnsi="宋体" w:cs="宋体"/>
          <w:szCs w:val="21"/>
        </w:rPr>
      </w:pPr>
      <w:r>
        <w:rPr>
          <w:rFonts w:ascii="宋体" w:hAnsi="宋体" w:cs="宋体"/>
          <w:szCs w:val="21"/>
        </w:rPr>
        <w:t>2）道岔两端距离平、竖曲线端部、保持一定的直线距离。道岔结构的全长不仅是钢轨部分，还应包括道岔辙叉轨缝</w:t>
      </w:r>
      <w:r>
        <w:rPr>
          <w:rFonts w:hint="eastAsia" w:ascii="宋体" w:hAnsi="宋体" w:cs="宋体"/>
          <w:szCs w:val="21"/>
        </w:rPr>
        <w:t>前</w:t>
      </w:r>
      <w:r>
        <w:rPr>
          <w:rFonts w:ascii="宋体" w:hAnsi="宋体" w:cs="宋体"/>
          <w:szCs w:val="21"/>
        </w:rPr>
        <w:t>后铺设长岔枕的地段</w:t>
      </w:r>
      <w:r>
        <w:rPr>
          <w:rFonts w:hint="eastAsia" w:ascii="宋体" w:hAnsi="宋体" w:cs="宋体"/>
          <w:szCs w:val="21"/>
        </w:rPr>
        <w:t>。在困难情况下，道岔轨枕不可分开的部分不得进入曲线。如考虑一定的施工安装精度， 9号和1</w:t>
      </w:r>
      <w:r>
        <w:rPr>
          <w:rFonts w:ascii="宋体" w:hAnsi="宋体" w:cs="宋体"/>
          <w:szCs w:val="21"/>
        </w:rPr>
        <w:t>2</w:t>
      </w:r>
      <w:r>
        <w:rPr>
          <w:rFonts w:hint="eastAsia" w:ascii="宋体" w:hAnsi="宋体" w:cs="宋体"/>
          <w:szCs w:val="21"/>
        </w:rPr>
        <w:t>号固定型辙叉的道岔前</w:t>
      </w:r>
      <w:r>
        <w:rPr>
          <w:rFonts w:ascii="宋体" w:hAnsi="宋体" w:cs="宋体"/>
          <w:szCs w:val="21"/>
        </w:rPr>
        <w:t>基本轨端部至曲线端部的距离不小于</w:t>
      </w:r>
      <w:r>
        <w:rPr>
          <w:rFonts w:hint="eastAsia" w:ascii="宋体" w:hAnsi="宋体" w:cs="宋体"/>
          <w:szCs w:val="21"/>
        </w:rPr>
        <w:t>2m，9号道岔后</w:t>
      </w:r>
      <w:r>
        <w:rPr>
          <w:rFonts w:ascii="宋体" w:hAnsi="宋体" w:cs="宋体"/>
          <w:szCs w:val="21"/>
        </w:rPr>
        <w:t>基本轨端部至曲线端部的距离不小于</w:t>
      </w:r>
      <w:r>
        <w:rPr>
          <w:rFonts w:hint="eastAsia" w:ascii="宋体" w:hAnsi="宋体" w:cs="宋体"/>
          <w:szCs w:val="21"/>
        </w:rPr>
        <w:t>3米，12号道岔后</w:t>
      </w:r>
      <w:r>
        <w:rPr>
          <w:rFonts w:ascii="宋体" w:hAnsi="宋体" w:cs="宋体"/>
          <w:szCs w:val="21"/>
        </w:rPr>
        <w:t>基本轨端部至曲线端部的距离不小于</w:t>
      </w:r>
      <w:r>
        <w:rPr>
          <w:rFonts w:hint="eastAsia" w:ascii="宋体" w:hAnsi="宋体" w:cs="宋体"/>
          <w:szCs w:val="21"/>
        </w:rPr>
        <w:t>5米，</w:t>
      </w:r>
      <w:r>
        <w:rPr>
          <w:rFonts w:ascii="宋体" w:hAnsi="宋体" w:cs="宋体"/>
          <w:szCs w:val="21"/>
        </w:rPr>
        <w:t>大约是2m～5m</w:t>
      </w:r>
      <w:r>
        <w:rPr>
          <w:rFonts w:hint="eastAsia" w:ascii="宋体" w:hAnsi="宋体" w:cs="宋体"/>
          <w:szCs w:val="21"/>
        </w:rPr>
        <w:t>。</w:t>
      </w:r>
      <w:r>
        <w:rPr>
          <w:rFonts w:ascii="宋体" w:hAnsi="宋体" w:cs="宋体"/>
          <w:szCs w:val="21"/>
        </w:rPr>
        <w:t>道岔号码越大，长岔枕的地段越长，道岔前端需要越过轨节缝的鱼尾板一定距离。为了道岔混凝土无砟道床施工的整体性，使道岔外保留一定平直线段是适宜的。表中数据分别适用于9号和</w:t>
      </w:r>
      <w:r>
        <w:rPr>
          <w:rFonts w:hint="eastAsia" w:ascii="宋体" w:hAnsi="宋体" w:cs="宋体"/>
          <w:szCs w:val="21"/>
        </w:rPr>
        <w:t>12</w:t>
      </w:r>
      <w:r>
        <w:rPr>
          <w:rFonts w:ascii="宋体" w:hAnsi="宋体" w:cs="宋体"/>
          <w:szCs w:val="21"/>
        </w:rPr>
        <w:t>号道岔，若选用其他道岔，则另行确定。</w:t>
      </w:r>
      <w:r>
        <w:rPr>
          <w:rFonts w:hint="eastAsia" w:ascii="宋体" w:hAnsi="宋体" w:cs="宋体"/>
          <w:szCs w:val="21"/>
        </w:rPr>
        <w:t xml:space="preserve"> </w:t>
      </w:r>
    </w:p>
    <w:p w14:paraId="07E2D332">
      <w:pPr>
        <w:rPr>
          <w:rFonts w:ascii="宋体" w:hAnsi="宋体" w:cs="宋体"/>
          <w:szCs w:val="21"/>
        </w:rPr>
      </w:pPr>
      <w:r>
        <w:rPr>
          <w:rFonts w:hint="eastAsia" w:ascii="宋体" w:hAnsi="宋体" w:cs="宋体"/>
          <w:szCs w:val="21"/>
        </w:rPr>
        <w:t>3）多年运营实践经验表明最高运行速度在100km/h以下时，上述规定是合适的。当最高车速提高到1</w:t>
      </w:r>
      <w:r>
        <w:rPr>
          <w:rFonts w:ascii="宋体" w:hAnsi="宋体" w:cs="宋体"/>
          <w:szCs w:val="21"/>
        </w:rPr>
        <w:t>4</w:t>
      </w:r>
      <w:r>
        <w:rPr>
          <w:rFonts w:hint="eastAsia" w:ascii="宋体" w:hAnsi="宋体" w:cs="宋体"/>
          <w:szCs w:val="21"/>
        </w:rPr>
        <w:t>0km/h以后，根据《市域（郊）铁路设计规范》、《市域快速轨道交通设计规范》，对道岔布置相关要求如下：“正线及联络线上的道岔与缓和曲线间的直线长度不小于0.4V，困难情况下不小于不应小于25m。”从道岔设备养护维修、线路线形维护等考虑，道岔与平面曲线间夹直线长度宜大于一节车长，约25米。因此，规定一般条件不小于0.4v，困难条件下直线段长度不应小于25米。</w:t>
      </w:r>
    </w:p>
    <w:p w14:paraId="23CCE528">
      <w:pPr>
        <w:rPr>
          <w:rFonts w:ascii="宋体" w:hAnsi="宋体" w:cs="宋体"/>
          <w:szCs w:val="21"/>
        </w:rPr>
      </w:pPr>
      <w:r>
        <w:rPr>
          <w:rFonts w:hint="eastAsia" w:ascii="宋体" w:hAnsi="宋体" w:cs="宋体"/>
          <w:szCs w:val="21"/>
        </w:rPr>
        <w:t>4）结合城市轨道交通最大速度为140km/h，本次规定，100km/h以下的线路仍采用原标准；对于100-140km/h的线路，A车采用25米，B车采用20米。</w:t>
      </w:r>
    </w:p>
    <w:p w14:paraId="067FE7A8">
      <w:pPr>
        <w:rPr>
          <w:rFonts w:ascii="宋体" w:hAnsi="宋体" w:cs="宋体"/>
          <w:szCs w:val="21"/>
        </w:rPr>
      </w:pPr>
    </w:p>
    <w:p w14:paraId="73E6CD61">
      <w:pPr>
        <w:rPr>
          <w:rFonts w:ascii="宋体" w:hAnsi="宋体" w:cs="宋体"/>
          <w:szCs w:val="21"/>
        </w:rPr>
      </w:pPr>
    </w:p>
    <w:p w14:paraId="7861E8AA">
      <w:pPr>
        <w:rPr>
          <w:rFonts w:ascii="宋体" w:hAnsi="宋体" w:cs="宋体"/>
          <w:szCs w:val="21"/>
        </w:rPr>
      </w:pPr>
    </w:p>
    <w:p w14:paraId="5F27A749">
      <w:pPr>
        <w:ind w:firstLine="420"/>
        <w:rPr>
          <w:rFonts w:ascii="宋体" w:hAnsi="宋体" w:cs="宋体"/>
          <w:szCs w:val="21"/>
        </w:rPr>
      </w:pPr>
      <w:r>
        <w:rPr>
          <w:rFonts w:hint="eastAsia" w:ascii="宋体" w:hAnsi="宋体" w:cs="宋体"/>
          <w:szCs w:val="21"/>
        </w:rPr>
        <w:br w:type="page"/>
      </w:r>
    </w:p>
    <w:p w14:paraId="0F497A28">
      <w:pPr>
        <w:pStyle w:val="240"/>
      </w:pPr>
      <w:bookmarkStart w:id="2383" w:name="_Toc183882283"/>
      <w:bookmarkStart w:id="2384" w:name="_Toc183738114"/>
      <w:bookmarkStart w:id="2385" w:name="_Toc183735440"/>
      <w:bookmarkStart w:id="2386" w:name="_Toc183790722"/>
      <w:bookmarkStart w:id="2387" w:name="_Toc183882645"/>
      <w:bookmarkStart w:id="2388" w:name="_Toc183699896"/>
      <w:bookmarkStart w:id="2389" w:name="_Toc183888697"/>
      <w:bookmarkStart w:id="2390" w:name="_Toc183765292"/>
      <w:bookmarkStart w:id="2391" w:name="_Toc183454845"/>
      <w:bookmarkStart w:id="2392" w:name="_Toc183454165"/>
      <w:bookmarkStart w:id="2393" w:name="_Toc183454462"/>
      <w:bookmarkStart w:id="2394" w:name="_Toc183888335"/>
      <w:r>
        <w:rPr>
          <w:rFonts w:hint="eastAsia"/>
          <w:b/>
        </w:rPr>
        <w:t xml:space="preserve">8 </w:t>
      </w:r>
      <w:r>
        <w:rPr>
          <w:rFonts w:hint="eastAsia"/>
        </w:rPr>
        <w:t xml:space="preserve"> 轨  道</w:t>
      </w:r>
      <w:bookmarkEnd w:id="2383"/>
      <w:bookmarkEnd w:id="2384"/>
      <w:bookmarkEnd w:id="2385"/>
      <w:bookmarkEnd w:id="2386"/>
      <w:bookmarkEnd w:id="2387"/>
      <w:bookmarkEnd w:id="2388"/>
      <w:bookmarkEnd w:id="2389"/>
      <w:bookmarkEnd w:id="2390"/>
      <w:bookmarkEnd w:id="2391"/>
      <w:bookmarkEnd w:id="2392"/>
      <w:bookmarkEnd w:id="2393"/>
      <w:bookmarkEnd w:id="2394"/>
    </w:p>
    <w:p w14:paraId="10E013D2">
      <w:pPr>
        <w:pStyle w:val="4"/>
        <w:numPr>
          <w:ilvl w:val="0"/>
          <w:numId w:val="0"/>
        </w:numPr>
      </w:pPr>
      <w:bookmarkStart w:id="2395" w:name="_Toc183454463"/>
      <w:bookmarkStart w:id="2396" w:name="_Toc183765293"/>
      <w:bookmarkStart w:id="2397" w:name="_Toc183882646"/>
      <w:bookmarkStart w:id="2398" w:name="_Toc183454166"/>
      <w:bookmarkStart w:id="2399" w:name="_Toc183790723"/>
      <w:bookmarkStart w:id="2400" w:name="_Toc183888698"/>
      <w:bookmarkStart w:id="2401" w:name="_Toc183888336"/>
      <w:bookmarkStart w:id="2402" w:name="_Toc183454846"/>
      <w:bookmarkStart w:id="2403" w:name="_Toc357929550"/>
      <w:bookmarkStart w:id="2404" w:name="_Toc183738115"/>
      <w:bookmarkStart w:id="2405" w:name="_Toc183882284"/>
      <w:r>
        <w:rPr>
          <w:rFonts w:hint="eastAsia"/>
          <w:b/>
        </w:rPr>
        <w:t xml:space="preserve">8.1 </w:t>
      </w:r>
      <w:r>
        <w:rPr>
          <w:rFonts w:hint="eastAsia"/>
        </w:rPr>
        <w:t xml:space="preserve"> 一般规定</w:t>
      </w:r>
      <w:bookmarkEnd w:id="2395"/>
      <w:bookmarkEnd w:id="2396"/>
      <w:bookmarkEnd w:id="2397"/>
      <w:bookmarkEnd w:id="2398"/>
      <w:bookmarkEnd w:id="2399"/>
      <w:bookmarkEnd w:id="2400"/>
      <w:bookmarkEnd w:id="2401"/>
      <w:bookmarkEnd w:id="2402"/>
      <w:bookmarkEnd w:id="2403"/>
      <w:bookmarkEnd w:id="2404"/>
      <w:bookmarkEnd w:id="2405"/>
    </w:p>
    <w:p w14:paraId="7F65171B">
      <w:pPr>
        <w:rPr>
          <w:rFonts w:ascii="宋体" w:hAnsi="宋体" w:cs="宋体"/>
          <w:szCs w:val="21"/>
        </w:rPr>
      </w:pPr>
      <w:r>
        <w:rPr>
          <w:rFonts w:eastAsia="黑体"/>
          <w:b/>
          <w:bCs/>
          <w:szCs w:val="21"/>
        </w:rPr>
        <w:t>8.1.1</w:t>
      </w:r>
      <w:r>
        <w:rPr>
          <w:rFonts w:hint="eastAsia" w:ascii="宋体" w:hAnsi="宋体" w:cs="宋体"/>
        </w:rPr>
        <w:t xml:space="preserve">  </w:t>
      </w:r>
      <w:r>
        <w:rPr>
          <w:rFonts w:hint="eastAsia" w:ascii="宋体" w:hAnsi="宋体" w:cs="宋体"/>
          <w:szCs w:val="21"/>
        </w:rPr>
        <w:t>轨道结构是列车运行的基础，除引导列车运行外，直接承受列车的竖向、横向及纵向动荷载，并传递给隧道、桥梁或路基等轨下基础，因此应具有足够的强度保证列车安全运行和足够的耐久性，并留有一定的安全储备。轨道应有适量的弹性及较高的平顺性，使乘客有一定的舒适性，降低对周边环境的振动噪声影响；钢轨是列车牵引用电回流电路，轨道结构应满足绝缘要求，同时减少泄漏电流对结构、设备的腐蚀。</w:t>
      </w:r>
    </w:p>
    <w:p w14:paraId="6434735F">
      <w:pPr>
        <w:rPr>
          <w:rFonts w:ascii="宋体" w:hAnsi="宋体" w:cs="宋体"/>
          <w:szCs w:val="21"/>
        </w:rPr>
      </w:pPr>
      <w:r>
        <w:rPr>
          <w:rFonts w:eastAsia="黑体"/>
          <w:b/>
          <w:bCs/>
        </w:rPr>
        <w:t>8.1.2</w:t>
      </w:r>
      <w:r>
        <w:rPr>
          <w:rFonts w:hint="eastAsia" w:eastAsia="黑体"/>
          <w:b/>
          <w:bCs/>
        </w:rPr>
        <w:t xml:space="preserve">  </w:t>
      </w:r>
      <w:r>
        <w:rPr>
          <w:rFonts w:hint="eastAsia" w:ascii="宋体" w:hAnsi="宋体" w:cs="宋体"/>
          <w:szCs w:val="21"/>
        </w:rPr>
        <w:t>轨道各部件的精度、使用寿命等应合理配套，提高整体水平，才能充分发挥轨道结构各部件强度，延长设备的维修周期。轨道设计应与地铁的养护维修条件相适应，尽量采用少维修、可维修的设备。</w:t>
      </w:r>
    </w:p>
    <w:p w14:paraId="4B3AFA6C">
      <w:pPr>
        <w:rPr>
          <w:rFonts w:ascii="宋体" w:hAnsi="宋体" w:cs="宋体"/>
          <w:szCs w:val="21"/>
        </w:rPr>
      </w:pPr>
      <w:r>
        <w:rPr>
          <w:rFonts w:eastAsia="黑体"/>
          <w:b/>
          <w:bCs/>
        </w:rPr>
        <w:t>8.1.3</w:t>
      </w:r>
      <w:r>
        <w:rPr>
          <w:rFonts w:hint="eastAsia" w:eastAsia="黑体"/>
          <w:b/>
          <w:bCs/>
        </w:rPr>
        <w:t xml:space="preserve">  </w:t>
      </w:r>
      <w:r>
        <w:rPr>
          <w:rFonts w:hint="eastAsia" w:ascii="宋体" w:hAnsi="宋体" w:cs="宋体"/>
          <w:szCs w:val="21"/>
        </w:rPr>
        <w:t>应考虑线网各线轨道部件的标准化、系列化，力求统一标准，在一定时期内保持相对稳定，以减少部件种类，方便运营管理。</w:t>
      </w:r>
    </w:p>
    <w:p w14:paraId="30A5E531">
      <w:pPr>
        <w:rPr>
          <w:rFonts w:ascii="宋体" w:hAnsi="宋体" w:cs="宋体"/>
          <w:szCs w:val="21"/>
        </w:rPr>
      </w:pPr>
      <w:r>
        <w:rPr>
          <w:rFonts w:eastAsia="黑体"/>
          <w:b/>
          <w:bCs/>
        </w:rPr>
        <w:t>8.1.4</w:t>
      </w:r>
      <w:r>
        <w:rPr>
          <w:rFonts w:hint="eastAsia" w:eastAsia="黑体"/>
          <w:b/>
          <w:bCs/>
        </w:rPr>
        <w:t xml:space="preserve">  </w:t>
      </w:r>
      <w:r>
        <w:rPr>
          <w:rFonts w:hint="eastAsia" w:ascii="宋体" w:hAnsi="宋体" w:cs="宋体"/>
          <w:szCs w:val="21"/>
        </w:rPr>
        <w:t>轨道结构处于不利的运营状态时，在轨道结构设计时应采取加密轨枕、设置绝缘轨距拉杆和防脱护轨等加强措施。</w:t>
      </w:r>
    </w:p>
    <w:p w14:paraId="6756481D">
      <w:pPr>
        <w:rPr>
          <w:rFonts w:ascii="宋体" w:hAnsi="宋体" w:cs="宋体"/>
          <w:szCs w:val="21"/>
        </w:rPr>
      </w:pPr>
      <w:r>
        <w:rPr>
          <w:rFonts w:eastAsia="黑体"/>
          <w:b/>
          <w:bCs/>
        </w:rPr>
        <w:t>8.1.5</w:t>
      </w:r>
      <w:r>
        <w:rPr>
          <w:rFonts w:hint="eastAsia" w:eastAsia="黑体"/>
          <w:b/>
          <w:bCs/>
        </w:rPr>
        <w:t xml:space="preserve">  </w:t>
      </w:r>
      <w:r>
        <w:rPr>
          <w:rFonts w:hint="eastAsia" w:ascii="宋体" w:hAnsi="宋体" w:cs="宋体"/>
          <w:szCs w:val="21"/>
        </w:rPr>
        <w:t>本条文要求设计选取道床形式时要充分考虑修复难度，无砟轨道道床、轨枕维修难度大，大面积的维修影响正常运营，要求设计使用年限应与地铁结构设计使用年限一致，即100年。无砟轨道道床中的钢筋、混凝土按现行国家标准《混凝土结构设计规范》GB 50010和《混凝土结构耐久性设计标准》G</w:t>
      </w:r>
      <w:r>
        <w:rPr>
          <w:rFonts w:ascii="宋体" w:hAnsi="宋体" w:cs="宋体"/>
          <w:szCs w:val="21"/>
        </w:rPr>
        <w:t>B/T 50476</w:t>
      </w:r>
      <w:r>
        <w:rPr>
          <w:rFonts w:hint="eastAsia" w:ascii="宋体" w:hAnsi="宋体" w:cs="宋体"/>
          <w:szCs w:val="21"/>
        </w:rPr>
        <w:t>中规定的设计使用年限要求进行设计。</w:t>
      </w:r>
    </w:p>
    <w:p w14:paraId="74196D07">
      <w:pPr>
        <w:rPr>
          <w:rFonts w:ascii="宋体" w:hAnsi="宋体" w:cs="宋体"/>
          <w:szCs w:val="21"/>
        </w:rPr>
      </w:pPr>
      <w:r>
        <w:rPr>
          <w:rFonts w:eastAsia="黑体"/>
          <w:b/>
          <w:bCs/>
        </w:rPr>
        <w:t>8.1.7</w:t>
      </w:r>
      <w:r>
        <w:rPr>
          <w:rFonts w:hint="eastAsia" w:eastAsia="黑体"/>
          <w:b/>
          <w:bCs/>
        </w:rPr>
        <w:t xml:space="preserve">  </w:t>
      </w:r>
      <w:r>
        <w:rPr>
          <w:rFonts w:hint="eastAsia" w:ascii="宋体" w:hAnsi="宋体" w:cs="宋体"/>
          <w:szCs w:val="21"/>
        </w:rPr>
        <w:t>轨道新产品、新材料及新工艺应按照《建设领域推广应用新技术管理规定》、《建设部推广应用新技术管理细则》以及建设管理公司的有关规定，履行必需的程序后方能在工程中应用。同时应结合新产品、新材料、新工艺在北京的使用评价最终选择。</w:t>
      </w:r>
    </w:p>
    <w:p w14:paraId="0E78A659">
      <w:pPr>
        <w:pStyle w:val="4"/>
        <w:numPr>
          <w:ilvl w:val="0"/>
          <w:numId w:val="0"/>
        </w:numPr>
      </w:pPr>
      <w:bookmarkStart w:id="2406" w:name="_Toc183882647"/>
      <w:bookmarkStart w:id="2407" w:name="_Toc183738116"/>
      <w:bookmarkStart w:id="2408" w:name="_Toc183888699"/>
      <w:bookmarkStart w:id="2409" w:name="_Toc183454464"/>
      <w:bookmarkStart w:id="2410" w:name="_Toc183765294"/>
      <w:bookmarkStart w:id="2411" w:name="_Toc183790724"/>
      <w:bookmarkStart w:id="2412" w:name="_Toc183882285"/>
      <w:bookmarkStart w:id="2413" w:name="_Toc183888337"/>
      <w:bookmarkStart w:id="2414" w:name="_Toc183454847"/>
      <w:bookmarkStart w:id="2415" w:name="_Toc183454167"/>
      <w:r>
        <w:rPr>
          <w:b/>
        </w:rPr>
        <w:t xml:space="preserve">8.2 </w:t>
      </w:r>
      <w:r>
        <w:t xml:space="preserve"> </w:t>
      </w:r>
      <w:r>
        <w:rPr>
          <w:rFonts w:hint="eastAsia"/>
        </w:rPr>
        <w:t>基本技术要求</w:t>
      </w:r>
      <w:bookmarkEnd w:id="2406"/>
      <w:bookmarkEnd w:id="2407"/>
      <w:bookmarkEnd w:id="2408"/>
      <w:bookmarkEnd w:id="2409"/>
      <w:bookmarkEnd w:id="2410"/>
      <w:bookmarkEnd w:id="2411"/>
      <w:bookmarkEnd w:id="2412"/>
      <w:bookmarkEnd w:id="2413"/>
      <w:bookmarkEnd w:id="2414"/>
      <w:bookmarkEnd w:id="2415"/>
    </w:p>
    <w:p w14:paraId="45926119">
      <w:pPr>
        <w:rPr>
          <w:rFonts w:ascii="宋体" w:hAnsi="宋体" w:cs="宋体"/>
          <w:szCs w:val="21"/>
        </w:rPr>
      </w:pPr>
      <w:r>
        <w:rPr>
          <w:rFonts w:eastAsia="黑体"/>
          <w:b/>
          <w:bCs/>
        </w:rPr>
        <w:t>8.2.1</w:t>
      </w:r>
      <w:r>
        <w:rPr>
          <w:rFonts w:hint="eastAsia" w:eastAsia="黑体"/>
          <w:b/>
          <w:bCs/>
        </w:rPr>
        <w:t xml:space="preserve">  </w:t>
      </w:r>
      <w:r>
        <w:rPr>
          <w:rFonts w:hint="eastAsia" w:ascii="宋体" w:hAnsi="宋体" w:cs="宋体"/>
          <w:szCs w:val="21"/>
        </w:rPr>
        <w:t>钢轨轨底坡的取值应根据轮缘踏面坡度与轨顶踏面轮廓线的匹配情况、轨道设备情况具体确定。目前北京地铁已运营线路按1/40或者1/30设置轨底坡，理论上两种轨底坡都满足要求。市重大办针对轨道异常波磨组织多个单位进行研究，研究中发现轨底坡的离散很大，远大于验收规范的误差值，因而在条文中对施工后轨底坡进行了控制。</w:t>
      </w:r>
    </w:p>
    <w:p w14:paraId="1BA3E1D6">
      <w:pPr>
        <w:rPr>
          <w:rFonts w:ascii="宋体" w:hAnsi="宋体" w:cs="宋体"/>
          <w:szCs w:val="21"/>
        </w:rPr>
      </w:pPr>
      <w:r>
        <w:rPr>
          <w:rFonts w:eastAsia="黑体"/>
          <w:b/>
          <w:bCs/>
        </w:rPr>
        <w:t>8.2.2</w:t>
      </w:r>
      <w:r>
        <w:rPr>
          <w:rFonts w:hint="eastAsia" w:eastAsia="黑体"/>
          <w:b/>
          <w:bCs/>
        </w:rPr>
        <w:t xml:space="preserve">  </w:t>
      </w:r>
      <w:r>
        <w:rPr>
          <w:rFonts w:hint="eastAsia" w:ascii="宋体" w:hAnsi="宋体" w:cs="宋体"/>
          <w:szCs w:val="21"/>
        </w:rPr>
        <w:t>在小半径曲线地段，为使列车顺利通过，并减少轮轨间的横向水平力，减少轮轨磨耗和轨道变形，一般需要对轨距加宽。曲线轨距加宽需要考虑不同类型车辆转向架的结构尺寸，满足力学自由内接，最小导向力的原理，进行检算。地标中对A车和B车给出了合理的加宽值，后期有引入新的车辆型式按照原则进行检算</w:t>
      </w:r>
    </w:p>
    <w:p w14:paraId="791B9BD7">
      <w:pPr>
        <w:rPr>
          <w:rFonts w:ascii="宋体" w:hAnsi="宋体" w:cs="宋体"/>
          <w:szCs w:val="21"/>
        </w:rPr>
      </w:pPr>
      <w:r>
        <w:rPr>
          <w:rFonts w:eastAsia="黑体"/>
          <w:b/>
          <w:bCs/>
        </w:rPr>
        <w:t>8.2.3</w:t>
      </w:r>
      <w:r>
        <w:rPr>
          <w:rFonts w:hint="eastAsia" w:eastAsia="黑体"/>
          <w:b/>
          <w:bCs/>
        </w:rPr>
        <w:t xml:space="preserve">  </w:t>
      </w:r>
      <w:r>
        <w:rPr>
          <w:rFonts w:hint="eastAsia" w:ascii="宋体" w:hAnsi="宋体" w:cs="宋体"/>
          <w:szCs w:val="21"/>
        </w:rPr>
        <w:t>曲线实设超高值应以运营阶段的列车运行速度计算。设计时应以不同设计阶段的列车牵引计算速度、信号系统的速度曲线为基础，并逐步调整到以最接近运营的运行速度值进行计算。控制车站站台有效长度范围内曲线超高最大值，以满足车站站台限界的要求。</w:t>
      </w:r>
    </w:p>
    <w:p w14:paraId="333683CA">
      <w:pPr>
        <w:rPr>
          <w:rFonts w:ascii="宋体" w:hAnsi="宋体" w:cs="宋体"/>
          <w:szCs w:val="21"/>
        </w:rPr>
      </w:pPr>
      <w:r>
        <w:rPr>
          <w:rFonts w:eastAsia="黑体"/>
          <w:b/>
          <w:bCs/>
        </w:rPr>
        <w:t>8.2.4</w:t>
      </w:r>
      <w:r>
        <w:rPr>
          <w:rFonts w:hint="eastAsia" w:ascii="宋体" w:hAnsi="宋体" w:cs="宋体"/>
          <w:szCs w:val="21"/>
        </w:rPr>
        <w:t xml:space="preserve">  超高设置方式及其顺坡率对车体垂向动力响应（车体垂向加速度及垂向平稳性指标）影响较大。当设置全超高时，应尽量采用较小的超高顺坡率，以减缓超高变坡点处钢轨不平顺。车场线曲线为避免反超高，可设置5mm～10mm超高。</w:t>
      </w:r>
    </w:p>
    <w:p w14:paraId="4D6A9973">
      <w:pPr>
        <w:rPr>
          <w:rFonts w:ascii="宋体" w:hAnsi="宋体" w:cs="宋体"/>
          <w:szCs w:val="21"/>
        </w:rPr>
      </w:pPr>
      <w:r>
        <w:rPr>
          <w:rFonts w:hint="eastAsia" w:ascii="宋体" w:hAnsi="宋体" w:cs="宋体"/>
          <w:szCs w:val="21"/>
        </w:rPr>
        <w:t>超高顺坡地段，列车通过时，不仅有车辆偏载，而且车轮的升降速度对乘客的舒适性有影响，对超高顺坡率要适当控制。另外，应保证车轮轮缘不爬越钢轨顶面。</w:t>
      </w:r>
    </w:p>
    <w:p w14:paraId="0D8DAC0B">
      <w:pPr>
        <w:rPr>
          <w:rFonts w:ascii="宋体" w:hAnsi="宋体" w:cs="宋体"/>
          <w:szCs w:val="21"/>
        </w:rPr>
      </w:pPr>
      <w:r>
        <w:rPr>
          <w:rFonts w:eastAsia="黑体"/>
          <w:b/>
          <w:bCs/>
        </w:rPr>
        <w:t>8.2.5</w:t>
      </w:r>
      <w:r>
        <w:rPr>
          <w:rFonts w:hint="eastAsia" w:ascii="宋体" w:hAnsi="宋体" w:cs="宋体"/>
          <w:szCs w:val="21"/>
        </w:rPr>
        <w:t>本表根据北京地铁既有线轨道结构高度的取值确定，可根据工程接口条件及道床受力情况调整道床的结构高度与专业的接口等。</w:t>
      </w:r>
    </w:p>
    <w:p w14:paraId="0F0DDE9E">
      <w:pPr>
        <w:rPr>
          <w:rFonts w:ascii="宋体" w:hAnsi="宋体" w:cs="宋体"/>
          <w:szCs w:val="21"/>
        </w:rPr>
      </w:pPr>
      <w:r>
        <w:rPr>
          <w:rFonts w:eastAsia="黑体"/>
          <w:b/>
          <w:bCs/>
        </w:rPr>
        <w:t>8.2.6</w:t>
      </w:r>
      <w:r>
        <w:rPr>
          <w:rFonts w:hint="eastAsia" w:eastAsia="黑体"/>
          <w:b/>
          <w:bCs/>
        </w:rPr>
        <w:t xml:space="preserve">  </w:t>
      </w:r>
      <w:r>
        <w:rPr>
          <w:rFonts w:hint="eastAsia" w:ascii="宋体" w:hAnsi="宋体" w:cs="宋体"/>
          <w:szCs w:val="21"/>
        </w:rPr>
        <w:t>增加轨枕根数，可增大轨道纵横向阻力，但钢轨应力、道床应力和路基面应力的增加限度有限，在地质条件恶劣、曲线地段等建议减小轨枕间距，其余地段可以采用大的轨枕间距，扣件及轨枕铺设数量也要综合考虑既有工程的经验和教训，选择适宜项目的技术标准。对于无缝线路，轨枕间距宜调整为每根轨排的扣件及轨枕数为整数，以方便轨排组装。对于洗车库道床、柱式检查坑道床，应根据车辆检修的要求、立柱的具体形式调整扣件节点间距。</w:t>
      </w:r>
    </w:p>
    <w:p w14:paraId="222204DA">
      <w:pPr>
        <w:rPr>
          <w:rFonts w:ascii="宋体" w:hAnsi="宋体" w:cs="宋体"/>
          <w:szCs w:val="21"/>
        </w:rPr>
      </w:pPr>
      <w:r>
        <w:rPr>
          <w:rFonts w:eastAsia="黑体"/>
          <w:b/>
          <w:bCs/>
        </w:rPr>
        <w:t>8.2.7</w:t>
      </w:r>
      <w:r>
        <w:rPr>
          <w:rFonts w:hint="eastAsia" w:eastAsia="黑体"/>
          <w:b/>
          <w:bCs/>
        </w:rPr>
        <w:t xml:space="preserve">  </w:t>
      </w:r>
      <w:r>
        <w:rPr>
          <w:rFonts w:hint="eastAsia" w:ascii="宋体" w:hAnsi="宋体" w:cs="宋体"/>
          <w:szCs w:val="21"/>
        </w:rPr>
        <w:t>为提高轨道交通线路初期运营质量，新开通线路应当根据动态测值的结果，对轨道进行精调，从整体到局部，“先轨向、后轨距，先高低、后水平”的策略。</w:t>
      </w:r>
    </w:p>
    <w:p w14:paraId="0E20F48B">
      <w:pPr>
        <w:rPr>
          <w:rFonts w:ascii="宋体" w:hAnsi="宋体" w:cs="宋体"/>
          <w:szCs w:val="21"/>
        </w:rPr>
      </w:pPr>
      <w:r>
        <w:rPr>
          <w:rFonts w:hint="eastAsia" w:ascii="宋体" w:hAnsi="宋体" w:cs="宋体"/>
          <w:szCs w:val="21"/>
        </w:rPr>
        <w:t>钢轨和轮对有一定的磨合期，在此磨合期内，轮轨磨耗较为严重。通过轮轨走行的磨合，轮轨逐渐吻合，钢轨光带逐渐稳定成型，磨耗相对均匀。由于北京初期运营间隔短，初期4min间隔运营，宜对正线钢轨进行预打磨，使轮轨接触面的磨合期大大缩短，减少了磨合期内轮轨的异常磨耗，保证初期运营的平顺性，并延长轮轨使用寿命。</w:t>
      </w:r>
    </w:p>
    <w:p w14:paraId="215227B4">
      <w:pPr>
        <w:pStyle w:val="4"/>
        <w:numPr>
          <w:ilvl w:val="0"/>
          <w:numId w:val="0"/>
        </w:numPr>
      </w:pPr>
      <w:bookmarkStart w:id="2416" w:name="_Toc183888700"/>
      <w:bookmarkStart w:id="2417" w:name="_Toc183765295"/>
      <w:bookmarkStart w:id="2418" w:name="_Toc183454465"/>
      <w:bookmarkStart w:id="2419" w:name="_Toc183888338"/>
      <w:bookmarkStart w:id="2420" w:name="_Toc183454848"/>
      <w:bookmarkStart w:id="2421" w:name="_Toc183738117"/>
      <w:bookmarkStart w:id="2422" w:name="_Toc183882648"/>
      <w:bookmarkStart w:id="2423" w:name="_Toc183790725"/>
      <w:bookmarkStart w:id="2424" w:name="_Toc183882286"/>
      <w:bookmarkStart w:id="2425" w:name="_Toc183454168"/>
      <w:r>
        <w:rPr>
          <w:b/>
        </w:rPr>
        <w:t>8.3</w:t>
      </w:r>
      <w:r>
        <w:rPr>
          <w:rFonts w:hint="eastAsia"/>
          <w:b/>
        </w:rPr>
        <w:t xml:space="preserve"> </w:t>
      </w:r>
      <w:r>
        <w:rPr>
          <w:rFonts w:hint="eastAsia"/>
        </w:rPr>
        <w:t xml:space="preserve"> 轨道部件</w:t>
      </w:r>
      <w:bookmarkEnd w:id="2416"/>
      <w:bookmarkEnd w:id="2417"/>
      <w:bookmarkEnd w:id="2418"/>
      <w:bookmarkEnd w:id="2419"/>
      <w:bookmarkEnd w:id="2420"/>
      <w:bookmarkEnd w:id="2421"/>
      <w:bookmarkEnd w:id="2422"/>
      <w:bookmarkEnd w:id="2423"/>
      <w:bookmarkEnd w:id="2424"/>
      <w:bookmarkEnd w:id="2425"/>
    </w:p>
    <w:p w14:paraId="67C9E880">
      <w:pPr>
        <w:rPr>
          <w:rFonts w:ascii="宋体" w:hAnsi="宋体" w:cs="宋体"/>
          <w:szCs w:val="21"/>
        </w:rPr>
      </w:pPr>
      <w:r>
        <w:rPr>
          <w:rFonts w:eastAsia="黑体"/>
          <w:b/>
          <w:bCs/>
        </w:rPr>
        <w:t>8.3.1</w:t>
      </w:r>
      <w:r>
        <w:rPr>
          <w:rFonts w:hint="eastAsia" w:eastAsia="黑体"/>
          <w:b/>
          <w:bCs/>
        </w:rPr>
        <w:t xml:space="preserve">  </w:t>
      </w:r>
      <w:r>
        <w:rPr>
          <w:rFonts w:hint="eastAsia" w:ascii="宋体" w:hAnsi="宋体" w:cs="宋体"/>
          <w:szCs w:val="21"/>
        </w:rPr>
        <w:t>钢轨选型与轴重、通过速度、线路、车辆、减振、运营间隔等均有关系，随制造技术的提高，钢轨抗拉强度应不小于880MPa，增加的造价可以忽略。目前工程中，钢轨采用U71Mn和U75V均可。在曲线地段，钢轨磨耗和疲劳伤损是控制钢轨使用寿命的主要因素，根据重大办的研究，在正线曲线半径小于600m地段，钢轨通过热处理，可提高其各项机械性能，是我国目前较易实现钢轨强韧化的措施。</w:t>
      </w:r>
    </w:p>
    <w:p w14:paraId="47E9549C">
      <w:pPr>
        <w:rPr>
          <w:rFonts w:ascii="宋体" w:hAnsi="宋体" w:cs="宋体"/>
          <w:szCs w:val="21"/>
        </w:rPr>
      </w:pPr>
      <w:r>
        <w:rPr>
          <w:rFonts w:hint="eastAsia" w:ascii="宋体" w:hAnsi="宋体" w:cs="宋体"/>
          <w:szCs w:val="21"/>
        </w:rPr>
        <w:t>人防门金属件距离钢轨比较近引发的打火问题，运营部门认为：人防门密封件距离钢轨不宜小于50mm，最近距离不宜大于30mm可以防止钢轨打火的问题发生。</w:t>
      </w:r>
    </w:p>
    <w:p w14:paraId="5D5FC3E7">
      <w:pPr>
        <w:rPr>
          <w:rFonts w:ascii="宋体" w:hAnsi="宋体" w:cs="宋体"/>
          <w:szCs w:val="21"/>
        </w:rPr>
      </w:pPr>
      <w:r>
        <w:rPr>
          <w:rFonts w:eastAsia="黑体"/>
          <w:b/>
          <w:bCs/>
        </w:rPr>
        <w:t>8.3.2</w:t>
      </w:r>
      <w:r>
        <w:rPr>
          <w:rFonts w:hint="eastAsia" w:eastAsia="黑体"/>
          <w:b/>
          <w:bCs/>
        </w:rPr>
        <w:t xml:space="preserve">  </w:t>
      </w:r>
      <w:r>
        <w:rPr>
          <w:rFonts w:hint="eastAsia" w:ascii="宋体" w:hAnsi="宋体" w:cs="宋体"/>
          <w:szCs w:val="21"/>
        </w:rPr>
        <w:t>扣件是轨道结构的重要部件，将钢轨与轨枕（或承轨台）牢固连接，保持钢轨在轨下基础的正确位置，防止钢轨不必要的横向和纵向位移，并具备适量弹性。这要求扣件具有足够的强度和扣压力，还具有适量的轨距、水平调整及绝缘性。隧道、地面、高架线，扣件一旦腐蚀，几何形位改变、使用寿命减少，养护维修工作量增加，因此扣件应采取相应的防腐措施，防腐措施不能影响扣件的使用性能，并满足环保要求。</w:t>
      </w:r>
    </w:p>
    <w:p w14:paraId="3DEB6FF3">
      <w:pPr>
        <w:rPr>
          <w:rFonts w:ascii="宋体" w:hAnsi="宋体" w:cs="宋体"/>
          <w:szCs w:val="21"/>
        </w:rPr>
      </w:pPr>
      <w:r>
        <w:rPr>
          <w:rFonts w:eastAsia="黑体"/>
          <w:b/>
          <w:bCs/>
        </w:rPr>
        <w:t>8.3.4</w:t>
      </w:r>
      <w:r>
        <w:rPr>
          <w:rFonts w:hint="eastAsia" w:eastAsia="黑体"/>
          <w:b/>
          <w:bCs/>
        </w:rPr>
        <w:t xml:space="preserve">  </w:t>
      </w:r>
      <w:r>
        <w:rPr>
          <w:rFonts w:hint="eastAsia" w:ascii="宋体" w:hAnsi="宋体" w:cs="宋体"/>
          <w:szCs w:val="21"/>
        </w:rPr>
        <w:t>道岔是轨道的薄弱环节，其钢轨强度不低于相邻钢轨强度。为减少车轮对道岔的冲击，应避免道岔两端设置异形钢轨接头。</w:t>
      </w:r>
    </w:p>
    <w:p w14:paraId="0C32A0DC">
      <w:pPr>
        <w:rPr>
          <w:rFonts w:ascii="宋体" w:hAnsi="宋体" w:cs="宋体"/>
          <w:szCs w:val="21"/>
        </w:rPr>
      </w:pPr>
      <w:r>
        <w:rPr>
          <w:rFonts w:hint="eastAsia" w:ascii="宋体" w:hAnsi="宋体" w:cs="宋体"/>
          <w:szCs w:val="21"/>
        </w:rPr>
        <w:t>隧道沉降缝或梁缝处出现差异沉降将引起道岔关键部位的几何形位改变，造成安全隐患。</w:t>
      </w:r>
    </w:p>
    <w:p w14:paraId="0D51DAC3">
      <w:pPr>
        <w:rPr>
          <w:rFonts w:ascii="宋体" w:hAnsi="宋体" w:cs="宋体"/>
          <w:szCs w:val="21"/>
        </w:rPr>
      </w:pPr>
      <w:r>
        <w:rPr>
          <w:rFonts w:hint="eastAsia" w:ascii="宋体" w:hAnsi="宋体" w:cs="宋体"/>
          <w:szCs w:val="21"/>
        </w:rPr>
        <w:t>速度大于1</w:t>
      </w:r>
      <w:r>
        <w:rPr>
          <w:rFonts w:ascii="宋体" w:hAnsi="宋体" w:cs="宋体"/>
          <w:szCs w:val="21"/>
        </w:rPr>
        <w:t>00</w:t>
      </w:r>
      <w:r>
        <w:rPr>
          <w:rFonts w:hint="eastAsia" w:ascii="宋体" w:hAnsi="宋体" w:cs="宋体"/>
          <w:szCs w:val="21"/>
        </w:rPr>
        <w:t>km</w:t>
      </w:r>
      <w:r>
        <w:rPr>
          <w:rFonts w:ascii="宋体" w:hAnsi="宋体" w:cs="宋体"/>
          <w:szCs w:val="21"/>
        </w:rPr>
        <w:t>/h</w:t>
      </w:r>
      <w:r>
        <w:rPr>
          <w:rFonts w:hint="eastAsia" w:ascii="宋体" w:hAnsi="宋体" w:cs="宋体"/>
          <w:szCs w:val="21"/>
        </w:rPr>
        <w:t>的线路，道岔与梁缝的距离满足《</w:t>
      </w:r>
      <w:r>
        <w:rPr>
          <w:rFonts w:hint="eastAsia"/>
          <w:bCs/>
          <w:szCs w:val="28"/>
        </w:rPr>
        <w:t>市域（郊）铁路设计规范</w:t>
      </w:r>
      <w:r>
        <w:rPr>
          <w:rFonts w:hint="eastAsia" w:ascii="宋体" w:hAnsi="宋体" w:cs="宋体"/>
          <w:szCs w:val="21"/>
        </w:rPr>
        <w:t>》</w:t>
      </w:r>
      <w:r>
        <w:rPr>
          <w:rFonts w:hint="eastAsia"/>
          <w:bCs/>
          <w:szCs w:val="28"/>
        </w:rPr>
        <w:t>T</w:t>
      </w:r>
      <w:r>
        <w:rPr>
          <w:bCs/>
          <w:szCs w:val="28"/>
        </w:rPr>
        <w:t>B10624</w:t>
      </w:r>
      <w:r>
        <w:rPr>
          <w:rFonts w:hint="eastAsia"/>
          <w:bCs/>
          <w:szCs w:val="28"/>
        </w:rPr>
        <w:t>的要求，道岔始端和末端距离变形缝或梁缝不小于1</w:t>
      </w:r>
      <w:r>
        <w:rPr>
          <w:bCs/>
          <w:szCs w:val="28"/>
        </w:rPr>
        <w:t>8</w:t>
      </w:r>
      <w:r>
        <w:rPr>
          <w:rFonts w:hint="eastAsia"/>
          <w:bCs/>
          <w:szCs w:val="28"/>
        </w:rPr>
        <w:t>m。</w:t>
      </w:r>
    </w:p>
    <w:p w14:paraId="18421F38">
      <w:pPr>
        <w:rPr>
          <w:szCs w:val="18"/>
        </w:rPr>
      </w:pPr>
      <w:r>
        <w:rPr>
          <w:rFonts w:eastAsia="黑体"/>
          <w:b/>
          <w:bCs/>
        </w:rPr>
        <w:t>8.3.5</w:t>
      </w:r>
      <w:r>
        <w:rPr>
          <w:rFonts w:hint="eastAsia" w:eastAsia="黑体"/>
          <w:b/>
          <w:bCs/>
        </w:rPr>
        <w:t xml:space="preserve">  </w:t>
      </w:r>
      <w:r>
        <w:rPr>
          <w:rFonts w:hint="eastAsia" w:ascii="宋体" w:hAnsi="宋体" w:cs="宋体"/>
          <w:szCs w:val="21"/>
        </w:rPr>
        <w:t>钢轨伸缩调节器设置应进行系统设计，按照轨道和桥梁结构检算后确定伸缩调节器的设置、数量和位置，一般情况下主要铺设在大温度跨度桥梁的轨道上。</w:t>
      </w:r>
    </w:p>
    <w:p w14:paraId="3BB4598C">
      <w:pPr>
        <w:pStyle w:val="4"/>
        <w:numPr>
          <w:ilvl w:val="0"/>
          <w:numId w:val="0"/>
        </w:numPr>
      </w:pPr>
      <w:bookmarkStart w:id="2426" w:name="_Toc183888701"/>
      <w:bookmarkStart w:id="2427" w:name="_Toc183738118"/>
      <w:bookmarkStart w:id="2428" w:name="_Toc183454169"/>
      <w:bookmarkStart w:id="2429" w:name="_Toc183454849"/>
      <w:bookmarkStart w:id="2430" w:name="_Toc183888339"/>
      <w:bookmarkStart w:id="2431" w:name="_Toc183790726"/>
      <w:bookmarkStart w:id="2432" w:name="_Toc183454466"/>
      <w:bookmarkStart w:id="2433" w:name="_Toc183882287"/>
      <w:bookmarkStart w:id="2434" w:name="_Toc183765296"/>
      <w:bookmarkStart w:id="2435" w:name="_Toc183882649"/>
      <w:r>
        <w:rPr>
          <w:b/>
        </w:rPr>
        <w:t xml:space="preserve">8.4 </w:t>
      </w:r>
      <w:r>
        <w:t xml:space="preserve"> </w:t>
      </w:r>
      <w:r>
        <w:rPr>
          <w:rFonts w:hint="eastAsia"/>
        </w:rPr>
        <w:t>道床结构</w:t>
      </w:r>
      <w:bookmarkEnd w:id="2426"/>
      <w:bookmarkEnd w:id="2427"/>
      <w:bookmarkEnd w:id="2428"/>
      <w:bookmarkEnd w:id="2429"/>
      <w:bookmarkEnd w:id="2430"/>
      <w:bookmarkEnd w:id="2431"/>
      <w:bookmarkEnd w:id="2432"/>
      <w:bookmarkEnd w:id="2433"/>
      <w:bookmarkEnd w:id="2434"/>
      <w:bookmarkEnd w:id="2435"/>
    </w:p>
    <w:p w14:paraId="10DC1E2A">
      <w:pPr>
        <w:rPr>
          <w:rFonts w:ascii="宋体" w:hAnsi="宋体" w:cs="宋体"/>
          <w:szCs w:val="21"/>
        </w:rPr>
      </w:pPr>
      <w:r>
        <w:rPr>
          <w:rFonts w:eastAsia="黑体"/>
          <w:b/>
          <w:bCs/>
        </w:rPr>
        <w:t>8.4.1</w:t>
      </w:r>
      <w:r>
        <w:rPr>
          <w:rFonts w:hint="eastAsia" w:ascii="宋体" w:hAnsi="宋体" w:cs="宋体"/>
          <w:szCs w:val="21"/>
        </w:rPr>
        <w:t>无砟轨道整体道床从施工工艺来说，分为预制轨道和现浇道床两类。选用无砟道床，以减小维修工作量、降低轨道高度。但应注意道床基础的工后沉降控制能满足轨道平顺性的要求。鉴于不同无砟轨道具有鲜明的技术、经济特征，项目选择综合分析安全、经济、施工、维修等最终确认。</w:t>
      </w:r>
    </w:p>
    <w:p w14:paraId="677DDD9D">
      <w:pPr>
        <w:rPr>
          <w:rFonts w:ascii="宋体" w:hAnsi="宋体" w:cs="宋体"/>
          <w:szCs w:val="21"/>
        </w:rPr>
      </w:pPr>
      <w:r>
        <w:rPr>
          <w:rFonts w:eastAsia="黑体"/>
          <w:b/>
          <w:bCs/>
        </w:rPr>
        <w:t>8.4.2</w:t>
      </w:r>
      <w:r>
        <w:rPr>
          <w:rFonts w:hint="eastAsia" w:ascii="宋体" w:hAnsi="宋体" w:cs="宋体"/>
          <w:szCs w:val="21"/>
        </w:rPr>
        <w:t>目前北京地铁的无砟道床种类有很多，本条文规定的内容为所有无砟轨道应满足的基础条件，结构设计应根据受力工况具体设计。</w:t>
      </w:r>
    </w:p>
    <w:p w14:paraId="62ABBE41">
      <w:pPr>
        <w:rPr>
          <w:rFonts w:ascii="宋体" w:hAnsi="宋体" w:cs="宋体"/>
          <w:szCs w:val="21"/>
        </w:rPr>
      </w:pPr>
      <w:r>
        <w:rPr>
          <w:rFonts w:hint="eastAsia" w:ascii="宋体" w:hAnsi="宋体" w:cs="宋体"/>
          <w:szCs w:val="21"/>
        </w:rPr>
        <w:t>8.4.3装配式（预制板）轨道，轨道板为预制件，外形美观，道床结构整体性强，稳定性好，施工效率、质量均较高，但施工设备专用性强，工程造价相对高，需要根据项目的情况选择，装配式（预制板）轨道对于其强度、连接层、排水设计等做了详细的要求。</w:t>
      </w:r>
    </w:p>
    <w:p w14:paraId="71AEA4DE">
      <w:pPr>
        <w:rPr>
          <w:rFonts w:ascii="宋体" w:hAnsi="宋体" w:cs="宋体"/>
          <w:szCs w:val="21"/>
        </w:rPr>
      </w:pPr>
      <w:r>
        <w:rPr>
          <w:rFonts w:eastAsia="黑体"/>
          <w:b/>
          <w:bCs/>
        </w:rPr>
        <w:t>8.4.4</w:t>
      </w:r>
      <w:r>
        <w:rPr>
          <w:rFonts w:hint="eastAsia" w:eastAsia="黑体"/>
          <w:b/>
          <w:bCs/>
        </w:rPr>
        <w:t xml:space="preserve">  </w:t>
      </w:r>
      <w:r>
        <w:rPr>
          <w:rFonts w:hint="eastAsia" w:ascii="宋体" w:hAnsi="宋体" w:cs="宋体"/>
          <w:szCs w:val="21"/>
        </w:rPr>
        <w:t>有砟道床的技术参数按一次性铺设无缝线路的要求确定。</w:t>
      </w:r>
    </w:p>
    <w:p w14:paraId="53F7D002">
      <w:pPr>
        <w:rPr>
          <w:rFonts w:ascii="宋体" w:hAnsi="宋体" w:cs="宋体"/>
          <w:szCs w:val="21"/>
        </w:rPr>
      </w:pPr>
      <w:r>
        <w:rPr>
          <w:rFonts w:eastAsia="黑体"/>
          <w:b/>
          <w:bCs/>
        </w:rPr>
        <w:t>8.4.5</w:t>
      </w:r>
      <w:r>
        <w:rPr>
          <w:rFonts w:hint="eastAsia" w:eastAsia="黑体"/>
          <w:b/>
          <w:bCs/>
        </w:rPr>
        <w:t xml:space="preserve">  </w:t>
      </w:r>
      <w:r>
        <w:rPr>
          <w:rFonts w:hint="eastAsia" w:ascii="宋体" w:hAnsi="宋体" w:cs="宋体"/>
          <w:szCs w:val="21"/>
        </w:rPr>
        <w:t>无砟道床与有砟道床间设置过渡段起到协调变形和弹性过渡作用，宜采用在有砟道床一侧设置钢筋混凝土道碴槽或平板扩大基础及道砟厚度渐变的方法，过渡段长度不宜小于车辆定距。</w:t>
      </w:r>
    </w:p>
    <w:p w14:paraId="64F3C433">
      <w:pPr>
        <w:rPr>
          <w:szCs w:val="18"/>
        </w:rPr>
      </w:pPr>
      <w:r>
        <w:rPr>
          <w:rFonts w:hint="eastAsia" w:ascii="宋体" w:hAnsi="宋体" w:cs="宋体"/>
          <w:szCs w:val="21"/>
        </w:rPr>
        <w:t>不同支撑刚度的无砟轨道结构之间，一般在动态下沉量较大的减振结构地段内进行与两侧道床的弹性过渡。</w:t>
      </w:r>
    </w:p>
    <w:p w14:paraId="76BAD2CF">
      <w:pPr>
        <w:pStyle w:val="4"/>
        <w:numPr>
          <w:ilvl w:val="0"/>
          <w:numId w:val="0"/>
        </w:numPr>
      </w:pPr>
      <w:bookmarkStart w:id="2436" w:name="_Toc183882288"/>
      <w:bookmarkStart w:id="2437" w:name="_Toc183882650"/>
      <w:bookmarkStart w:id="2438" w:name="_Toc183454850"/>
      <w:bookmarkStart w:id="2439" w:name="_Toc183790727"/>
      <w:bookmarkStart w:id="2440" w:name="_Toc183888702"/>
      <w:bookmarkStart w:id="2441" w:name="_Toc357929512"/>
      <w:bookmarkStart w:id="2442" w:name="_Toc183454170"/>
      <w:bookmarkStart w:id="2443" w:name="_Toc183765297"/>
      <w:bookmarkStart w:id="2444" w:name="_Toc183454467"/>
      <w:bookmarkStart w:id="2445" w:name="_Toc183888340"/>
      <w:bookmarkStart w:id="2446" w:name="_Toc183738119"/>
      <w:r>
        <w:t xml:space="preserve">8.5  </w:t>
      </w:r>
      <w:r>
        <w:rPr>
          <w:rFonts w:hint="eastAsia"/>
        </w:rPr>
        <w:t>无缝线路</w:t>
      </w:r>
      <w:bookmarkEnd w:id="2436"/>
      <w:bookmarkEnd w:id="2437"/>
      <w:bookmarkEnd w:id="2438"/>
      <w:bookmarkEnd w:id="2439"/>
      <w:bookmarkEnd w:id="2440"/>
      <w:bookmarkEnd w:id="2441"/>
      <w:bookmarkEnd w:id="2442"/>
      <w:bookmarkEnd w:id="2443"/>
      <w:bookmarkEnd w:id="2444"/>
      <w:bookmarkEnd w:id="2445"/>
      <w:bookmarkEnd w:id="2446"/>
    </w:p>
    <w:p w14:paraId="783639D2">
      <w:pPr>
        <w:rPr>
          <w:rFonts w:ascii="宋体" w:hAnsi="宋体" w:cs="宋体"/>
          <w:szCs w:val="21"/>
        </w:rPr>
      </w:pPr>
      <w:r>
        <w:rPr>
          <w:rFonts w:eastAsia="黑体"/>
          <w:b/>
          <w:bCs/>
        </w:rPr>
        <w:t>8.5.1</w:t>
      </w:r>
      <w:r>
        <w:rPr>
          <w:rFonts w:hint="eastAsia" w:eastAsia="黑体"/>
          <w:b/>
          <w:bCs/>
        </w:rPr>
        <w:t xml:space="preserve">  </w:t>
      </w:r>
      <w:r>
        <w:rPr>
          <w:rFonts w:hint="eastAsia" w:ascii="宋体" w:hAnsi="宋体" w:cs="宋体"/>
          <w:szCs w:val="21"/>
        </w:rPr>
        <w:t>无缝线路设计包括确定锁定轨温、轨条布置、强度计算、稳定性计算、伸缩区和缓冲区设计、布置位移观测桩等内容，本条只给出无缝线路设计的一般原则。</w:t>
      </w:r>
    </w:p>
    <w:p w14:paraId="53551969">
      <w:pPr>
        <w:rPr>
          <w:rFonts w:ascii="宋体" w:hAnsi="宋体" w:cs="宋体"/>
          <w:szCs w:val="21"/>
        </w:rPr>
      </w:pPr>
      <w:r>
        <w:rPr>
          <w:rFonts w:hint="eastAsia" w:ascii="宋体" w:hAnsi="宋体" w:cs="宋体"/>
          <w:szCs w:val="21"/>
        </w:rPr>
        <w:t>应尽量扩大无缝线路铺设范围，其他特殊地段铺设无缝线路时应进行特殊设计。</w:t>
      </w:r>
    </w:p>
    <w:p w14:paraId="02BCAF2F">
      <w:pPr>
        <w:rPr>
          <w:rFonts w:ascii="宋体" w:hAnsi="宋体" w:cs="宋体"/>
          <w:szCs w:val="21"/>
        </w:rPr>
      </w:pPr>
      <w:r>
        <w:rPr>
          <w:rFonts w:eastAsia="黑体"/>
          <w:b/>
          <w:bCs/>
        </w:rPr>
        <w:t>8.5.2</w:t>
      </w:r>
      <w:r>
        <w:rPr>
          <w:rFonts w:hint="eastAsia" w:eastAsia="黑体"/>
          <w:b/>
          <w:bCs/>
        </w:rPr>
        <w:t xml:space="preserve">  </w:t>
      </w:r>
      <w:r>
        <w:rPr>
          <w:rFonts w:hint="eastAsia" w:ascii="宋体" w:hAnsi="宋体" w:cs="宋体"/>
          <w:szCs w:val="21"/>
        </w:rPr>
        <w:t>有砟道床一次铺设无缝线路，避免了换铺作业，可降低建设成本并尽快稳定线路。一次铺设无缝线路必须采用大型养路机械进行起道、拨道、捣固和动力稳定整道。</w:t>
      </w:r>
    </w:p>
    <w:p w14:paraId="1B994FFB">
      <w:pPr>
        <w:rPr>
          <w:rFonts w:ascii="宋体" w:hAnsi="宋体" w:cs="宋体"/>
          <w:szCs w:val="21"/>
        </w:rPr>
      </w:pPr>
      <w:r>
        <w:rPr>
          <w:rFonts w:eastAsia="黑体"/>
          <w:b/>
          <w:bCs/>
        </w:rPr>
        <w:t>8.5.3</w:t>
      </w:r>
      <w:r>
        <w:rPr>
          <w:rFonts w:hint="eastAsia" w:ascii="宋体" w:hAnsi="宋体" w:cs="宋体"/>
          <w:szCs w:val="21"/>
        </w:rPr>
        <w:t>根据北京地铁既有高架线的计算结果，锁定轨温宜为22℃～32℃。地下线温度变化较小，可适当放宽锁定轨温范围，以方便施工及维护。</w:t>
      </w:r>
    </w:p>
    <w:p w14:paraId="639E029C">
      <w:pPr>
        <w:rPr>
          <w:rFonts w:ascii="宋体" w:hAnsi="宋体" w:cs="宋体"/>
          <w:szCs w:val="21"/>
        </w:rPr>
      </w:pPr>
      <w:r>
        <w:rPr>
          <w:rFonts w:eastAsia="黑体"/>
          <w:b/>
          <w:bCs/>
        </w:rPr>
        <w:t>8.5.4</w:t>
      </w:r>
      <w:r>
        <w:rPr>
          <w:rFonts w:hint="eastAsia" w:ascii="宋体" w:hAnsi="宋体" w:cs="宋体"/>
          <w:szCs w:val="21"/>
        </w:rPr>
        <w:t>无缝线路在道岔两端设置缓冲轨，便于维修部门更换道岔钢轨件。地下线轨温差较小，设置一根缓冲轨可满足使用要求。如铺设跨区间无缝线路，必须采用无缝道岔。无缝道岔应考虑维修便利，优先选用冻结接头。无缝道岔的尖轨、心轨相对位移，限位器、间隔铁等部件的强度均应检算，并满足跨区间无缝线路的设计要求。</w:t>
      </w:r>
    </w:p>
    <w:p w14:paraId="3FD714E1">
      <w:pPr>
        <w:rPr>
          <w:rFonts w:eastAsia="黑体"/>
          <w:b/>
          <w:bCs/>
        </w:rPr>
      </w:pPr>
      <w:r>
        <w:rPr>
          <w:rFonts w:eastAsia="黑体"/>
          <w:b/>
          <w:bCs/>
        </w:rPr>
        <w:t>8.5.5</w:t>
      </w:r>
      <w:r>
        <w:rPr>
          <w:rFonts w:hint="eastAsia" w:ascii="宋体" w:hAnsi="宋体" w:cs="宋体"/>
          <w:szCs w:val="21"/>
        </w:rPr>
        <w:t>高架线无缝线路设计是与梁跨布置递进式的设计过程，应根据桥梁所在无缝线路各个区段的位置，合理调整轨条和梁跨布置，控制梁轨作用力。</w:t>
      </w:r>
    </w:p>
    <w:p w14:paraId="3948DF65">
      <w:pPr>
        <w:pStyle w:val="4"/>
        <w:numPr>
          <w:ilvl w:val="0"/>
          <w:numId w:val="0"/>
        </w:numPr>
      </w:pPr>
      <w:bookmarkStart w:id="2447" w:name="_Toc183454171"/>
      <w:bookmarkStart w:id="2448" w:name="_Toc183882651"/>
      <w:bookmarkStart w:id="2449" w:name="_Toc183790728"/>
      <w:bookmarkStart w:id="2450" w:name="_Toc357929513"/>
      <w:bookmarkStart w:id="2451" w:name="_Toc183882289"/>
      <w:bookmarkStart w:id="2452" w:name="_Toc183454468"/>
      <w:bookmarkStart w:id="2453" w:name="_Toc183765298"/>
      <w:bookmarkStart w:id="2454" w:name="_Toc183888703"/>
      <w:bookmarkStart w:id="2455" w:name="_Toc183738120"/>
      <w:bookmarkStart w:id="2456" w:name="_Toc183454851"/>
      <w:bookmarkStart w:id="2457" w:name="_Toc183888341"/>
      <w:r>
        <w:rPr>
          <w:b/>
        </w:rPr>
        <w:t xml:space="preserve">8.6 </w:t>
      </w:r>
      <w:r>
        <w:t xml:space="preserve"> </w:t>
      </w:r>
      <w:r>
        <w:rPr>
          <w:rFonts w:hint="eastAsia"/>
        </w:rPr>
        <w:t>轨道减振</w:t>
      </w:r>
      <w:bookmarkEnd w:id="2447"/>
      <w:bookmarkEnd w:id="2448"/>
      <w:bookmarkEnd w:id="2449"/>
      <w:bookmarkEnd w:id="2450"/>
      <w:bookmarkEnd w:id="2451"/>
      <w:bookmarkEnd w:id="2452"/>
      <w:bookmarkEnd w:id="2453"/>
      <w:bookmarkEnd w:id="2454"/>
      <w:bookmarkEnd w:id="2455"/>
      <w:bookmarkEnd w:id="2456"/>
      <w:bookmarkEnd w:id="2457"/>
    </w:p>
    <w:p w14:paraId="3BAEEF7F">
      <w:pPr>
        <w:rPr>
          <w:rFonts w:ascii="宋体" w:hAnsi="宋体" w:cs="宋体"/>
          <w:szCs w:val="21"/>
        </w:rPr>
      </w:pPr>
      <w:r>
        <w:rPr>
          <w:rFonts w:eastAsia="黑体"/>
          <w:b/>
          <w:bCs/>
        </w:rPr>
        <w:t>8.6.1</w:t>
      </w:r>
      <w:r>
        <w:rPr>
          <w:rFonts w:hint="eastAsia" w:ascii="宋体" w:hAnsi="宋体" w:cs="宋体"/>
          <w:szCs w:val="21"/>
        </w:rPr>
        <w:t>减振地段和减振等级是影响轨道建设投资和运营期环境影响的重要因素。应根据线路与沿线振动敏感点的关系，按环境影响报告和工程变化环境影响分析报告书的要求慎重确定。同时应跟踪各设计阶段线路平纵断面的调整，分析与振动敏感点之间的变化，及时提出减振地段的调整方案，在施工图设计阶段进一步确认减振地段的里程和减振等级。</w:t>
      </w:r>
    </w:p>
    <w:p w14:paraId="4126B1C1">
      <w:pPr>
        <w:rPr>
          <w:rFonts w:ascii="宋体" w:hAnsi="宋体" w:cs="宋体"/>
          <w:szCs w:val="21"/>
        </w:rPr>
      </w:pPr>
      <w:r>
        <w:rPr>
          <w:rFonts w:eastAsia="黑体"/>
          <w:b/>
          <w:bCs/>
        </w:rPr>
        <w:t>8.6.2</w:t>
      </w:r>
      <w:r>
        <w:rPr>
          <w:rFonts w:hint="eastAsia" w:ascii="宋体" w:hAnsi="宋体" w:cs="宋体"/>
          <w:szCs w:val="21"/>
        </w:rPr>
        <w:t>根据工程沿线的减振要求，在轨道结构上采取分级减振措施，既能达到沿线不同地段的环境保护标准，又能节省轨道工程投资。</w:t>
      </w:r>
    </w:p>
    <w:p w14:paraId="047E120F">
      <w:pPr>
        <w:rPr>
          <w:rFonts w:ascii="宋体" w:hAnsi="宋体" w:cs="宋体"/>
          <w:szCs w:val="21"/>
        </w:rPr>
      </w:pPr>
      <w:r>
        <w:rPr>
          <w:rFonts w:hint="eastAsia" w:ascii="宋体" w:hAnsi="宋体" w:cs="宋体"/>
          <w:szCs w:val="21"/>
        </w:rPr>
        <w:t>减振级别的划分应结合北京地铁既有工程经验进行划分，减振道床的选用要满足运营的诉求。</w:t>
      </w:r>
    </w:p>
    <w:p w14:paraId="73876DDD">
      <w:pPr>
        <w:rPr>
          <w:rFonts w:ascii="宋体" w:hAnsi="宋体" w:cs="宋体"/>
          <w:szCs w:val="21"/>
        </w:rPr>
      </w:pPr>
      <w:r>
        <w:rPr>
          <w:rFonts w:eastAsia="黑体"/>
          <w:b/>
          <w:bCs/>
        </w:rPr>
        <w:t xml:space="preserve">8.6.3  </w:t>
      </w:r>
      <w:r>
        <w:rPr>
          <w:rFonts w:hint="eastAsia" w:ascii="宋体" w:hAnsi="宋体" w:cs="宋体"/>
          <w:szCs w:val="21"/>
        </w:rPr>
        <w:t>除被保护振动敏感点对应线路长度外，减振措施设置长度尚应考虑其过渡段长度等因素，并避开普通轨道结构的振动影响范围。线路条件也是减振地段和减振措施选择需考虑的因素之一，宜与线路等专业协调避免在线路条件较差地段采取减振措施。</w:t>
      </w:r>
    </w:p>
    <w:p w14:paraId="2D8E9BC4">
      <w:pPr>
        <w:rPr>
          <w:szCs w:val="18"/>
        </w:rPr>
      </w:pPr>
      <w:r>
        <w:rPr>
          <w:rFonts w:eastAsia="黑体"/>
          <w:b/>
          <w:bCs/>
        </w:rPr>
        <w:t xml:space="preserve">8.6.4  </w:t>
      </w:r>
      <w:r>
        <w:rPr>
          <w:rFonts w:hint="eastAsia" w:ascii="宋体" w:hAnsi="宋体" w:cs="宋体"/>
          <w:szCs w:val="21"/>
        </w:rPr>
        <w:t>减振轨道结构对轨道系统的稳定性均有一定程度的削弱，导致安全系数降低。因此减振地段与非减振地段养护维修周期和要求应当不相同。</w:t>
      </w:r>
    </w:p>
    <w:p w14:paraId="52FA7802">
      <w:pPr>
        <w:pStyle w:val="4"/>
        <w:numPr>
          <w:ilvl w:val="0"/>
          <w:numId w:val="0"/>
        </w:numPr>
      </w:pPr>
      <w:bookmarkStart w:id="2458" w:name="_Toc183738121"/>
      <w:bookmarkStart w:id="2459" w:name="_Toc183765299"/>
      <w:bookmarkStart w:id="2460" w:name="_Toc183454172"/>
      <w:bookmarkStart w:id="2461" w:name="_Toc183790729"/>
      <w:bookmarkStart w:id="2462" w:name="_Toc183882290"/>
      <w:bookmarkStart w:id="2463" w:name="_Toc357929514"/>
      <w:bookmarkStart w:id="2464" w:name="_Toc183888704"/>
      <w:bookmarkStart w:id="2465" w:name="_Toc183454469"/>
      <w:bookmarkStart w:id="2466" w:name="_Toc183882652"/>
      <w:bookmarkStart w:id="2467" w:name="_Toc183888342"/>
      <w:bookmarkStart w:id="2468" w:name="_Toc183454852"/>
      <w:r>
        <w:rPr>
          <w:b/>
        </w:rPr>
        <w:t xml:space="preserve">8.7 </w:t>
      </w:r>
      <w:r>
        <w:t xml:space="preserve"> </w:t>
      </w:r>
      <w:r>
        <w:rPr>
          <w:rFonts w:hint="eastAsia"/>
        </w:rPr>
        <w:t>轨道安全设备及附属设备</w:t>
      </w:r>
      <w:bookmarkEnd w:id="2458"/>
      <w:bookmarkEnd w:id="2459"/>
      <w:bookmarkEnd w:id="2460"/>
      <w:bookmarkEnd w:id="2461"/>
      <w:bookmarkEnd w:id="2462"/>
      <w:bookmarkEnd w:id="2463"/>
      <w:bookmarkEnd w:id="2464"/>
      <w:bookmarkEnd w:id="2465"/>
      <w:bookmarkEnd w:id="2466"/>
      <w:bookmarkEnd w:id="2467"/>
      <w:bookmarkEnd w:id="2468"/>
    </w:p>
    <w:p w14:paraId="6DDABB57">
      <w:pPr>
        <w:rPr>
          <w:rFonts w:cs="宋体"/>
          <w:szCs w:val="21"/>
        </w:rPr>
      </w:pPr>
      <w:r>
        <w:rPr>
          <w:rFonts w:hint="eastAsia" w:cs="宋体"/>
          <w:b/>
          <w:szCs w:val="21"/>
        </w:rPr>
        <w:t xml:space="preserve">8.7.1 </w:t>
      </w:r>
      <w:r>
        <w:rPr>
          <w:rFonts w:hint="eastAsia" w:cs="宋体"/>
          <w:szCs w:val="21"/>
        </w:rPr>
        <w:t xml:space="preserve"> 在轮重减载率较大地段及列车脱轨将产生严重影响地段设置护轨或护轮设备，以防止列车意外脱轨或控制列车脱轨后事故扩大。</w:t>
      </w:r>
    </w:p>
    <w:p w14:paraId="7B51F7E8">
      <w:pPr>
        <w:rPr>
          <w:rFonts w:cs="宋体"/>
          <w:szCs w:val="21"/>
        </w:rPr>
      </w:pPr>
      <w:r>
        <w:rPr>
          <w:rFonts w:hint="eastAsia" w:cs="宋体"/>
          <w:b/>
          <w:szCs w:val="21"/>
        </w:rPr>
        <w:t xml:space="preserve">8.7.2  </w:t>
      </w:r>
      <w:r>
        <w:rPr>
          <w:rFonts w:hint="eastAsia" w:cs="宋体"/>
          <w:szCs w:val="21"/>
        </w:rPr>
        <w:t>车挡是保证列车停车的最后一道技术防线。缓冲滑动式车挡利用滑动距离耗散列车动能，迫使失控列车安全停车。经运营线路多年使用，缓冲滑动式车挡技术成熟，性价比较为合理。据各工程的信号控制技术、列车重量等因素综合比选确定车挡主要技术要求和规格。车挡占用轨道长度应根据撞击荷载、允许冲撞速度、制动减速度等设计参数计算确定。</w:t>
      </w:r>
    </w:p>
    <w:p w14:paraId="12A07080">
      <w:pPr>
        <w:rPr>
          <w:rFonts w:cs="宋体"/>
          <w:szCs w:val="21"/>
        </w:rPr>
      </w:pPr>
      <w:r>
        <w:rPr>
          <w:rFonts w:hint="eastAsia" w:cs="宋体"/>
          <w:b/>
          <w:szCs w:val="21"/>
        </w:rPr>
        <w:t xml:space="preserve">8.7.4  </w:t>
      </w:r>
      <w:r>
        <w:rPr>
          <w:rFonts w:hint="eastAsia" w:cs="宋体"/>
          <w:szCs w:val="21"/>
        </w:rPr>
        <w:t>钢轨涂油是减少曲线钢轨磨耗和啸叫噪声的有效措施之一。小半径曲线上的钢轨涂油器，可减少小半径曲线地段的钢轨磨耗。地面钢轨涂油器宜设置在行车方向的直缓点处，涂油器拖带距离不得小于500m。</w:t>
      </w:r>
    </w:p>
    <w:p w14:paraId="3008A3A9">
      <w:pPr>
        <w:rPr>
          <w:rFonts w:cs="宋体"/>
          <w:szCs w:val="21"/>
        </w:rPr>
      </w:pPr>
      <w:r>
        <w:rPr>
          <w:rFonts w:hint="eastAsia" w:cs="宋体"/>
          <w:szCs w:val="21"/>
        </w:rPr>
        <w:t>轨顶摩擦控制装置是减少曲线波磨的有效措施，建议在设置涂油器的位置同时设置，减少钢轨磨耗和噪声。</w:t>
      </w:r>
    </w:p>
    <w:p w14:paraId="567B56F8">
      <w:pPr>
        <w:rPr>
          <w:rFonts w:cs="宋体"/>
          <w:szCs w:val="21"/>
        </w:rPr>
      </w:pPr>
      <w:r>
        <w:rPr>
          <w:rFonts w:hint="eastAsia" w:cs="宋体"/>
          <w:szCs w:val="21"/>
        </w:rPr>
        <w:t xml:space="preserve">钢轨涂油器和轨顶摩擦装置的设置均应当均匀喷涂，不能引起车辆的无故打滑的问题。 </w:t>
      </w:r>
    </w:p>
    <w:p w14:paraId="54C45A5C">
      <w:pPr>
        <w:rPr>
          <w:rFonts w:cs="宋体"/>
          <w:szCs w:val="21"/>
        </w:rPr>
      </w:pPr>
      <w:r>
        <w:rPr>
          <w:rFonts w:hint="eastAsia" w:cs="宋体"/>
          <w:b/>
          <w:szCs w:val="21"/>
        </w:rPr>
        <w:t xml:space="preserve">8.7.7 </w:t>
      </w:r>
      <w:r>
        <w:rPr>
          <w:rFonts w:hint="eastAsia" w:cs="宋体"/>
          <w:szCs w:val="21"/>
        </w:rPr>
        <w:t xml:space="preserve"> 根据北京地铁运营维修的需要，车站宜设置工务维修用房1间～2间，每房间面积10m</w:t>
      </w:r>
      <w:r>
        <w:rPr>
          <w:rFonts w:hint="eastAsia" w:cs="宋体"/>
          <w:szCs w:val="21"/>
          <w:vertAlign w:val="superscript"/>
        </w:rPr>
        <w:t>2</w:t>
      </w:r>
      <w:r>
        <w:rPr>
          <w:rFonts w:hint="eastAsia" w:cs="宋体"/>
          <w:szCs w:val="21"/>
        </w:rPr>
        <w:t>～20m</w:t>
      </w:r>
      <w:r>
        <w:rPr>
          <w:rFonts w:hint="eastAsia" w:cs="宋体"/>
          <w:szCs w:val="21"/>
          <w:vertAlign w:val="superscript"/>
        </w:rPr>
        <w:t>2</w:t>
      </w:r>
      <w:r>
        <w:rPr>
          <w:rFonts w:hint="eastAsia" w:cs="宋体"/>
          <w:szCs w:val="21"/>
        </w:rPr>
        <w:t>，宜在站台层布置，以便于及时维修和抢修。</w:t>
      </w:r>
    </w:p>
    <w:p w14:paraId="0BCB5557">
      <w:pPr>
        <w:rPr>
          <w:rFonts w:cs="宋体"/>
          <w:szCs w:val="21"/>
        </w:rPr>
      </w:pPr>
    </w:p>
    <w:p w14:paraId="12959CE3">
      <w:pPr>
        <w:widowControl/>
        <w:jc w:val="left"/>
        <w:rPr>
          <w:rFonts w:ascii="宋体" w:hAnsi="宋体" w:cs="宋体"/>
          <w:szCs w:val="21"/>
        </w:rPr>
      </w:pPr>
      <w:r>
        <w:rPr>
          <w:rFonts w:ascii="宋体" w:hAnsi="宋体" w:cs="宋体"/>
          <w:szCs w:val="21"/>
        </w:rPr>
        <w:br w:type="page"/>
      </w:r>
    </w:p>
    <w:p w14:paraId="10B05F60">
      <w:pPr>
        <w:pStyle w:val="240"/>
      </w:pPr>
      <w:bookmarkStart w:id="2469" w:name="_Toc183888705"/>
      <w:bookmarkStart w:id="2470" w:name="_Toc183882653"/>
      <w:bookmarkStart w:id="2471" w:name="_Toc183765300"/>
      <w:bookmarkStart w:id="2472" w:name="_Toc183738122"/>
      <w:bookmarkStart w:id="2473" w:name="_Toc183888343"/>
      <w:bookmarkStart w:id="2474" w:name="_Toc183882291"/>
      <w:bookmarkStart w:id="2475" w:name="_Toc183790730"/>
      <w:bookmarkStart w:id="2476" w:name="_Toc183699897"/>
      <w:bookmarkStart w:id="2477" w:name="_Toc183735441"/>
      <w:r>
        <w:rPr>
          <w:rFonts w:hint="eastAsia"/>
          <w:b/>
        </w:rPr>
        <w:t>9</w:t>
      </w:r>
      <w:r>
        <w:rPr>
          <w:b/>
        </w:rPr>
        <w:t xml:space="preserve"> </w:t>
      </w:r>
      <w:r>
        <w:t xml:space="preserve"> </w:t>
      </w:r>
      <w:r>
        <w:rPr>
          <w:rFonts w:hint="eastAsia"/>
        </w:rPr>
        <w:t>路  基</w:t>
      </w:r>
      <w:bookmarkEnd w:id="2469"/>
      <w:bookmarkEnd w:id="2470"/>
      <w:bookmarkEnd w:id="2471"/>
      <w:bookmarkEnd w:id="2472"/>
      <w:bookmarkEnd w:id="2473"/>
      <w:bookmarkEnd w:id="2474"/>
      <w:bookmarkEnd w:id="2475"/>
      <w:bookmarkEnd w:id="2476"/>
      <w:bookmarkEnd w:id="2477"/>
    </w:p>
    <w:p w14:paraId="59478E1C">
      <w:pPr>
        <w:pStyle w:val="4"/>
        <w:numPr>
          <w:ilvl w:val="0"/>
          <w:numId w:val="0"/>
        </w:numPr>
      </w:pPr>
      <w:bookmarkStart w:id="2478" w:name="_Toc183882292"/>
      <w:bookmarkStart w:id="2479" w:name="_Toc183888706"/>
      <w:bookmarkStart w:id="2480" w:name="_Toc183738123"/>
      <w:bookmarkStart w:id="2481" w:name="_Toc183790731"/>
      <w:bookmarkStart w:id="2482" w:name="_Toc183765301"/>
      <w:bookmarkStart w:id="2483" w:name="_Toc183882654"/>
      <w:bookmarkStart w:id="2484" w:name="_Toc183888344"/>
      <w:r>
        <w:rPr>
          <w:rFonts w:hint="eastAsia"/>
        </w:rPr>
        <w:t>9</w:t>
      </w:r>
      <w:r>
        <w:t xml:space="preserve">.1  </w:t>
      </w:r>
      <w:r>
        <w:rPr>
          <w:rFonts w:hint="eastAsia"/>
        </w:rPr>
        <w:t>一般规定</w:t>
      </w:r>
      <w:bookmarkEnd w:id="2478"/>
      <w:bookmarkEnd w:id="2479"/>
      <w:bookmarkEnd w:id="2480"/>
      <w:bookmarkEnd w:id="2481"/>
      <w:bookmarkEnd w:id="2482"/>
      <w:bookmarkEnd w:id="2483"/>
      <w:bookmarkEnd w:id="2484"/>
    </w:p>
    <w:p w14:paraId="2923B6C5">
      <w:pPr>
        <w:rPr>
          <w:b/>
        </w:rPr>
      </w:pPr>
      <w:r>
        <w:rPr>
          <w:b/>
        </w:rPr>
        <w:t>9</w:t>
      </w:r>
      <w:r>
        <w:rPr>
          <w:rFonts w:hint="eastAsia"/>
          <w:b/>
        </w:rPr>
        <w:t xml:space="preserve">.1.1  </w:t>
      </w:r>
      <w:r>
        <w:rPr>
          <w:rFonts w:hint="eastAsia" w:ascii="宋体" w:hAnsi="宋体" w:cs="宋体"/>
        </w:rPr>
        <w:t>在设计和施工时充分考虑对土工结构物产生影响的各种因素，包括：地质条件、列车荷载、路基自重、水流作用、气候及与其他交通、河流、管道等交叉时的影响等，土工结构物在设计年限内应具有足够的强度、稳定性和耐久性。</w:t>
      </w:r>
    </w:p>
    <w:p w14:paraId="5A275AF0">
      <w:pPr>
        <w:rPr>
          <w:rFonts w:ascii="宋体" w:hAnsi="宋体" w:cs="宋体"/>
        </w:rPr>
      </w:pPr>
      <w:r>
        <w:rPr>
          <w:b/>
        </w:rPr>
        <w:t>9.1.5</w:t>
      </w:r>
      <w:r>
        <w:rPr>
          <w:rFonts w:ascii="宋体" w:hAnsi="宋体" w:cs="宋体"/>
        </w:rPr>
        <w:t xml:space="preserve"> </w:t>
      </w:r>
      <w:r>
        <w:rPr>
          <w:rFonts w:hint="eastAsia" w:ascii="宋体" w:hAnsi="宋体" w:cs="宋体"/>
        </w:rPr>
        <w:t xml:space="preserve"> 路基工程作为土工结构物，是轨下基础工程的重要部分。路基主体工程一旦破坏，对于运营的影响大。其地基处理、基础结构及直接影响路基稳定与安全的支挡等工程必须具有足够的强度、稳定性和耐久性，其设计使用年限不应小于</w:t>
      </w:r>
      <w:r>
        <w:rPr>
          <w:rFonts w:ascii="宋体" w:hAnsi="宋体" w:cs="宋体"/>
        </w:rPr>
        <w:t>100年。</w:t>
      </w:r>
      <w:r>
        <w:rPr>
          <w:rFonts w:hint="eastAsia" w:ascii="宋体" w:hAnsi="宋体" w:cs="宋体"/>
        </w:rPr>
        <w:t>本次修编参照《铁路路基设计规范》，补充对边坡、排水设施的使用年限要求。</w:t>
      </w:r>
    </w:p>
    <w:p w14:paraId="32D88BF2">
      <w:pPr>
        <w:ind w:firstLine="420"/>
        <w:rPr>
          <w:rFonts w:ascii="宋体" w:hAnsi="宋体" w:cs="宋体"/>
        </w:rPr>
      </w:pPr>
      <w:r>
        <w:rPr>
          <w:rFonts w:hint="eastAsia" w:ascii="宋体" w:hAnsi="宋体" w:cs="宋体"/>
        </w:rPr>
        <w:t>路基防护结构，是比较重要的结构，虽然其结构一旦破坏将直接对行车安全产生影响，但能通过修复补强达到其结构强度和完整性要求，设计使用年限按6</w:t>
      </w:r>
      <w:r>
        <w:rPr>
          <w:rFonts w:ascii="宋体" w:hAnsi="宋体" w:cs="宋体"/>
        </w:rPr>
        <w:t>0</w:t>
      </w:r>
      <w:r>
        <w:rPr>
          <w:rFonts w:hint="eastAsia" w:ascii="宋体" w:hAnsi="宋体" w:cs="宋体"/>
        </w:rPr>
        <w:t>年进行设计。</w:t>
      </w:r>
    </w:p>
    <w:p w14:paraId="387D85D3">
      <w:pPr>
        <w:ind w:firstLine="420"/>
        <w:rPr>
          <w:rFonts w:ascii="宋体" w:hAnsi="宋体" w:cs="宋体"/>
        </w:rPr>
      </w:pPr>
      <w:r>
        <w:rPr>
          <w:rFonts w:hint="eastAsia" w:ascii="宋体" w:hAnsi="宋体" w:cs="宋体"/>
        </w:rPr>
        <w:t>路基排水结构、电缆槽、防护砌块、栏杆等小型构件，出现结构破坏对行车安全产生影响相对较小，能较容易进行修复或替换，其设计使用年限按3</w:t>
      </w:r>
      <w:r>
        <w:rPr>
          <w:rFonts w:ascii="宋体" w:hAnsi="宋体" w:cs="宋体"/>
        </w:rPr>
        <w:t>0</w:t>
      </w:r>
      <w:r>
        <w:rPr>
          <w:rFonts w:hint="eastAsia" w:ascii="宋体" w:hAnsi="宋体" w:cs="宋体"/>
        </w:rPr>
        <w:t>年进行设计。</w:t>
      </w:r>
    </w:p>
    <w:p w14:paraId="4283D15C">
      <w:pPr>
        <w:rPr>
          <w:rFonts w:ascii="宋体" w:hAnsi="宋体" w:cs="宋体"/>
        </w:rPr>
      </w:pPr>
      <w:r>
        <w:rPr>
          <w:rFonts w:hint="eastAsia"/>
          <w:b/>
        </w:rPr>
        <w:t>9</w:t>
      </w:r>
      <w:r>
        <w:rPr>
          <w:b/>
        </w:rPr>
        <w:t>.1.6</w:t>
      </w:r>
      <w:r>
        <w:rPr>
          <w:rFonts w:ascii="宋体" w:hAnsi="宋体" w:cs="宋体"/>
        </w:rPr>
        <w:t xml:space="preserve">  </w:t>
      </w:r>
      <w:r>
        <w:rPr>
          <w:rFonts w:hint="eastAsia" w:ascii="宋体" w:hAnsi="宋体" w:cs="宋体"/>
        </w:rPr>
        <w:t>路基工程的荷载与车辆及轨道型式相关，应根据具体的工程条件计算确定。支挡结构物的荷载应分别按照恒载、活载换算土柱加载计算。</w:t>
      </w:r>
    </w:p>
    <w:p w14:paraId="56038ADD">
      <w:pPr>
        <w:pStyle w:val="4"/>
        <w:numPr>
          <w:ilvl w:val="0"/>
          <w:numId w:val="0"/>
        </w:numPr>
      </w:pPr>
      <w:bookmarkStart w:id="2485" w:name="_Toc183765302"/>
      <w:bookmarkStart w:id="2486" w:name="_Toc183882293"/>
      <w:bookmarkStart w:id="2487" w:name="_Toc183882655"/>
      <w:bookmarkStart w:id="2488" w:name="_Toc183738124"/>
      <w:bookmarkStart w:id="2489" w:name="_Toc183888707"/>
      <w:bookmarkStart w:id="2490" w:name="_Toc183790732"/>
      <w:bookmarkStart w:id="2491" w:name="_Toc183888345"/>
      <w:r>
        <w:rPr>
          <w:rFonts w:hint="eastAsia"/>
        </w:rPr>
        <w:t>9</w:t>
      </w:r>
      <w:r>
        <w:t xml:space="preserve">.3  </w:t>
      </w:r>
      <w:r>
        <w:rPr>
          <w:rFonts w:hint="eastAsia"/>
        </w:rPr>
        <w:t>基床</w:t>
      </w:r>
      <w:bookmarkEnd w:id="2485"/>
      <w:bookmarkEnd w:id="2486"/>
      <w:bookmarkEnd w:id="2487"/>
      <w:bookmarkEnd w:id="2488"/>
      <w:bookmarkEnd w:id="2489"/>
      <w:bookmarkEnd w:id="2490"/>
      <w:bookmarkEnd w:id="2491"/>
    </w:p>
    <w:p w14:paraId="60F33552">
      <w:pPr>
        <w:rPr>
          <w:rFonts w:ascii="宋体" w:hAnsi="宋体" w:cs="宋体"/>
        </w:rPr>
      </w:pPr>
      <w:r>
        <w:rPr>
          <w:b/>
        </w:rPr>
        <w:t>9.3.2</w:t>
      </w:r>
      <w:r>
        <w:rPr>
          <w:rFonts w:hint="eastAsia" w:ascii="宋体" w:hAnsi="宋体" w:cs="宋体"/>
          <w:b/>
        </w:rPr>
        <w:t xml:space="preserve"> </w:t>
      </w:r>
      <w:r>
        <w:rPr>
          <w:rFonts w:hint="eastAsia" w:ascii="宋体" w:hAnsi="宋体" w:cs="宋体"/>
        </w:rPr>
        <w:t xml:space="preserve"> 无砟轨道的基床结构体系是为满足上部轨道结构的要求而确定的。无砟轨道路基基床结构中主要的受力结构为无砟轨道支承层和基床表层，支承层下垫层的作用是为无砟轨道支承层服务，满足其施工便利、质量可控的要求。</w:t>
      </w:r>
    </w:p>
    <w:p w14:paraId="6D518059">
      <w:pPr>
        <w:ind w:firstLine="420"/>
        <w:rPr>
          <w:rFonts w:ascii="宋体" w:hAnsi="宋体" w:cs="宋体"/>
        </w:rPr>
      </w:pPr>
      <w:r>
        <w:rPr>
          <w:rFonts w:hint="eastAsia" w:ascii="宋体" w:hAnsi="宋体" w:cs="宋体"/>
        </w:rPr>
        <w:t>轨道板、无砟轨道支承层、路基可简化为弹性地基上的等价双层叠合梁模型进行计算，在结构分析时，保证道床板和支承层在荷载作用下的弯曲拉应力不大于相应的疲劳强度允许值。</w:t>
      </w:r>
    </w:p>
    <w:p w14:paraId="6AB5D64F">
      <w:pPr>
        <w:ind w:firstLine="420"/>
        <w:rPr>
          <w:rFonts w:ascii="宋体" w:hAnsi="宋体" w:cs="宋体"/>
        </w:rPr>
      </w:pPr>
      <w:r>
        <w:rPr>
          <w:rFonts w:hint="eastAsia" w:ascii="宋体" w:hAnsi="宋体" w:cs="宋体"/>
        </w:rPr>
        <w:t>列车动应力由轨道、道床传至路基本体，然后沿深度逐渐衰减，一般将动应力影响较大的部分定义为路基基床。压实土的动三轴试验表明，当动应力与自重应力之比在</w:t>
      </w:r>
      <w:r>
        <w:rPr>
          <w:rFonts w:ascii="宋体" w:hAnsi="宋体" w:cs="宋体"/>
        </w:rPr>
        <w:t>0.2以下时，加载10万次产生的塑性累积变形在0.2%以下，而且很快能达到稳定。因此，一般将动应力与自重应力之比0.2作为确定基床厚度的依据。</w:t>
      </w:r>
    </w:p>
    <w:p w14:paraId="5CEB77D4">
      <w:pPr>
        <w:ind w:firstLine="420"/>
        <w:rPr>
          <w:rFonts w:ascii="宋体" w:hAnsi="宋体" w:cs="宋体"/>
        </w:rPr>
      </w:pPr>
      <w:r>
        <w:rPr>
          <w:rFonts w:hint="eastAsia" w:ascii="宋体" w:hAnsi="宋体" w:cs="宋体"/>
        </w:rPr>
        <w:t>基床表层厚度的确定方法按满足以下两种条件进行控制：一是列车荷载作用下路基顶面变形量不超过</w:t>
      </w:r>
      <w:r>
        <w:rPr>
          <w:rFonts w:ascii="宋体" w:hAnsi="宋体" w:cs="宋体"/>
        </w:rPr>
        <w:t>3.5mm为限值；二是列车荷载作用下作用在填土上的动应力不大于填土允许应力。</w:t>
      </w:r>
    </w:p>
    <w:p w14:paraId="5060E5C4">
      <w:pPr>
        <w:ind w:firstLine="420"/>
        <w:rPr>
          <w:rFonts w:ascii="宋体" w:hAnsi="宋体" w:cs="宋体"/>
        </w:rPr>
      </w:pPr>
      <w:r>
        <w:rPr>
          <w:rFonts w:hint="eastAsia" w:ascii="宋体" w:hAnsi="宋体" w:cs="宋体"/>
        </w:rPr>
        <w:t>填土的允许应力值可通过填土的动三轴试验确定。试验表明填土存在一个临界动强度，即在小于该临界动强度的荷载作用下，土样的塑性累积应变接近于零。否则，土的塑性应变就会不断累积、发展，直至破坏。</w:t>
      </w:r>
    </w:p>
    <w:p w14:paraId="305B83AB">
      <w:pPr>
        <w:ind w:firstLine="420"/>
        <w:rPr>
          <w:rFonts w:ascii="宋体" w:hAnsi="宋体" w:cs="宋体"/>
        </w:rPr>
      </w:pPr>
      <w:r>
        <w:rPr>
          <w:rFonts w:hint="eastAsia" w:ascii="宋体" w:hAnsi="宋体" w:cs="宋体"/>
        </w:rPr>
        <w:t>在受冻胀影响的地区，路基基床结构设计应满足抗冻胀要求。</w:t>
      </w:r>
    </w:p>
    <w:p w14:paraId="41D70D70">
      <w:pPr>
        <w:rPr>
          <w:rFonts w:ascii="宋体" w:hAnsi="宋体" w:cs="宋体"/>
        </w:rPr>
      </w:pPr>
      <w:r>
        <w:rPr>
          <w:rFonts w:hint="eastAsia"/>
          <w:b/>
        </w:rPr>
        <w:t>9</w:t>
      </w:r>
      <w:r>
        <w:rPr>
          <w:b/>
        </w:rPr>
        <w:t>.3.3</w:t>
      </w:r>
      <w:r>
        <w:rPr>
          <w:rFonts w:ascii="宋体" w:hAnsi="宋体" w:cs="宋体"/>
        </w:rPr>
        <w:t xml:space="preserve">  </w:t>
      </w:r>
      <w:r>
        <w:rPr>
          <w:rFonts w:hint="eastAsia" w:ascii="宋体" w:hAnsi="宋体" w:cs="宋体"/>
        </w:rPr>
        <w:t>参照《铁路路基设计规范》，无砟轨道基床表层填料中补充级配碎石填料的使用。</w:t>
      </w:r>
    </w:p>
    <w:p w14:paraId="722B651D">
      <w:pPr>
        <w:ind w:firstLine="420"/>
        <w:rPr>
          <w:rFonts w:ascii="宋体" w:hAnsi="宋体" w:cs="宋体"/>
        </w:rPr>
      </w:pPr>
      <w:r>
        <w:rPr>
          <w:rFonts w:hint="eastAsia" w:ascii="宋体" w:hAnsi="宋体" w:cs="宋体"/>
        </w:rPr>
        <w:t>根据《铁路路基设计规范》TB</w:t>
      </w:r>
      <w:r>
        <w:rPr>
          <w:rFonts w:ascii="宋体" w:hAnsi="宋体" w:cs="宋体"/>
        </w:rPr>
        <w:t>10001-2016</w:t>
      </w:r>
      <w:r>
        <w:rPr>
          <w:rFonts w:hint="eastAsia" w:ascii="宋体" w:hAnsi="宋体" w:cs="宋体"/>
        </w:rPr>
        <w:t>的规定，从施工检验的方便、减少控制指标内容出发，将碎石类、砾石类、级配碎石或级配砂砾石采用地基系数和孔隙率作为控制指标调整为“采用压实系数、地基系数作为控制指标”。</w:t>
      </w:r>
    </w:p>
    <w:p w14:paraId="05D30B2A">
      <w:pPr>
        <w:ind w:firstLine="420"/>
        <w:rPr>
          <w:rFonts w:ascii="宋体" w:hAnsi="宋体" w:cs="宋体"/>
        </w:rPr>
      </w:pPr>
      <w:r>
        <w:rPr>
          <w:rFonts w:hint="eastAsia" w:ascii="宋体" w:hAnsi="宋体" w:cs="宋体"/>
        </w:rPr>
        <w:t>二灰砂砾、水泥稳定碎石是道路基层常用的填筑材料，其强度是评价其性能的重要指标之一，无侧限抗压强度能有效反映材料在不受侧向压力情况下的抗压性能。而7天是无机结合料浇筑后强度发展的一个重要关键时间点，在这个时间段内，水泥逐渐固化，碎石颗粒之间的结合逐渐紧密，整体结构形成一定的抗压强度。现行的道路及铁路设计规范中通常把7天无侧限抗压强度作为无机结合料的质量控制的一个重要指标，故此，本次修编中补充二灰砂砾、水泥稳定碎石的7天无侧限抗压强度的检测要求。</w:t>
      </w:r>
    </w:p>
    <w:p w14:paraId="0C600707">
      <w:pPr>
        <w:rPr>
          <w:rFonts w:ascii="宋体" w:hAnsi="宋体" w:cs="宋体"/>
        </w:rPr>
      </w:pPr>
      <w:r>
        <w:rPr>
          <w:rFonts w:hint="eastAsia"/>
          <w:b/>
        </w:rPr>
        <w:t>9</w:t>
      </w:r>
      <w:r>
        <w:rPr>
          <w:b/>
        </w:rPr>
        <w:t>.3.4</w:t>
      </w:r>
      <w:r>
        <w:rPr>
          <w:rFonts w:ascii="宋体" w:hAnsi="宋体" w:cs="宋体"/>
        </w:rPr>
        <w:t xml:space="preserve">  </w:t>
      </w:r>
      <w:r>
        <w:rPr>
          <w:rFonts w:hint="eastAsia" w:ascii="宋体" w:hAnsi="宋体" w:cs="宋体"/>
        </w:rPr>
        <w:t>从前期工程投资及后期养护维修综合分析，考虑到目前部分铁路工程项目，路基基床底层采用已开始采用改良土填料，现行《铁路路基设计规范》中，在无砟轨道基床底层的填料选择中也增加了化学改良土的应用。因此，本次修编中，对基床底层增加化学改良土的填料选择及压实标准说明。</w:t>
      </w:r>
    </w:p>
    <w:p w14:paraId="5AFA56EE">
      <w:pPr>
        <w:pStyle w:val="4"/>
        <w:numPr>
          <w:ilvl w:val="0"/>
          <w:numId w:val="0"/>
        </w:numPr>
      </w:pPr>
      <w:bookmarkStart w:id="2492" w:name="_Toc183790733"/>
      <w:bookmarkStart w:id="2493" w:name="_Toc183888346"/>
      <w:bookmarkStart w:id="2494" w:name="_Toc183888708"/>
      <w:bookmarkStart w:id="2495" w:name="_Toc183765303"/>
      <w:bookmarkStart w:id="2496" w:name="_Toc183738125"/>
      <w:bookmarkStart w:id="2497" w:name="_Toc183882656"/>
      <w:bookmarkStart w:id="2498" w:name="_Toc183882294"/>
      <w:r>
        <w:rPr>
          <w:rFonts w:hint="eastAsia"/>
        </w:rPr>
        <w:t>9</w:t>
      </w:r>
      <w:r>
        <w:t xml:space="preserve">.5  </w:t>
      </w:r>
      <w:r>
        <w:rPr>
          <w:rFonts w:hint="eastAsia"/>
        </w:rPr>
        <w:t>路堑</w:t>
      </w:r>
      <w:bookmarkEnd w:id="2492"/>
      <w:bookmarkEnd w:id="2493"/>
      <w:bookmarkEnd w:id="2494"/>
      <w:bookmarkEnd w:id="2495"/>
      <w:bookmarkEnd w:id="2496"/>
      <w:bookmarkEnd w:id="2497"/>
      <w:bookmarkEnd w:id="2498"/>
    </w:p>
    <w:p w14:paraId="50E5DBED">
      <w:pPr>
        <w:rPr>
          <w:rFonts w:ascii="宋体" w:hAnsi="宋体" w:cs="宋体"/>
          <w:szCs w:val="21"/>
        </w:rPr>
      </w:pPr>
      <w:r>
        <w:rPr>
          <w:rFonts w:hint="eastAsia"/>
          <w:b/>
        </w:rPr>
        <w:t>9</w:t>
      </w:r>
      <w:r>
        <w:rPr>
          <w:b/>
        </w:rPr>
        <w:t>.5.1</w:t>
      </w:r>
      <w:r>
        <w:rPr>
          <w:rFonts w:ascii="宋体" w:hAnsi="宋体" w:cs="宋体"/>
          <w:szCs w:val="21"/>
        </w:rPr>
        <w:t xml:space="preserve">  </w:t>
      </w:r>
      <w:r>
        <w:rPr>
          <w:rFonts w:hint="eastAsia" w:ascii="宋体" w:hAnsi="宋体" w:cs="宋体"/>
          <w:szCs w:val="21"/>
        </w:rPr>
        <w:t>区间工法的选择应综合考虑经济性与安全性，同时应结合当地实际情况综合考量确定。路堑边坡高度超过</w:t>
      </w:r>
      <w:r>
        <w:rPr>
          <w:rFonts w:ascii="宋体" w:hAnsi="宋体" w:cs="宋体"/>
          <w:szCs w:val="21"/>
        </w:rPr>
        <w:t>20m时，应与隧道或明洞方案进行比选后，确定区间敷设工法。</w:t>
      </w:r>
    </w:p>
    <w:p w14:paraId="1D32E96B">
      <w:pPr>
        <w:rPr>
          <w:rFonts w:ascii="宋体" w:hAnsi="宋体" w:cs="宋体"/>
          <w:szCs w:val="21"/>
        </w:rPr>
      </w:pPr>
      <w:r>
        <w:rPr>
          <w:rFonts w:hint="eastAsia"/>
          <w:b/>
        </w:rPr>
        <w:t>9</w:t>
      </w:r>
      <w:r>
        <w:rPr>
          <w:b/>
        </w:rPr>
        <w:t>.5.2</w:t>
      </w:r>
      <w:r>
        <w:rPr>
          <w:rFonts w:ascii="宋体" w:hAnsi="宋体" w:cs="宋体"/>
          <w:szCs w:val="21"/>
        </w:rPr>
        <w:t xml:space="preserve">  </w:t>
      </w:r>
      <w:r>
        <w:rPr>
          <w:rFonts w:hint="eastAsia" w:ascii="宋体" w:hAnsi="宋体" w:cs="宋体"/>
          <w:szCs w:val="21"/>
        </w:rPr>
        <w:t>不良地质、软土地质及受地下水影响的地段，其路肩高程应严格控制，以保证路基的干湿状态，因此一般应采用填方的形式，路基的地下水位应低于路基面</w:t>
      </w:r>
      <w:r>
        <w:rPr>
          <w:rFonts w:ascii="宋体" w:hAnsi="宋体" w:cs="宋体"/>
          <w:szCs w:val="21"/>
        </w:rPr>
        <w:t>1.5m，应避免采用路堑方式。</w:t>
      </w:r>
    </w:p>
    <w:p w14:paraId="45316AF0">
      <w:pPr>
        <w:pStyle w:val="4"/>
        <w:numPr>
          <w:ilvl w:val="0"/>
          <w:numId w:val="0"/>
        </w:numPr>
      </w:pPr>
      <w:bookmarkStart w:id="2499" w:name="_Toc183888347"/>
      <w:bookmarkStart w:id="2500" w:name="_Toc183790734"/>
      <w:bookmarkStart w:id="2501" w:name="_Toc183882295"/>
      <w:bookmarkStart w:id="2502" w:name="_Toc183888709"/>
      <w:bookmarkStart w:id="2503" w:name="_Toc183738126"/>
      <w:bookmarkStart w:id="2504" w:name="_Toc183765304"/>
      <w:bookmarkStart w:id="2505" w:name="_Toc183882657"/>
      <w:r>
        <w:rPr>
          <w:rFonts w:hint="eastAsia"/>
          <w:b/>
        </w:rPr>
        <w:t>9</w:t>
      </w:r>
      <w:r>
        <w:rPr>
          <w:b/>
        </w:rPr>
        <w:t xml:space="preserve">.6 </w:t>
      </w:r>
      <w:r>
        <w:rPr>
          <w:rFonts w:hint="eastAsia"/>
        </w:rPr>
        <w:t xml:space="preserve"> 工后沉降</w:t>
      </w:r>
      <w:bookmarkEnd w:id="2499"/>
      <w:bookmarkEnd w:id="2500"/>
      <w:bookmarkEnd w:id="2501"/>
      <w:bookmarkEnd w:id="2502"/>
      <w:bookmarkEnd w:id="2503"/>
      <w:bookmarkEnd w:id="2504"/>
      <w:bookmarkEnd w:id="2505"/>
    </w:p>
    <w:p w14:paraId="13E05474">
      <w:pPr>
        <w:rPr>
          <w:rFonts w:ascii="宋体" w:hAnsi="宋体" w:cs="宋体"/>
          <w:szCs w:val="21"/>
        </w:rPr>
      </w:pPr>
      <w:r>
        <w:rPr>
          <w:rFonts w:hint="eastAsia"/>
          <w:b/>
        </w:rPr>
        <w:t>9</w:t>
      </w:r>
      <w:r>
        <w:rPr>
          <w:b/>
        </w:rPr>
        <w:t>.6.2~9.6.3</w:t>
      </w:r>
      <w:r>
        <w:rPr>
          <w:rFonts w:ascii="宋体" w:hAnsi="宋体" w:cs="宋体"/>
          <w:b/>
        </w:rPr>
        <w:t xml:space="preserve"> </w:t>
      </w:r>
      <w:r>
        <w:rPr>
          <w:rFonts w:ascii="宋体" w:hAnsi="宋体" w:cs="宋体"/>
          <w:szCs w:val="21"/>
        </w:rPr>
        <w:t xml:space="preserve"> </w:t>
      </w:r>
      <w:r>
        <w:rPr>
          <w:rFonts w:hint="eastAsia" w:ascii="宋体" w:hAnsi="宋体" w:cs="宋体"/>
          <w:szCs w:val="21"/>
        </w:rPr>
        <w:t>根据《铁路路基设计规范》的相关规定，过渡段沉降差异折角不应小于</w:t>
      </w:r>
      <w:r>
        <w:rPr>
          <w:rFonts w:ascii="宋体" w:hAnsi="宋体" w:cs="宋体"/>
          <w:szCs w:val="21"/>
        </w:rPr>
        <w:t>1‰</w:t>
      </w:r>
      <w:r>
        <w:rPr>
          <w:rFonts w:hint="eastAsia" w:ascii="宋体" w:hAnsi="宋体" w:cs="宋体"/>
          <w:szCs w:val="21"/>
        </w:rPr>
        <w:t>。</w:t>
      </w:r>
      <w:r>
        <w:rPr>
          <w:rFonts w:ascii="宋体" w:hAnsi="宋体" w:cs="宋体"/>
          <w:szCs w:val="21"/>
        </w:rPr>
        <w:t>对于无砟轨道路基，路桥或路隧交界处往往易发生较大差异沉降，多处工程存在桥台处差异沉降过大影响轨道平顺，甚至引起桥台跳车的问题</w:t>
      </w:r>
      <w:r>
        <w:rPr>
          <w:rFonts w:hint="eastAsia" w:ascii="宋体" w:hAnsi="宋体" w:cs="宋体"/>
          <w:szCs w:val="21"/>
        </w:rPr>
        <w:t>，同时</w:t>
      </w:r>
      <w:r>
        <w:rPr>
          <w:rFonts w:ascii="宋体" w:hAnsi="宋体" w:cs="宋体"/>
          <w:szCs w:val="21"/>
        </w:rPr>
        <w:t>参照《铁路路基设计规范》中对无砟轨道的过渡段沉降要求，本规范中规定城市轨道交通中路桥或路隧交界处的差异沉降不应大于5mm.</w:t>
      </w:r>
    </w:p>
    <w:p w14:paraId="2014A2C3">
      <w:pPr>
        <w:widowControl/>
        <w:jc w:val="left"/>
        <w:rPr>
          <w:rFonts w:ascii="宋体" w:hAnsi="宋体" w:cs="宋体"/>
          <w:bCs/>
          <w:szCs w:val="21"/>
        </w:rPr>
      </w:pPr>
      <w:r>
        <w:rPr>
          <w:rFonts w:hint="eastAsia"/>
          <w:b/>
        </w:rPr>
        <w:t>9</w:t>
      </w:r>
      <w:r>
        <w:rPr>
          <w:b/>
        </w:rPr>
        <w:t>.6.4</w:t>
      </w:r>
      <w:r>
        <w:rPr>
          <w:rFonts w:ascii="宋体" w:hAnsi="宋体" w:cs="宋体"/>
          <w:szCs w:val="21"/>
        </w:rPr>
        <w:t xml:space="preserve">  </w:t>
      </w:r>
      <w:r>
        <w:rPr>
          <w:rFonts w:hint="eastAsia" w:ascii="宋体" w:hAnsi="宋体" w:cs="宋体"/>
          <w:bCs/>
          <w:szCs w:val="21"/>
        </w:rPr>
        <w:t>现行地铁规范及轨道交通规范中均缺乏车辆段各区域的沉降标准要求，考虑到车辆段内列车时速、荷载等情况均与正线不同，综合考虑轨道结构的沉降及差异沉降等因素，对车辆段内各轨道区域的沉降标准进行规定；室内地坪区域，由于轨道结构沉降较小，地面沉降若不做控制的话，两者之间存在较大的差异沉降，易导致地面开裂，影响后期的运营与使用，故本次规范修编中，对室内地坪区域的沉降按</w:t>
      </w:r>
      <w:r>
        <w:rPr>
          <w:rFonts w:ascii="宋体" w:hAnsi="宋体" w:cs="宋体"/>
          <w:bCs/>
          <w:szCs w:val="21"/>
        </w:rPr>
        <w:t>70mm控制，含上盖开发的区域，沉降按《建筑地基基础设计规范》中的要求执行。</w:t>
      </w:r>
    </w:p>
    <w:p w14:paraId="52B4C44B">
      <w:pPr>
        <w:widowControl/>
        <w:jc w:val="left"/>
        <w:rPr>
          <w:rFonts w:ascii="宋体" w:hAnsi="宋体" w:cs="宋体"/>
          <w:bCs/>
          <w:szCs w:val="21"/>
        </w:rPr>
      </w:pPr>
    </w:p>
    <w:p w14:paraId="7BDB4696">
      <w:pPr>
        <w:widowControl/>
        <w:jc w:val="left"/>
        <w:rPr>
          <w:rFonts w:ascii="宋体" w:hAnsi="宋体" w:cs="宋体"/>
          <w:bCs/>
          <w:szCs w:val="21"/>
        </w:rPr>
      </w:pPr>
    </w:p>
    <w:p w14:paraId="262FE46D">
      <w:pPr>
        <w:widowControl/>
        <w:spacing w:line="240" w:lineRule="auto"/>
        <w:jc w:val="left"/>
        <w:rPr>
          <w:rFonts w:ascii="宋体" w:hAnsi="宋体" w:cs="宋体"/>
          <w:bCs/>
          <w:szCs w:val="21"/>
        </w:rPr>
      </w:pPr>
      <w:r>
        <w:rPr>
          <w:rFonts w:ascii="宋体" w:hAnsi="宋体" w:cs="宋体"/>
          <w:bCs/>
          <w:szCs w:val="21"/>
        </w:rPr>
        <w:br w:type="page"/>
      </w:r>
    </w:p>
    <w:p w14:paraId="165AEDDC">
      <w:pPr>
        <w:pStyle w:val="240"/>
        <w:ind w:left="422"/>
      </w:pPr>
      <w:bookmarkStart w:id="2506" w:name="_Toc183765305"/>
      <w:bookmarkStart w:id="2507" w:name="_Toc183699898"/>
      <w:bookmarkStart w:id="2508" w:name="_Toc183790735"/>
      <w:bookmarkStart w:id="2509" w:name="_Toc183882658"/>
      <w:bookmarkStart w:id="2510" w:name="_Toc183735442"/>
      <w:bookmarkStart w:id="2511" w:name="_Toc183888348"/>
      <w:bookmarkStart w:id="2512" w:name="_Toc183882296"/>
      <w:bookmarkStart w:id="2513" w:name="_Toc183888710"/>
      <w:bookmarkStart w:id="2514" w:name="_Toc183472555"/>
      <w:bookmarkStart w:id="2515" w:name="_Toc183738127"/>
      <w:r>
        <w:rPr>
          <w:b/>
        </w:rPr>
        <w:t>10</w:t>
      </w:r>
      <w:r>
        <w:t xml:space="preserve">  </w:t>
      </w:r>
      <w:r>
        <w:rPr>
          <w:rFonts w:hint="eastAsia" w:ascii="黑体" w:hAnsi="黑体" w:cs="黑体"/>
        </w:rPr>
        <w:t>车站建筑</w:t>
      </w:r>
      <w:bookmarkEnd w:id="2506"/>
      <w:bookmarkEnd w:id="2507"/>
      <w:bookmarkEnd w:id="2508"/>
      <w:bookmarkEnd w:id="2509"/>
      <w:bookmarkEnd w:id="2510"/>
      <w:bookmarkEnd w:id="2511"/>
      <w:bookmarkEnd w:id="2512"/>
      <w:bookmarkEnd w:id="2513"/>
      <w:bookmarkEnd w:id="2514"/>
      <w:bookmarkEnd w:id="2515"/>
    </w:p>
    <w:p w14:paraId="3963D69B">
      <w:r>
        <w:rPr>
          <w:rFonts w:hint="eastAsia" w:cs="宋体"/>
          <w:b/>
          <w:szCs w:val="21"/>
        </w:rPr>
        <w:t>1</w:t>
      </w:r>
      <w:r>
        <w:rPr>
          <w:rFonts w:cs="宋体"/>
          <w:b/>
          <w:szCs w:val="21"/>
        </w:rPr>
        <w:t>0.1.1</w:t>
      </w:r>
      <w:r>
        <w:rPr>
          <w:rFonts w:hint="eastAsia" w:cs="宋体"/>
          <w:b/>
          <w:szCs w:val="21"/>
        </w:rPr>
        <w:t xml:space="preserve">  </w:t>
      </w:r>
      <w:r>
        <w:rPr>
          <w:rFonts w:hint="eastAsia"/>
        </w:rPr>
        <w:t>三期建设规划车站所处的区位及客流特征差异较大，因此应综合考虑车站分级、客流量、系统设计能力以及不同运营工况因素确定车站规模和通行、服务设施标准。</w:t>
      </w:r>
    </w:p>
    <w:p w14:paraId="462CCF4D">
      <w:pPr>
        <w:rPr>
          <w:rFonts w:cs="宋体"/>
          <w:szCs w:val="21"/>
        </w:rPr>
      </w:pPr>
      <w:r>
        <w:rPr>
          <w:rFonts w:cs="宋体"/>
          <w:b/>
          <w:szCs w:val="21"/>
        </w:rPr>
        <w:t>10.1.3</w:t>
      </w:r>
      <w:r>
        <w:rPr>
          <w:rFonts w:hint="eastAsia" w:cs="宋体"/>
          <w:b/>
          <w:szCs w:val="21"/>
        </w:rPr>
        <w:t xml:space="preserve">  </w:t>
      </w:r>
      <w:r>
        <w:rPr>
          <w:rFonts w:hint="eastAsia" w:cs="宋体"/>
          <w:szCs w:val="21"/>
        </w:rPr>
        <w:t>当采用台台、通厅、节点换乘形式的车站宜进行客流动态仿真模拟评价；采用通道换乘的车站可不进行客流动态仿真模拟评价。</w:t>
      </w:r>
    </w:p>
    <w:p w14:paraId="40199264">
      <w:pPr>
        <w:rPr>
          <w:rFonts w:cs="宋体"/>
          <w:szCs w:val="21"/>
        </w:rPr>
      </w:pPr>
      <w:r>
        <w:rPr>
          <w:rFonts w:hint="eastAsia" w:cs="宋体"/>
          <w:b/>
          <w:szCs w:val="21"/>
        </w:rPr>
        <w:t>1</w:t>
      </w:r>
      <w:r>
        <w:rPr>
          <w:rFonts w:cs="宋体"/>
          <w:b/>
          <w:szCs w:val="21"/>
        </w:rPr>
        <w:t>0.1.7</w:t>
      </w:r>
      <w:r>
        <w:rPr>
          <w:rFonts w:hint="eastAsia" w:cs="宋体"/>
          <w:b/>
          <w:szCs w:val="21"/>
        </w:rPr>
        <w:t xml:space="preserve">  </w:t>
      </w:r>
      <w:r>
        <w:rPr>
          <w:rFonts w:hint="eastAsia" w:cs="宋体"/>
          <w:szCs w:val="21"/>
        </w:rPr>
        <w:t>标准中不对涉及方案的站台形式等内容进行约束性规定，只提出功能性原则要求。提出设施宜共享共用的要求，可合理压缩车站规模，从而降低建设和运营成本。</w:t>
      </w:r>
    </w:p>
    <w:p w14:paraId="3011E2DE">
      <w:pPr>
        <w:rPr>
          <w:rFonts w:cs="宋体"/>
          <w:szCs w:val="21"/>
        </w:rPr>
      </w:pPr>
      <w:r>
        <w:rPr>
          <w:rFonts w:hint="eastAsia" w:cs="宋体"/>
          <w:b/>
          <w:szCs w:val="21"/>
        </w:rPr>
        <w:t>1</w:t>
      </w:r>
      <w:r>
        <w:rPr>
          <w:rFonts w:cs="宋体"/>
          <w:b/>
          <w:szCs w:val="21"/>
        </w:rPr>
        <w:t>0.2.</w:t>
      </w:r>
      <w:bookmarkStart w:id="2516" w:name="_Hlk135666567"/>
      <w:r>
        <w:rPr>
          <w:rFonts w:cs="宋体"/>
          <w:b/>
          <w:szCs w:val="21"/>
        </w:rPr>
        <w:t>1</w:t>
      </w:r>
      <w:r>
        <w:rPr>
          <w:rFonts w:hint="eastAsia" w:cs="宋体"/>
          <w:szCs w:val="21"/>
        </w:rPr>
        <w:t xml:space="preserve">  根据</w:t>
      </w:r>
      <w:r>
        <w:rPr>
          <w:rFonts w:cs="宋体"/>
          <w:szCs w:val="21"/>
        </w:rPr>
        <w:t>2024</w:t>
      </w:r>
      <w:r>
        <w:rPr>
          <w:rFonts w:hint="eastAsia" w:cs="宋体"/>
          <w:szCs w:val="21"/>
        </w:rPr>
        <w:t>年</w:t>
      </w:r>
      <w:r>
        <w:rPr>
          <w:rFonts w:cs="宋体"/>
          <w:szCs w:val="21"/>
        </w:rPr>
        <w:t>2</w:t>
      </w:r>
      <w:r>
        <w:rPr>
          <w:rFonts w:hint="eastAsia" w:cs="宋体"/>
          <w:szCs w:val="21"/>
        </w:rPr>
        <w:t>月北京市规划和自然委员会颁发的《轨道交通线路一体化规划方案编制内容与成果要求》的文件要求，我市轨道交通工程的线路一体化规划方案是轨道交通工程设计与建设实施的直接依据。线路一体化规划方案将车站根据站点功能定位和周边规划情况</w:t>
      </w:r>
      <w:bookmarkEnd w:id="2516"/>
      <w:r>
        <w:rPr>
          <w:rFonts w:hint="eastAsia" w:cs="宋体"/>
          <w:szCs w:val="21"/>
        </w:rPr>
        <w:t>分为枢纽级、城市级、区域级、街区级四个级别。因此，车站分级应与上位规划保持一致，采用相同的分级体系，才能保证各项规划控制指标的落地。</w:t>
      </w:r>
    </w:p>
    <w:p w14:paraId="39391EA3">
      <w:pPr>
        <w:ind w:firstLine="420"/>
        <w:rPr>
          <w:rFonts w:cs="宋体"/>
          <w:szCs w:val="21"/>
        </w:rPr>
      </w:pPr>
      <w:bookmarkStart w:id="2517" w:name="_Hlk170118333"/>
      <w:r>
        <w:rPr>
          <w:rFonts w:hint="eastAsia" w:cs="宋体"/>
          <w:szCs w:val="21"/>
        </w:rPr>
        <w:t>根据文件要求，枢纽级车站主要包括首都国际机场、大兴国际机场、铁路枢纽主要客站等城市对外枢纽节点；城市级车站主要包括市级重点功能区站点、部分轨道交通多线（两线以上）换乘站；区域级车站主要包括区级重点区域、轨道交通换乘枢纽，一般是新城或区域功能中心，区域级公共服务中心；街区级车站主要包括组团或街区中心站点。</w:t>
      </w:r>
    </w:p>
    <w:bookmarkEnd w:id="2517"/>
    <w:p w14:paraId="5F5931B3">
      <w:pPr>
        <w:rPr>
          <w:rFonts w:cs="宋体"/>
          <w:szCs w:val="21"/>
        </w:rPr>
      </w:pPr>
      <w:r>
        <w:rPr>
          <w:rFonts w:cs="宋体"/>
          <w:b/>
          <w:szCs w:val="21"/>
        </w:rPr>
        <w:t>10.2.2</w:t>
      </w:r>
      <w:r>
        <w:rPr>
          <w:rFonts w:hint="eastAsia" w:cs="宋体"/>
          <w:b/>
          <w:szCs w:val="21"/>
        </w:rPr>
        <w:t xml:space="preserve"> </w:t>
      </w:r>
      <w:r>
        <w:rPr>
          <w:rFonts w:hint="eastAsia" w:cs="宋体"/>
          <w:szCs w:val="21"/>
        </w:rPr>
        <w:t xml:space="preserve"> 根据人在正常场景下和安全疏散场景下的不同步速标准推算，车站各部位设施的实际通过能力会存在较大的偏差。参考香港地铁新线设计标准，其明确提出“</w:t>
      </w:r>
      <w:r>
        <w:rPr>
          <w:rFonts w:hint="eastAsia"/>
          <w:b/>
          <w:bCs/>
        </w:rPr>
        <w:t>平均高峰时步行速度（不间断的步行模式下）正常场景</w:t>
      </w:r>
      <w:r>
        <w:rPr>
          <w:b/>
          <w:bCs/>
        </w:rPr>
        <w:t>1.35</w:t>
      </w:r>
      <w:r>
        <w:rPr>
          <w:rFonts w:hint="eastAsia"/>
          <w:b/>
          <w:bCs/>
        </w:rPr>
        <w:t>米</w:t>
      </w:r>
      <w:r>
        <w:rPr>
          <w:b/>
          <w:bCs/>
        </w:rPr>
        <w:t>/</w:t>
      </w:r>
      <w:r>
        <w:rPr>
          <w:rFonts w:hint="eastAsia"/>
          <w:b/>
          <w:bCs/>
        </w:rPr>
        <w:t>秒，紧急场景</w:t>
      </w:r>
      <w:r>
        <w:rPr>
          <w:b/>
          <w:bCs/>
        </w:rPr>
        <w:t>1.00</w:t>
      </w:r>
      <w:r>
        <w:rPr>
          <w:rFonts w:hint="eastAsia"/>
          <w:b/>
          <w:bCs/>
        </w:rPr>
        <w:t>米</w:t>
      </w:r>
      <w:r>
        <w:rPr>
          <w:b/>
          <w:bCs/>
        </w:rPr>
        <w:t>/</w:t>
      </w:r>
      <w:r>
        <w:rPr>
          <w:rFonts w:hint="eastAsia"/>
          <w:b/>
          <w:bCs/>
        </w:rPr>
        <w:t>秒</w:t>
      </w:r>
      <w:r>
        <w:rPr>
          <w:rFonts w:hint="eastAsia" w:cs="宋体"/>
          <w:szCs w:val="21"/>
        </w:rPr>
        <w:t>”等不同工况的差异化标准，并对正常状态下的设计能力提出了“</w:t>
      </w:r>
      <w:r>
        <w:rPr>
          <w:rFonts w:hint="eastAsia"/>
        </w:rPr>
        <w:t>所有最大容量应降低</w:t>
      </w:r>
      <w:r>
        <w:t>0.8</w:t>
      </w:r>
      <w:r>
        <w:rPr>
          <w:rFonts w:hint="eastAsia"/>
        </w:rPr>
        <w:t>的设计系数</w:t>
      </w:r>
      <w:r>
        <w:rPr>
          <w:rFonts w:hint="eastAsia" w:cs="宋体"/>
          <w:szCs w:val="21"/>
        </w:rPr>
        <w:t>”、紧急事故状态下“</w:t>
      </w:r>
      <w:r>
        <w:rPr>
          <w:rFonts w:hint="eastAsia"/>
        </w:rPr>
        <w:t>设计能力应被视为最大实际能力的</w:t>
      </w:r>
      <w:r>
        <w:t>90%</w:t>
      </w:r>
      <w:r>
        <w:rPr>
          <w:rFonts w:hint="eastAsia" w:cs="宋体"/>
          <w:szCs w:val="21"/>
        </w:rPr>
        <w:t>”的要求。故本次在车站各部位最大通过能力表中，增加了日常通过能力的要求。</w:t>
      </w:r>
    </w:p>
    <w:p w14:paraId="7BD47BBC">
      <w:pPr>
        <w:ind w:firstLine="420"/>
        <w:rPr>
          <w:rFonts w:cs="宋体"/>
          <w:szCs w:val="21"/>
        </w:rPr>
      </w:pPr>
      <w:r>
        <w:rPr>
          <w:rFonts w:hint="eastAsia" w:cs="宋体"/>
          <w:szCs w:val="21"/>
        </w:rPr>
        <w:t>日常通过能力的标准参考中国城市轨道交通协会《地铁列车定员、车站规模动态计算方法及其标准研究成果介绍》中车站要素的服务水平分级，选取服务水平“一般”的下限值作为设施的日常通过能力值。</w:t>
      </w:r>
    </w:p>
    <w:p w14:paraId="219BE817">
      <w:pPr>
        <w:ind w:firstLine="376"/>
        <w:jc w:val="center"/>
        <w:rPr>
          <w:rFonts w:ascii="Arial" w:hAnsi="Arial" w:eastAsia="黑体"/>
          <w:bCs/>
          <w:spacing w:val="4"/>
          <w:sz w:val="18"/>
          <w:szCs w:val="32"/>
        </w:rPr>
      </w:pPr>
      <w:r>
        <w:rPr>
          <w:rFonts w:hint="eastAsia" w:ascii="Arial" w:hAnsi="Arial" w:eastAsia="黑体"/>
          <w:bCs/>
          <w:spacing w:val="4"/>
          <w:sz w:val="18"/>
          <w:szCs w:val="32"/>
        </w:rPr>
        <w:t>表</w:t>
      </w:r>
      <w:r>
        <w:rPr>
          <w:rFonts w:ascii="Arial" w:hAnsi="Arial" w:eastAsia="黑体"/>
          <w:bCs/>
          <w:spacing w:val="4"/>
          <w:sz w:val="18"/>
          <w:szCs w:val="32"/>
        </w:rPr>
        <w:t xml:space="preserve">10.2.2 </w:t>
      </w:r>
      <w:r>
        <w:rPr>
          <w:rFonts w:hint="eastAsia" w:ascii="Arial" w:hAnsi="Arial" w:eastAsia="黑体"/>
          <w:bCs/>
          <w:spacing w:val="4"/>
          <w:sz w:val="18"/>
          <w:szCs w:val="32"/>
        </w:rPr>
        <w:t>车站要素的服务水平</w:t>
      </w:r>
    </w:p>
    <w:tbl>
      <w:tblPr>
        <w:tblStyle w:val="88"/>
        <w:tblpPr w:leftFromText="180" w:rightFromText="180" w:vertAnchor="text" w:horzAnchor="margin" w:tblpY="8"/>
        <w:tblOverlap w:val="never"/>
        <w:tblW w:w="622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
      <w:tblGrid>
        <w:gridCol w:w="995"/>
        <w:gridCol w:w="1166"/>
        <w:gridCol w:w="669"/>
        <w:gridCol w:w="1186"/>
        <w:gridCol w:w="1184"/>
        <w:gridCol w:w="1029"/>
      </w:tblGrid>
      <w:tr w14:paraId="22C6D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2161" w:type="dxa"/>
            <w:gridSpan w:val="2"/>
            <w:vMerge w:val="restart"/>
            <w:tcMar>
              <w:top w:w="6" w:type="dxa"/>
              <w:left w:w="6" w:type="dxa"/>
              <w:bottom w:w="6" w:type="dxa"/>
              <w:right w:w="6" w:type="dxa"/>
            </w:tcMar>
            <w:vAlign w:val="center"/>
          </w:tcPr>
          <w:p w14:paraId="75237984">
            <w:pPr>
              <w:autoSpaceDE w:val="0"/>
              <w:autoSpaceDN w:val="0"/>
              <w:ind w:firstLine="300"/>
              <w:jc w:val="left"/>
              <w:rPr>
                <w:kern w:val="0"/>
                <w:sz w:val="15"/>
                <w:szCs w:val="15"/>
              </w:rPr>
            </w:pPr>
            <w:bookmarkStart w:id="2518" w:name="_Hlk135666624"/>
            <w:r>
              <w:rPr>
                <w:rFonts w:hint="eastAsia"/>
                <w:kern w:val="0"/>
                <w:sz w:val="15"/>
                <w:szCs w:val="15"/>
              </w:rPr>
              <w:t>车站设施名称</w:t>
            </w:r>
          </w:p>
        </w:tc>
        <w:tc>
          <w:tcPr>
            <w:tcW w:w="669" w:type="dxa"/>
            <w:tcMar>
              <w:top w:w="6" w:type="dxa"/>
              <w:left w:w="6" w:type="dxa"/>
              <w:bottom w:w="6" w:type="dxa"/>
              <w:right w:w="6" w:type="dxa"/>
            </w:tcMar>
            <w:vAlign w:val="center"/>
          </w:tcPr>
          <w:p w14:paraId="6CF9C1E0">
            <w:pPr>
              <w:autoSpaceDE w:val="0"/>
              <w:autoSpaceDN w:val="0"/>
              <w:jc w:val="left"/>
              <w:rPr>
                <w:kern w:val="0"/>
                <w:sz w:val="15"/>
                <w:szCs w:val="15"/>
              </w:rPr>
            </w:pPr>
            <w:r>
              <w:rPr>
                <w:rFonts w:hint="eastAsia"/>
                <w:kern w:val="0"/>
                <w:sz w:val="15"/>
                <w:szCs w:val="15"/>
              </w:rPr>
              <w:t>非常舒适</w:t>
            </w:r>
          </w:p>
        </w:tc>
        <w:tc>
          <w:tcPr>
            <w:tcW w:w="1186" w:type="dxa"/>
            <w:tcMar>
              <w:top w:w="6" w:type="dxa"/>
              <w:left w:w="6" w:type="dxa"/>
              <w:bottom w:w="6" w:type="dxa"/>
              <w:right w:w="6" w:type="dxa"/>
            </w:tcMar>
            <w:vAlign w:val="center"/>
          </w:tcPr>
          <w:p w14:paraId="448F9135">
            <w:pPr>
              <w:autoSpaceDE w:val="0"/>
              <w:autoSpaceDN w:val="0"/>
              <w:ind w:firstLine="199" w:firstLineChars="133"/>
              <w:jc w:val="left"/>
              <w:rPr>
                <w:kern w:val="0"/>
                <w:sz w:val="15"/>
                <w:szCs w:val="15"/>
              </w:rPr>
            </w:pPr>
            <w:r>
              <w:rPr>
                <w:rFonts w:hint="eastAsia"/>
                <w:kern w:val="0"/>
                <w:sz w:val="15"/>
                <w:szCs w:val="15"/>
              </w:rPr>
              <w:t>舒适</w:t>
            </w:r>
          </w:p>
        </w:tc>
        <w:tc>
          <w:tcPr>
            <w:tcW w:w="1184" w:type="dxa"/>
            <w:tcMar>
              <w:top w:w="6" w:type="dxa"/>
              <w:left w:w="6" w:type="dxa"/>
              <w:bottom w:w="6" w:type="dxa"/>
              <w:right w:w="6" w:type="dxa"/>
            </w:tcMar>
            <w:vAlign w:val="center"/>
          </w:tcPr>
          <w:p w14:paraId="52C26835">
            <w:pPr>
              <w:autoSpaceDE w:val="0"/>
              <w:autoSpaceDN w:val="0"/>
              <w:ind w:firstLine="199" w:firstLineChars="133"/>
              <w:jc w:val="left"/>
              <w:rPr>
                <w:kern w:val="0"/>
                <w:sz w:val="15"/>
                <w:szCs w:val="15"/>
              </w:rPr>
            </w:pPr>
            <w:r>
              <w:rPr>
                <w:rFonts w:hint="eastAsia"/>
                <w:kern w:val="0"/>
                <w:sz w:val="15"/>
                <w:szCs w:val="15"/>
              </w:rPr>
              <w:t>一般</w:t>
            </w:r>
          </w:p>
        </w:tc>
        <w:tc>
          <w:tcPr>
            <w:tcW w:w="1029" w:type="dxa"/>
            <w:tcMar>
              <w:top w:w="6" w:type="dxa"/>
              <w:left w:w="6" w:type="dxa"/>
              <w:bottom w:w="6" w:type="dxa"/>
              <w:right w:w="6" w:type="dxa"/>
            </w:tcMar>
            <w:vAlign w:val="center"/>
          </w:tcPr>
          <w:p w14:paraId="07249DD0">
            <w:pPr>
              <w:autoSpaceDE w:val="0"/>
              <w:autoSpaceDN w:val="0"/>
              <w:ind w:firstLine="300"/>
              <w:jc w:val="left"/>
              <w:rPr>
                <w:kern w:val="0"/>
                <w:sz w:val="15"/>
                <w:szCs w:val="15"/>
              </w:rPr>
            </w:pPr>
            <w:r>
              <w:rPr>
                <w:rFonts w:hint="eastAsia"/>
                <w:kern w:val="0"/>
                <w:sz w:val="15"/>
                <w:szCs w:val="15"/>
              </w:rPr>
              <w:t>拥挤</w:t>
            </w:r>
          </w:p>
        </w:tc>
      </w:tr>
      <w:tr w14:paraId="0B163E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2161" w:type="dxa"/>
            <w:gridSpan w:val="2"/>
            <w:vMerge w:val="continue"/>
            <w:tcMar>
              <w:top w:w="6" w:type="dxa"/>
              <w:left w:w="6" w:type="dxa"/>
              <w:bottom w:w="6" w:type="dxa"/>
              <w:right w:w="6" w:type="dxa"/>
            </w:tcMar>
            <w:vAlign w:val="center"/>
          </w:tcPr>
          <w:p w14:paraId="4261E915">
            <w:pPr>
              <w:autoSpaceDE w:val="0"/>
              <w:autoSpaceDN w:val="0"/>
              <w:ind w:firstLine="300"/>
              <w:jc w:val="left"/>
              <w:rPr>
                <w:kern w:val="0"/>
                <w:sz w:val="15"/>
                <w:szCs w:val="15"/>
              </w:rPr>
            </w:pPr>
          </w:p>
        </w:tc>
        <w:tc>
          <w:tcPr>
            <w:tcW w:w="669" w:type="dxa"/>
            <w:tcMar>
              <w:top w:w="6" w:type="dxa"/>
              <w:left w:w="6" w:type="dxa"/>
              <w:bottom w:w="6" w:type="dxa"/>
              <w:right w:w="6" w:type="dxa"/>
            </w:tcMar>
            <w:vAlign w:val="center"/>
          </w:tcPr>
          <w:p w14:paraId="4137A811">
            <w:pPr>
              <w:autoSpaceDE w:val="0"/>
              <w:autoSpaceDN w:val="0"/>
              <w:ind w:firstLine="300"/>
              <w:jc w:val="left"/>
              <w:rPr>
                <w:kern w:val="0"/>
                <w:sz w:val="15"/>
                <w:szCs w:val="15"/>
              </w:rPr>
            </w:pPr>
            <w:r>
              <w:rPr>
                <w:kern w:val="0"/>
                <w:sz w:val="15"/>
                <w:szCs w:val="15"/>
              </w:rPr>
              <w:t>A</w:t>
            </w:r>
          </w:p>
        </w:tc>
        <w:tc>
          <w:tcPr>
            <w:tcW w:w="1186" w:type="dxa"/>
            <w:tcMar>
              <w:top w:w="6" w:type="dxa"/>
              <w:left w:w="6" w:type="dxa"/>
              <w:bottom w:w="6" w:type="dxa"/>
              <w:right w:w="6" w:type="dxa"/>
            </w:tcMar>
            <w:vAlign w:val="center"/>
          </w:tcPr>
          <w:p w14:paraId="0F375B10">
            <w:pPr>
              <w:autoSpaceDE w:val="0"/>
              <w:autoSpaceDN w:val="0"/>
              <w:ind w:firstLine="300"/>
              <w:jc w:val="left"/>
              <w:rPr>
                <w:kern w:val="0"/>
                <w:sz w:val="15"/>
                <w:szCs w:val="15"/>
              </w:rPr>
            </w:pPr>
            <w:r>
              <w:rPr>
                <w:kern w:val="0"/>
                <w:sz w:val="15"/>
                <w:szCs w:val="15"/>
              </w:rPr>
              <w:t>B</w:t>
            </w:r>
          </w:p>
        </w:tc>
        <w:tc>
          <w:tcPr>
            <w:tcW w:w="1184" w:type="dxa"/>
            <w:tcMar>
              <w:top w:w="6" w:type="dxa"/>
              <w:left w:w="6" w:type="dxa"/>
              <w:bottom w:w="6" w:type="dxa"/>
              <w:right w:w="6" w:type="dxa"/>
            </w:tcMar>
            <w:vAlign w:val="center"/>
          </w:tcPr>
          <w:p w14:paraId="59AD21D8">
            <w:pPr>
              <w:autoSpaceDE w:val="0"/>
              <w:autoSpaceDN w:val="0"/>
              <w:ind w:firstLine="300"/>
              <w:jc w:val="left"/>
              <w:rPr>
                <w:kern w:val="0"/>
                <w:sz w:val="15"/>
                <w:szCs w:val="15"/>
              </w:rPr>
            </w:pPr>
            <w:r>
              <w:rPr>
                <w:kern w:val="0"/>
                <w:sz w:val="15"/>
                <w:szCs w:val="15"/>
              </w:rPr>
              <w:t>C</w:t>
            </w:r>
          </w:p>
        </w:tc>
        <w:tc>
          <w:tcPr>
            <w:tcW w:w="1029" w:type="dxa"/>
            <w:tcMar>
              <w:top w:w="6" w:type="dxa"/>
              <w:left w:w="6" w:type="dxa"/>
              <w:bottom w:w="6" w:type="dxa"/>
              <w:right w:w="6" w:type="dxa"/>
            </w:tcMar>
            <w:vAlign w:val="center"/>
          </w:tcPr>
          <w:p w14:paraId="61F83BAD">
            <w:pPr>
              <w:autoSpaceDE w:val="0"/>
              <w:autoSpaceDN w:val="0"/>
              <w:ind w:firstLine="300"/>
              <w:jc w:val="left"/>
              <w:rPr>
                <w:kern w:val="0"/>
                <w:sz w:val="15"/>
                <w:szCs w:val="15"/>
              </w:rPr>
            </w:pPr>
            <w:r>
              <w:rPr>
                <w:kern w:val="0"/>
                <w:sz w:val="15"/>
                <w:szCs w:val="15"/>
              </w:rPr>
              <w:t>D</w:t>
            </w:r>
          </w:p>
        </w:tc>
      </w:tr>
      <w:tr w14:paraId="2F0F1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995" w:type="dxa"/>
            <w:vMerge w:val="restart"/>
            <w:tcMar>
              <w:top w:w="6" w:type="dxa"/>
              <w:left w:w="6" w:type="dxa"/>
              <w:bottom w:w="6" w:type="dxa"/>
              <w:right w:w="6" w:type="dxa"/>
            </w:tcMar>
            <w:vAlign w:val="center"/>
          </w:tcPr>
          <w:p w14:paraId="6F63E39B">
            <w:pPr>
              <w:autoSpaceDE w:val="0"/>
              <w:autoSpaceDN w:val="0"/>
              <w:jc w:val="left"/>
              <w:rPr>
                <w:kern w:val="0"/>
                <w:sz w:val="15"/>
                <w:szCs w:val="15"/>
              </w:rPr>
            </w:pPr>
            <w:r>
              <w:rPr>
                <w:kern w:val="0"/>
                <w:sz w:val="15"/>
                <w:szCs w:val="15"/>
              </w:rPr>
              <w:t>1m</w:t>
            </w:r>
            <w:r>
              <w:rPr>
                <w:rFonts w:hint="eastAsia"/>
                <w:kern w:val="0"/>
                <w:sz w:val="15"/>
                <w:szCs w:val="15"/>
              </w:rPr>
              <w:t>宽单向通道</w:t>
            </w:r>
          </w:p>
        </w:tc>
        <w:tc>
          <w:tcPr>
            <w:tcW w:w="1166" w:type="dxa"/>
            <w:tcMar>
              <w:top w:w="6" w:type="dxa"/>
              <w:left w:w="6" w:type="dxa"/>
              <w:bottom w:w="6" w:type="dxa"/>
              <w:right w:w="6" w:type="dxa"/>
            </w:tcMar>
            <w:vAlign w:val="center"/>
          </w:tcPr>
          <w:p w14:paraId="661F9F60">
            <w:pPr>
              <w:autoSpaceDE w:val="0"/>
              <w:autoSpaceDN w:val="0"/>
              <w:ind w:firstLine="199" w:firstLineChars="133"/>
              <w:jc w:val="left"/>
              <w:rPr>
                <w:kern w:val="0"/>
                <w:sz w:val="15"/>
                <w:szCs w:val="15"/>
              </w:rPr>
            </w:pPr>
            <w:r>
              <w:rPr>
                <w:rFonts w:hint="eastAsia"/>
                <w:kern w:val="0"/>
                <w:sz w:val="15"/>
                <w:szCs w:val="15"/>
              </w:rPr>
              <w:t>通行能力</w:t>
            </w:r>
          </w:p>
        </w:tc>
        <w:tc>
          <w:tcPr>
            <w:tcW w:w="669" w:type="dxa"/>
            <w:tcMar>
              <w:top w:w="6" w:type="dxa"/>
              <w:left w:w="6" w:type="dxa"/>
              <w:bottom w:w="6" w:type="dxa"/>
              <w:right w:w="6" w:type="dxa"/>
            </w:tcMar>
            <w:vAlign w:val="center"/>
          </w:tcPr>
          <w:p w14:paraId="66321FA2">
            <w:pPr>
              <w:autoSpaceDE w:val="0"/>
              <w:autoSpaceDN w:val="0"/>
              <w:ind w:firstLine="150" w:firstLineChars="100"/>
              <w:jc w:val="left"/>
              <w:rPr>
                <w:kern w:val="0"/>
                <w:sz w:val="15"/>
                <w:szCs w:val="15"/>
              </w:rPr>
            </w:pPr>
            <w:r>
              <w:rPr>
                <w:rFonts w:hint="eastAsia"/>
                <w:kern w:val="0"/>
                <w:sz w:val="15"/>
                <w:szCs w:val="15"/>
              </w:rPr>
              <w:t>≤</w:t>
            </w:r>
            <w:r>
              <w:rPr>
                <w:kern w:val="0"/>
                <w:sz w:val="15"/>
                <w:szCs w:val="15"/>
              </w:rPr>
              <w:t>1380</w:t>
            </w:r>
          </w:p>
        </w:tc>
        <w:tc>
          <w:tcPr>
            <w:tcW w:w="1186" w:type="dxa"/>
            <w:tcMar>
              <w:top w:w="6" w:type="dxa"/>
              <w:left w:w="6" w:type="dxa"/>
              <w:bottom w:w="6" w:type="dxa"/>
              <w:right w:w="6" w:type="dxa"/>
            </w:tcMar>
            <w:vAlign w:val="center"/>
          </w:tcPr>
          <w:p w14:paraId="2BF46A10">
            <w:pPr>
              <w:autoSpaceDE w:val="0"/>
              <w:autoSpaceDN w:val="0"/>
              <w:ind w:firstLine="199" w:firstLineChars="133"/>
              <w:jc w:val="left"/>
              <w:rPr>
                <w:kern w:val="0"/>
                <w:sz w:val="15"/>
                <w:szCs w:val="15"/>
              </w:rPr>
            </w:pPr>
            <w:r>
              <w:rPr>
                <w:kern w:val="0"/>
                <w:sz w:val="15"/>
                <w:szCs w:val="15"/>
              </w:rPr>
              <w:t>1380~2280</w:t>
            </w:r>
          </w:p>
        </w:tc>
        <w:tc>
          <w:tcPr>
            <w:tcW w:w="1184" w:type="dxa"/>
            <w:tcMar>
              <w:top w:w="6" w:type="dxa"/>
              <w:left w:w="6" w:type="dxa"/>
              <w:bottom w:w="6" w:type="dxa"/>
              <w:right w:w="6" w:type="dxa"/>
            </w:tcMar>
            <w:vAlign w:val="center"/>
          </w:tcPr>
          <w:p w14:paraId="5A95A3FB">
            <w:pPr>
              <w:autoSpaceDE w:val="0"/>
              <w:autoSpaceDN w:val="0"/>
              <w:ind w:firstLine="199" w:firstLineChars="133"/>
              <w:jc w:val="left"/>
              <w:rPr>
                <w:kern w:val="0"/>
                <w:sz w:val="15"/>
                <w:szCs w:val="15"/>
              </w:rPr>
            </w:pPr>
            <w:r>
              <w:rPr>
                <w:kern w:val="0"/>
                <w:sz w:val="15"/>
                <w:szCs w:val="15"/>
              </w:rPr>
              <w:t>2280~3000</w:t>
            </w:r>
          </w:p>
        </w:tc>
        <w:tc>
          <w:tcPr>
            <w:tcW w:w="1029" w:type="dxa"/>
            <w:tcMar>
              <w:top w:w="6" w:type="dxa"/>
              <w:left w:w="6" w:type="dxa"/>
              <w:bottom w:w="6" w:type="dxa"/>
              <w:right w:w="6" w:type="dxa"/>
            </w:tcMar>
            <w:vAlign w:val="center"/>
          </w:tcPr>
          <w:p w14:paraId="39C0A88E">
            <w:pPr>
              <w:autoSpaceDE w:val="0"/>
              <w:autoSpaceDN w:val="0"/>
              <w:jc w:val="left"/>
              <w:rPr>
                <w:kern w:val="0"/>
                <w:sz w:val="15"/>
                <w:szCs w:val="15"/>
              </w:rPr>
            </w:pPr>
            <w:r>
              <w:rPr>
                <w:kern w:val="0"/>
                <w:sz w:val="15"/>
                <w:szCs w:val="15"/>
              </w:rPr>
              <w:t>3000~3600</w:t>
            </w:r>
          </w:p>
        </w:tc>
      </w:tr>
      <w:tr w14:paraId="214976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995" w:type="dxa"/>
            <w:vMerge w:val="continue"/>
            <w:tcMar>
              <w:top w:w="6" w:type="dxa"/>
              <w:left w:w="6" w:type="dxa"/>
              <w:bottom w:w="6" w:type="dxa"/>
              <w:right w:w="6" w:type="dxa"/>
            </w:tcMar>
            <w:vAlign w:val="center"/>
          </w:tcPr>
          <w:p w14:paraId="70FD6B90">
            <w:pPr>
              <w:autoSpaceDE w:val="0"/>
              <w:autoSpaceDN w:val="0"/>
              <w:ind w:firstLine="300"/>
              <w:jc w:val="left"/>
              <w:rPr>
                <w:kern w:val="0"/>
                <w:sz w:val="15"/>
                <w:szCs w:val="15"/>
              </w:rPr>
            </w:pPr>
          </w:p>
        </w:tc>
        <w:tc>
          <w:tcPr>
            <w:tcW w:w="1166" w:type="dxa"/>
            <w:tcMar>
              <w:top w:w="6" w:type="dxa"/>
              <w:left w:w="6" w:type="dxa"/>
              <w:bottom w:w="6" w:type="dxa"/>
              <w:right w:w="6" w:type="dxa"/>
            </w:tcMar>
            <w:vAlign w:val="center"/>
          </w:tcPr>
          <w:p w14:paraId="451472EA">
            <w:pPr>
              <w:autoSpaceDE w:val="0"/>
              <w:autoSpaceDN w:val="0"/>
              <w:jc w:val="left"/>
              <w:rPr>
                <w:kern w:val="0"/>
                <w:sz w:val="15"/>
                <w:szCs w:val="15"/>
              </w:rPr>
            </w:pPr>
            <w:r>
              <w:rPr>
                <w:rFonts w:hint="eastAsia"/>
                <w:kern w:val="0"/>
                <w:sz w:val="15"/>
                <w:szCs w:val="15"/>
              </w:rPr>
              <w:t>行人占据空间</w:t>
            </w:r>
          </w:p>
        </w:tc>
        <w:tc>
          <w:tcPr>
            <w:tcW w:w="669" w:type="dxa"/>
            <w:tcMar>
              <w:top w:w="6" w:type="dxa"/>
              <w:left w:w="6" w:type="dxa"/>
              <w:bottom w:w="6" w:type="dxa"/>
              <w:right w:w="6" w:type="dxa"/>
            </w:tcMar>
            <w:vAlign w:val="center"/>
          </w:tcPr>
          <w:p w14:paraId="3C8961BC">
            <w:pPr>
              <w:autoSpaceDE w:val="0"/>
              <w:autoSpaceDN w:val="0"/>
              <w:ind w:firstLine="150" w:firstLineChars="100"/>
              <w:jc w:val="left"/>
              <w:rPr>
                <w:kern w:val="0"/>
                <w:sz w:val="15"/>
                <w:szCs w:val="15"/>
              </w:rPr>
            </w:pPr>
            <w:r>
              <w:rPr>
                <w:rFonts w:hint="eastAsia"/>
                <w:kern w:val="0"/>
                <w:sz w:val="15"/>
                <w:szCs w:val="15"/>
              </w:rPr>
              <w:t>≥</w:t>
            </w:r>
            <w:r>
              <w:rPr>
                <w:kern w:val="0"/>
                <w:sz w:val="15"/>
                <w:szCs w:val="15"/>
              </w:rPr>
              <w:t>3.3</w:t>
            </w:r>
          </w:p>
        </w:tc>
        <w:tc>
          <w:tcPr>
            <w:tcW w:w="1186" w:type="dxa"/>
            <w:tcMar>
              <w:top w:w="6" w:type="dxa"/>
              <w:left w:w="6" w:type="dxa"/>
              <w:bottom w:w="6" w:type="dxa"/>
              <w:right w:w="6" w:type="dxa"/>
            </w:tcMar>
            <w:vAlign w:val="center"/>
          </w:tcPr>
          <w:p w14:paraId="7D774442">
            <w:pPr>
              <w:autoSpaceDE w:val="0"/>
              <w:autoSpaceDN w:val="0"/>
              <w:ind w:firstLine="199" w:firstLineChars="133"/>
              <w:jc w:val="left"/>
              <w:rPr>
                <w:kern w:val="0"/>
                <w:sz w:val="15"/>
                <w:szCs w:val="15"/>
              </w:rPr>
            </w:pPr>
            <w:r>
              <w:rPr>
                <w:kern w:val="0"/>
                <w:sz w:val="15"/>
                <w:szCs w:val="15"/>
              </w:rPr>
              <w:t>2</w:t>
            </w:r>
            <w:r>
              <w:rPr>
                <w:rFonts w:hint="eastAsia"/>
                <w:kern w:val="0"/>
                <w:sz w:val="15"/>
                <w:szCs w:val="15"/>
              </w:rPr>
              <w:t>（含）</w:t>
            </w:r>
            <w:r>
              <w:rPr>
                <w:kern w:val="0"/>
                <w:sz w:val="15"/>
                <w:szCs w:val="15"/>
              </w:rPr>
              <w:t>~3.3</w:t>
            </w:r>
          </w:p>
        </w:tc>
        <w:tc>
          <w:tcPr>
            <w:tcW w:w="1184" w:type="dxa"/>
            <w:tcMar>
              <w:top w:w="6" w:type="dxa"/>
              <w:left w:w="6" w:type="dxa"/>
              <w:bottom w:w="6" w:type="dxa"/>
              <w:right w:w="6" w:type="dxa"/>
            </w:tcMar>
            <w:vAlign w:val="center"/>
          </w:tcPr>
          <w:p w14:paraId="63828572">
            <w:pPr>
              <w:autoSpaceDE w:val="0"/>
              <w:autoSpaceDN w:val="0"/>
              <w:jc w:val="left"/>
              <w:rPr>
                <w:kern w:val="0"/>
                <w:sz w:val="15"/>
                <w:szCs w:val="15"/>
              </w:rPr>
            </w:pPr>
            <w:r>
              <w:rPr>
                <w:kern w:val="0"/>
                <w:sz w:val="15"/>
                <w:szCs w:val="15"/>
              </w:rPr>
              <w:t>1.5</w:t>
            </w:r>
            <w:r>
              <w:rPr>
                <w:rFonts w:hint="eastAsia"/>
                <w:kern w:val="0"/>
                <w:sz w:val="15"/>
                <w:szCs w:val="15"/>
              </w:rPr>
              <w:t>（含）</w:t>
            </w:r>
            <w:r>
              <w:rPr>
                <w:kern w:val="0"/>
                <w:sz w:val="15"/>
                <w:szCs w:val="15"/>
              </w:rPr>
              <w:t>~2</w:t>
            </w:r>
          </w:p>
        </w:tc>
        <w:tc>
          <w:tcPr>
            <w:tcW w:w="1029" w:type="dxa"/>
            <w:tcMar>
              <w:top w:w="6" w:type="dxa"/>
              <w:left w:w="6" w:type="dxa"/>
              <w:bottom w:w="6" w:type="dxa"/>
              <w:right w:w="6" w:type="dxa"/>
            </w:tcMar>
            <w:vAlign w:val="center"/>
          </w:tcPr>
          <w:p w14:paraId="21464ECB">
            <w:pPr>
              <w:autoSpaceDE w:val="0"/>
              <w:autoSpaceDN w:val="0"/>
              <w:jc w:val="left"/>
              <w:rPr>
                <w:kern w:val="0"/>
                <w:sz w:val="15"/>
                <w:szCs w:val="15"/>
              </w:rPr>
            </w:pPr>
            <w:r>
              <w:rPr>
                <w:kern w:val="0"/>
                <w:sz w:val="15"/>
                <w:szCs w:val="15"/>
              </w:rPr>
              <w:t>1</w:t>
            </w:r>
            <w:r>
              <w:rPr>
                <w:rFonts w:hint="eastAsia"/>
                <w:kern w:val="0"/>
                <w:sz w:val="15"/>
                <w:szCs w:val="15"/>
              </w:rPr>
              <w:t>（含）</w:t>
            </w:r>
            <w:r>
              <w:rPr>
                <w:kern w:val="0"/>
                <w:sz w:val="15"/>
                <w:szCs w:val="15"/>
              </w:rPr>
              <w:t>~1.5</w:t>
            </w:r>
          </w:p>
        </w:tc>
      </w:tr>
      <w:tr w14:paraId="4D6F2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995" w:type="dxa"/>
            <w:vMerge w:val="restart"/>
            <w:tcMar>
              <w:top w:w="6" w:type="dxa"/>
              <w:left w:w="6" w:type="dxa"/>
              <w:bottom w:w="6" w:type="dxa"/>
              <w:right w:w="6" w:type="dxa"/>
            </w:tcMar>
            <w:vAlign w:val="center"/>
          </w:tcPr>
          <w:p w14:paraId="1A483BB3">
            <w:pPr>
              <w:autoSpaceDE w:val="0"/>
              <w:autoSpaceDN w:val="0"/>
              <w:jc w:val="left"/>
              <w:rPr>
                <w:kern w:val="0"/>
                <w:sz w:val="15"/>
                <w:szCs w:val="15"/>
              </w:rPr>
            </w:pPr>
            <w:r>
              <w:rPr>
                <w:kern w:val="0"/>
                <w:sz w:val="15"/>
                <w:szCs w:val="15"/>
              </w:rPr>
              <w:t>1m</w:t>
            </w:r>
            <w:r>
              <w:rPr>
                <w:rFonts w:hint="eastAsia"/>
                <w:kern w:val="0"/>
                <w:sz w:val="15"/>
                <w:szCs w:val="15"/>
              </w:rPr>
              <w:t>宽双向混行通道</w:t>
            </w:r>
          </w:p>
        </w:tc>
        <w:tc>
          <w:tcPr>
            <w:tcW w:w="1166" w:type="dxa"/>
            <w:tcMar>
              <w:top w:w="6" w:type="dxa"/>
              <w:left w:w="6" w:type="dxa"/>
              <w:bottom w:w="6" w:type="dxa"/>
              <w:right w:w="6" w:type="dxa"/>
            </w:tcMar>
            <w:vAlign w:val="center"/>
          </w:tcPr>
          <w:p w14:paraId="60270C34">
            <w:pPr>
              <w:autoSpaceDE w:val="0"/>
              <w:autoSpaceDN w:val="0"/>
              <w:ind w:firstLine="199" w:firstLineChars="133"/>
              <w:jc w:val="left"/>
              <w:rPr>
                <w:kern w:val="0"/>
                <w:sz w:val="15"/>
                <w:szCs w:val="15"/>
              </w:rPr>
            </w:pPr>
            <w:r>
              <w:rPr>
                <w:rFonts w:hint="eastAsia"/>
                <w:kern w:val="0"/>
                <w:sz w:val="15"/>
                <w:szCs w:val="15"/>
              </w:rPr>
              <w:t>通行能力</w:t>
            </w:r>
          </w:p>
        </w:tc>
        <w:tc>
          <w:tcPr>
            <w:tcW w:w="669" w:type="dxa"/>
            <w:tcMar>
              <w:top w:w="6" w:type="dxa"/>
              <w:left w:w="6" w:type="dxa"/>
              <w:bottom w:w="6" w:type="dxa"/>
              <w:right w:w="6" w:type="dxa"/>
            </w:tcMar>
            <w:vAlign w:val="center"/>
          </w:tcPr>
          <w:p w14:paraId="550C2059">
            <w:pPr>
              <w:autoSpaceDE w:val="0"/>
              <w:autoSpaceDN w:val="0"/>
              <w:ind w:firstLine="150" w:firstLineChars="100"/>
              <w:jc w:val="left"/>
              <w:rPr>
                <w:kern w:val="0"/>
                <w:sz w:val="15"/>
                <w:szCs w:val="15"/>
              </w:rPr>
            </w:pPr>
            <w:r>
              <w:rPr>
                <w:rFonts w:hint="eastAsia"/>
                <w:kern w:val="0"/>
                <w:sz w:val="15"/>
                <w:szCs w:val="15"/>
              </w:rPr>
              <w:t>≤</w:t>
            </w:r>
            <w:r>
              <w:rPr>
                <w:kern w:val="0"/>
                <w:sz w:val="15"/>
                <w:szCs w:val="15"/>
              </w:rPr>
              <w:t>1080</w:t>
            </w:r>
          </w:p>
        </w:tc>
        <w:tc>
          <w:tcPr>
            <w:tcW w:w="1186" w:type="dxa"/>
            <w:tcMar>
              <w:top w:w="6" w:type="dxa"/>
              <w:left w:w="6" w:type="dxa"/>
              <w:bottom w:w="6" w:type="dxa"/>
              <w:right w:w="6" w:type="dxa"/>
            </w:tcMar>
            <w:vAlign w:val="center"/>
          </w:tcPr>
          <w:p w14:paraId="4D41E108">
            <w:pPr>
              <w:autoSpaceDE w:val="0"/>
              <w:autoSpaceDN w:val="0"/>
              <w:jc w:val="left"/>
              <w:rPr>
                <w:kern w:val="0"/>
                <w:sz w:val="15"/>
                <w:szCs w:val="15"/>
              </w:rPr>
            </w:pPr>
            <w:r>
              <w:rPr>
                <w:kern w:val="0"/>
                <w:sz w:val="15"/>
                <w:szCs w:val="15"/>
              </w:rPr>
              <w:t>1080~1590</w:t>
            </w:r>
            <w:r>
              <w:rPr>
                <w:rFonts w:hint="eastAsia"/>
                <w:kern w:val="0"/>
                <w:sz w:val="15"/>
                <w:szCs w:val="15"/>
              </w:rPr>
              <w:t>（含）</w:t>
            </w:r>
          </w:p>
        </w:tc>
        <w:tc>
          <w:tcPr>
            <w:tcW w:w="1184" w:type="dxa"/>
            <w:tcMar>
              <w:top w:w="6" w:type="dxa"/>
              <w:left w:w="6" w:type="dxa"/>
              <w:bottom w:w="6" w:type="dxa"/>
              <w:right w:w="6" w:type="dxa"/>
            </w:tcMar>
            <w:vAlign w:val="center"/>
          </w:tcPr>
          <w:p w14:paraId="7362BC8E">
            <w:pPr>
              <w:autoSpaceDE w:val="0"/>
              <w:autoSpaceDN w:val="0"/>
              <w:jc w:val="left"/>
              <w:rPr>
                <w:kern w:val="0"/>
                <w:sz w:val="15"/>
                <w:szCs w:val="15"/>
              </w:rPr>
            </w:pPr>
            <w:r>
              <w:rPr>
                <w:kern w:val="0"/>
                <w:sz w:val="15"/>
                <w:szCs w:val="15"/>
              </w:rPr>
              <w:t>1590~2040</w:t>
            </w:r>
            <w:r>
              <w:rPr>
                <w:rFonts w:hint="eastAsia"/>
                <w:kern w:val="0"/>
                <w:sz w:val="15"/>
                <w:szCs w:val="15"/>
              </w:rPr>
              <w:t>（含）</w:t>
            </w:r>
          </w:p>
        </w:tc>
        <w:tc>
          <w:tcPr>
            <w:tcW w:w="1029" w:type="dxa"/>
            <w:tcMar>
              <w:top w:w="6" w:type="dxa"/>
              <w:left w:w="6" w:type="dxa"/>
              <w:bottom w:w="6" w:type="dxa"/>
              <w:right w:w="6" w:type="dxa"/>
            </w:tcMar>
            <w:vAlign w:val="center"/>
          </w:tcPr>
          <w:p w14:paraId="2DE88CD2">
            <w:pPr>
              <w:autoSpaceDE w:val="0"/>
              <w:autoSpaceDN w:val="0"/>
              <w:jc w:val="left"/>
              <w:rPr>
                <w:kern w:val="0"/>
                <w:sz w:val="15"/>
                <w:szCs w:val="15"/>
              </w:rPr>
            </w:pPr>
            <w:r>
              <w:rPr>
                <w:kern w:val="0"/>
                <w:sz w:val="15"/>
                <w:szCs w:val="15"/>
              </w:rPr>
              <w:t>2040~3600</w:t>
            </w:r>
          </w:p>
        </w:tc>
      </w:tr>
      <w:tr w14:paraId="1D9C0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995" w:type="dxa"/>
            <w:vMerge w:val="continue"/>
            <w:tcMar>
              <w:top w:w="6" w:type="dxa"/>
              <w:left w:w="6" w:type="dxa"/>
              <w:bottom w:w="6" w:type="dxa"/>
              <w:right w:w="6" w:type="dxa"/>
            </w:tcMar>
            <w:vAlign w:val="center"/>
          </w:tcPr>
          <w:p w14:paraId="3CB40063">
            <w:pPr>
              <w:autoSpaceDE w:val="0"/>
              <w:autoSpaceDN w:val="0"/>
              <w:ind w:firstLine="300"/>
              <w:jc w:val="left"/>
              <w:rPr>
                <w:kern w:val="0"/>
                <w:sz w:val="15"/>
                <w:szCs w:val="15"/>
              </w:rPr>
            </w:pPr>
          </w:p>
        </w:tc>
        <w:tc>
          <w:tcPr>
            <w:tcW w:w="1166" w:type="dxa"/>
            <w:tcMar>
              <w:top w:w="6" w:type="dxa"/>
              <w:left w:w="6" w:type="dxa"/>
              <w:bottom w:w="6" w:type="dxa"/>
              <w:right w:w="6" w:type="dxa"/>
            </w:tcMar>
            <w:vAlign w:val="center"/>
          </w:tcPr>
          <w:p w14:paraId="607F9F78">
            <w:pPr>
              <w:autoSpaceDE w:val="0"/>
              <w:autoSpaceDN w:val="0"/>
              <w:jc w:val="left"/>
              <w:rPr>
                <w:kern w:val="0"/>
                <w:sz w:val="15"/>
                <w:szCs w:val="15"/>
              </w:rPr>
            </w:pPr>
            <w:r>
              <w:rPr>
                <w:rFonts w:hint="eastAsia"/>
                <w:kern w:val="0"/>
                <w:sz w:val="15"/>
                <w:szCs w:val="15"/>
              </w:rPr>
              <w:t>行人占据空间</w:t>
            </w:r>
          </w:p>
        </w:tc>
        <w:tc>
          <w:tcPr>
            <w:tcW w:w="669" w:type="dxa"/>
            <w:tcMar>
              <w:top w:w="6" w:type="dxa"/>
              <w:left w:w="6" w:type="dxa"/>
              <w:bottom w:w="6" w:type="dxa"/>
              <w:right w:w="6" w:type="dxa"/>
            </w:tcMar>
            <w:vAlign w:val="center"/>
          </w:tcPr>
          <w:p w14:paraId="1B159FB4">
            <w:pPr>
              <w:autoSpaceDE w:val="0"/>
              <w:autoSpaceDN w:val="0"/>
              <w:ind w:firstLine="150" w:firstLineChars="100"/>
              <w:jc w:val="left"/>
              <w:rPr>
                <w:kern w:val="0"/>
                <w:sz w:val="15"/>
                <w:szCs w:val="15"/>
              </w:rPr>
            </w:pPr>
            <w:r>
              <w:rPr>
                <w:rFonts w:hint="eastAsia"/>
                <w:kern w:val="0"/>
                <w:sz w:val="15"/>
                <w:szCs w:val="15"/>
              </w:rPr>
              <w:t>≥</w:t>
            </w:r>
            <w:r>
              <w:rPr>
                <w:kern w:val="0"/>
                <w:sz w:val="15"/>
                <w:szCs w:val="15"/>
              </w:rPr>
              <w:t>3.3</w:t>
            </w:r>
          </w:p>
        </w:tc>
        <w:tc>
          <w:tcPr>
            <w:tcW w:w="1186" w:type="dxa"/>
            <w:tcMar>
              <w:top w:w="6" w:type="dxa"/>
              <w:left w:w="6" w:type="dxa"/>
              <w:bottom w:w="6" w:type="dxa"/>
              <w:right w:w="6" w:type="dxa"/>
            </w:tcMar>
            <w:vAlign w:val="center"/>
          </w:tcPr>
          <w:p w14:paraId="279C7F74">
            <w:pPr>
              <w:autoSpaceDE w:val="0"/>
              <w:autoSpaceDN w:val="0"/>
              <w:jc w:val="left"/>
              <w:rPr>
                <w:kern w:val="0"/>
                <w:sz w:val="15"/>
                <w:szCs w:val="15"/>
              </w:rPr>
            </w:pPr>
            <w:r>
              <w:rPr>
                <w:kern w:val="0"/>
                <w:sz w:val="15"/>
                <w:szCs w:val="15"/>
              </w:rPr>
              <w:t>2</w:t>
            </w:r>
            <w:r>
              <w:rPr>
                <w:rFonts w:hint="eastAsia"/>
                <w:kern w:val="0"/>
                <w:sz w:val="15"/>
                <w:szCs w:val="15"/>
              </w:rPr>
              <w:t>（含）</w:t>
            </w:r>
            <w:r>
              <w:rPr>
                <w:kern w:val="0"/>
                <w:sz w:val="15"/>
                <w:szCs w:val="15"/>
              </w:rPr>
              <w:t>~3.3</w:t>
            </w:r>
          </w:p>
        </w:tc>
        <w:tc>
          <w:tcPr>
            <w:tcW w:w="1184" w:type="dxa"/>
            <w:tcMar>
              <w:top w:w="6" w:type="dxa"/>
              <w:left w:w="6" w:type="dxa"/>
              <w:bottom w:w="6" w:type="dxa"/>
              <w:right w:w="6" w:type="dxa"/>
            </w:tcMar>
            <w:vAlign w:val="center"/>
          </w:tcPr>
          <w:p w14:paraId="39D24E6C">
            <w:pPr>
              <w:autoSpaceDE w:val="0"/>
              <w:autoSpaceDN w:val="0"/>
              <w:jc w:val="left"/>
              <w:rPr>
                <w:kern w:val="0"/>
                <w:sz w:val="15"/>
                <w:szCs w:val="15"/>
              </w:rPr>
            </w:pPr>
            <w:r>
              <w:rPr>
                <w:kern w:val="0"/>
                <w:sz w:val="15"/>
                <w:szCs w:val="15"/>
              </w:rPr>
              <w:t>1.5</w:t>
            </w:r>
            <w:r>
              <w:rPr>
                <w:rFonts w:hint="eastAsia"/>
                <w:kern w:val="0"/>
                <w:sz w:val="15"/>
                <w:szCs w:val="15"/>
              </w:rPr>
              <w:t>（含）</w:t>
            </w:r>
            <w:r>
              <w:rPr>
                <w:kern w:val="0"/>
                <w:sz w:val="15"/>
                <w:szCs w:val="15"/>
              </w:rPr>
              <w:t>~2</w:t>
            </w:r>
          </w:p>
        </w:tc>
        <w:tc>
          <w:tcPr>
            <w:tcW w:w="1029" w:type="dxa"/>
            <w:tcMar>
              <w:top w:w="6" w:type="dxa"/>
              <w:left w:w="6" w:type="dxa"/>
              <w:bottom w:w="6" w:type="dxa"/>
              <w:right w:w="6" w:type="dxa"/>
            </w:tcMar>
            <w:vAlign w:val="center"/>
          </w:tcPr>
          <w:p w14:paraId="54175170">
            <w:pPr>
              <w:autoSpaceDE w:val="0"/>
              <w:autoSpaceDN w:val="0"/>
              <w:jc w:val="left"/>
              <w:rPr>
                <w:kern w:val="0"/>
                <w:sz w:val="15"/>
                <w:szCs w:val="15"/>
              </w:rPr>
            </w:pPr>
            <w:r>
              <w:rPr>
                <w:kern w:val="0"/>
                <w:sz w:val="15"/>
                <w:szCs w:val="15"/>
              </w:rPr>
              <w:t>1</w:t>
            </w:r>
            <w:r>
              <w:rPr>
                <w:rFonts w:hint="eastAsia"/>
                <w:kern w:val="0"/>
                <w:sz w:val="15"/>
                <w:szCs w:val="15"/>
              </w:rPr>
              <w:t>（含）</w:t>
            </w:r>
            <w:r>
              <w:rPr>
                <w:kern w:val="0"/>
                <w:sz w:val="15"/>
                <w:szCs w:val="15"/>
              </w:rPr>
              <w:t>~1.5</w:t>
            </w:r>
          </w:p>
        </w:tc>
      </w:tr>
      <w:tr w14:paraId="118538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995" w:type="dxa"/>
            <w:vMerge w:val="restart"/>
            <w:tcMar>
              <w:top w:w="6" w:type="dxa"/>
              <w:left w:w="6" w:type="dxa"/>
              <w:bottom w:w="6" w:type="dxa"/>
              <w:right w:w="6" w:type="dxa"/>
            </w:tcMar>
            <w:vAlign w:val="center"/>
          </w:tcPr>
          <w:p w14:paraId="057CF1B2">
            <w:pPr>
              <w:autoSpaceDE w:val="0"/>
              <w:autoSpaceDN w:val="0"/>
              <w:jc w:val="left"/>
              <w:rPr>
                <w:kern w:val="0"/>
                <w:sz w:val="15"/>
                <w:szCs w:val="15"/>
              </w:rPr>
            </w:pPr>
            <w:r>
              <w:rPr>
                <w:kern w:val="0"/>
                <w:sz w:val="15"/>
                <w:szCs w:val="15"/>
              </w:rPr>
              <w:t>1m</w:t>
            </w:r>
            <w:r>
              <w:rPr>
                <w:rFonts w:hint="eastAsia"/>
                <w:kern w:val="0"/>
                <w:sz w:val="15"/>
                <w:szCs w:val="15"/>
              </w:rPr>
              <w:t>宽上行楼梯</w:t>
            </w:r>
          </w:p>
        </w:tc>
        <w:tc>
          <w:tcPr>
            <w:tcW w:w="1166" w:type="dxa"/>
            <w:tcMar>
              <w:top w:w="6" w:type="dxa"/>
              <w:left w:w="6" w:type="dxa"/>
              <w:bottom w:w="6" w:type="dxa"/>
              <w:right w:w="6" w:type="dxa"/>
            </w:tcMar>
            <w:vAlign w:val="center"/>
          </w:tcPr>
          <w:p w14:paraId="2550EA12">
            <w:pPr>
              <w:autoSpaceDE w:val="0"/>
              <w:autoSpaceDN w:val="0"/>
              <w:ind w:firstLine="199" w:firstLineChars="133"/>
              <w:jc w:val="left"/>
              <w:rPr>
                <w:kern w:val="0"/>
                <w:sz w:val="15"/>
                <w:szCs w:val="15"/>
              </w:rPr>
            </w:pPr>
            <w:r>
              <w:rPr>
                <w:rFonts w:hint="eastAsia"/>
                <w:kern w:val="0"/>
                <w:sz w:val="15"/>
                <w:szCs w:val="15"/>
              </w:rPr>
              <w:t>通行能力</w:t>
            </w:r>
          </w:p>
        </w:tc>
        <w:tc>
          <w:tcPr>
            <w:tcW w:w="669" w:type="dxa"/>
            <w:tcMar>
              <w:top w:w="6" w:type="dxa"/>
              <w:left w:w="6" w:type="dxa"/>
              <w:bottom w:w="6" w:type="dxa"/>
              <w:right w:w="6" w:type="dxa"/>
            </w:tcMar>
            <w:vAlign w:val="center"/>
          </w:tcPr>
          <w:p w14:paraId="2C30750E">
            <w:pPr>
              <w:autoSpaceDE w:val="0"/>
              <w:autoSpaceDN w:val="0"/>
              <w:ind w:firstLine="150" w:firstLineChars="100"/>
              <w:jc w:val="left"/>
              <w:rPr>
                <w:kern w:val="0"/>
                <w:sz w:val="15"/>
                <w:szCs w:val="15"/>
              </w:rPr>
            </w:pPr>
            <w:r>
              <w:rPr>
                <w:rFonts w:hint="eastAsia"/>
                <w:kern w:val="0"/>
                <w:sz w:val="15"/>
                <w:szCs w:val="15"/>
              </w:rPr>
              <w:t>≤</w:t>
            </w:r>
            <w:r>
              <w:rPr>
                <w:kern w:val="0"/>
                <w:sz w:val="15"/>
                <w:szCs w:val="15"/>
              </w:rPr>
              <w:t>1000</w:t>
            </w:r>
          </w:p>
        </w:tc>
        <w:tc>
          <w:tcPr>
            <w:tcW w:w="1186" w:type="dxa"/>
            <w:tcMar>
              <w:top w:w="6" w:type="dxa"/>
              <w:left w:w="6" w:type="dxa"/>
              <w:bottom w:w="6" w:type="dxa"/>
              <w:right w:w="6" w:type="dxa"/>
            </w:tcMar>
            <w:vAlign w:val="center"/>
          </w:tcPr>
          <w:p w14:paraId="5A075C9F">
            <w:pPr>
              <w:autoSpaceDE w:val="0"/>
              <w:autoSpaceDN w:val="0"/>
              <w:jc w:val="left"/>
              <w:rPr>
                <w:kern w:val="0"/>
                <w:sz w:val="15"/>
                <w:szCs w:val="15"/>
              </w:rPr>
            </w:pPr>
            <w:r>
              <w:rPr>
                <w:kern w:val="0"/>
                <w:sz w:val="15"/>
                <w:szCs w:val="15"/>
              </w:rPr>
              <w:t>1000~1700</w:t>
            </w:r>
            <w:r>
              <w:rPr>
                <w:rFonts w:hint="eastAsia"/>
                <w:kern w:val="0"/>
                <w:sz w:val="15"/>
                <w:szCs w:val="15"/>
              </w:rPr>
              <w:t>（含）</w:t>
            </w:r>
          </w:p>
        </w:tc>
        <w:tc>
          <w:tcPr>
            <w:tcW w:w="1184" w:type="dxa"/>
            <w:tcMar>
              <w:top w:w="6" w:type="dxa"/>
              <w:left w:w="6" w:type="dxa"/>
              <w:bottom w:w="6" w:type="dxa"/>
              <w:right w:w="6" w:type="dxa"/>
            </w:tcMar>
            <w:vAlign w:val="center"/>
          </w:tcPr>
          <w:p w14:paraId="677924FD">
            <w:pPr>
              <w:autoSpaceDE w:val="0"/>
              <w:autoSpaceDN w:val="0"/>
              <w:jc w:val="left"/>
              <w:rPr>
                <w:kern w:val="0"/>
                <w:sz w:val="15"/>
                <w:szCs w:val="15"/>
              </w:rPr>
            </w:pPr>
            <w:r>
              <w:rPr>
                <w:kern w:val="0"/>
                <w:sz w:val="15"/>
                <w:szCs w:val="15"/>
              </w:rPr>
              <w:t>1700~2400</w:t>
            </w:r>
            <w:r>
              <w:rPr>
                <w:rFonts w:hint="eastAsia"/>
                <w:kern w:val="0"/>
                <w:sz w:val="15"/>
                <w:szCs w:val="15"/>
              </w:rPr>
              <w:t>（含）</w:t>
            </w:r>
          </w:p>
        </w:tc>
        <w:tc>
          <w:tcPr>
            <w:tcW w:w="1029" w:type="dxa"/>
            <w:tcMar>
              <w:top w:w="6" w:type="dxa"/>
              <w:left w:w="6" w:type="dxa"/>
              <w:bottom w:w="6" w:type="dxa"/>
              <w:right w:w="6" w:type="dxa"/>
            </w:tcMar>
            <w:vAlign w:val="center"/>
          </w:tcPr>
          <w:p w14:paraId="2D8CE6F6">
            <w:pPr>
              <w:autoSpaceDE w:val="0"/>
              <w:autoSpaceDN w:val="0"/>
              <w:ind w:firstLine="150" w:firstLineChars="100"/>
              <w:jc w:val="left"/>
              <w:rPr>
                <w:kern w:val="0"/>
                <w:sz w:val="15"/>
                <w:szCs w:val="15"/>
              </w:rPr>
            </w:pPr>
            <w:r>
              <w:rPr>
                <w:kern w:val="0"/>
                <w:sz w:val="15"/>
                <w:szCs w:val="15"/>
              </w:rPr>
              <w:t>2400~3100</w:t>
            </w:r>
            <w:r>
              <w:rPr>
                <w:rFonts w:hint="eastAsia"/>
                <w:kern w:val="0"/>
                <w:sz w:val="15"/>
                <w:szCs w:val="15"/>
              </w:rPr>
              <w:t>（含）</w:t>
            </w:r>
          </w:p>
        </w:tc>
      </w:tr>
      <w:tr w14:paraId="7D12A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995" w:type="dxa"/>
            <w:vMerge w:val="continue"/>
            <w:tcMar>
              <w:top w:w="6" w:type="dxa"/>
              <w:left w:w="6" w:type="dxa"/>
              <w:bottom w:w="6" w:type="dxa"/>
              <w:right w:w="6" w:type="dxa"/>
            </w:tcMar>
            <w:vAlign w:val="center"/>
          </w:tcPr>
          <w:p w14:paraId="3EC8AA6E">
            <w:pPr>
              <w:autoSpaceDE w:val="0"/>
              <w:autoSpaceDN w:val="0"/>
              <w:ind w:firstLine="300"/>
              <w:jc w:val="left"/>
              <w:rPr>
                <w:kern w:val="0"/>
                <w:sz w:val="15"/>
                <w:szCs w:val="15"/>
              </w:rPr>
            </w:pPr>
          </w:p>
        </w:tc>
        <w:tc>
          <w:tcPr>
            <w:tcW w:w="1166" w:type="dxa"/>
            <w:tcMar>
              <w:top w:w="6" w:type="dxa"/>
              <w:left w:w="6" w:type="dxa"/>
              <w:bottom w:w="6" w:type="dxa"/>
              <w:right w:w="6" w:type="dxa"/>
            </w:tcMar>
            <w:vAlign w:val="center"/>
          </w:tcPr>
          <w:p w14:paraId="333F0B83">
            <w:pPr>
              <w:autoSpaceDE w:val="0"/>
              <w:autoSpaceDN w:val="0"/>
              <w:jc w:val="left"/>
              <w:rPr>
                <w:kern w:val="0"/>
                <w:sz w:val="15"/>
                <w:szCs w:val="15"/>
              </w:rPr>
            </w:pPr>
            <w:r>
              <w:rPr>
                <w:rFonts w:hint="eastAsia"/>
                <w:kern w:val="0"/>
                <w:sz w:val="15"/>
                <w:szCs w:val="15"/>
              </w:rPr>
              <w:t>行人占据空间</w:t>
            </w:r>
          </w:p>
        </w:tc>
        <w:tc>
          <w:tcPr>
            <w:tcW w:w="669" w:type="dxa"/>
            <w:tcMar>
              <w:top w:w="6" w:type="dxa"/>
              <w:left w:w="6" w:type="dxa"/>
              <w:bottom w:w="6" w:type="dxa"/>
              <w:right w:w="6" w:type="dxa"/>
            </w:tcMar>
            <w:vAlign w:val="center"/>
          </w:tcPr>
          <w:p w14:paraId="14A97A5B">
            <w:pPr>
              <w:autoSpaceDE w:val="0"/>
              <w:autoSpaceDN w:val="0"/>
              <w:ind w:firstLine="199" w:firstLineChars="133"/>
              <w:jc w:val="left"/>
              <w:rPr>
                <w:kern w:val="0"/>
                <w:sz w:val="15"/>
                <w:szCs w:val="15"/>
              </w:rPr>
            </w:pPr>
            <w:r>
              <w:rPr>
                <w:rFonts w:hint="eastAsia"/>
                <w:kern w:val="0"/>
                <w:sz w:val="15"/>
                <w:szCs w:val="15"/>
              </w:rPr>
              <w:t>≥</w:t>
            </w:r>
            <w:r>
              <w:rPr>
                <w:kern w:val="0"/>
                <w:sz w:val="15"/>
                <w:szCs w:val="15"/>
              </w:rPr>
              <w:t>2</w:t>
            </w:r>
          </w:p>
        </w:tc>
        <w:tc>
          <w:tcPr>
            <w:tcW w:w="1186" w:type="dxa"/>
            <w:tcMar>
              <w:top w:w="6" w:type="dxa"/>
              <w:left w:w="6" w:type="dxa"/>
              <w:bottom w:w="6" w:type="dxa"/>
              <w:right w:w="6" w:type="dxa"/>
            </w:tcMar>
            <w:vAlign w:val="center"/>
          </w:tcPr>
          <w:p w14:paraId="44C7BFC3">
            <w:pPr>
              <w:autoSpaceDE w:val="0"/>
              <w:autoSpaceDN w:val="0"/>
              <w:ind w:firstLine="199" w:firstLineChars="133"/>
              <w:jc w:val="left"/>
              <w:rPr>
                <w:kern w:val="0"/>
                <w:sz w:val="15"/>
                <w:szCs w:val="15"/>
              </w:rPr>
            </w:pPr>
            <w:r>
              <w:rPr>
                <w:kern w:val="0"/>
                <w:sz w:val="15"/>
                <w:szCs w:val="15"/>
              </w:rPr>
              <w:t>1.5</w:t>
            </w:r>
            <w:r>
              <w:rPr>
                <w:rFonts w:hint="eastAsia"/>
                <w:kern w:val="0"/>
                <w:sz w:val="15"/>
                <w:szCs w:val="15"/>
              </w:rPr>
              <w:t>（含）</w:t>
            </w:r>
            <w:r>
              <w:rPr>
                <w:kern w:val="0"/>
                <w:sz w:val="15"/>
                <w:szCs w:val="15"/>
              </w:rPr>
              <w:t>~2</w:t>
            </w:r>
          </w:p>
        </w:tc>
        <w:tc>
          <w:tcPr>
            <w:tcW w:w="1184" w:type="dxa"/>
            <w:tcMar>
              <w:top w:w="6" w:type="dxa"/>
              <w:left w:w="6" w:type="dxa"/>
              <w:bottom w:w="6" w:type="dxa"/>
              <w:right w:w="6" w:type="dxa"/>
            </w:tcMar>
            <w:vAlign w:val="center"/>
          </w:tcPr>
          <w:p w14:paraId="3E14795A">
            <w:pPr>
              <w:autoSpaceDE w:val="0"/>
              <w:autoSpaceDN w:val="0"/>
              <w:jc w:val="left"/>
              <w:rPr>
                <w:kern w:val="0"/>
                <w:sz w:val="15"/>
                <w:szCs w:val="15"/>
              </w:rPr>
            </w:pPr>
            <w:r>
              <w:rPr>
                <w:kern w:val="0"/>
                <w:sz w:val="15"/>
                <w:szCs w:val="15"/>
              </w:rPr>
              <w:t>1</w:t>
            </w:r>
            <w:r>
              <w:rPr>
                <w:rFonts w:hint="eastAsia"/>
                <w:kern w:val="0"/>
                <w:sz w:val="15"/>
                <w:szCs w:val="15"/>
              </w:rPr>
              <w:t>（含）</w:t>
            </w:r>
            <w:r>
              <w:rPr>
                <w:kern w:val="0"/>
                <w:sz w:val="15"/>
                <w:szCs w:val="15"/>
              </w:rPr>
              <w:t>~1.5</w:t>
            </w:r>
          </w:p>
        </w:tc>
        <w:tc>
          <w:tcPr>
            <w:tcW w:w="1029" w:type="dxa"/>
            <w:tcMar>
              <w:top w:w="6" w:type="dxa"/>
              <w:left w:w="6" w:type="dxa"/>
              <w:bottom w:w="6" w:type="dxa"/>
              <w:right w:w="6" w:type="dxa"/>
            </w:tcMar>
            <w:vAlign w:val="center"/>
          </w:tcPr>
          <w:p w14:paraId="32803F8C">
            <w:pPr>
              <w:autoSpaceDE w:val="0"/>
              <w:autoSpaceDN w:val="0"/>
              <w:jc w:val="left"/>
              <w:rPr>
                <w:kern w:val="0"/>
                <w:sz w:val="15"/>
                <w:szCs w:val="15"/>
              </w:rPr>
            </w:pPr>
            <w:r>
              <w:rPr>
                <w:kern w:val="0"/>
                <w:sz w:val="15"/>
                <w:szCs w:val="15"/>
              </w:rPr>
              <w:t>0.7</w:t>
            </w:r>
            <w:r>
              <w:rPr>
                <w:rFonts w:hint="eastAsia"/>
                <w:kern w:val="0"/>
                <w:sz w:val="15"/>
                <w:szCs w:val="15"/>
              </w:rPr>
              <w:t>（含）</w:t>
            </w:r>
            <w:r>
              <w:rPr>
                <w:kern w:val="0"/>
                <w:sz w:val="15"/>
                <w:szCs w:val="15"/>
              </w:rPr>
              <w:t>~1</w:t>
            </w:r>
          </w:p>
        </w:tc>
      </w:tr>
      <w:tr w14:paraId="586D8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995" w:type="dxa"/>
            <w:vMerge w:val="restart"/>
            <w:tcMar>
              <w:top w:w="6" w:type="dxa"/>
              <w:left w:w="6" w:type="dxa"/>
              <w:bottom w:w="6" w:type="dxa"/>
              <w:right w:w="6" w:type="dxa"/>
            </w:tcMar>
            <w:vAlign w:val="center"/>
          </w:tcPr>
          <w:p w14:paraId="5088D1EF">
            <w:pPr>
              <w:autoSpaceDE w:val="0"/>
              <w:autoSpaceDN w:val="0"/>
              <w:jc w:val="left"/>
              <w:rPr>
                <w:kern w:val="0"/>
                <w:sz w:val="15"/>
                <w:szCs w:val="15"/>
              </w:rPr>
            </w:pPr>
            <w:r>
              <w:rPr>
                <w:kern w:val="0"/>
                <w:sz w:val="15"/>
                <w:szCs w:val="15"/>
              </w:rPr>
              <w:t>1m</w:t>
            </w:r>
            <w:r>
              <w:rPr>
                <w:rFonts w:hint="eastAsia"/>
                <w:kern w:val="0"/>
                <w:sz w:val="15"/>
                <w:szCs w:val="15"/>
              </w:rPr>
              <w:t>宽下行楼梯</w:t>
            </w:r>
          </w:p>
        </w:tc>
        <w:tc>
          <w:tcPr>
            <w:tcW w:w="1166" w:type="dxa"/>
            <w:tcMar>
              <w:top w:w="6" w:type="dxa"/>
              <w:left w:w="6" w:type="dxa"/>
              <w:bottom w:w="6" w:type="dxa"/>
              <w:right w:w="6" w:type="dxa"/>
            </w:tcMar>
            <w:vAlign w:val="center"/>
          </w:tcPr>
          <w:p w14:paraId="2BEA9CE9">
            <w:pPr>
              <w:autoSpaceDE w:val="0"/>
              <w:autoSpaceDN w:val="0"/>
              <w:ind w:firstLine="199" w:firstLineChars="133"/>
              <w:jc w:val="left"/>
              <w:rPr>
                <w:kern w:val="0"/>
                <w:sz w:val="15"/>
                <w:szCs w:val="15"/>
              </w:rPr>
            </w:pPr>
            <w:r>
              <w:rPr>
                <w:rFonts w:hint="eastAsia"/>
                <w:kern w:val="0"/>
                <w:sz w:val="15"/>
                <w:szCs w:val="15"/>
              </w:rPr>
              <w:t>通行能力</w:t>
            </w:r>
          </w:p>
        </w:tc>
        <w:tc>
          <w:tcPr>
            <w:tcW w:w="669" w:type="dxa"/>
            <w:tcMar>
              <w:top w:w="6" w:type="dxa"/>
              <w:left w:w="6" w:type="dxa"/>
              <w:bottom w:w="6" w:type="dxa"/>
              <w:right w:w="6" w:type="dxa"/>
            </w:tcMar>
            <w:vAlign w:val="center"/>
          </w:tcPr>
          <w:p w14:paraId="62925D60">
            <w:pPr>
              <w:autoSpaceDE w:val="0"/>
              <w:autoSpaceDN w:val="0"/>
              <w:ind w:firstLine="150" w:firstLineChars="100"/>
              <w:jc w:val="left"/>
              <w:rPr>
                <w:kern w:val="0"/>
                <w:sz w:val="15"/>
                <w:szCs w:val="15"/>
              </w:rPr>
            </w:pPr>
            <w:r>
              <w:rPr>
                <w:rFonts w:hint="eastAsia"/>
                <w:kern w:val="0"/>
                <w:sz w:val="15"/>
                <w:szCs w:val="15"/>
              </w:rPr>
              <w:t>≤</w:t>
            </w:r>
            <w:r>
              <w:rPr>
                <w:kern w:val="0"/>
                <w:sz w:val="15"/>
                <w:szCs w:val="15"/>
              </w:rPr>
              <w:t>1200</w:t>
            </w:r>
          </w:p>
        </w:tc>
        <w:tc>
          <w:tcPr>
            <w:tcW w:w="1186" w:type="dxa"/>
            <w:tcMar>
              <w:top w:w="6" w:type="dxa"/>
              <w:left w:w="6" w:type="dxa"/>
              <w:bottom w:w="6" w:type="dxa"/>
              <w:right w:w="6" w:type="dxa"/>
            </w:tcMar>
            <w:vAlign w:val="center"/>
          </w:tcPr>
          <w:p w14:paraId="241517B3">
            <w:pPr>
              <w:autoSpaceDE w:val="0"/>
              <w:autoSpaceDN w:val="0"/>
              <w:jc w:val="left"/>
              <w:rPr>
                <w:kern w:val="0"/>
                <w:sz w:val="15"/>
                <w:szCs w:val="15"/>
              </w:rPr>
            </w:pPr>
            <w:r>
              <w:rPr>
                <w:kern w:val="0"/>
                <w:sz w:val="15"/>
                <w:szCs w:val="15"/>
              </w:rPr>
              <w:t>1200~2200</w:t>
            </w:r>
            <w:r>
              <w:rPr>
                <w:rFonts w:hint="eastAsia"/>
                <w:kern w:val="0"/>
                <w:sz w:val="15"/>
                <w:szCs w:val="15"/>
              </w:rPr>
              <w:t>（含）</w:t>
            </w:r>
          </w:p>
        </w:tc>
        <w:tc>
          <w:tcPr>
            <w:tcW w:w="1184" w:type="dxa"/>
            <w:tcMar>
              <w:top w:w="6" w:type="dxa"/>
              <w:left w:w="6" w:type="dxa"/>
              <w:bottom w:w="6" w:type="dxa"/>
              <w:right w:w="6" w:type="dxa"/>
            </w:tcMar>
            <w:vAlign w:val="center"/>
          </w:tcPr>
          <w:p w14:paraId="583AF01D">
            <w:pPr>
              <w:autoSpaceDE w:val="0"/>
              <w:autoSpaceDN w:val="0"/>
              <w:jc w:val="left"/>
              <w:rPr>
                <w:kern w:val="0"/>
                <w:sz w:val="15"/>
                <w:szCs w:val="15"/>
              </w:rPr>
            </w:pPr>
            <w:r>
              <w:rPr>
                <w:kern w:val="0"/>
                <w:sz w:val="15"/>
                <w:szCs w:val="15"/>
              </w:rPr>
              <w:t>2200~2600</w:t>
            </w:r>
            <w:r>
              <w:rPr>
                <w:rFonts w:hint="eastAsia"/>
                <w:kern w:val="0"/>
                <w:sz w:val="15"/>
                <w:szCs w:val="15"/>
              </w:rPr>
              <w:t>（含）</w:t>
            </w:r>
          </w:p>
        </w:tc>
        <w:tc>
          <w:tcPr>
            <w:tcW w:w="1029" w:type="dxa"/>
            <w:tcMar>
              <w:top w:w="6" w:type="dxa"/>
              <w:left w:w="6" w:type="dxa"/>
              <w:bottom w:w="6" w:type="dxa"/>
              <w:right w:w="6" w:type="dxa"/>
            </w:tcMar>
            <w:vAlign w:val="center"/>
          </w:tcPr>
          <w:p w14:paraId="681A6A51">
            <w:pPr>
              <w:autoSpaceDE w:val="0"/>
              <w:autoSpaceDN w:val="0"/>
              <w:ind w:firstLine="150" w:firstLineChars="100"/>
              <w:jc w:val="left"/>
              <w:rPr>
                <w:kern w:val="0"/>
                <w:sz w:val="15"/>
                <w:szCs w:val="15"/>
              </w:rPr>
            </w:pPr>
            <w:r>
              <w:rPr>
                <w:kern w:val="0"/>
                <w:sz w:val="15"/>
                <w:szCs w:val="15"/>
              </w:rPr>
              <w:t>2600~3400</w:t>
            </w:r>
            <w:r>
              <w:rPr>
                <w:rFonts w:hint="eastAsia"/>
                <w:kern w:val="0"/>
                <w:sz w:val="15"/>
                <w:szCs w:val="15"/>
              </w:rPr>
              <w:t>（含）</w:t>
            </w:r>
          </w:p>
        </w:tc>
      </w:tr>
      <w:tr w14:paraId="124F3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995" w:type="dxa"/>
            <w:vMerge w:val="continue"/>
            <w:tcMar>
              <w:top w:w="6" w:type="dxa"/>
              <w:left w:w="6" w:type="dxa"/>
              <w:bottom w:w="6" w:type="dxa"/>
              <w:right w:w="6" w:type="dxa"/>
            </w:tcMar>
            <w:vAlign w:val="center"/>
          </w:tcPr>
          <w:p w14:paraId="7BF482A8">
            <w:pPr>
              <w:autoSpaceDE w:val="0"/>
              <w:autoSpaceDN w:val="0"/>
              <w:ind w:firstLine="300"/>
              <w:jc w:val="left"/>
              <w:rPr>
                <w:kern w:val="0"/>
                <w:sz w:val="15"/>
                <w:szCs w:val="15"/>
              </w:rPr>
            </w:pPr>
          </w:p>
        </w:tc>
        <w:tc>
          <w:tcPr>
            <w:tcW w:w="1166" w:type="dxa"/>
            <w:tcMar>
              <w:top w:w="6" w:type="dxa"/>
              <w:left w:w="6" w:type="dxa"/>
              <w:bottom w:w="6" w:type="dxa"/>
              <w:right w:w="6" w:type="dxa"/>
            </w:tcMar>
            <w:vAlign w:val="center"/>
          </w:tcPr>
          <w:p w14:paraId="6E455CF7">
            <w:pPr>
              <w:autoSpaceDE w:val="0"/>
              <w:autoSpaceDN w:val="0"/>
              <w:jc w:val="left"/>
              <w:rPr>
                <w:kern w:val="0"/>
                <w:sz w:val="15"/>
                <w:szCs w:val="15"/>
              </w:rPr>
            </w:pPr>
            <w:r>
              <w:rPr>
                <w:rFonts w:hint="eastAsia"/>
                <w:kern w:val="0"/>
                <w:sz w:val="15"/>
                <w:szCs w:val="15"/>
              </w:rPr>
              <w:t>行人占据空间</w:t>
            </w:r>
          </w:p>
        </w:tc>
        <w:tc>
          <w:tcPr>
            <w:tcW w:w="669" w:type="dxa"/>
            <w:tcMar>
              <w:top w:w="6" w:type="dxa"/>
              <w:left w:w="6" w:type="dxa"/>
              <w:bottom w:w="6" w:type="dxa"/>
              <w:right w:w="6" w:type="dxa"/>
            </w:tcMar>
            <w:vAlign w:val="center"/>
          </w:tcPr>
          <w:p w14:paraId="760C6C55">
            <w:pPr>
              <w:autoSpaceDE w:val="0"/>
              <w:autoSpaceDN w:val="0"/>
              <w:ind w:firstLine="199" w:firstLineChars="133"/>
              <w:jc w:val="left"/>
              <w:rPr>
                <w:kern w:val="0"/>
                <w:sz w:val="15"/>
                <w:szCs w:val="15"/>
              </w:rPr>
            </w:pPr>
            <w:r>
              <w:rPr>
                <w:rFonts w:hint="eastAsia"/>
                <w:kern w:val="0"/>
                <w:sz w:val="15"/>
                <w:szCs w:val="15"/>
              </w:rPr>
              <w:t>≥</w:t>
            </w:r>
            <w:r>
              <w:rPr>
                <w:kern w:val="0"/>
                <w:sz w:val="15"/>
                <w:szCs w:val="15"/>
              </w:rPr>
              <w:t>2.5</w:t>
            </w:r>
          </w:p>
        </w:tc>
        <w:tc>
          <w:tcPr>
            <w:tcW w:w="1186" w:type="dxa"/>
            <w:tcMar>
              <w:top w:w="6" w:type="dxa"/>
              <w:left w:w="6" w:type="dxa"/>
              <w:bottom w:w="6" w:type="dxa"/>
              <w:right w:w="6" w:type="dxa"/>
            </w:tcMar>
            <w:vAlign w:val="center"/>
          </w:tcPr>
          <w:p w14:paraId="55A4FBC7">
            <w:pPr>
              <w:autoSpaceDE w:val="0"/>
              <w:autoSpaceDN w:val="0"/>
              <w:ind w:firstLine="199" w:firstLineChars="133"/>
              <w:jc w:val="left"/>
              <w:rPr>
                <w:kern w:val="0"/>
                <w:sz w:val="15"/>
                <w:szCs w:val="15"/>
              </w:rPr>
            </w:pPr>
            <w:r>
              <w:rPr>
                <w:kern w:val="0"/>
                <w:sz w:val="15"/>
                <w:szCs w:val="15"/>
              </w:rPr>
              <w:t>2</w:t>
            </w:r>
            <w:r>
              <w:rPr>
                <w:rFonts w:hint="eastAsia"/>
                <w:kern w:val="0"/>
                <w:sz w:val="15"/>
                <w:szCs w:val="15"/>
              </w:rPr>
              <w:t>（含）</w:t>
            </w:r>
            <w:r>
              <w:rPr>
                <w:kern w:val="0"/>
                <w:sz w:val="15"/>
                <w:szCs w:val="15"/>
              </w:rPr>
              <w:t>~2.5</w:t>
            </w:r>
          </w:p>
        </w:tc>
        <w:tc>
          <w:tcPr>
            <w:tcW w:w="1184" w:type="dxa"/>
            <w:tcMar>
              <w:top w:w="6" w:type="dxa"/>
              <w:left w:w="6" w:type="dxa"/>
              <w:bottom w:w="6" w:type="dxa"/>
              <w:right w:w="6" w:type="dxa"/>
            </w:tcMar>
            <w:vAlign w:val="center"/>
          </w:tcPr>
          <w:p w14:paraId="355BE7B9">
            <w:pPr>
              <w:autoSpaceDE w:val="0"/>
              <w:autoSpaceDN w:val="0"/>
              <w:jc w:val="left"/>
              <w:rPr>
                <w:kern w:val="0"/>
                <w:sz w:val="15"/>
                <w:szCs w:val="15"/>
              </w:rPr>
            </w:pPr>
            <w:r>
              <w:rPr>
                <w:kern w:val="0"/>
                <w:sz w:val="15"/>
                <w:szCs w:val="15"/>
              </w:rPr>
              <w:t>1.5</w:t>
            </w:r>
            <w:r>
              <w:rPr>
                <w:rFonts w:hint="eastAsia"/>
                <w:kern w:val="0"/>
                <w:sz w:val="15"/>
                <w:szCs w:val="15"/>
              </w:rPr>
              <w:t>（含）</w:t>
            </w:r>
            <w:r>
              <w:rPr>
                <w:kern w:val="0"/>
                <w:sz w:val="15"/>
                <w:szCs w:val="15"/>
              </w:rPr>
              <w:t>~2</w:t>
            </w:r>
          </w:p>
        </w:tc>
        <w:tc>
          <w:tcPr>
            <w:tcW w:w="1029" w:type="dxa"/>
            <w:tcMar>
              <w:top w:w="6" w:type="dxa"/>
              <w:left w:w="6" w:type="dxa"/>
              <w:bottom w:w="6" w:type="dxa"/>
              <w:right w:w="6" w:type="dxa"/>
            </w:tcMar>
            <w:vAlign w:val="center"/>
          </w:tcPr>
          <w:p w14:paraId="21D5634C">
            <w:pPr>
              <w:autoSpaceDE w:val="0"/>
              <w:autoSpaceDN w:val="0"/>
              <w:ind w:firstLine="150" w:firstLineChars="100"/>
              <w:jc w:val="left"/>
              <w:rPr>
                <w:kern w:val="0"/>
                <w:sz w:val="15"/>
                <w:szCs w:val="15"/>
              </w:rPr>
            </w:pPr>
            <w:r>
              <w:rPr>
                <w:kern w:val="0"/>
                <w:sz w:val="15"/>
                <w:szCs w:val="15"/>
              </w:rPr>
              <w:t>1</w:t>
            </w:r>
            <w:r>
              <w:rPr>
                <w:rFonts w:hint="eastAsia"/>
                <w:kern w:val="0"/>
                <w:sz w:val="15"/>
                <w:szCs w:val="15"/>
              </w:rPr>
              <w:t>（含）</w:t>
            </w:r>
            <w:r>
              <w:rPr>
                <w:kern w:val="0"/>
                <w:sz w:val="15"/>
                <w:szCs w:val="15"/>
              </w:rPr>
              <w:t>~1.5</w:t>
            </w:r>
          </w:p>
        </w:tc>
      </w:tr>
      <w:tr w14:paraId="18CCE2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995" w:type="dxa"/>
            <w:vMerge w:val="restart"/>
            <w:tcMar>
              <w:top w:w="6" w:type="dxa"/>
              <w:left w:w="6" w:type="dxa"/>
              <w:bottom w:w="6" w:type="dxa"/>
              <w:right w:w="6" w:type="dxa"/>
            </w:tcMar>
            <w:vAlign w:val="center"/>
          </w:tcPr>
          <w:p w14:paraId="0345B555">
            <w:pPr>
              <w:autoSpaceDE w:val="0"/>
              <w:autoSpaceDN w:val="0"/>
              <w:jc w:val="left"/>
              <w:rPr>
                <w:kern w:val="0"/>
                <w:sz w:val="15"/>
                <w:szCs w:val="15"/>
              </w:rPr>
            </w:pPr>
            <w:r>
              <w:rPr>
                <w:kern w:val="0"/>
                <w:sz w:val="15"/>
                <w:szCs w:val="15"/>
              </w:rPr>
              <w:t>1m</w:t>
            </w:r>
            <w:r>
              <w:rPr>
                <w:rFonts w:hint="eastAsia"/>
                <w:kern w:val="0"/>
                <w:sz w:val="15"/>
                <w:szCs w:val="15"/>
              </w:rPr>
              <w:t>宽双向混行楼梯</w:t>
            </w:r>
          </w:p>
        </w:tc>
        <w:tc>
          <w:tcPr>
            <w:tcW w:w="1166" w:type="dxa"/>
            <w:tcMar>
              <w:top w:w="6" w:type="dxa"/>
              <w:left w:w="6" w:type="dxa"/>
              <w:bottom w:w="6" w:type="dxa"/>
              <w:right w:w="6" w:type="dxa"/>
            </w:tcMar>
            <w:vAlign w:val="center"/>
          </w:tcPr>
          <w:p w14:paraId="244A3973">
            <w:pPr>
              <w:autoSpaceDE w:val="0"/>
              <w:autoSpaceDN w:val="0"/>
              <w:ind w:firstLine="199" w:firstLineChars="133"/>
              <w:jc w:val="left"/>
              <w:rPr>
                <w:kern w:val="0"/>
                <w:sz w:val="15"/>
                <w:szCs w:val="15"/>
              </w:rPr>
            </w:pPr>
            <w:r>
              <w:rPr>
                <w:rFonts w:hint="eastAsia"/>
                <w:kern w:val="0"/>
                <w:sz w:val="15"/>
                <w:szCs w:val="15"/>
              </w:rPr>
              <w:t>通行能力</w:t>
            </w:r>
          </w:p>
        </w:tc>
        <w:tc>
          <w:tcPr>
            <w:tcW w:w="669" w:type="dxa"/>
            <w:tcMar>
              <w:top w:w="6" w:type="dxa"/>
              <w:left w:w="6" w:type="dxa"/>
              <w:bottom w:w="6" w:type="dxa"/>
              <w:right w:w="6" w:type="dxa"/>
            </w:tcMar>
            <w:vAlign w:val="center"/>
          </w:tcPr>
          <w:p w14:paraId="4E8AB3C4">
            <w:pPr>
              <w:autoSpaceDE w:val="0"/>
              <w:autoSpaceDN w:val="0"/>
              <w:ind w:firstLine="150" w:firstLineChars="100"/>
              <w:jc w:val="left"/>
              <w:rPr>
                <w:kern w:val="0"/>
                <w:sz w:val="15"/>
                <w:szCs w:val="15"/>
              </w:rPr>
            </w:pPr>
            <w:r>
              <w:rPr>
                <w:rFonts w:hint="eastAsia"/>
                <w:kern w:val="0"/>
                <w:sz w:val="15"/>
                <w:szCs w:val="15"/>
              </w:rPr>
              <w:t>≤</w:t>
            </w:r>
            <w:r>
              <w:rPr>
                <w:kern w:val="0"/>
                <w:sz w:val="15"/>
                <w:szCs w:val="15"/>
              </w:rPr>
              <w:t>1100</w:t>
            </w:r>
          </w:p>
        </w:tc>
        <w:tc>
          <w:tcPr>
            <w:tcW w:w="1186" w:type="dxa"/>
            <w:tcMar>
              <w:top w:w="6" w:type="dxa"/>
              <w:left w:w="6" w:type="dxa"/>
              <w:bottom w:w="6" w:type="dxa"/>
              <w:right w:w="6" w:type="dxa"/>
            </w:tcMar>
            <w:vAlign w:val="center"/>
          </w:tcPr>
          <w:p w14:paraId="3A1F3F85">
            <w:pPr>
              <w:autoSpaceDE w:val="0"/>
              <w:autoSpaceDN w:val="0"/>
              <w:jc w:val="left"/>
              <w:rPr>
                <w:kern w:val="0"/>
                <w:sz w:val="15"/>
                <w:szCs w:val="15"/>
              </w:rPr>
            </w:pPr>
            <w:r>
              <w:rPr>
                <w:kern w:val="0"/>
                <w:sz w:val="15"/>
                <w:szCs w:val="15"/>
              </w:rPr>
              <w:t>1100~1600</w:t>
            </w:r>
            <w:r>
              <w:rPr>
                <w:rFonts w:hint="eastAsia"/>
                <w:kern w:val="0"/>
                <w:sz w:val="15"/>
                <w:szCs w:val="15"/>
              </w:rPr>
              <w:t>（含）</w:t>
            </w:r>
          </w:p>
        </w:tc>
        <w:tc>
          <w:tcPr>
            <w:tcW w:w="1184" w:type="dxa"/>
            <w:tcMar>
              <w:top w:w="6" w:type="dxa"/>
              <w:left w:w="6" w:type="dxa"/>
              <w:bottom w:w="6" w:type="dxa"/>
              <w:right w:w="6" w:type="dxa"/>
            </w:tcMar>
            <w:vAlign w:val="center"/>
          </w:tcPr>
          <w:p w14:paraId="5BD49892">
            <w:pPr>
              <w:autoSpaceDE w:val="0"/>
              <w:autoSpaceDN w:val="0"/>
              <w:jc w:val="left"/>
              <w:rPr>
                <w:kern w:val="0"/>
                <w:sz w:val="15"/>
                <w:szCs w:val="15"/>
              </w:rPr>
            </w:pPr>
            <w:r>
              <w:rPr>
                <w:kern w:val="0"/>
                <w:sz w:val="15"/>
                <w:szCs w:val="15"/>
              </w:rPr>
              <w:t>1600~2000</w:t>
            </w:r>
            <w:r>
              <w:rPr>
                <w:rFonts w:hint="eastAsia"/>
                <w:kern w:val="0"/>
                <w:sz w:val="15"/>
                <w:szCs w:val="15"/>
              </w:rPr>
              <w:t>（含）</w:t>
            </w:r>
          </w:p>
        </w:tc>
        <w:tc>
          <w:tcPr>
            <w:tcW w:w="1029" w:type="dxa"/>
            <w:tcMar>
              <w:top w:w="6" w:type="dxa"/>
              <w:left w:w="6" w:type="dxa"/>
              <w:bottom w:w="6" w:type="dxa"/>
              <w:right w:w="6" w:type="dxa"/>
            </w:tcMar>
            <w:vAlign w:val="center"/>
          </w:tcPr>
          <w:p w14:paraId="05EE0F48">
            <w:pPr>
              <w:autoSpaceDE w:val="0"/>
              <w:autoSpaceDN w:val="0"/>
              <w:jc w:val="left"/>
              <w:rPr>
                <w:kern w:val="0"/>
                <w:sz w:val="15"/>
                <w:szCs w:val="15"/>
              </w:rPr>
            </w:pPr>
            <w:r>
              <w:rPr>
                <w:kern w:val="0"/>
                <w:sz w:val="15"/>
                <w:szCs w:val="15"/>
              </w:rPr>
              <w:t>2000~2600</w:t>
            </w:r>
            <w:r>
              <w:rPr>
                <w:rFonts w:hint="eastAsia"/>
                <w:kern w:val="0"/>
                <w:sz w:val="15"/>
                <w:szCs w:val="15"/>
              </w:rPr>
              <w:t>（含）</w:t>
            </w:r>
          </w:p>
        </w:tc>
      </w:tr>
      <w:tr w14:paraId="34FDF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995" w:type="dxa"/>
            <w:vMerge w:val="continue"/>
            <w:tcMar>
              <w:top w:w="6" w:type="dxa"/>
              <w:left w:w="6" w:type="dxa"/>
              <w:bottom w:w="6" w:type="dxa"/>
              <w:right w:w="6" w:type="dxa"/>
            </w:tcMar>
            <w:vAlign w:val="center"/>
          </w:tcPr>
          <w:p w14:paraId="07162119">
            <w:pPr>
              <w:autoSpaceDE w:val="0"/>
              <w:autoSpaceDN w:val="0"/>
              <w:ind w:firstLine="300"/>
              <w:jc w:val="left"/>
              <w:rPr>
                <w:kern w:val="0"/>
                <w:sz w:val="15"/>
                <w:szCs w:val="15"/>
              </w:rPr>
            </w:pPr>
          </w:p>
        </w:tc>
        <w:tc>
          <w:tcPr>
            <w:tcW w:w="1166" w:type="dxa"/>
            <w:tcMar>
              <w:top w:w="6" w:type="dxa"/>
              <w:left w:w="6" w:type="dxa"/>
              <w:bottom w:w="6" w:type="dxa"/>
              <w:right w:w="6" w:type="dxa"/>
            </w:tcMar>
            <w:vAlign w:val="center"/>
          </w:tcPr>
          <w:p w14:paraId="77007ED7">
            <w:pPr>
              <w:autoSpaceDE w:val="0"/>
              <w:autoSpaceDN w:val="0"/>
              <w:jc w:val="left"/>
              <w:rPr>
                <w:kern w:val="0"/>
                <w:sz w:val="15"/>
                <w:szCs w:val="15"/>
              </w:rPr>
            </w:pPr>
            <w:r>
              <w:rPr>
                <w:rFonts w:hint="eastAsia"/>
                <w:kern w:val="0"/>
                <w:sz w:val="15"/>
                <w:szCs w:val="15"/>
              </w:rPr>
              <w:t>行人占据空间</w:t>
            </w:r>
          </w:p>
        </w:tc>
        <w:tc>
          <w:tcPr>
            <w:tcW w:w="669" w:type="dxa"/>
            <w:tcMar>
              <w:top w:w="6" w:type="dxa"/>
              <w:left w:w="6" w:type="dxa"/>
              <w:bottom w:w="6" w:type="dxa"/>
              <w:right w:w="6" w:type="dxa"/>
            </w:tcMar>
            <w:vAlign w:val="center"/>
          </w:tcPr>
          <w:p w14:paraId="690EF83D">
            <w:pPr>
              <w:autoSpaceDE w:val="0"/>
              <w:autoSpaceDN w:val="0"/>
              <w:ind w:firstLine="199" w:firstLineChars="133"/>
              <w:jc w:val="left"/>
              <w:rPr>
                <w:kern w:val="0"/>
                <w:sz w:val="15"/>
                <w:szCs w:val="15"/>
              </w:rPr>
            </w:pPr>
            <w:r>
              <w:rPr>
                <w:rFonts w:hint="eastAsia"/>
                <w:kern w:val="0"/>
                <w:sz w:val="15"/>
                <w:szCs w:val="15"/>
              </w:rPr>
              <w:t>≥</w:t>
            </w:r>
            <w:r>
              <w:rPr>
                <w:kern w:val="0"/>
                <w:sz w:val="15"/>
                <w:szCs w:val="15"/>
              </w:rPr>
              <w:t>2</w:t>
            </w:r>
          </w:p>
        </w:tc>
        <w:tc>
          <w:tcPr>
            <w:tcW w:w="1186" w:type="dxa"/>
            <w:tcMar>
              <w:top w:w="6" w:type="dxa"/>
              <w:left w:w="6" w:type="dxa"/>
              <w:bottom w:w="6" w:type="dxa"/>
              <w:right w:w="6" w:type="dxa"/>
            </w:tcMar>
            <w:vAlign w:val="center"/>
          </w:tcPr>
          <w:p w14:paraId="7E5618FE">
            <w:pPr>
              <w:autoSpaceDE w:val="0"/>
              <w:autoSpaceDN w:val="0"/>
              <w:ind w:firstLine="199" w:firstLineChars="133"/>
              <w:jc w:val="left"/>
              <w:rPr>
                <w:kern w:val="0"/>
                <w:sz w:val="15"/>
                <w:szCs w:val="15"/>
              </w:rPr>
            </w:pPr>
            <w:r>
              <w:rPr>
                <w:kern w:val="0"/>
                <w:sz w:val="15"/>
                <w:szCs w:val="15"/>
              </w:rPr>
              <w:t>1.5</w:t>
            </w:r>
            <w:r>
              <w:rPr>
                <w:rFonts w:hint="eastAsia"/>
                <w:kern w:val="0"/>
                <w:sz w:val="15"/>
                <w:szCs w:val="15"/>
              </w:rPr>
              <w:t>（含）</w:t>
            </w:r>
            <w:r>
              <w:rPr>
                <w:kern w:val="0"/>
                <w:sz w:val="15"/>
                <w:szCs w:val="15"/>
              </w:rPr>
              <w:t>~2</w:t>
            </w:r>
          </w:p>
        </w:tc>
        <w:tc>
          <w:tcPr>
            <w:tcW w:w="1184" w:type="dxa"/>
            <w:tcMar>
              <w:top w:w="6" w:type="dxa"/>
              <w:left w:w="6" w:type="dxa"/>
              <w:bottom w:w="6" w:type="dxa"/>
              <w:right w:w="6" w:type="dxa"/>
            </w:tcMar>
            <w:vAlign w:val="center"/>
          </w:tcPr>
          <w:p w14:paraId="4809CA80">
            <w:pPr>
              <w:autoSpaceDE w:val="0"/>
              <w:autoSpaceDN w:val="0"/>
              <w:ind w:firstLine="199" w:firstLineChars="133"/>
              <w:jc w:val="left"/>
              <w:rPr>
                <w:kern w:val="0"/>
                <w:sz w:val="15"/>
                <w:szCs w:val="15"/>
              </w:rPr>
            </w:pPr>
            <w:r>
              <w:rPr>
                <w:kern w:val="0"/>
                <w:sz w:val="15"/>
                <w:szCs w:val="15"/>
              </w:rPr>
              <w:t>1</w:t>
            </w:r>
            <w:r>
              <w:rPr>
                <w:rFonts w:hint="eastAsia"/>
                <w:kern w:val="0"/>
                <w:sz w:val="15"/>
                <w:szCs w:val="15"/>
              </w:rPr>
              <w:t>（含）</w:t>
            </w:r>
            <w:r>
              <w:rPr>
                <w:kern w:val="0"/>
                <w:sz w:val="15"/>
                <w:szCs w:val="15"/>
              </w:rPr>
              <w:t>~1.5</w:t>
            </w:r>
          </w:p>
        </w:tc>
        <w:tc>
          <w:tcPr>
            <w:tcW w:w="1029" w:type="dxa"/>
            <w:tcMar>
              <w:top w:w="6" w:type="dxa"/>
              <w:left w:w="6" w:type="dxa"/>
              <w:bottom w:w="6" w:type="dxa"/>
              <w:right w:w="6" w:type="dxa"/>
            </w:tcMar>
            <w:vAlign w:val="center"/>
          </w:tcPr>
          <w:p w14:paraId="3AAA5EA7">
            <w:pPr>
              <w:autoSpaceDE w:val="0"/>
              <w:autoSpaceDN w:val="0"/>
              <w:ind w:firstLine="150" w:firstLineChars="100"/>
              <w:jc w:val="left"/>
              <w:rPr>
                <w:kern w:val="0"/>
                <w:sz w:val="15"/>
                <w:szCs w:val="15"/>
              </w:rPr>
            </w:pPr>
            <w:r>
              <w:rPr>
                <w:kern w:val="0"/>
                <w:sz w:val="15"/>
                <w:szCs w:val="15"/>
              </w:rPr>
              <w:t>0.7</w:t>
            </w:r>
            <w:r>
              <w:rPr>
                <w:rFonts w:hint="eastAsia"/>
                <w:kern w:val="0"/>
                <w:sz w:val="15"/>
                <w:szCs w:val="15"/>
              </w:rPr>
              <w:t>（含）</w:t>
            </w:r>
            <w:r>
              <w:rPr>
                <w:kern w:val="0"/>
                <w:sz w:val="15"/>
                <w:szCs w:val="15"/>
              </w:rPr>
              <w:t>~1</w:t>
            </w:r>
          </w:p>
        </w:tc>
      </w:tr>
      <w:tr w14:paraId="5A844E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995" w:type="dxa"/>
            <w:vMerge w:val="restart"/>
            <w:tcMar>
              <w:top w:w="6" w:type="dxa"/>
              <w:left w:w="6" w:type="dxa"/>
              <w:bottom w:w="6" w:type="dxa"/>
              <w:right w:w="6" w:type="dxa"/>
            </w:tcMar>
            <w:vAlign w:val="center"/>
          </w:tcPr>
          <w:p w14:paraId="0D24BF3E">
            <w:pPr>
              <w:autoSpaceDE w:val="0"/>
              <w:autoSpaceDN w:val="0"/>
              <w:ind w:firstLine="199" w:firstLineChars="133"/>
              <w:jc w:val="left"/>
              <w:rPr>
                <w:kern w:val="0"/>
                <w:sz w:val="15"/>
                <w:szCs w:val="15"/>
              </w:rPr>
            </w:pPr>
            <w:r>
              <w:rPr>
                <w:rFonts w:hint="eastAsia"/>
                <w:kern w:val="0"/>
                <w:sz w:val="15"/>
                <w:szCs w:val="15"/>
              </w:rPr>
              <w:t>自动扶梯</w:t>
            </w:r>
          </w:p>
        </w:tc>
        <w:tc>
          <w:tcPr>
            <w:tcW w:w="1166" w:type="dxa"/>
            <w:tcMar>
              <w:top w:w="6" w:type="dxa"/>
              <w:left w:w="6" w:type="dxa"/>
              <w:bottom w:w="6" w:type="dxa"/>
              <w:right w:w="6" w:type="dxa"/>
            </w:tcMar>
            <w:vAlign w:val="center"/>
          </w:tcPr>
          <w:p w14:paraId="55C967AB">
            <w:pPr>
              <w:autoSpaceDE w:val="0"/>
              <w:autoSpaceDN w:val="0"/>
              <w:jc w:val="left"/>
              <w:rPr>
                <w:kern w:val="0"/>
                <w:sz w:val="15"/>
                <w:szCs w:val="15"/>
              </w:rPr>
            </w:pPr>
            <w:r>
              <w:rPr>
                <w:rFonts w:hint="eastAsia"/>
                <w:kern w:val="0"/>
                <w:sz w:val="15"/>
                <w:szCs w:val="15"/>
              </w:rPr>
              <w:t>通行能力</w:t>
            </w:r>
            <w:r>
              <w:rPr>
                <w:kern w:val="0"/>
                <w:sz w:val="15"/>
                <w:szCs w:val="15"/>
              </w:rPr>
              <w:t>0.5m/s</w:t>
            </w:r>
          </w:p>
          <w:p w14:paraId="2A9AE32A">
            <w:pPr>
              <w:autoSpaceDE w:val="0"/>
              <w:autoSpaceDN w:val="0"/>
              <w:ind w:firstLine="300"/>
              <w:jc w:val="left"/>
              <w:rPr>
                <w:kern w:val="0"/>
                <w:sz w:val="15"/>
                <w:szCs w:val="15"/>
              </w:rPr>
            </w:pPr>
            <w:r>
              <w:rPr>
                <w:kern w:val="0"/>
                <w:sz w:val="15"/>
                <w:szCs w:val="15"/>
              </w:rPr>
              <w:t>(</w:t>
            </w:r>
            <w:r>
              <w:rPr>
                <w:rFonts w:hint="eastAsia"/>
                <w:kern w:val="0"/>
                <w:sz w:val="15"/>
                <w:szCs w:val="15"/>
              </w:rPr>
              <w:t>人</w:t>
            </w:r>
            <w:r>
              <w:rPr>
                <w:kern w:val="0"/>
                <w:sz w:val="15"/>
                <w:szCs w:val="15"/>
              </w:rPr>
              <w:t>/</w:t>
            </w:r>
            <w:r>
              <w:rPr>
                <w:rFonts w:hint="eastAsia"/>
                <w:kern w:val="0"/>
                <w:sz w:val="15"/>
                <w:szCs w:val="15"/>
              </w:rPr>
              <w:t>小时</w:t>
            </w:r>
            <w:r>
              <w:rPr>
                <w:kern w:val="0"/>
                <w:sz w:val="15"/>
                <w:szCs w:val="15"/>
              </w:rPr>
              <w:t>)</w:t>
            </w:r>
          </w:p>
        </w:tc>
        <w:tc>
          <w:tcPr>
            <w:tcW w:w="669" w:type="dxa"/>
            <w:tcMar>
              <w:top w:w="6" w:type="dxa"/>
              <w:left w:w="6" w:type="dxa"/>
              <w:bottom w:w="6" w:type="dxa"/>
              <w:right w:w="6" w:type="dxa"/>
            </w:tcMar>
            <w:vAlign w:val="center"/>
          </w:tcPr>
          <w:p w14:paraId="13098625">
            <w:pPr>
              <w:autoSpaceDE w:val="0"/>
              <w:autoSpaceDN w:val="0"/>
              <w:ind w:firstLine="150" w:firstLineChars="100"/>
              <w:jc w:val="left"/>
              <w:rPr>
                <w:kern w:val="0"/>
                <w:sz w:val="15"/>
                <w:szCs w:val="15"/>
              </w:rPr>
            </w:pPr>
            <w:r>
              <w:rPr>
                <w:rFonts w:hint="eastAsia"/>
                <w:kern w:val="0"/>
                <w:sz w:val="15"/>
                <w:szCs w:val="15"/>
              </w:rPr>
              <w:t>≤</w:t>
            </w:r>
            <w:r>
              <w:rPr>
                <w:kern w:val="0"/>
                <w:sz w:val="15"/>
                <w:szCs w:val="15"/>
              </w:rPr>
              <w:t>2500</w:t>
            </w:r>
          </w:p>
        </w:tc>
        <w:tc>
          <w:tcPr>
            <w:tcW w:w="1186" w:type="dxa"/>
            <w:tcMar>
              <w:top w:w="6" w:type="dxa"/>
              <w:left w:w="6" w:type="dxa"/>
              <w:bottom w:w="6" w:type="dxa"/>
              <w:right w:w="6" w:type="dxa"/>
            </w:tcMar>
            <w:vAlign w:val="center"/>
          </w:tcPr>
          <w:p w14:paraId="6F6C02A5">
            <w:pPr>
              <w:autoSpaceDE w:val="0"/>
              <w:autoSpaceDN w:val="0"/>
              <w:jc w:val="left"/>
              <w:rPr>
                <w:kern w:val="0"/>
                <w:sz w:val="15"/>
                <w:szCs w:val="15"/>
              </w:rPr>
            </w:pPr>
            <w:r>
              <w:rPr>
                <w:kern w:val="0"/>
                <w:sz w:val="15"/>
                <w:szCs w:val="15"/>
              </w:rPr>
              <w:t>2500~3500</w:t>
            </w:r>
            <w:r>
              <w:rPr>
                <w:rFonts w:hint="eastAsia"/>
                <w:kern w:val="0"/>
                <w:sz w:val="15"/>
                <w:szCs w:val="15"/>
              </w:rPr>
              <w:t>（含）</w:t>
            </w:r>
          </w:p>
        </w:tc>
        <w:tc>
          <w:tcPr>
            <w:tcW w:w="1184" w:type="dxa"/>
            <w:tcMar>
              <w:top w:w="6" w:type="dxa"/>
              <w:left w:w="6" w:type="dxa"/>
              <w:bottom w:w="6" w:type="dxa"/>
              <w:right w:w="6" w:type="dxa"/>
            </w:tcMar>
            <w:vAlign w:val="center"/>
          </w:tcPr>
          <w:p w14:paraId="1DAE5F8A">
            <w:pPr>
              <w:autoSpaceDE w:val="0"/>
              <w:autoSpaceDN w:val="0"/>
              <w:jc w:val="left"/>
              <w:rPr>
                <w:kern w:val="0"/>
                <w:sz w:val="15"/>
                <w:szCs w:val="15"/>
              </w:rPr>
            </w:pPr>
            <w:r>
              <w:rPr>
                <w:kern w:val="0"/>
                <w:sz w:val="15"/>
                <w:szCs w:val="15"/>
              </w:rPr>
              <w:t>3500~4500</w:t>
            </w:r>
            <w:r>
              <w:rPr>
                <w:rFonts w:hint="eastAsia"/>
                <w:kern w:val="0"/>
                <w:sz w:val="15"/>
                <w:szCs w:val="15"/>
              </w:rPr>
              <w:t>（含）</w:t>
            </w:r>
          </w:p>
        </w:tc>
        <w:tc>
          <w:tcPr>
            <w:tcW w:w="1029" w:type="dxa"/>
            <w:tcMar>
              <w:top w:w="6" w:type="dxa"/>
              <w:left w:w="6" w:type="dxa"/>
              <w:bottom w:w="6" w:type="dxa"/>
              <w:right w:w="6" w:type="dxa"/>
            </w:tcMar>
            <w:vAlign w:val="center"/>
          </w:tcPr>
          <w:p w14:paraId="459404AE">
            <w:pPr>
              <w:autoSpaceDE w:val="0"/>
              <w:autoSpaceDN w:val="0"/>
              <w:jc w:val="left"/>
              <w:rPr>
                <w:kern w:val="0"/>
                <w:sz w:val="15"/>
                <w:szCs w:val="15"/>
              </w:rPr>
            </w:pPr>
            <w:r>
              <w:rPr>
                <w:kern w:val="0"/>
                <w:sz w:val="15"/>
                <w:szCs w:val="15"/>
              </w:rPr>
              <w:t>4500~5400</w:t>
            </w:r>
            <w:r>
              <w:rPr>
                <w:rFonts w:hint="eastAsia"/>
                <w:kern w:val="0"/>
                <w:sz w:val="15"/>
                <w:szCs w:val="15"/>
              </w:rPr>
              <w:t>（含）</w:t>
            </w:r>
          </w:p>
        </w:tc>
      </w:tr>
      <w:tr w14:paraId="516FFB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995" w:type="dxa"/>
            <w:vMerge w:val="continue"/>
            <w:tcMar>
              <w:top w:w="6" w:type="dxa"/>
              <w:left w:w="6" w:type="dxa"/>
              <w:bottom w:w="6" w:type="dxa"/>
              <w:right w:w="6" w:type="dxa"/>
            </w:tcMar>
            <w:vAlign w:val="center"/>
          </w:tcPr>
          <w:p w14:paraId="20D74090">
            <w:pPr>
              <w:autoSpaceDE w:val="0"/>
              <w:autoSpaceDN w:val="0"/>
              <w:ind w:firstLine="300"/>
              <w:jc w:val="left"/>
              <w:rPr>
                <w:kern w:val="0"/>
                <w:sz w:val="15"/>
                <w:szCs w:val="15"/>
              </w:rPr>
            </w:pPr>
          </w:p>
        </w:tc>
        <w:tc>
          <w:tcPr>
            <w:tcW w:w="1166" w:type="dxa"/>
            <w:tcMar>
              <w:top w:w="6" w:type="dxa"/>
              <w:left w:w="6" w:type="dxa"/>
              <w:bottom w:w="6" w:type="dxa"/>
              <w:right w:w="6" w:type="dxa"/>
            </w:tcMar>
            <w:vAlign w:val="center"/>
          </w:tcPr>
          <w:p w14:paraId="7CD4A96D">
            <w:pPr>
              <w:autoSpaceDE w:val="0"/>
              <w:autoSpaceDN w:val="0"/>
              <w:jc w:val="left"/>
              <w:rPr>
                <w:kern w:val="0"/>
                <w:sz w:val="15"/>
                <w:szCs w:val="15"/>
              </w:rPr>
            </w:pPr>
            <w:r>
              <w:rPr>
                <w:rFonts w:hint="eastAsia"/>
                <w:kern w:val="0"/>
                <w:sz w:val="15"/>
                <w:szCs w:val="15"/>
              </w:rPr>
              <w:t>通行能力</w:t>
            </w:r>
            <w:r>
              <w:rPr>
                <w:kern w:val="0"/>
                <w:sz w:val="15"/>
                <w:szCs w:val="15"/>
              </w:rPr>
              <w:t>0.65m/s</w:t>
            </w:r>
          </w:p>
          <w:p w14:paraId="0574C7FE">
            <w:pPr>
              <w:autoSpaceDE w:val="0"/>
              <w:autoSpaceDN w:val="0"/>
              <w:ind w:firstLine="300"/>
              <w:jc w:val="left"/>
              <w:rPr>
                <w:kern w:val="0"/>
                <w:sz w:val="15"/>
                <w:szCs w:val="15"/>
              </w:rPr>
            </w:pPr>
            <w:r>
              <w:rPr>
                <w:kern w:val="0"/>
                <w:sz w:val="15"/>
                <w:szCs w:val="15"/>
              </w:rPr>
              <w:t>(</w:t>
            </w:r>
            <w:r>
              <w:rPr>
                <w:rFonts w:hint="eastAsia"/>
                <w:kern w:val="0"/>
                <w:sz w:val="15"/>
                <w:szCs w:val="15"/>
              </w:rPr>
              <w:t>人</w:t>
            </w:r>
            <w:r>
              <w:rPr>
                <w:kern w:val="0"/>
                <w:sz w:val="15"/>
                <w:szCs w:val="15"/>
              </w:rPr>
              <w:t>/</w:t>
            </w:r>
            <w:r>
              <w:rPr>
                <w:rFonts w:hint="eastAsia"/>
                <w:kern w:val="0"/>
                <w:sz w:val="15"/>
                <w:szCs w:val="15"/>
              </w:rPr>
              <w:t>小时</w:t>
            </w:r>
            <w:r>
              <w:rPr>
                <w:kern w:val="0"/>
                <w:sz w:val="15"/>
                <w:szCs w:val="15"/>
              </w:rPr>
              <w:t>)</w:t>
            </w:r>
          </w:p>
        </w:tc>
        <w:tc>
          <w:tcPr>
            <w:tcW w:w="669" w:type="dxa"/>
            <w:tcMar>
              <w:top w:w="6" w:type="dxa"/>
              <w:left w:w="6" w:type="dxa"/>
              <w:bottom w:w="6" w:type="dxa"/>
              <w:right w:w="6" w:type="dxa"/>
            </w:tcMar>
            <w:vAlign w:val="center"/>
          </w:tcPr>
          <w:p w14:paraId="6C290575">
            <w:pPr>
              <w:autoSpaceDE w:val="0"/>
              <w:autoSpaceDN w:val="0"/>
              <w:ind w:firstLine="150" w:firstLineChars="100"/>
              <w:jc w:val="left"/>
              <w:rPr>
                <w:kern w:val="0"/>
                <w:sz w:val="15"/>
                <w:szCs w:val="15"/>
              </w:rPr>
            </w:pPr>
            <w:r>
              <w:rPr>
                <w:rFonts w:hint="eastAsia"/>
                <w:kern w:val="0"/>
                <w:sz w:val="15"/>
                <w:szCs w:val="15"/>
              </w:rPr>
              <w:t>≤</w:t>
            </w:r>
            <w:r>
              <w:rPr>
                <w:kern w:val="0"/>
                <w:sz w:val="15"/>
                <w:szCs w:val="15"/>
              </w:rPr>
              <w:t>3600</w:t>
            </w:r>
          </w:p>
        </w:tc>
        <w:tc>
          <w:tcPr>
            <w:tcW w:w="1186" w:type="dxa"/>
            <w:tcMar>
              <w:top w:w="6" w:type="dxa"/>
              <w:left w:w="6" w:type="dxa"/>
              <w:bottom w:w="6" w:type="dxa"/>
              <w:right w:w="6" w:type="dxa"/>
            </w:tcMar>
            <w:vAlign w:val="center"/>
          </w:tcPr>
          <w:p w14:paraId="7CC33D74">
            <w:pPr>
              <w:autoSpaceDE w:val="0"/>
              <w:autoSpaceDN w:val="0"/>
              <w:jc w:val="left"/>
              <w:rPr>
                <w:kern w:val="0"/>
                <w:sz w:val="15"/>
                <w:szCs w:val="15"/>
              </w:rPr>
            </w:pPr>
            <w:r>
              <w:rPr>
                <w:kern w:val="0"/>
                <w:sz w:val="15"/>
                <w:szCs w:val="15"/>
              </w:rPr>
              <w:t>3600~4000</w:t>
            </w:r>
            <w:r>
              <w:rPr>
                <w:rFonts w:hint="eastAsia"/>
                <w:kern w:val="0"/>
                <w:sz w:val="15"/>
                <w:szCs w:val="15"/>
              </w:rPr>
              <w:t>（含）</w:t>
            </w:r>
          </w:p>
        </w:tc>
        <w:tc>
          <w:tcPr>
            <w:tcW w:w="1184" w:type="dxa"/>
            <w:tcMar>
              <w:top w:w="6" w:type="dxa"/>
              <w:left w:w="6" w:type="dxa"/>
              <w:bottom w:w="6" w:type="dxa"/>
              <w:right w:w="6" w:type="dxa"/>
            </w:tcMar>
            <w:vAlign w:val="center"/>
          </w:tcPr>
          <w:p w14:paraId="69199754">
            <w:pPr>
              <w:autoSpaceDE w:val="0"/>
              <w:autoSpaceDN w:val="0"/>
              <w:jc w:val="left"/>
              <w:rPr>
                <w:kern w:val="0"/>
                <w:sz w:val="15"/>
                <w:szCs w:val="15"/>
              </w:rPr>
            </w:pPr>
            <w:r>
              <w:rPr>
                <w:kern w:val="0"/>
                <w:sz w:val="15"/>
                <w:szCs w:val="15"/>
              </w:rPr>
              <w:t>4000~4800</w:t>
            </w:r>
            <w:r>
              <w:rPr>
                <w:rFonts w:hint="eastAsia"/>
                <w:kern w:val="0"/>
                <w:sz w:val="15"/>
                <w:szCs w:val="15"/>
              </w:rPr>
              <w:t>（含）</w:t>
            </w:r>
          </w:p>
        </w:tc>
        <w:tc>
          <w:tcPr>
            <w:tcW w:w="1029" w:type="dxa"/>
            <w:tcMar>
              <w:top w:w="6" w:type="dxa"/>
              <w:left w:w="6" w:type="dxa"/>
              <w:bottom w:w="6" w:type="dxa"/>
              <w:right w:w="6" w:type="dxa"/>
            </w:tcMar>
            <w:vAlign w:val="center"/>
          </w:tcPr>
          <w:p w14:paraId="15CF6C07">
            <w:pPr>
              <w:autoSpaceDE w:val="0"/>
              <w:autoSpaceDN w:val="0"/>
              <w:jc w:val="left"/>
              <w:rPr>
                <w:kern w:val="0"/>
                <w:sz w:val="15"/>
                <w:szCs w:val="15"/>
              </w:rPr>
            </w:pPr>
            <w:r>
              <w:rPr>
                <w:kern w:val="0"/>
                <w:sz w:val="15"/>
                <w:szCs w:val="15"/>
              </w:rPr>
              <w:t>4800~5800</w:t>
            </w:r>
            <w:r>
              <w:rPr>
                <w:rFonts w:hint="eastAsia"/>
                <w:kern w:val="0"/>
                <w:sz w:val="15"/>
                <w:szCs w:val="15"/>
              </w:rPr>
              <w:t>（含）</w:t>
            </w:r>
          </w:p>
        </w:tc>
      </w:tr>
      <w:tr w14:paraId="7F9567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995" w:type="dxa"/>
            <w:vMerge w:val="continue"/>
            <w:tcMar>
              <w:top w:w="6" w:type="dxa"/>
              <w:left w:w="6" w:type="dxa"/>
              <w:bottom w:w="6" w:type="dxa"/>
              <w:right w:w="6" w:type="dxa"/>
            </w:tcMar>
            <w:vAlign w:val="center"/>
          </w:tcPr>
          <w:p w14:paraId="500A3EA7">
            <w:pPr>
              <w:autoSpaceDE w:val="0"/>
              <w:autoSpaceDN w:val="0"/>
              <w:ind w:firstLine="300"/>
              <w:jc w:val="left"/>
              <w:rPr>
                <w:kern w:val="0"/>
                <w:sz w:val="15"/>
                <w:szCs w:val="15"/>
              </w:rPr>
            </w:pPr>
          </w:p>
        </w:tc>
        <w:tc>
          <w:tcPr>
            <w:tcW w:w="1166" w:type="dxa"/>
            <w:tcMar>
              <w:top w:w="6" w:type="dxa"/>
              <w:left w:w="6" w:type="dxa"/>
              <w:bottom w:w="6" w:type="dxa"/>
              <w:right w:w="6" w:type="dxa"/>
            </w:tcMar>
            <w:vAlign w:val="center"/>
          </w:tcPr>
          <w:p w14:paraId="341264C9">
            <w:pPr>
              <w:autoSpaceDE w:val="0"/>
              <w:autoSpaceDN w:val="0"/>
              <w:jc w:val="left"/>
              <w:rPr>
                <w:kern w:val="0"/>
                <w:sz w:val="15"/>
                <w:szCs w:val="15"/>
              </w:rPr>
            </w:pPr>
            <w:r>
              <w:rPr>
                <w:rFonts w:hint="eastAsia"/>
                <w:kern w:val="0"/>
                <w:sz w:val="15"/>
                <w:szCs w:val="15"/>
              </w:rPr>
              <w:t>行人占据空间</w:t>
            </w:r>
          </w:p>
          <w:p w14:paraId="40B13DE0">
            <w:pPr>
              <w:autoSpaceDE w:val="0"/>
              <w:autoSpaceDN w:val="0"/>
              <w:ind w:firstLine="300"/>
              <w:jc w:val="left"/>
              <w:rPr>
                <w:kern w:val="0"/>
                <w:sz w:val="15"/>
                <w:szCs w:val="15"/>
              </w:rPr>
            </w:pPr>
            <w:r>
              <w:rPr>
                <w:rFonts w:hint="eastAsia"/>
                <w:kern w:val="0"/>
                <w:sz w:val="15"/>
                <w:szCs w:val="15"/>
              </w:rPr>
              <w:t>（</w:t>
            </w:r>
            <w:r>
              <w:rPr>
                <w:kern w:val="0"/>
                <w:sz w:val="15"/>
                <w:szCs w:val="15"/>
              </w:rPr>
              <w:t>m</w:t>
            </w:r>
            <w:r>
              <w:rPr>
                <w:rFonts w:hint="eastAsia" w:ascii="宋体" w:hAnsi="宋体"/>
                <w:kern w:val="0"/>
                <w:sz w:val="15"/>
                <w:szCs w:val="15"/>
              </w:rPr>
              <w:t>²</w:t>
            </w:r>
            <w:r>
              <w:rPr>
                <w:kern w:val="0"/>
                <w:sz w:val="15"/>
                <w:szCs w:val="15"/>
              </w:rPr>
              <w:t>/</w:t>
            </w:r>
            <w:r>
              <w:rPr>
                <w:rFonts w:hint="eastAsia"/>
                <w:kern w:val="0"/>
                <w:sz w:val="15"/>
                <w:szCs w:val="15"/>
              </w:rPr>
              <w:t>人）</w:t>
            </w:r>
          </w:p>
        </w:tc>
        <w:tc>
          <w:tcPr>
            <w:tcW w:w="669" w:type="dxa"/>
            <w:tcMar>
              <w:top w:w="6" w:type="dxa"/>
              <w:left w:w="6" w:type="dxa"/>
              <w:bottom w:w="6" w:type="dxa"/>
              <w:right w:w="6" w:type="dxa"/>
            </w:tcMar>
            <w:vAlign w:val="center"/>
          </w:tcPr>
          <w:p w14:paraId="6A9F7F75">
            <w:pPr>
              <w:autoSpaceDE w:val="0"/>
              <w:autoSpaceDN w:val="0"/>
              <w:ind w:firstLine="150" w:firstLineChars="100"/>
              <w:jc w:val="left"/>
              <w:rPr>
                <w:kern w:val="0"/>
                <w:sz w:val="15"/>
                <w:szCs w:val="15"/>
              </w:rPr>
            </w:pPr>
            <w:r>
              <w:rPr>
                <w:rFonts w:hint="eastAsia"/>
                <w:kern w:val="0"/>
                <w:sz w:val="15"/>
                <w:szCs w:val="15"/>
              </w:rPr>
              <w:t>≥</w:t>
            </w:r>
            <w:r>
              <w:rPr>
                <w:kern w:val="0"/>
                <w:sz w:val="15"/>
                <w:szCs w:val="15"/>
              </w:rPr>
              <w:t>0.75</w:t>
            </w:r>
          </w:p>
        </w:tc>
        <w:tc>
          <w:tcPr>
            <w:tcW w:w="1186" w:type="dxa"/>
            <w:tcMar>
              <w:top w:w="6" w:type="dxa"/>
              <w:left w:w="6" w:type="dxa"/>
              <w:bottom w:w="6" w:type="dxa"/>
              <w:right w:w="6" w:type="dxa"/>
            </w:tcMar>
            <w:vAlign w:val="center"/>
          </w:tcPr>
          <w:p w14:paraId="03E9977B">
            <w:pPr>
              <w:autoSpaceDE w:val="0"/>
              <w:autoSpaceDN w:val="0"/>
              <w:jc w:val="left"/>
              <w:rPr>
                <w:kern w:val="0"/>
                <w:sz w:val="15"/>
                <w:szCs w:val="15"/>
              </w:rPr>
            </w:pPr>
            <w:r>
              <w:rPr>
                <w:kern w:val="0"/>
                <w:sz w:val="15"/>
                <w:szCs w:val="15"/>
              </w:rPr>
              <w:t>0.65</w:t>
            </w:r>
            <w:r>
              <w:rPr>
                <w:rFonts w:hint="eastAsia"/>
                <w:kern w:val="0"/>
                <w:sz w:val="15"/>
                <w:szCs w:val="15"/>
              </w:rPr>
              <w:t>（含）</w:t>
            </w:r>
            <w:r>
              <w:rPr>
                <w:kern w:val="0"/>
                <w:sz w:val="15"/>
                <w:szCs w:val="15"/>
              </w:rPr>
              <w:t>~0.75</w:t>
            </w:r>
          </w:p>
        </w:tc>
        <w:tc>
          <w:tcPr>
            <w:tcW w:w="1184" w:type="dxa"/>
            <w:tcMar>
              <w:top w:w="6" w:type="dxa"/>
              <w:left w:w="6" w:type="dxa"/>
              <w:bottom w:w="6" w:type="dxa"/>
              <w:right w:w="6" w:type="dxa"/>
            </w:tcMar>
            <w:vAlign w:val="center"/>
          </w:tcPr>
          <w:p w14:paraId="3364F358">
            <w:pPr>
              <w:autoSpaceDE w:val="0"/>
              <w:autoSpaceDN w:val="0"/>
              <w:jc w:val="left"/>
              <w:rPr>
                <w:kern w:val="0"/>
                <w:sz w:val="15"/>
                <w:szCs w:val="15"/>
              </w:rPr>
            </w:pPr>
            <w:r>
              <w:rPr>
                <w:kern w:val="0"/>
                <w:sz w:val="15"/>
                <w:szCs w:val="15"/>
              </w:rPr>
              <w:t>0.55</w:t>
            </w:r>
            <w:r>
              <w:rPr>
                <w:rFonts w:hint="eastAsia"/>
                <w:kern w:val="0"/>
                <w:sz w:val="15"/>
                <w:szCs w:val="15"/>
              </w:rPr>
              <w:t>（含）</w:t>
            </w:r>
            <w:r>
              <w:rPr>
                <w:kern w:val="0"/>
                <w:sz w:val="15"/>
                <w:szCs w:val="15"/>
              </w:rPr>
              <w:t>~0.65</w:t>
            </w:r>
          </w:p>
        </w:tc>
        <w:tc>
          <w:tcPr>
            <w:tcW w:w="1029" w:type="dxa"/>
            <w:tcMar>
              <w:top w:w="6" w:type="dxa"/>
              <w:left w:w="6" w:type="dxa"/>
              <w:bottom w:w="6" w:type="dxa"/>
              <w:right w:w="6" w:type="dxa"/>
            </w:tcMar>
            <w:vAlign w:val="center"/>
          </w:tcPr>
          <w:p w14:paraId="42D85082">
            <w:pPr>
              <w:autoSpaceDE w:val="0"/>
              <w:autoSpaceDN w:val="0"/>
              <w:jc w:val="left"/>
              <w:rPr>
                <w:kern w:val="0"/>
                <w:sz w:val="15"/>
                <w:szCs w:val="15"/>
              </w:rPr>
            </w:pPr>
            <w:r>
              <w:rPr>
                <w:kern w:val="0"/>
                <w:sz w:val="15"/>
                <w:szCs w:val="15"/>
              </w:rPr>
              <w:t>0.4</w:t>
            </w:r>
            <w:r>
              <w:rPr>
                <w:rFonts w:hint="eastAsia"/>
                <w:kern w:val="0"/>
                <w:sz w:val="15"/>
                <w:szCs w:val="15"/>
              </w:rPr>
              <w:t>（含）</w:t>
            </w:r>
            <w:r>
              <w:rPr>
                <w:kern w:val="0"/>
                <w:sz w:val="15"/>
                <w:szCs w:val="15"/>
              </w:rPr>
              <w:t>~0.55</w:t>
            </w:r>
          </w:p>
        </w:tc>
      </w:tr>
      <w:tr w14:paraId="635626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2161" w:type="dxa"/>
            <w:gridSpan w:val="2"/>
            <w:tcMar>
              <w:top w:w="6" w:type="dxa"/>
              <w:left w:w="6" w:type="dxa"/>
              <w:bottom w:w="6" w:type="dxa"/>
              <w:right w:w="6" w:type="dxa"/>
            </w:tcMar>
            <w:vAlign w:val="center"/>
          </w:tcPr>
          <w:p w14:paraId="21AC2AD7">
            <w:pPr>
              <w:autoSpaceDE w:val="0"/>
              <w:autoSpaceDN w:val="0"/>
              <w:ind w:firstLine="300"/>
              <w:jc w:val="left"/>
              <w:rPr>
                <w:kern w:val="0"/>
                <w:sz w:val="15"/>
                <w:szCs w:val="15"/>
              </w:rPr>
            </w:pPr>
            <w:r>
              <w:rPr>
                <w:rFonts w:hint="eastAsia"/>
                <w:kern w:val="0"/>
                <w:sz w:val="15"/>
                <w:szCs w:val="15"/>
              </w:rPr>
              <w:t>自动检票机</w:t>
            </w:r>
            <w:r>
              <w:rPr>
                <w:kern w:val="0"/>
                <w:sz w:val="15"/>
                <w:szCs w:val="15"/>
              </w:rPr>
              <w:t>(</w:t>
            </w:r>
            <w:r>
              <w:rPr>
                <w:rFonts w:hint="eastAsia"/>
                <w:kern w:val="0"/>
                <w:sz w:val="15"/>
                <w:szCs w:val="15"/>
              </w:rPr>
              <w:t>人</w:t>
            </w:r>
            <w:r>
              <w:rPr>
                <w:kern w:val="0"/>
                <w:sz w:val="15"/>
                <w:szCs w:val="15"/>
              </w:rPr>
              <w:t>/</w:t>
            </w:r>
            <w:r>
              <w:rPr>
                <w:rFonts w:hint="eastAsia"/>
                <w:kern w:val="0"/>
                <w:sz w:val="15"/>
                <w:szCs w:val="15"/>
              </w:rPr>
              <w:t>小时</w:t>
            </w:r>
            <w:r>
              <w:rPr>
                <w:kern w:val="0"/>
                <w:sz w:val="15"/>
                <w:szCs w:val="15"/>
              </w:rPr>
              <w:t>)</w:t>
            </w:r>
          </w:p>
        </w:tc>
        <w:tc>
          <w:tcPr>
            <w:tcW w:w="1855" w:type="dxa"/>
            <w:gridSpan w:val="2"/>
            <w:tcMar>
              <w:top w:w="6" w:type="dxa"/>
              <w:left w:w="6" w:type="dxa"/>
              <w:bottom w:w="6" w:type="dxa"/>
              <w:right w:w="6" w:type="dxa"/>
            </w:tcMar>
            <w:vAlign w:val="center"/>
          </w:tcPr>
          <w:p w14:paraId="64F446E8">
            <w:pPr>
              <w:autoSpaceDE w:val="0"/>
              <w:autoSpaceDN w:val="0"/>
              <w:ind w:firstLine="300"/>
              <w:jc w:val="left"/>
              <w:rPr>
                <w:kern w:val="0"/>
                <w:sz w:val="15"/>
                <w:szCs w:val="15"/>
              </w:rPr>
            </w:pPr>
            <w:r>
              <w:rPr>
                <w:kern w:val="0"/>
                <w:sz w:val="15"/>
                <w:szCs w:val="15"/>
              </w:rPr>
              <w:t>600</w:t>
            </w:r>
          </w:p>
        </w:tc>
        <w:tc>
          <w:tcPr>
            <w:tcW w:w="2213" w:type="dxa"/>
            <w:gridSpan w:val="2"/>
            <w:tcMar>
              <w:top w:w="6" w:type="dxa"/>
              <w:left w:w="6" w:type="dxa"/>
              <w:bottom w:w="6" w:type="dxa"/>
              <w:right w:w="6" w:type="dxa"/>
            </w:tcMar>
            <w:vAlign w:val="center"/>
          </w:tcPr>
          <w:p w14:paraId="0A511318">
            <w:pPr>
              <w:autoSpaceDE w:val="0"/>
              <w:autoSpaceDN w:val="0"/>
              <w:ind w:firstLine="300"/>
              <w:jc w:val="left"/>
              <w:rPr>
                <w:kern w:val="0"/>
                <w:sz w:val="15"/>
                <w:szCs w:val="15"/>
              </w:rPr>
            </w:pPr>
            <w:r>
              <w:rPr>
                <w:kern w:val="0"/>
                <w:sz w:val="15"/>
                <w:szCs w:val="15"/>
              </w:rPr>
              <w:t>1200</w:t>
            </w:r>
          </w:p>
        </w:tc>
      </w:tr>
      <w:tr w14:paraId="0C2DEA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6" w:type="dxa"/>
            <w:bottom w:w="6" w:type="dxa"/>
            <w:right w:w="6" w:type="dxa"/>
          </w:tblCellMar>
        </w:tblPrEx>
        <w:trPr>
          <w:cantSplit/>
          <w:trHeight w:val="272" w:hRule="atLeast"/>
        </w:trPr>
        <w:tc>
          <w:tcPr>
            <w:tcW w:w="2161" w:type="dxa"/>
            <w:gridSpan w:val="2"/>
            <w:tcMar>
              <w:top w:w="6" w:type="dxa"/>
              <w:left w:w="6" w:type="dxa"/>
              <w:bottom w:w="6" w:type="dxa"/>
              <w:right w:w="6" w:type="dxa"/>
            </w:tcMar>
            <w:vAlign w:val="center"/>
          </w:tcPr>
          <w:p w14:paraId="7B1F6C0B">
            <w:pPr>
              <w:autoSpaceDE w:val="0"/>
              <w:autoSpaceDN w:val="0"/>
              <w:ind w:firstLine="300"/>
              <w:jc w:val="left"/>
              <w:rPr>
                <w:kern w:val="0"/>
                <w:sz w:val="15"/>
                <w:szCs w:val="15"/>
              </w:rPr>
            </w:pPr>
            <w:r>
              <w:rPr>
                <w:rFonts w:hint="eastAsia"/>
                <w:kern w:val="0"/>
                <w:sz w:val="15"/>
                <w:szCs w:val="15"/>
              </w:rPr>
              <w:t>安检机</w:t>
            </w:r>
            <w:r>
              <w:rPr>
                <w:kern w:val="0"/>
                <w:sz w:val="15"/>
                <w:szCs w:val="15"/>
              </w:rPr>
              <w:t>(</w:t>
            </w:r>
            <w:r>
              <w:rPr>
                <w:rFonts w:hint="eastAsia"/>
                <w:kern w:val="0"/>
                <w:sz w:val="15"/>
                <w:szCs w:val="15"/>
              </w:rPr>
              <w:t>人</w:t>
            </w:r>
            <w:r>
              <w:rPr>
                <w:kern w:val="0"/>
                <w:sz w:val="15"/>
                <w:szCs w:val="15"/>
              </w:rPr>
              <w:t>/</w:t>
            </w:r>
            <w:r>
              <w:rPr>
                <w:rFonts w:hint="eastAsia"/>
                <w:kern w:val="0"/>
                <w:sz w:val="15"/>
                <w:szCs w:val="15"/>
              </w:rPr>
              <w:t>小时</w:t>
            </w:r>
            <w:r>
              <w:rPr>
                <w:kern w:val="0"/>
                <w:sz w:val="15"/>
                <w:szCs w:val="15"/>
              </w:rPr>
              <w:t>)</w:t>
            </w:r>
          </w:p>
        </w:tc>
        <w:tc>
          <w:tcPr>
            <w:tcW w:w="4068" w:type="dxa"/>
            <w:gridSpan w:val="4"/>
            <w:tcMar>
              <w:top w:w="6" w:type="dxa"/>
              <w:left w:w="6" w:type="dxa"/>
              <w:bottom w:w="6" w:type="dxa"/>
              <w:right w:w="6" w:type="dxa"/>
            </w:tcMar>
            <w:vAlign w:val="center"/>
          </w:tcPr>
          <w:p w14:paraId="7F80D30F">
            <w:pPr>
              <w:autoSpaceDE w:val="0"/>
              <w:autoSpaceDN w:val="0"/>
              <w:ind w:firstLine="300"/>
              <w:jc w:val="left"/>
              <w:rPr>
                <w:kern w:val="0"/>
                <w:sz w:val="15"/>
                <w:szCs w:val="15"/>
              </w:rPr>
            </w:pPr>
            <w:r>
              <w:rPr>
                <w:kern w:val="0"/>
                <w:sz w:val="15"/>
                <w:szCs w:val="15"/>
              </w:rPr>
              <w:t>1500</w:t>
            </w:r>
          </w:p>
        </w:tc>
      </w:tr>
      <w:bookmarkEnd w:id="2518"/>
    </w:tbl>
    <w:p w14:paraId="58861FF3">
      <w:pPr>
        <w:ind w:firstLine="420"/>
        <w:rPr>
          <w:rFonts w:cs="宋体"/>
          <w:szCs w:val="21"/>
        </w:rPr>
      </w:pPr>
      <w:r>
        <w:rPr>
          <w:rFonts w:hint="eastAsia" w:cs="宋体"/>
          <w:szCs w:val="21"/>
        </w:rPr>
        <w:t>借鉴</w:t>
      </w:r>
      <w:r>
        <w:rPr>
          <w:rFonts w:cs="宋体"/>
          <w:szCs w:val="21"/>
        </w:rPr>
        <w:t>2013</w:t>
      </w:r>
      <w:r>
        <w:rPr>
          <w:rFonts w:hint="eastAsia" w:cs="宋体"/>
          <w:szCs w:val="21"/>
        </w:rPr>
        <w:t>版地标在实际工程中的使用经验和反馈意见，根据车站客流特征的分类分级对各个设施通过能力逐一进行差异化折减过于复杂，因此，本次修编结合车站分级仅对枢纽级和城市级在日常通行能力的基础上建议考虑</w:t>
      </w:r>
      <w:r>
        <w:rPr>
          <w:rFonts w:cs="宋体"/>
          <w:szCs w:val="21"/>
        </w:rPr>
        <w:t>0.75~0.8</w:t>
      </w:r>
      <w:r>
        <w:rPr>
          <w:rFonts w:hint="eastAsia" w:cs="宋体"/>
          <w:szCs w:val="21"/>
        </w:rPr>
        <w:t>的折减系数，即执行服务水平“舒适”的标准，以便有效保证重点车站的服务水平。</w:t>
      </w:r>
    </w:p>
    <w:p w14:paraId="2C847F66">
      <w:r>
        <w:rPr>
          <w:b/>
        </w:rPr>
        <w:t xml:space="preserve">10.2.3 </w:t>
      </w:r>
      <w:r>
        <w:rPr>
          <w:rFonts w:hint="eastAsia"/>
        </w:rPr>
        <w:t xml:space="preserve"> </w:t>
      </w:r>
      <w:r>
        <w:t>根据《城市轨道交通工程项目规范》</w:t>
      </w:r>
      <w:r>
        <w:rPr>
          <w:rFonts w:hint="eastAsia"/>
        </w:rPr>
        <w:t>G</w:t>
      </w:r>
      <w:r>
        <w:t>B55033相关规定，</w:t>
      </w:r>
      <w:r>
        <w:rPr>
          <w:rFonts w:hint="eastAsia"/>
        </w:rPr>
        <w:t>简化规定车站最小净宽和最小净高部位，并对区间风井内疏散楼梯宽度进行修订。</w:t>
      </w:r>
    </w:p>
    <w:p w14:paraId="721848E3">
      <w:pPr>
        <w:rPr>
          <w:bCs/>
        </w:rPr>
      </w:pPr>
      <w:r>
        <w:rPr>
          <w:b/>
          <w:bCs/>
        </w:rPr>
        <w:t>10.3.1</w:t>
      </w:r>
      <w:r>
        <w:rPr>
          <w:rFonts w:hint="eastAsia"/>
          <w:bCs/>
        </w:rPr>
        <w:t xml:space="preserve">  从人性化服务角度强调车站选址及出入口设置位置对主客源地的服务要求。</w:t>
      </w:r>
    </w:p>
    <w:p w14:paraId="28B12EB1">
      <w:pPr>
        <w:rPr>
          <w:rFonts w:cs="宋体"/>
          <w:szCs w:val="21"/>
        </w:rPr>
      </w:pPr>
      <w:r>
        <w:rPr>
          <w:rFonts w:cs="宋体"/>
          <w:b/>
          <w:szCs w:val="21"/>
        </w:rPr>
        <w:t>10.3.2</w:t>
      </w:r>
      <w:r>
        <w:rPr>
          <w:rFonts w:hint="eastAsia" w:cs="宋体"/>
          <w:szCs w:val="21"/>
        </w:rPr>
        <w:t xml:space="preserve">  一体化站点、下沉广场站点应结合空间布局利用建筑侧立面消隐风井，利用建筑物屋顶消隐冷却塔；下沉广场四周上沿应在硬质边界边缘预留不小于</w:t>
      </w:r>
      <w:r>
        <w:rPr>
          <w:rFonts w:cs="宋体"/>
          <w:szCs w:val="21"/>
        </w:rPr>
        <w:t>60cm</w:t>
      </w:r>
      <w:r>
        <w:rPr>
          <w:rFonts w:hint="eastAsia" w:cs="宋体"/>
          <w:szCs w:val="21"/>
        </w:rPr>
        <w:t>的种植槽，通过垂直绿化降低地面温度，营造小气候环境，垂直绿化率应不小于</w:t>
      </w:r>
      <w:r>
        <w:rPr>
          <w:rFonts w:cs="宋体"/>
          <w:szCs w:val="21"/>
        </w:rPr>
        <w:t>60%</w:t>
      </w:r>
      <w:r>
        <w:rPr>
          <w:rFonts w:hint="eastAsia" w:cs="宋体"/>
          <w:szCs w:val="21"/>
        </w:rPr>
        <w:t>；与开发地块地下层连通的地铁出入口通道，应采取分步提升的方式。在约</w:t>
      </w:r>
      <w:r>
        <w:rPr>
          <w:rFonts w:cs="宋体"/>
          <w:szCs w:val="21"/>
        </w:rPr>
        <w:t>-5.4~-8.4m</w:t>
      </w:r>
      <w:r>
        <w:rPr>
          <w:rFonts w:hint="eastAsia" w:cs="宋体"/>
          <w:szCs w:val="21"/>
        </w:rPr>
        <w:t>高度设置转换平台，预留衔接条件。</w:t>
      </w:r>
    </w:p>
    <w:p w14:paraId="30590A74">
      <w:pPr>
        <w:rPr>
          <w:rFonts w:cs="宋体"/>
          <w:szCs w:val="21"/>
        </w:rPr>
      </w:pPr>
      <w:r>
        <w:rPr>
          <w:rFonts w:cs="宋体"/>
          <w:b/>
          <w:szCs w:val="21"/>
        </w:rPr>
        <w:t>10.3.3</w:t>
      </w:r>
      <w:r>
        <w:rPr>
          <w:rFonts w:hint="eastAsia" w:cs="宋体"/>
          <w:b/>
          <w:szCs w:val="21"/>
        </w:rPr>
        <w:t xml:space="preserve">  </w:t>
      </w:r>
      <w:r>
        <w:rPr>
          <w:rFonts w:hint="eastAsia" w:cs="宋体"/>
          <w:szCs w:val="21"/>
        </w:rPr>
        <w:t>为了更好的控制规模，提出车站站位和附属设施设置位置应考虑节省占地、充分利用空间的要求。车站应结合线路、场地等工程条件，压缩车站占地规模或开挖深度；合理利用配线区、附属设施外挂区、结构预留层、区间桥下等空间，设置轨道运营或站址区域综合配套服务的各类功能需求。</w:t>
      </w:r>
    </w:p>
    <w:p w14:paraId="62F2C8EC">
      <w:pPr>
        <w:tabs>
          <w:tab w:val="left" w:pos="709"/>
          <w:tab w:val="left" w:pos="794"/>
          <w:tab w:val="left" w:pos="851"/>
          <w:tab w:val="left" w:pos="935"/>
          <w:tab w:val="left" w:pos="1502"/>
        </w:tabs>
        <w:outlineLvl w:val="2"/>
      </w:pPr>
      <w:r>
        <w:rPr>
          <w:rFonts w:cs="宋体"/>
          <w:b/>
          <w:szCs w:val="21"/>
        </w:rPr>
        <w:t>10.3.9</w:t>
      </w:r>
      <w:r>
        <w:rPr>
          <w:rFonts w:hint="eastAsia" w:cs="宋体"/>
          <w:b/>
          <w:szCs w:val="21"/>
        </w:rPr>
        <w:t xml:space="preserve"> </w:t>
      </w:r>
      <w:r>
        <w:rPr>
          <w:rFonts w:hint="eastAsia" w:cs="宋体"/>
          <w:szCs w:val="21"/>
        </w:rPr>
        <w:t xml:space="preserve"> </w:t>
      </w:r>
      <w:r>
        <w:rPr>
          <w:rFonts w:hint="eastAsia"/>
        </w:rPr>
        <w:t>结合现场实施条件，实际存在较多车站出入口、风亭设在机非隔离带上此类情况，因此将不应改为不宜并提出具体措施要求，提高人行过街措施要求。</w:t>
      </w:r>
    </w:p>
    <w:p w14:paraId="1712FC33">
      <w:pPr>
        <w:tabs>
          <w:tab w:val="left" w:pos="709"/>
          <w:tab w:val="left" w:pos="794"/>
          <w:tab w:val="left" w:pos="851"/>
          <w:tab w:val="left" w:pos="935"/>
          <w:tab w:val="left" w:pos="1502"/>
        </w:tabs>
        <w:outlineLvl w:val="2"/>
        <w:rPr>
          <w:lang w:bidi="ar"/>
        </w:rPr>
      </w:pPr>
      <w:r>
        <w:rPr>
          <w:rFonts w:cs="宋体"/>
          <w:b/>
          <w:szCs w:val="21"/>
        </w:rPr>
        <w:t>10.3.10</w:t>
      </w:r>
      <w:r>
        <w:rPr>
          <w:rFonts w:hint="eastAsia" w:cs="宋体"/>
          <w:b/>
          <w:szCs w:val="21"/>
        </w:rPr>
        <w:t xml:space="preserve"> </w:t>
      </w:r>
      <w:r>
        <w:rPr>
          <w:rFonts w:hint="eastAsia" w:cs="宋体"/>
          <w:szCs w:val="21"/>
        </w:rPr>
        <w:t xml:space="preserve"> 明确风亭、出入口</w:t>
      </w:r>
      <w:r>
        <w:rPr>
          <w:rFonts w:hint="eastAsia"/>
          <w:lang w:bidi="ar"/>
        </w:rPr>
        <w:t>等地面设施设在道路红线转角处</w:t>
      </w:r>
      <w:r>
        <w:rPr>
          <w:rFonts w:hint="eastAsia" w:cs="宋体"/>
          <w:szCs w:val="21"/>
        </w:rPr>
        <w:t>应核算对道路交通的影响，规定视距三角形的计算要求。</w:t>
      </w:r>
      <w:r>
        <w:rPr>
          <w:rFonts w:hint="eastAsia"/>
          <w:lang w:bidi="ar"/>
        </w:rPr>
        <w:t>对十字形交叉口以最靠右侧第一条直行机动车道的中线与相交道路最靠</w:t>
      </w:r>
      <w:r>
        <w:rPr>
          <w:rFonts w:hint="eastAsia"/>
          <w:bCs/>
          <w:szCs w:val="28"/>
        </w:rPr>
        <w:t>中心线的第一条直行车道的中线的交点确定的行车视距，应按照道路路线设计车速选取对应的安全停车视距；对</w:t>
      </w:r>
      <w:r>
        <w:rPr>
          <w:bCs/>
          <w:szCs w:val="28"/>
        </w:rPr>
        <w:t>T</w:t>
      </w:r>
      <w:r>
        <w:rPr>
          <w:rFonts w:hint="eastAsia"/>
          <w:bCs/>
          <w:szCs w:val="28"/>
        </w:rPr>
        <w:t>形（</w:t>
      </w:r>
      <w:r>
        <w:rPr>
          <w:bCs/>
          <w:szCs w:val="28"/>
        </w:rPr>
        <w:t>X</w:t>
      </w:r>
      <w:r>
        <w:rPr>
          <w:rFonts w:hint="eastAsia"/>
          <w:bCs/>
          <w:szCs w:val="28"/>
        </w:rPr>
        <w:t>形或</w:t>
      </w:r>
      <w:r>
        <w:rPr>
          <w:bCs/>
          <w:szCs w:val="28"/>
        </w:rPr>
        <w:t>Y</w:t>
      </w:r>
      <w:r>
        <w:rPr>
          <w:rFonts w:hint="eastAsia"/>
          <w:bCs/>
          <w:szCs w:val="28"/>
        </w:rPr>
        <w:t>形）交叉口，以直行道路最靠右侧第一条直行车道的中线与相交道</w:t>
      </w:r>
      <w:r>
        <w:rPr>
          <w:rFonts w:hint="eastAsia"/>
          <w:lang w:bidi="ar"/>
        </w:rPr>
        <w:t>路最靠中心线的一条左转车道的行车轨迹线的交点确定行车视距，应按照道路路线设计车速选取对应的安全停车视距。</w:t>
      </w:r>
    </w:p>
    <w:p w14:paraId="4E61EAAC">
      <w:pPr>
        <w:autoSpaceDE w:val="0"/>
        <w:autoSpaceDN w:val="0"/>
        <w:spacing w:line="240" w:lineRule="auto"/>
        <w:ind w:firstLine="420"/>
        <w:jc w:val="left"/>
        <w:rPr>
          <w:bCs/>
          <w:szCs w:val="28"/>
        </w:rPr>
      </w:pPr>
      <w:r>
        <w:rPr>
          <w:rFonts w:hint="eastAsia" w:cs="宋体"/>
          <w:szCs w:val="21"/>
        </w:rPr>
        <w:t>根据《城市道</w:t>
      </w:r>
      <w:r>
        <w:rPr>
          <w:rFonts w:hint="eastAsia"/>
          <w:bCs/>
          <w:szCs w:val="28"/>
        </w:rPr>
        <w:t>路交叉口设计规程》C</w:t>
      </w:r>
      <w:r>
        <w:rPr>
          <w:bCs/>
          <w:szCs w:val="28"/>
        </w:rPr>
        <w:t>JJ152</w:t>
      </w:r>
      <w:r>
        <w:rPr>
          <w:rFonts w:hint="eastAsia"/>
          <w:bCs/>
          <w:szCs w:val="28"/>
        </w:rPr>
        <w:t>第</w:t>
      </w:r>
      <w:r>
        <w:rPr>
          <w:bCs/>
          <w:szCs w:val="28"/>
        </w:rPr>
        <w:t>4.3.3</w:t>
      </w:r>
      <w:r>
        <w:rPr>
          <w:rFonts w:hint="eastAsia"/>
          <w:bCs/>
          <w:szCs w:val="28"/>
        </w:rPr>
        <w:t>条</w:t>
      </w:r>
      <w:r>
        <w:rPr>
          <w:bCs/>
          <w:szCs w:val="28"/>
        </w:rPr>
        <w:t>的有关规定，提出</w:t>
      </w:r>
      <w:r>
        <w:rPr>
          <w:rFonts w:hint="eastAsia"/>
          <w:bCs/>
          <w:szCs w:val="28"/>
        </w:rPr>
        <w:t>风亭位置侵入视距三角形限界的高度要求。</w:t>
      </w:r>
    </w:p>
    <w:p w14:paraId="1D74A087">
      <w:pPr>
        <w:rPr>
          <w:rFonts w:cs="宋体"/>
          <w:szCs w:val="21"/>
        </w:rPr>
      </w:pPr>
      <w:r>
        <w:rPr>
          <w:rFonts w:cs="宋体"/>
          <w:b/>
          <w:szCs w:val="21"/>
        </w:rPr>
        <w:t>10.3.12</w:t>
      </w:r>
      <w:r>
        <w:rPr>
          <w:rFonts w:hint="eastAsia" w:cs="宋体"/>
          <w:b/>
          <w:szCs w:val="21"/>
        </w:rPr>
        <w:t xml:space="preserve"> </w:t>
      </w:r>
      <w:r>
        <w:rPr>
          <w:rFonts w:hint="eastAsia" w:cs="宋体"/>
          <w:szCs w:val="21"/>
        </w:rPr>
        <w:t xml:space="preserve"> 规定排风亭、出入口的开口避让冬季主导风向能达到节能的要求；规定新风亭、出入口位置与污染源主导风向的关系，能确保新风的质量，避免被污染。</w:t>
      </w:r>
    </w:p>
    <w:p w14:paraId="1E3F1EEE">
      <w:pPr>
        <w:rPr>
          <w:rFonts w:cs="宋体"/>
          <w:szCs w:val="21"/>
        </w:rPr>
      </w:pPr>
      <w:r>
        <w:rPr>
          <w:rFonts w:cs="宋体"/>
          <w:b/>
          <w:szCs w:val="21"/>
        </w:rPr>
        <w:t>10.3.13</w:t>
      </w:r>
      <w:r>
        <w:rPr>
          <w:rFonts w:hint="eastAsia" w:cs="宋体"/>
          <w:szCs w:val="21"/>
        </w:rPr>
        <w:t xml:space="preserve">  根据《城市电力规划规范》</w:t>
      </w:r>
      <w:r>
        <w:rPr>
          <w:rFonts w:cs="宋体"/>
          <w:szCs w:val="21"/>
        </w:rPr>
        <w:t>GB50293</w:t>
      </w:r>
      <w:r>
        <w:rPr>
          <w:rFonts w:hint="eastAsia" w:cs="宋体"/>
          <w:szCs w:val="21"/>
        </w:rPr>
        <w:t>相关规定，明确</w:t>
      </w:r>
      <w:r>
        <w:rPr>
          <w:rFonts w:hint="eastAsia"/>
        </w:rPr>
        <w:t>地下车站出入口、风亭、冷却塔等地面附属建筑与架空电力线路的最小的垂直距离和水平距离规定。</w:t>
      </w:r>
    </w:p>
    <w:p w14:paraId="769259AA">
      <w:pPr>
        <w:rPr>
          <w:rFonts w:cs="宋体"/>
          <w:szCs w:val="21"/>
        </w:rPr>
      </w:pPr>
      <w:r>
        <w:rPr>
          <w:rFonts w:cs="宋体"/>
          <w:b/>
          <w:szCs w:val="21"/>
        </w:rPr>
        <w:t>10.3.14</w:t>
      </w:r>
      <w:r>
        <w:rPr>
          <w:rFonts w:hint="eastAsia" w:cs="宋体"/>
          <w:b/>
          <w:szCs w:val="21"/>
        </w:rPr>
        <w:t xml:space="preserve"> </w:t>
      </w:r>
      <w:r>
        <w:rPr>
          <w:rFonts w:hint="eastAsia" w:cs="宋体"/>
          <w:szCs w:val="21"/>
        </w:rPr>
        <w:t xml:space="preserve"> 为了保护人类自存的自然资源环境，实现可持续发展目标，根据国家林业和草原局颁布的《古树名木保护条例》相关要求，规定对古树名木的保护范围。</w:t>
      </w:r>
    </w:p>
    <w:p w14:paraId="6786BA5A">
      <w:pPr>
        <w:rPr>
          <w:rFonts w:cs="宋体"/>
          <w:szCs w:val="21"/>
        </w:rPr>
      </w:pPr>
      <w:r>
        <w:rPr>
          <w:rFonts w:cs="宋体"/>
          <w:b/>
          <w:szCs w:val="21"/>
        </w:rPr>
        <w:t>10.4.1</w:t>
      </w:r>
      <w:r>
        <w:rPr>
          <w:rFonts w:hint="eastAsia" w:cs="宋体"/>
          <w:szCs w:val="21"/>
        </w:rPr>
        <w:t xml:space="preserve">  根据不同编组针对不同客流规模采用不同公共区和设备用房的布局模式，合理压缩车站规模，在站台和站厅均预留后期改扩建条件，从而降低初期的建设和运营成本。</w:t>
      </w:r>
    </w:p>
    <w:p w14:paraId="36A8089B">
      <w:pPr>
        <w:rPr>
          <w:rFonts w:cs="宋体"/>
          <w:szCs w:val="21"/>
        </w:rPr>
      </w:pPr>
      <w:r>
        <w:rPr>
          <w:rFonts w:cs="宋体"/>
          <w:b/>
          <w:szCs w:val="21"/>
        </w:rPr>
        <w:t>10.4.2</w:t>
      </w:r>
      <w:r>
        <w:rPr>
          <w:rFonts w:hint="eastAsia" w:cs="宋体"/>
          <w:b/>
          <w:szCs w:val="21"/>
        </w:rPr>
        <w:t xml:space="preserve"> </w:t>
      </w:r>
      <w:r>
        <w:rPr>
          <w:rFonts w:hint="eastAsia" w:cs="宋体"/>
          <w:szCs w:val="21"/>
        </w:rPr>
        <w:t xml:space="preserve"> </w:t>
      </w:r>
      <w:r>
        <w:rPr>
          <w:rFonts w:cs="宋体"/>
          <w:szCs w:val="21"/>
        </w:rPr>
        <w:t>根据</w:t>
      </w:r>
      <w:r>
        <w:rPr>
          <w:rFonts w:hint="eastAsia" w:cs="宋体"/>
          <w:szCs w:val="21"/>
        </w:rPr>
        <w:t>快慢车通行的运营组织模式下，对站台宽度和设施布局及安全防护等提出专门的技术要求。</w:t>
      </w:r>
    </w:p>
    <w:p w14:paraId="675EEA16">
      <w:pPr>
        <w:rPr>
          <w:rFonts w:cs="宋体"/>
          <w:szCs w:val="21"/>
        </w:rPr>
      </w:pPr>
      <w:r>
        <w:rPr>
          <w:rFonts w:cs="宋体"/>
          <w:b/>
          <w:szCs w:val="21"/>
        </w:rPr>
        <w:t>10.4.3</w:t>
      </w:r>
      <w:r>
        <w:rPr>
          <w:rFonts w:hint="eastAsia" w:cs="宋体"/>
          <w:b/>
          <w:szCs w:val="21"/>
        </w:rPr>
        <w:t xml:space="preserve"> </w:t>
      </w:r>
      <w:r>
        <w:rPr>
          <w:rFonts w:hint="eastAsia" w:cs="宋体"/>
          <w:szCs w:val="21"/>
        </w:rPr>
        <w:t xml:space="preserve"> </w:t>
      </w:r>
      <w:r>
        <w:rPr>
          <w:rFonts w:cs="宋体"/>
          <w:szCs w:val="21"/>
        </w:rPr>
        <w:t>根据</w:t>
      </w:r>
      <w:r>
        <w:rPr>
          <w:rFonts w:hint="eastAsia" w:cs="宋体"/>
          <w:szCs w:val="21"/>
        </w:rPr>
        <w:t>灵活编组的行车运营组织模式和不同的列车停靠方式在不同功能条件下的交通设施和服务设施的布局，要求提出专门的技术要求。</w:t>
      </w:r>
    </w:p>
    <w:p w14:paraId="3F474EA5">
      <w:pPr>
        <w:rPr>
          <w:rFonts w:cs="宋体"/>
          <w:szCs w:val="21"/>
        </w:rPr>
      </w:pPr>
      <w:r>
        <w:rPr>
          <w:rFonts w:cs="宋体"/>
          <w:b/>
          <w:szCs w:val="21"/>
        </w:rPr>
        <w:t>10.4.4</w:t>
      </w:r>
      <w:r>
        <w:rPr>
          <w:rFonts w:hint="eastAsia" w:cs="宋体"/>
          <w:b/>
          <w:szCs w:val="21"/>
        </w:rPr>
        <w:t xml:space="preserve"> </w:t>
      </w:r>
      <w:r>
        <w:rPr>
          <w:rFonts w:hint="eastAsia" w:cs="宋体"/>
          <w:szCs w:val="21"/>
        </w:rPr>
        <w:t>在多形式的运营组织模式下，提出对站台规模确定、车站站型选择、设备及管理用房多线整合、跨线运行管理及分期建设互联互通的要求，以压缩车站规模、提高运营安全。</w:t>
      </w:r>
    </w:p>
    <w:p w14:paraId="2DA0E510">
      <w:pPr>
        <w:rPr>
          <w:rFonts w:cs="宋体"/>
          <w:szCs w:val="21"/>
        </w:rPr>
      </w:pPr>
      <w:r>
        <w:rPr>
          <w:rFonts w:cs="宋体"/>
          <w:b/>
          <w:szCs w:val="21"/>
        </w:rPr>
        <w:t xml:space="preserve">10.4.5 </w:t>
      </w:r>
      <w:r>
        <w:rPr>
          <w:rFonts w:hint="eastAsia" w:cs="宋体"/>
          <w:szCs w:val="21"/>
        </w:rPr>
        <w:t xml:space="preserve"> 根据运营单位需求</w:t>
      </w:r>
      <w:r>
        <w:rPr>
          <w:rFonts w:cs="宋体"/>
          <w:szCs w:val="21"/>
        </w:rPr>
        <w:t>可</w:t>
      </w:r>
      <w:r>
        <w:rPr>
          <w:rFonts w:hint="eastAsia" w:cs="宋体"/>
          <w:szCs w:val="21"/>
        </w:rPr>
        <w:t>设置半高栏杆、全高栏杆、墙体等封闭措施。</w:t>
      </w:r>
    </w:p>
    <w:p w14:paraId="1080577B">
      <w:pPr>
        <w:rPr>
          <w:rFonts w:cs="宋体"/>
          <w:szCs w:val="21"/>
        </w:rPr>
      </w:pPr>
      <w:r>
        <w:rPr>
          <w:rFonts w:cs="宋体"/>
          <w:b/>
          <w:szCs w:val="21"/>
        </w:rPr>
        <w:t>10.4.11</w:t>
      </w:r>
      <w:r>
        <w:rPr>
          <w:rFonts w:hint="eastAsia" w:cs="宋体"/>
          <w:b/>
          <w:szCs w:val="21"/>
        </w:rPr>
        <w:t xml:space="preserve"> </w:t>
      </w:r>
      <w:r>
        <w:rPr>
          <w:rFonts w:hint="eastAsia" w:cs="宋体"/>
          <w:szCs w:val="21"/>
        </w:rPr>
        <w:t xml:space="preserve"> 第</w:t>
      </w:r>
      <w:r>
        <w:rPr>
          <w:rFonts w:cs="宋体"/>
          <w:szCs w:val="21"/>
        </w:rPr>
        <w:t>2</w:t>
      </w:r>
      <w:r>
        <w:rPr>
          <w:rFonts w:hint="eastAsia" w:cs="宋体"/>
          <w:szCs w:val="21"/>
        </w:rPr>
        <w:t>款根据特种履带车的现有型号尺寸和使用空间需要，优化栅栏门宽度。</w:t>
      </w:r>
    </w:p>
    <w:p w14:paraId="26A8B3CC">
      <w:pPr>
        <w:rPr>
          <w:rFonts w:cs="宋体"/>
          <w:szCs w:val="21"/>
        </w:rPr>
      </w:pPr>
      <w:r>
        <w:rPr>
          <w:rFonts w:cs="宋体"/>
          <w:b/>
          <w:szCs w:val="21"/>
        </w:rPr>
        <w:t>10.4.26</w:t>
      </w:r>
      <w:r>
        <w:rPr>
          <w:rFonts w:hint="eastAsia" w:cs="宋体"/>
          <w:b/>
          <w:szCs w:val="21"/>
        </w:rPr>
        <w:t xml:space="preserve"> </w:t>
      </w:r>
      <w:r>
        <w:rPr>
          <w:rFonts w:hint="eastAsia" w:cs="宋体"/>
          <w:szCs w:val="21"/>
        </w:rPr>
        <w:t xml:space="preserve"> 车站设备及管理用房区隔墙采用装配式墙体材料实际应用广泛，因此针对装配式在车站的应用范围、材料基本性能和做法要求进行初步规定。</w:t>
      </w:r>
    </w:p>
    <w:p w14:paraId="31064FBC">
      <w:pPr>
        <w:rPr>
          <w:szCs w:val="18"/>
        </w:rPr>
      </w:pPr>
      <w:r>
        <w:rPr>
          <w:b/>
        </w:rPr>
        <w:t>10.5.1</w:t>
      </w:r>
      <w:r>
        <w:rPr>
          <w:rFonts w:hint="eastAsia"/>
          <w:b/>
        </w:rPr>
        <w:t xml:space="preserve"> </w:t>
      </w:r>
      <w:r>
        <w:rPr>
          <w:rFonts w:hint="eastAsia"/>
        </w:rPr>
        <w:t xml:space="preserve"> 根据车站服务的客流规模确定车站附属数量、通道宽度和自动扶梯的差异化标准，结合客流分布确定附属布局的服务主次和实施时序，可压缩车站规模。</w:t>
      </w:r>
    </w:p>
    <w:p w14:paraId="5A2DA2BB">
      <w:r>
        <w:rPr>
          <w:b/>
        </w:rPr>
        <w:t>10.5.3</w:t>
      </w:r>
      <w:r>
        <w:rPr>
          <w:rFonts w:hint="eastAsia"/>
        </w:rPr>
        <w:t xml:space="preserve">  合理控制出入口的开口方向，降低车站空调负荷要求和设备配置，实现节能目标同时降低建设成本。</w:t>
      </w:r>
    </w:p>
    <w:p w14:paraId="23C8CC0F">
      <w:pPr>
        <w:jc w:val="left"/>
        <w:outlineLvl w:val="4"/>
      </w:pPr>
      <w:r>
        <w:t>10.6.2</w:t>
      </w:r>
      <w:r>
        <w:rPr>
          <w:rFonts w:hint="eastAsia"/>
        </w:rPr>
        <w:t>、</w:t>
      </w:r>
      <w:r>
        <w:t>10.6.3</w:t>
      </w:r>
      <w:r>
        <w:rPr>
          <w:rFonts w:hint="eastAsia"/>
        </w:rPr>
        <w:t xml:space="preserve">  参考《地铁设计防火标准》G</w:t>
      </w:r>
      <w:r>
        <w:t>B51298的相关规定</w:t>
      </w:r>
      <w:r>
        <w:rPr>
          <w:rFonts w:hint="eastAsia"/>
        </w:rPr>
        <w:t>，对原条文内容进行修订和补充。</w:t>
      </w:r>
    </w:p>
    <w:p w14:paraId="6949130B">
      <w:r>
        <w:rPr>
          <w:b/>
        </w:rPr>
        <w:t>10.6.4</w:t>
      </w:r>
      <w:r>
        <w:rPr>
          <w:rFonts w:hint="eastAsia"/>
          <w:b/>
        </w:rPr>
        <w:t xml:space="preserve"> </w:t>
      </w:r>
      <w:r>
        <w:rPr>
          <w:rFonts w:hint="eastAsia"/>
        </w:rPr>
        <w:t xml:space="preserve"> 风亭井道与结合建筑划分为不同的防火分区，分隔墙的耐火极限应为防火分区的分隔墙的耐火极限不低于</w:t>
      </w:r>
      <w:r>
        <w:t>3.00h</w:t>
      </w:r>
      <w:r>
        <w:rPr>
          <w:rFonts w:hint="eastAsia"/>
        </w:rPr>
        <w:t>。</w:t>
      </w:r>
    </w:p>
    <w:p w14:paraId="336C84A8">
      <w:pPr>
        <w:rPr>
          <w:rFonts w:cs="宋体"/>
          <w:szCs w:val="21"/>
        </w:rPr>
      </w:pPr>
      <w:r>
        <w:rPr>
          <w:rFonts w:cs="宋体"/>
          <w:b/>
          <w:szCs w:val="21"/>
        </w:rPr>
        <w:t>10.10.7</w:t>
      </w:r>
      <w:r>
        <w:rPr>
          <w:rFonts w:hint="eastAsia" w:cs="宋体"/>
          <w:b/>
          <w:szCs w:val="21"/>
        </w:rPr>
        <w:t xml:space="preserve"> </w:t>
      </w:r>
      <w:r>
        <w:rPr>
          <w:rFonts w:hint="eastAsia" w:cs="宋体"/>
          <w:szCs w:val="21"/>
        </w:rPr>
        <w:t xml:space="preserve"> 结合乘客出行习惯增加扶梯配置，减少楼梯，对节点区域结合流线关系对关键部位，即节点楼梯前后端与站台乘降区的冲击影响，节点楼梯中间和站厅两线相交区域的人流转向部位提出空间局部放大的要求；根据客流规模合理选择节点的设施标准，提供根据换乘量适时调整换乘流线的方向的灵活性。</w:t>
      </w:r>
    </w:p>
    <w:p w14:paraId="6529FDF1">
      <w:pPr>
        <w:rPr>
          <w:rFonts w:cs="宋体"/>
          <w:szCs w:val="21"/>
        </w:rPr>
      </w:pPr>
      <w:r>
        <w:rPr>
          <w:rFonts w:cs="宋体"/>
          <w:b/>
          <w:szCs w:val="21"/>
        </w:rPr>
        <w:t>10.10.8</w:t>
      </w:r>
      <w:r>
        <w:rPr>
          <w:rFonts w:hint="eastAsia" w:cs="宋体"/>
          <w:b/>
          <w:szCs w:val="21"/>
        </w:rPr>
        <w:t xml:space="preserve"> </w:t>
      </w:r>
      <w:r>
        <w:rPr>
          <w:rFonts w:hint="eastAsia" w:cs="宋体"/>
          <w:szCs w:val="21"/>
        </w:rPr>
        <w:t xml:space="preserve"> 结合换乘客流量和通道长度对通道换乘的服务品质提出要求，强化换乘距离和客流匹配度，配置自动步道改善长距离换乘的感受，超长通道增设中转空间提高服务品质。通过对单项通道和双向通道最小宽度的规定，合理控制换乘通道规模和通行能力。</w:t>
      </w:r>
    </w:p>
    <w:p w14:paraId="16FFE962">
      <w:pPr>
        <w:autoSpaceDE w:val="0"/>
        <w:autoSpaceDN w:val="0"/>
        <w:spacing w:line="240" w:lineRule="auto"/>
        <w:jc w:val="left"/>
        <w:rPr>
          <w:rFonts w:cs="宋体"/>
          <w:szCs w:val="21"/>
        </w:rPr>
      </w:pPr>
      <w:r>
        <w:rPr>
          <w:rFonts w:cs="宋体"/>
          <w:b/>
          <w:szCs w:val="21"/>
        </w:rPr>
        <w:t>10.12.2</w:t>
      </w:r>
      <w:r>
        <w:rPr>
          <w:rFonts w:hint="eastAsia" w:cs="宋体"/>
          <w:b/>
          <w:szCs w:val="21"/>
        </w:rPr>
        <w:t xml:space="preserve"> </w:t>
      </w:r>
      <w:r>
        <w:rPr>
          <w:rFonts w:cs="宋体"/>
          <w:b/>
          <w:szCs w:val="21"/>
        </w:rPr>
        <w:t xml:space="preserve"> </w:t>
      </w:r>
      <w:r>
        <w:rPr>
          <w:rFonts w:cs="宋体"/>
          <w:szCs w:val="21"/>
        </w:rPr>
        <w:t>根据《</w:t>
      </w:r>
      <w:r>
        <w:rPr>
          <w:rFonts w:hint="eastAsia" w:cs="宋体"/>
          <w:szCs w:val="21"/>
        </w:rPr>
        <w:t>北京市轨道交通车站便民服务设施规划设计指南》相关规定，提出便民服务设施位于地面以上的建筑面积要求。便民服务设施空间若与站厅同层且独立设置，结构净高宜高于</w:t>
      </w:r>
      <w:r>
        <w:rPr>
          <w:rFonts w:cs="宋体"/>
          <w:szCs w:val="21"/>
        </w:rPr>
        <w:t>5m</w:t>
      </w:r>
      <w:r>
        <w:rPr>
          <w:rFonts w:hint="eastAsia" w:cs="宋体"/>
          <w:szCs w:val="21"/>
        </w:rPr>
        <w:t>，装修后空间净高宜高于</w:t>
      </w:r>
      <w:r>
        <w:rPr>
          <w:rFonts w:cs="宋体"/>
          <w:szCs w:val="21"/>
        </w:rPr>
        <w:t>3m</w:t>
      </w:r>
      <w:r>
        <w:rPr>
          <w:rFonts w:hint="eastAsia" w:cs="宋体"/>
          <w:szCs w:val="21"/>
        </w:rPr>
        <w:t>；如便民服务设施空间与周边用地地下空间连通，便民服务设施层高宜与周边用地地下空间保持一致。车站公共区外便民服务设施空间柱网宜均匀布置，柱网布局应考虑商业空间的通道，尽量将柱网隐至两侧商铺中，柱距宜大于</w:t>
      </w:r>
      <w:r>
        <w:rPr>
          <w:rFonts w:cs="宋体"/>
          <w:szCs w:val="21"/>
        </w:rPr>
        <w:t>8m</w:t>
      </w:r>
      <w:r>
        <w:rPr>
          <w:rFonts w:hint="eastAsia" w:cs="宋体"/>
          <w:szCs w:val="21"/>
        </w:rPr>
        <w:t>。便民服务设施空间宜采用单动线布局，即一条人流通道，商铺排布两侧；通道宽度宜在</w:t>
      </w:r>
      <w:r>
        <w:rPr>
          <w:rFonts w:cs="宋体"/>
          <w:szCs w:val="21"/>
        </w:rPr>
        <w:t>4.5m</w:t>
      </w:r>
      <w:r>
        <w:rPr>
          <w:rFonts w:hint="eastAsia" w:cs="宋体"/>
          <w:szCs w:val="21"/>
        </w:rPr>
        <w:t>以上；通道两侧的商铺宜结合柱网特征合理设置（开间：进深≥</w:t>
      </w:r>
      <w:r>
        <w:rPr>
          <w:rFonts w:cs="宋体"/>
          <w:szCs w:val="21"/>
        </w:rPr>
        <w:t>1</w:t>
      </w:r>
      <w:r>
        <w:rPr>
          <w:rFonts w:hint="eastAsia" w:cs="宋体"/>
          <w:szCs w:val="21"/>
        </w:rPr>
        <w:t>：</w:t>
      </w:r>
      <w:r>
        <w:rPr>
          <w:rFonts w:cs="宋体"/>
          <w:szCs w:val="21"/>
        </w:rPr>
        <w:t>3</w:t>
      </w:r>
      <w:r>
        <w:rPr>
          <w:rFonts w:hint="eastAsia" w:cs="宋体"/>
          <w:szCs w:val="21"/>
        </w:rPr>
        <w:t>为宜）。如设置餐饮等功能时应单独设置后勤通道。</w:t>
      </w:r>
    </w:p>
    <w:p w14:paraId="72A91E7A">
      <w:pPr>
        <w:widowControl/>
        <w:jc w:val="left"/>
        <w:rPr>
          <w:rFonts w:ascii="宋体" w:hAnsi="宋体" w:cs="宋体"/>
          <w:bCs/>
          <w:szCs w:val="21"/>
        </w:rPr>
      </w:pPr>
    </w:p>
    <w:p w14:paraId="5D033245">
      <w:pPr>
        <w:widowControl/>
        <w:jc w:val="left"/>
        <w:rPr>
          <w:rFonts w:ascii="宋体" w:hAnsi="宋体" w:cs="宋体"/>
          <w:bCs/>
          <w:szCs w:val="21"/>
        </w:rPr>
      </w:pPr>
    </w:p>
    <w:p w14:paraId="5EAC55F5">
      <w:pPr>
        <w:widowControl/>
        <w:jc w:val="left"/>
        <w:rPr>
          <w:rFonts w:ascii="宋体" w:hAnsi="宋体" w:cs="宋体"/>
          <w:bCs/>
          <w:szCs w:val="21"/>
        </w:rPr>
        <w:sectPr>
          <w:footerReference r:id="rId52" w:type="default"/>
          <w:footerReference r:id="rId53" w:type="even"/>
          <w:pgSz w:w="7937" w:h="11509"/>
          <w:pgMar w:top="1247" w:right="907" w:bottom="1247" w:left="907" w:header="737" w:footer="737" w:gutter="0"/>
          <w:cols w:space="425" w:num="1"/>
          <w:docGrid w:type="lines" w:linePitch="312" w:charSpace="0"/>
        </w:sectPr>
      </w:pPr>
    </w:p>
    <w:p w14:paraId="146A907E">
      <w:pPr>
        <w:pStyle w:val="240"/>
      </w:pPr>
      <w:bookmarkStart w:id="2519" w:name="_Toc183888349"/>
      <w:bookmarkStart w:id="2520" w:name="_Toc183888711"/>
      <w:bookmarkStart w:id="2521" w:name="_Toc183454853"/>
      <w:bookmarkStart w:id="2522" w:name="_Toc183454173"/>
      <w:bookmarkStart w:id="2523" w:name="_Toc183735443"/>
      <w:bookmarkStart w:id="2524" w:name="_Toc183790736"/>
      <w:bookmarkStart w:id="2525" w:name="_Toc183882659"/>
      <w:bookmarkStart w:id="2526" w:name="_Toc183738128"/>
      <w:bookmarkStart w:id="2527" w:name="_Toc183454470"/>
      <w:bookmarkStart w:id="2528" w:name="_Toc183765306"/>
      <w:bookmarkStart w:id="2529" w:name="_Toc183699899"/>
      <w:bookmarkStart w:id="2530" w:name="_Toc183882297"/>
      <w:r>
        <w:rPr>
          <w:rFonts w:hint="eastAsia"/>
          <w:b/>
        </w:rPr>
        <w:t xml:space="preserve">11 </w:t>
      </w:r>
      <w:r>
        <w:rPr>
          <w:rFonts w:hint="eastAsia"/>
        </w:rPr>
        <w:t xml:space="preserve"> 高架结构</w:t>
      </w:r>
      <w:bookmarkEnd w:id="2519"/>
      <w:bookmarkEnd w:id="2520"/>
      <w:bookmarkEnd w:id="2521"/>
      <w:bookmarkEnd w:id="2522"/>
      <w:bookmarkEnd w:id="2523"/>
      <w:bookmarkEnd w:id="2524"/>
      <w:bookmarkEnd w:id="2525"/>
      <w:bookmarkEnd w:id="2526"/>
      <w:bookmarkEnd w:id="2527"/>
      <w:bookmarkEnd w:id="2528"/>
      <w:bookmarkEnd w:id="2529"/>
      <w:bookmarkEnd w:id="2530"/>
    </w:p>
    <w:p w14:paraId="5735E83F">
      <w:pPr>
        <w:pStyle w:val="4"/>
        <w:numPr>
          <w:ilvl w:val="0"/>
          <w:numId w:val="0"/>
        </w:numPr>
      </w:pPr>
      <w:bookmarkStart w:id="2531" w:name="_Toc183454471"/>
      <w:bookmarkStart w:id="2532" w:name="_Toc183882660"/>
      <w:bookmarkStart w:id="2533" w:name="_Toc183882298"/>
      <w:bookmarkStart w:id="2534" w:name="_Toc183454854"/>
      <w:bookmarkStart w:id="2535" w:name="_Toc183454174"/>
      <w:bookmarkStart w:id="2536" w:name="_Toc183765307"/>
      <w:bookmarkStart w:id="2537" w:name="_Toc357929535"/>
      <w:bookmarkStart w:id="2538" w:name="_Toc183888712"/>
      <w:bookmarkStart w:id="2539" w:name="_Toc183790737"/>
      <w:bookmarkStart w:id="2540" w:name="_Toc183888350"/>
      <w:bookmarkStart w:id="2541" w:name="_Toc183738129"/>
      <w:r>
        <w:rPr>
          <w:rFonts w:hint="eastAsia"/>
          <w:b/>
        </w:rPr>
        <w:t xml:space="preserve">11.1 </w:t>
      </w:r>
      <w:r>
        <w:rPr>
          <w:rFonts w:hint="eastAsia"/>
        </w:rPr>
        <w:t xml:space="preserve"> 高架桥梁结构</w:t>
      </w:r>
      <w:bookmarkEnd w:id="2531"/>
      <w:bookmarkEnd w:id="2532"/>
      <w:bookmarkEnd w:id="2533"/>
      <w:bookmarkEnd w:id="2534"/>
      <w:bookmarkEnd w:id="2535"/>
      <w:bookmarkEnd w:id="2536"/>
      <w:bookmarkEnd w:id="2537"/>
      <w:bookmarkEnd w:id="2538"/>
      <w:bookmarkEnd w:id="2539"/>
      <w:bookmarkEnd w:id="2540"/>
      <w:bookmarkEnd w:id="2541"/>
    </w:p>
    <w:p w14:paraId="4A1B94C0">
      <w:pPr>
        <w:jc w:val="center"/>
        <w:rPr>
          <w:rFonts w:eastAsia="黑体"/>
        </w:rPr>
      </w:pPr>
      <w:r>
        <w:rPr>
          <w:rFonts w:eastAsia="黑体"/>
          <w:b/>
        </w:rPr>
        <w:t>Ⅰ</w:t>
      </w:r>
      <w:r>
        <w:rPr>
          <w:rFonts w:eastAsia="黑体"/>
        </w:rPr>
        <w:t xml:space="preserve">  一般规定</w:t>
      </w:r>
    </w:p>
    <w:p w14:paraId="1F2657C1">
      <w:pPr>
        <w:rPr>
          <w:szCs w:val="21"/>
        </w:rPr>
      </w:pPr>
      <w:r>
        <w:rPr>
          <w:b/>
          <w:szCs w:val="21"/>
        </w:rPr>
        <w:t>11.1.1</w:t>
      </w:r>
      <w:r>
        <w:rPr>
          <w:rFonts w:hint="eastAsia"/>
          <w:b/>
          <w:szCs w:val="21"/>
        </w:rPr>
        <w:t>～</w:t>
      </w:r>
      <w:r>
        <w:rPr>
          <w:b/>
          <w:szCs w:val="21"/>
        </w:rPr>
        <w:t>11.1.</w:t>
      </w:r>
      <w:r>
        <w:rPr>
          <w:rFonts w:hint="eastAsia"/>
          <w:b/>
          <w:szCs w:val="21"/>
        </w:rPr>
        <w:t>2</w:t>
      </w:r>
      <w:r>
        <w:rPr>
          <w:b/>
          <w:szCs w:val="21"/>
        </w:rPr>
        <w:t xml:space="preserve">  </w:t>
      </w:r>
      <w:r>
        <w:rPr>
          <w:rFonts w:hint="eastAsia"/>
          <w:szCs w:val="21"/>
        </w:rPr>
        <w:t>城市轨道交通工程中的</w:t>
      </w:r>
      <w:r>
        <w:rPr>
          <w:szCs w:val="21"/>
        </w:rPr>
        <w:t>“</w:t>
      </w:r>
      <w:r>
        <w:rPr>
          <w:rFonts w:hint="eastAsia"/>
          <w:szCs w:val="21"/>
        </w:rPr>
        <w:t>高架结构</w:t>
      </w:r>
      <w:r>
        <w:rPr>
          <w:szCs w:val="21"/>
        </w:rPr>
        <w:t>”</w:t>
      </w:r>
      <w:r>
        <w:rPr>
          <w:rFonts w:hint="eastAsia"/>
          <w:szCs w:val="21"/>
        </w:rPr>
        <w:t>包括车站之间的区间高架桥及高架车站。高架桥承受列车荷载；高架车站从功能而言是房屋建筑，但从受力而言，当行驶列车的轨道梁与车站其他建筑构件有联系时，车站结构的构件分成二大类，一类是受列车荷载影响较大的构件如轨道梁、支承轨道梁的框架梁、兼做轨道梁的楼面梁等结构；另一类是受列车荷载影响小以致不受影响的一般建筑结构构件如站台梁、一般纵梁等。由于列车荷载与建筑荷载有较大的不同，在目前我国规范分类及研究水平的情况下，把高架车站中的第一类构件和区间桥梁归在一起，按本章的规定进行结构设计；车站结构中的第二类构件按现行建筑规范进行结构设计。因此，本部分（</w:t>
      </w:r>
      <w:r>
        <w:rPr>
          <w:szCs w:val="21"/>
        </w:rPr>
        <w:t>Ⅰ</w:t>
      </w:r>
      <w:r>
        <w:rPr>
          <w:rFonts w:hint="eastAsia"/>
          <w:szCs w:val="21"/>
        </w:rPr>
        <w:t>）</w:t>
      </w:r>
      <w:r>
        <w:rPr>
          <w:szCs w:val="21"/>
        </w:rPr>
        <w:t>“</w:t>
      </w:r>
      <w:r>
        <w:rPr>
          <w:rFonts w:hint="eastAsia"/>
          <w:szCs w:val="21"/>
        </w:rPr>
        <w:t>高架桥梁结构</w:t>
      </w:r>
      <w:r>
        <w:rPr>
          <w:szCs w:val="21"/>
        </w:rPr>
        <w:t>”</w:t>
      </w:r>
      <w:r>
        <w:rPr>
          <w:rFonts w:hint="eastAsia"/>
          <w:szCs w:val="21"/>
        </w:rPr>
        <w:t>适用于城市轨道交通高架桥及高架车站中的第一类结构构件的结构设计。</w:t>
      </w:r>
    </w:p>
    <w:p w14:paraId="1D013DF7">
      <w:pPr>
        <w:ind w:firstLine="420"/>
        <w:rPr>
          <w:szCs w:val="21"/>
        </w:rPr>
      </w:pPr>
      <w:r>
        <w:rPr>
          <w:rFonts w:hint="eastAsia"/>
          <w:szCs w:val="21"/>
        </w:rPr>
        <w:t>城市轨道交通高架线与城市高架道路相同，不仅要满足城市道路规划的需要，还应充分重视对城市环境的影响，这包括城市景观上的要求、对城市环境的保护（如噪声、振动防治等）。</w:t>
      </w:r>
    </w:p>
    <w:p w14:paraId="53B2DEB5">
      <w:pPr>
        <w:rPr>
          <w:szCs w:val="21"/>
        </w:rPr>
      </w:pPr>
      <w:r>
        <w:rPr>
          <w:b/>
          <w:szCs w:val="21"/>
        </w:rPr>
        <w:t>11.1.</w:t>
      </w:r>
      <w:r>
        <w:rPr>
          <w:rFonts w:hint="eastAsia"/>
          <w:b/>
          <w:szCs w:val="21"/>
        </w:rPr>
        <w:t>3</w:t>
      </w:r>
      <w:r>
        <w:rPr>
          <w:b/>
          <w:szCs w:val="21"/>
        </w:rPr>
        <w:t xml:space="preserve"> </w:t>
      </w:r>
      <w:r>
        <w:rPr>
          <w:szCs w:val="21"/>
        </w:rPr>
        <w:t xml:space="preserve"> </w:t>
      </w:r>
      <w:r>
        <w:rPr>
          <w:rFonts w:hint="eastAsia"/>
          <w:szCs w:val="21"/>
        </w:rPr>
        <w:t>高架桥梁结构，要求在制造、运送、安装和运营过程中，必须具有规定的强度、稳定性、刚度和耐久性，以保证施工、运营安全，使用耐久。</w:t>
      </w:r>
    </w:p>
    <w:p w14:paraId="1016A584">
      <w:pPr>
        <w:rPr>
          <w:szCs w:val="21"/>
        </w:rPr>
      </w:pPr>
      <w:r>
        <w:rPr>
          <w:b/>
          <w:szCs w:val="21"/>
        </w:rPr>
        <w:t>11.1.</w:t>
      </w:r>
      <w:r>
        <w:rPr>
          <w:rFonts w:hint="eastAsia"/>
          <w:b/>
          <w:szCs w:val="21"/>
        </w:rPr>
        <w:t>4</w:t>
      </w:r>
      <w:r>
        <w:rPr>
          <w:b/>
          <w:szCs w:val="21"/>
        </w:rPr>
        <w:t xml:space="preserve">  </w:t>
      </w:r>
      <w:r>
        <w:rPr>
          <w:rFonts w:hint="eastAsia"/>
          <w:szCs w:val="21"/>
        </w:rPr>
        <w:t>根据《工程结构通用规范》</w:t>
      </w:r>
      <w:r>
        <w:rPr>
          <w:szCs w:val="21"/>
        </w:rPr>
        <w:t>GB55001-2021</w:t>
      </w:r>
      <w:r>
        <w:rPr>
          <w:rFonts w:hint="eastAsia"/>
          <w:szCs w:val="21"/>
        </w:rPr>
        <w:t>第</w:t>
      </w:r>
      <w:r>
        <w:rPr>
          <w:szCs w:val="21"/>
        </w:rPr>
        <w:t>2.2.4</w:t>
      </w:r>
      <w:r>
        <w:rPr>
          <w:rFonts w:hint="eastAsia"/>
          <w:szCs w:val="21"/>
        </w:rPr>
        <w:t>条的要求，参照《城市轨道交通桥梁设计规范》</w:t>
      </w:r>
      <w:r>
        <w:rPr>
          <w:szCs w:val="21"/>
        </w:rPr>
        <w:t>GB/T51234-2017</w:t>
      </w:r>
      <w:r>
        <w:rPr>
          <w:rFonts w:hint="eastAsia"/>
          <w:szCs w:val="21"/>
        </w:rPr>
        <w:t>的相关规定，补充可更换结构、附属结构的设计工作年限。</w:t>
      </w:r>
    </w:p>
    <w:p w14:paraId="4FD871AC">
      <w:pPr>
        <w:rPr>
          <w:szCs w:val="21"/>
        </w:rPr>
      </w:pPr>
      <w:r>
        <w:rPr>
          <w:b/>
          <w:szCs w:val="21"/>
        </w:rPr>
        <w:t xml:space="preserve">11.1.11  </w:t>
      </w:r>
      <w:r>
        <w:rPr>
          <w:rFonts w:hint="eastAsia"/>
          <w:szCs w:val="21"/>
        </w:rPr>
        <w:t>道岔的平顺度、变形影响列车型车安全及舒适性，道岔转辙器和辙岔范围应避开梁缝位置。参考《城市轨道交通桥梁设计规范》</w:t>
      </w:r>
      <w:r>
        <w:rPr>
          <w:szCs w:val="21"/>
        </w:rPr>
        <w:t>GB/T51234-2017</w:t>
      </w:r>
      <w:r>
        <w:rPr>
          <w:rFonts w:hint="eastAsia"/>
          <w:szCs w:val="21"/>
        </w:rPr>
        <w:t>第</w:t>
      </w:r>
      <w:r>
        <w:rPr>
          <w:szCs w:val="21"/>
        </w:rPr>
        <w:t>8.1.2</w:t>
      </w:r>
      <w:r>
        <w:rPr>
          <w:rFonts w:hint="eastAsia"/>
          <w:szCs w:val="21"/>
        </w:rPr>
        <w:t>条的要求制定该条。</w:t>
      </w:r>
    </w:p>
    <w:p w14:paraId="3D8DC095">
      <w:pPr>
        <w:rPr>
          <w:szCs w:val="21"/>
        </w:rPr>
      </w:pPr>
      <w:r>
        <w:rPr>
          <w:b/>
          <w:szCs w:val="21"/>
        </w:rPr>
        <w:t xml:space="preserve">11.1.14  </w:t>
      </w:r>
      <w:r>
        <w:rPr>
          <w:rFonts w:hint="eastAsia"/>
          <w:szCs w:val="21"/>
        </w:rPr>
        <w:t>为防止被交桥梁上的车辆驶出桥外造成二次重大事故或二次特大事故，参照现行国家标准《城市道路交通设施设计规范（</w:t>
      </w:r>
      <w:r>
        <w:rPr>
          <w:szCs w:val="21"/>
        </w:rPr>
        <w:t>2019</w:t>
      </w:r>
      <w:r>
        <w:rPr>
          <w:rFonts w:hint="eastAsia"/>
          <w:szCs w:val="21"/>
        </w:rPr>
        <w:t>版）》</w:t>
      </w:r>
      <w:r>
        <w:rPr>
          <w:szCs w:val="21"/>
        </w:rPr>
        <w:t>GB50688-2011</w:t>
      </w:r>
      <w:r>
        <w:rPr>
          <w:rFonts w:hint="eastAsia"/>
          <w:szCs w:val="21"/>
        </w:rPr>
        <w:t>、现行行业标准《公路交通安全设施设计细则》</w:t>
      </w:r>
      <w:r>
        <w:rPr>
          <w:szCs w:val="21"/>
        </w:rPr>
        <w:t>JTG/T D81-2017</w:t>
      </w:r>
      <w:r>
        <w:rPr>
          <w:rFonts w:hint="eastAsia"/>
          <w:szCs w:val="21"/>
        </w:rPr>
        <w:t>中的相关条文，将被交桥梁的防撞护栏等级定为不低于</w:t>
      </w:r>
      <w:r>
        <w:rPr>
          <w:szCs w:val="21"/>
        </w:rPr>
        <w:t>SS</w:t>
      </w:r>
      <w:r>
        <w:rPr>
          <w:rFonts w:hint="eastAsia"/>
          <w:szCs w:val="21"/>
        </w:rPr>
        <w:t>级。</w:t>
      </w:r>
    </w:p>
    <w:p w14:paraId="0221D997">
      <w:pPr>
        <w:jc w:val="center"/>
        <w:rPr>
          <w:rFonts w:eastAsia="黑体"/>
        </w:rPr>
      </w:pPr>
      <w:r>
        <w:rPr>
          <w:rFonts w:eastAsia="黑体"/>
          <w:b/>
        </w:rPr>
        <w:t>Ⅱ</w:t>
      </w:r>
      <w:r>
        <w:rPr>
          <w:rFonts w:eastAsia="黑体"/>
        </w:rPr>
        <w:t xml:space="preserve">  设 计 荷 载</w:t>
      </w:r>
    </w:p>
    <w:p w14:paraId="67A537F1">
      <w:pPr>
        <w:rPr>
          <w:szCs w:val="21"/>
        </w:rPr>
      </w:pPr>
      <w:r>
        <w:rPr>
          <w:b/>
          <w:szCs w:val="21"/>
        </w:rPr>
        <w:t xml:space="preserve">11.1.17  </w:t>
      </w:r>
      <w:r>
        <w:rPr>
          <w:rFonts w:hint="eastAsia"/>
          <w:szCs w:val="21"/>
        </w:rPr>
        <w:t>根据现行国家标准《城市轨道交通桥梁设计规范》</w:t>
      </w:r>
      <w:r>
        <w:rPr>
          <w:szCs w:val="21"/>
        </w:rPr>
        <w:t>GB/T51234-2017</w:t>
      </w:r>
      <w:r>
        <w:rPr>
          <w:rFonts w:hint="eastAsia"/>
          <w:szCs w:val="21"/>
        </w:rPr>
        <w:t>、现行行业标准《铁路桥涵设计规范》</w:t>
      </w:r>
      <w:r>
        <w:rPr>
          <w:szCs w:val="21"/>
        </w:rPr>
        <w:t>TB10002-2017</w:t>
      </w:r>
      <w:r>
        <w:rPr>
          <w:rFonts w:hint="eastAsia"/>
          <w:szCs w:val="21"/>
        </w:rPr>
        <w:t>将无缝线路纵向作用力修订为特殊力；补充实际运营时可能发生的救援列车荷载、检修列车荷载、顶梁荷载，考虑到以上荷载作用的时间较短，发生的可能性小，将其列为附加力。</w:t>
      </w:r>
    </w:p>
    <w:p w14:paraId="485FFA56">
      <w:pPr>
        <w:rPr>
          <w:szCs w:val="21"/>
        </w:rPr>
      </w:pPr>
      <w:r>
        <w:rPr>
          <w:b/>
          <w:szCs w:val="21"/>
        </w:rPr>
        <w:t xml:space="preserve">11.1.18  </w:t>
      </w:r>
      <w:r>
        <w:rPr>
          <w:rFonts w:hint="eastAsia"/>
          <w:szCs w:val="21"/>
        </w:rPr>
        <w:t>上海地铁总公司、同济大学桥梁系“城市高架轨道交通桥梁结构设计主要参数研究”中收集了国内外</w:t>
      </w:r>
      <w:r>
        <w:rPr>
          <w:szCs w:val="21"/>
        </w:rPr>
        <w:t>14</w:t>
      </w:r>
      <w:r>
        <w:rPr>
          <w:rFonts w:hint="eastAsia"/>
          <w:szCs w:val="21"/>
        </w:rPr>
        <w:t>种城市轨道交通车辆和</w:t>
      </w:r>
      <w:r>
        <w:rPr>
          <w:szCs w:val="21"/>
        </w:rPr>
        <w:t>7</w:t>
      </w:r>
      <w:r>
        <w:rPr>
          <w:rFonts w:hint="eastAsia"/>
          <w:szCs w:val="21"/>
        </w:rPr>
        <w:t>种轻轨车辆的轴重资料。城市轨道交通车辆轴重从</w:t>
      </w:r>
      <w:r>
        <w:rPr>
          <w:szCs w:val="21"/>
        </w:rPr>
        <w:t>98.5kN</w:t>
      </w:r>
      <w:r>
        <w:rPr>
          <w:rFonts w:hint="eastAsia"/>
          <w:szCs w:val="21"/>
        </w:rPr>
        <w:t>（英国伦敦）～</w:t>
      </w:r>
      <w:r>
        <w:rPr>
          <w:szCs w:val="21"/>
        </w:rPr>
        <w:t>182.1kN</w:t>
      </w:r>
      <w:r>
        <w:rPr>
          <w:rFonts w:hint="eastAsia"/>
          <w:szCs w:val="21"/>
        </w:rPr>
        <w:t>（法国巴黎）不等，轻轨车辆轴重从</w:t>
      </w:r>
      <w:r>
        <w:rPr>
          <w:szCs w:val="21"/>
        </w:rPr>
        <w:t>78.0kN</w:t>
      </w:r>
      <w:r>
        <w:rPr>
          <w:rFonts w:hint="eastAsia"/>
          <w:szCs w:val="21"/>
        </w:rPr>
        <w:t>（中国拟制的</w:t>
      </w:r>
      <w:r>
        <w:rPr>
          <w:szCs w:val="21"/>
        </w:rPr>
        <w:t>8</w:t>
      </w:r>
      <w:r>
        <w:rPr>
          <w:rFonts w:hint="eastAsia"/>
          <w:szCs w:val="21"/>
        </w:rPr>
        <w:t>轴车）～</w:t>
      </w:r>
      <w:r>
        <w:rPr>
          <w:szCs w:val="21"/>
        </w:rPr>
        <w:t>110kN</w:t>
      </w:r>
      <w:r>
        <w:rPr>
          <w:rFonts w:hint="eastAsia"/>
          <w:szCs w:val="21"/>
        </w:rPr>
        <w:t>（中国上海）不等。鉴于地铁轻轨列车种类的多样性并考虑到车辆构造发展将从不锈钢转向铝合金，意味着自重只会减少，而乘客载重不会变化。因此规定列车竖向活载可按本系统实际运行的列车最大轴重及最大编组确定，轴重上可不必留更多的余量。</w:t>
      </w:r>
    </w:p>
    <w:p w14:paraId="2513814C">
      <w:pPr>
        <w:ind w:firstLine="420"/>
      </w:pPr>
      <w:r>
        <w:rPr>
          <w:rFonts w:hint="eastAsia"/>
        </w:rPr>
        <w:t>对于双线桥，规定竖向荷载不折减。这是考虑到城市轨道交通、轻轨列车行车密度高、轴重一致的特点。以</w:t>
      </w:r>
      <w:r>
        <w:t>30m</w:t>
      </w:r>
      <w:r>
        <w:rPr>
          <w:rFonts w:hint="eastAsia"/>
        </w:rPr>
        <w:t>梁跨为例，按</w:t>
      </w:r>
      <w:r>
        <w:t>3</w:t>
      </w:r>
      <w:r>
        <w:rPr>
          <w:rFonts w:hint="eastAsia"/>
        </w:rPr>
        <w:t>分钟间隔、全天运行</w:t>
      </w:r>
      <w:r>
        <w:t>17</w:t>
      </w:r>
      <w:r>
        <w:rPr>
          <w:rFonts w:hint="eastAsia"/>
        </w:rPr>
        <w:t>小时计，两车在桥上相遇的机率约为</w:t>
      </w:r>
      <w:r>
        <w:t>382</w:t>
      </w:r>
      <w:r>
        <w:rPr>
          <w:rFonts w:hint="eastAsia"/>
        </w:rPr>
        <w:t>次</w:t>
      </w:r>
      <w:r>
        <w:t>/</w:t>
      </w:r>
      <w:r>
        <w:rPr>
          <w:rFonts w:hint="eastAsia"/>
        </w:rPr>
        <w:t>年。显然，轨道交通列车在桥上两车相遇的机率大得多。国外的一些规范如日本铁路结构设计标准、英国</w:t>
      </w:r>
      <w:r>
        <w:t>BS5400</w:t>
      </w:r>
      <w:r>
        <w:rPr>
          <w:rFonts w:hint="eastAsia"/>
        </w:rPr>
        <w:t>（铁路列车）、美国</w:t>
      </w:r>
      <w:r>
        <w:t>AREA-1977</w:t>
      </w:r>
      <w:r>
        <w:rPr>
          <w:rFonts w:hint="eastAsia"/>
        </w:rPr>
        <w:t>（铁路列车）、德国</w:t>
      </w:r>
      <w:r>
        <w:t>DS804</w:t>
      </w:r>
      <w:r>
        <w:rPr>
          <w:rFonts w:hint="eastAsia"/>
        </w:rPr>
        <w:t>（铁路列车）等双线桥加载都不折减。</w:t>
      </w:r>
    </w:p>
    <w:p w14:paraId="78540218">
      <w:pPr>
        <w:rPr>
          <w:szCs w:val="21"/>
        </w:rPr>
      </w:pPr>
      <w:r>
        <w:rPr>
          <w:rFonts w:hint="eastAsia"/>
          <w:szCs w:val="21"/>
        </w:rPr>
        <w:t>列车的竖向动力作用主要与运行速度、车辆性能和轨道不平顺有关，轨道交通桥梁的运行速度较低，常用跨度桥梁的竖向刚度与普通铁路桥梁接近，同时车辆的性能较好，因此其竖向动力作用要小于一般铁路桥梁。根据上海地铁公司和原上海铁道大学对明珠线</w:t>
      </w:r>
      <w:r>
        <w:rPr>
          <w:szCs w:val="21"/>
        </w:rPr>
        <w:t>30m</w:t>
      </w:r>
      <w:r>
        <w:rPr>
          <w:rFonts w:hint="eastAsia"/>
          <w:szCs w:val="21"/>
        </w:rPr>
        <w:t>简支梁的测试结果（</w:t>
      </w:r>
      <w:r>
        <w:rPr>
          <w:szCs w:val="21"/>
        </w:rPr>
        <w:t>V=60km/h</w:t>
      </w:r>
      <w:r>
        <w:rPr>
          <w:rFonts w:hint="eastAsia"/>
          <w:szCs w:val="21"/>
        </w:rPr>
        <w:t>），实测动力系数为铁路桥涵设计基本规范规定值的</w:t>
      </w:r>
      <w:r>
        <w:rPr>
          <w:szCs w:val="21"/>
        </w:rPr>
        <w:t>0.705</w:t>
      </w:r>
      <w:r>
        <w:rPr>
          <w:rFonts w:hint="eastAsia"/>
          <w:szCs w:val="21"/>
        </w:rPr>
        <w:t>倍，因此本规范偏于安全，对于时速在</w:t>
      </w:r>
      <w:r>
        <w:rPr>
          <w:szCs w:val="21"/>
        </w:rPr>
        <w:t>80km/h</w:t>
      </w:r>
      <w:r>
        <w:rPr>
          <w:rFonts w:hint="eastAsia"/>
          <w:szCs w:val="21"/>
        </w:rPr>
        <w:t>及以下的轨道交通桥梁取《铁路桥涵设计规范》</w:t>
      </w:r>
      <w:r>
        <w:rPr>
          <w:szCs w:val="21"/>
        </w:rPr>
        <w:t>TB 10002-2017</w:t>
      </w:r>
      <w:r>
        <w:rPr>
          <w:rFonts w:hint="eastAsia"/>
          <w:szCs w:val="21"/>
        </w:rPr>
        <w:t>规定值的</w:t>
      </w:r>
      <w:r>
        <w:rPr>
          <w:szCs w:val="21"/>
        </w:rPr>
        <w:t>0.8</w:t>
      </w:r>
      <w:r>
        <w:rPr>
          <w:rFonts w:hint="eastAsia"/>
          <w:szCs w:val="21"/>
        </w:rPr>
        <w:t>倍。</w:t>
      </w:r>
    </w:p>
    <w:p w14:paraId="49E1497B">
      <w:pPr>
        <w:rPr>
          <w:szCs w:val="21"/>
        </w:rPr>
      </w:pPr>
      <w:r>
        <w:rPr>
          <w:rFonts w:hint="eastAsia"/>
          <w:szCs w:val="21"/>
        </w:rPr>
        <w:t>近年来，随着轨道交通车辆性能的提高，已经有多条轨道交通线路的最高运行速度确定为</w:t>
      </w:r>
      <w:r>
        <w:rPr>
          <w:szCs w:val="21"/>
        </w:rPr>
        <w:t>120km/h</w:t>
      </w:r>
      <w:r>
        <w:rPr>
          <w:rFonts w:hint="eastAsia"/>
          <w:szCs w:val="21"/>
        </w:rPr>
        <w:t>或更高，因此在列车运行速度大于等于</w:t>
      </w:r>
      <w:r>
        <w:rPr>
          <w:szCs w:val="21"/>
        </w:rPr>
        <w:t>120km/h</w:t>
      </w:r>
      <w:r>
        <w:rPr>
          <w:rFonts w:hint="eastAsia"/>
          <w:szCs w:val="21"/>
        </w:rPr>
        <w:t>的情况下，由于列车动力响应的增加，轨道交通桥梁的动力系数可按照现行行业标准《铁路桥涵设计规范》</w:t>
      </w:r>
      <w:r>
        <w:rPr>
          <w:szCs w:val="21"/>
        </w:rPr>
        <w:t xml:space="preserve"> TB 10002-2017</w:t>
      </w:r>
      <w:r>
        <w:rPr>
          <w:rFonts w:hint="eastAsia"/>
          <w:szCs w:val="21"/>
        </w:rPr>
        <w:t>的规定取值。</w:t>
      </w:r>
    </w:p>
    <w:p w14:paraId="62CCC9C6">
      <w:pPr>
        <w:rPr>
          <w:szCs w:val="21"/>
        </w:rPr>
      </w:pPr>
      <w:r>
        <w:rPr>
          <w:szCs w:val="21"/>
        </w:rPr>
        <w:t>U</w:t>
      </w:r>
      <w:r>
        <w:rPr>
          <w:rFonts w:hint="eastAsia"/>
          <w:szCs w:val="21"/>
        </w:rPr>
        <w:t>形梁桥道板的冲击系数是依据国内相关单位的研究成果，并与实测结果进行比较后得出的。</w:t>
      </w:r>
    </w:p>
    <w:p w14:paraId="6565A5D1">
      <w:pPr>
        <w:rPr>
          <w:szCs w:val="21"/>
        </w:rPr>
      </w:pPr>
      <w:r>
        <w:rPr>
          <w:b/>
          <w:szCs w:val="21"/>
        </w:rPr>
        <w:t xml:space="preserve">11.1.20  </w:t>
      </w:r>
      <w:r>
        <w:rPr>
          <w:rFonts w:hint="eastAsia"/>
          <w:szCs w:val="21"/>
        </w:rPr>
        <w:t>参考现行行业标准《市域（郊）铁路设计规范》</w:t>
      </w:r>
      <w:r>
        <w:rPr>
          <w:szCs w:val="21"/>
        </w:rPr>
        <w:t>TB10624-2020</w:t>
      </w:r>
      <w:r>
        <w:rPr>
          <w:rFonts w:hint="eastAsia"/>
          <w:szCs w:val="21"/>
        </w:rPr>
        <w:t>的相关规定，横向摇摆力按</w:t>
      </w:r>
      <w:r>
        <w:rPr>
          <w:szCs w:val="21"/>
        </w:rPr>
        <w:t>60kN</w:t>
      </w:r>
      <w:r>
        <w:rPr>
          <w:rFonts w:hint="eastAsia"/>
          <w:szCs w:val="21"/>
        </w:rPr>
        <w:t>取值。</w:t>
      </w:r>
    </w:p>
    <w:p w14:paraId="07972A8E">
      <w:pPr>
        <w:rPr>
          <w:szCs w:val="21"/>
        </w:rPr>
      </w:pPr>
      <w:r>
        <w:rPr>
          <w:b/>
          <w:szCs w:val="21"/>
        </w:rPr>
        <w:t xml:space="preserve">11.1.21  </w:t>
      </w:r>
      <w:r>
        <w:rPr>
          <w:rFonts w:hint="eastAsia"/>
          <w:szCs w:val="21"/>
        </w:rPr>
        <w:t>关于制动力取值：</w:t>
      </w:r>
    </w:p>
    <w:p w14:paraId="4D484514">
      <w:pPr>
        <w:ind w:firstLine="420"/>
        <w:rPr>
          <w:szCs w:val="21"/>
        </w:rPr>
      </w:pPr>
      <w:r>
        <w:rPr>
          <w:b/>
          <w:szCs w:val="21"/>
        </w:rPr>
        <w:t xml:space="preserve">1 </w:t>
      </w:r>
      <w:r>
        <w:rPr>
          <w:szCs w:val="21"/>
        </w:rPr>
        <w:t xml:space="preserve"> </w:t>
      </w:r>
      <w:r>
        <w:rPr>
          <w:rFonts w:hint="eastAsia"/>
          <w:szCs w:val="21"/>
        </w:rPr>
        <w:t>列车制动力可分成作用于轨面的制动力和桥墩承受的制动力值。当桥梁长度短，通过钢轨传至路基的制动力部分就多，桥墩承受的制动力就较少些，反之亦然。铁路桥规经多年试验研究，并根据一般桥梁长度（几十米至</w:t>
      </w:r>
      <w:r>
        <w:rPr>
          <w:szCs w:val="21"/>
        </w:rPr>
        <w:t>1</w:t>
      </w:r>
      <w:r>
        <w:rPr>
          <w:rFonts w:hint="eastAsia"/>
          <w:szCs w:val="21"/>
        </w:rPr>
        <w:t>～</w:t>
      </w:r>
      <w:r>
        <w:rPr>
          <w:szCs w:val="21"/>
        </w:rPr>
        <w:t>2</w:t>
      </w:r>
      <w:r>
        <w:rPr>
          <w:rFonts w:hint="eastAsia"/>
          <w:szCs w:val="21"/>
        </w:rPr>
        <w:t>公里）确定桥墩承受的制动力为梁上列车竖向静活载的</w:t>
      </w:r>
      <w:r>
        <w:rPr>
          <w:szCs w:val="21"/>
        </w:rPr>
        <w:t>10%</w:t>
      </w:r>
      <w:r>
        <w:rPr>
          <w:rFonts w:hint="eastAsia"/>
          <w:szCs w:val="21"/>
        </w:rPr>
        <w:t>。</w:t>
      </w:r>
    </w:p>
    <w:p w14:paraId="688EF2A5">
      <w:pPr>
        <w:ind w:firstLine="420"/>
        <w:rPr>
          <w:szCs w:val="21"/>
        </w:rPr>
      </w:pPr>
      <w:r>
        <w:rPr>
          <w:b/>
          <w:szCs w:val="21"/>
        </w:rPr>
        <w:t xml:space="preserve">2 </w:t>
      </w:r>
      <w:r>
        <w:rPr>
          <w:szCs w:val="21"/>
        </w:rPr>
        <w:t xml:space="preserve"> </w:t>
      </w:r>
      <w:r>
        <w:rPr>
          <w:rFonts w:hint="eastAsia"/>
          <w:szCs w:val="21"/>
        </w:rPr>
        <w:t>轨道交通列车制动系统均为电气指令式，减速度要较铁路列车大，前者约为</w:t>
      </w:r>
      <w:r>
        <w:rPr>
          <w:szCs w:val="21"/>
        </w:rPr>
        <w:t>1.2m/s</w:t>
      </w:r>
      <w:r>
        <w:rPr>
          <w:szCs w:val="21"/>
          <w:vertAlign w:val="superscript"/>
        </w:rPr>
        <w:t>2</w:t>
      </w:r>
      <w:r>
        <w:rPr>
          <w:rFonts w:hint="eastAsia"/>
          <w:szCs w:val="21"/>
        </w:rPr>
        <w:t>～</w:t>
      </w:r>
      <w:r>
        <w:rPr>
          <w:szCs w:val="21"/>
        </w:rPr>
        <w:t>1.5m/s</w:t>
      </w:r>
      <w:r>
        <w:rPr>
          <w:szCs w:val="21"/>
          <w:vertAlign w:val="superscript"/>
        </w:rPr>
        <w:t>2</w:t>
      </w:r>
      <w:r>
        <w:rPr>
          <w:rFonts w:hint="eastAsia"/>
          <w:szCs w:val="21"/>
        </w:rPr>
        <w:t>，后者约为</w:t>
      </w:r>
      <w:r>
        <w:rPr>
          <w:szCs w:val="21"/>
        </w:rPr>
        <w:t>1.08m/s</w:t>
      </w:r>
      <w:r>
        <w:rPr>
          <w:szCs w:val="21"/>
          <w:vertAlign w:val="superscript"/>
        </w:rPr>
        <w:t>2</w:t>
      </w:r>
      <w:r>
        <w:rPr>
          <w:rFonts w:hint="eastAsia"/>
          <w:szCs w:val="21"/>
        </w:rPr>
        <w:t>～</w:t>
      </w:r>
      <w:r>
        <w:rPr>
          <w:szCs w:val="21"/>
        </w:rPr>
        <w:t>1.23m/s</w:t>
      </w:r>
      <w:r>
        <w:rPr>
          <w:szCs w:val="21"/>
          <w:vertAlign w:val="superscript"/>
        </w:rPr>
        <w:t>2</w:t>
      </w:r>
      <w:r>
        <w:rPr>
          <w:rFonts w:hint="eastAsia"/>
          <w:szCs w:val="21"/>
        </w:rPr>
        <w:t>，因此，紧急制动时，轨道交通列车作用于轨面的制动力值要大些。另一方面，城市轨道交通高架桥一般都是长大桥，传至桥墩部分的制动力也就要大些，因此，本规范规定区间高架桥制动力采用竖向静活载的</w:t>
      </w:r>
      <w:r>
        <w:rPr>
          <w:szCs w:val="21"/>
        </w:rPr>
        <w:t>15%</w:t>
      </w:r>
      <w:r>
        <w:rPr>
          <w:rFonts w:hint="eastAsia"/>
          <w:szCs w:val="21"/>
        </w:rPr>
        <w:t>。</w:t>
      </w:r>
    </w:p>
    <w:p w14:paraId="4EFF90BD">
      <w:pPr>
        <w:ind w:firstLine="420"/>
        <w:rPr>
          <w:szCs w:val="21"/>
        </w:rPr>
      </w:pPr>
      <w:r>
        <w:rPr>
          <w:b/>
          <w:szCs w:val="21"/>
        </w:rPr>
        <w:t xml:space="preserve">3 </w:t>
      </w:r>
      <w:r>
        <w:rPr>
          <w:szCs w:val="21"/>
        </w:rPr>
        <w:t xml:space="preserve"> </w:t>
      </w:r>
      <w:r>
        <w:rPr>
          <w:rFonts w:hint="eastAsia"/>
          <w:szCs w:val="21"/>
        </w:rPr>
        <w:t>国外如北美洲的一些城市轨道交通与轻轨系统，作用于轨面的列车制动力采用值如下表：</w:t>
      </w:r>
    </w:p>
    <w:p w14:paraId="3D60729C">
      <w:pPr>
        <w:ind w:firstLine="420"/>
        <w:jc w:val="center"/>
      </w:pPr>
      <w:r>
        <w:rPr>
          <w:rFonts w:hint="eastAsia"/>
        </w:rPr>
        <w:t>表10  国外采用列车制动力值</w:t>
      </w:r>
    </w:p>
    <w:tbl>
      <w:tblPr>
        <w:tblStyle w:val="88"/>
        <w:tblW w:w="59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866"/>
        <w:gridCol w:w="2237"/>
      </w:tblGrid>
      <w:tr w14:paraId="73426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Borders>
              <w:top w:val="single" w:color="auto" w:sz="8" w:space="0"/>
              <w:left w:val="single" w:color="auto" w:sz="8" w:space="0"/>
              <w:bottom w:val="single" w:color="auto" w:sz="8" w:space="0"/>
              <w:right w:val="single" w:color="auto" w:sz="4" w:space="0"/>
            </w:tcBorders>
            <w:vAlign w:val="center"/>
          </w:tcPr>
          <w:p w14:paraId="38199D3E">
            <w:pPr>
              <w:jc w:val="center"/>
              <w:rPr>
                <w:sz w:val="18"/>
                <w:szCs w:val="18"/>
              </w:rPr>
            </w:pPr>
            <w:r>
              <w:rPr>
                <w:rFonts w:hint="eastAsia"/>
                <w:sz w:val="18"/>
                <w:szCs w:val="18"/>
              </w:rPr>
              <w:t>国  名</w:t>
            </w:r>
          </w:p>
        </w:tc>
        <w:tc>
          <w:tcPr>
            <w:tcW w:w="2866" w:type="dxa"/>
            <w:tcBorders>
              <w:top w:val="single" w:color="auto" w:sz="8" w:space="0"/>
              <w:left w:val="single" w:color="auto" w:sz="4" w:space="0"/>
              <w:bottom w:val="single" w:color="auto" w:sz="8" w:space="0"/>
              <w:right w:val="single" w:color="auto" w:sz="4" w:space="0"/>
            </w:tcBorders>
            <w:vAlign w:val="center"/>
          </w:tcPr>
          <w:p w14:paraId="49B233CE">
            <w:pPr>
              <w:jc w:val="center"/>
              <w:rPr>
                <w:sz w:val="18"/>
                <w:szCs w:val="18"/>
              </w:rPr>
            </w:pPr>
            <w:r>
              <w:rPr>
                <w:rFonts w:hint="eastAsia"/>
                <w:sz w:val="18"/>
                <w:szCs w:val="18"/>
              </w:rPr>
              <w:t>城市轨道交通名称</w:t>
            </w:r>
          </w:p>
        </w:tc>
        <w:tc>
          <w:tcPr>
            <w:tcW w:w="2237" w:type="dxa"/>
            <w:tcBorders>
              <w:top w:val="single" w:color="auto" w:sz="8" w:space="0"/>
              <w:left w:val="single" w:color="auto" w:sz="4" w:space="0"/>
              <w:bottom w:val="single" w:color="auto" w:sz="8" w:space="0"/>
              <w:right w:val="single" w:color="auto" w:sz="8" w:space="0"/>
            </w:tcBorders>
            <w:vAlign w:val="center"/>
          </w:tcPr>
          <w:p w14:paraId="547A4F56">
            <w:pPr>
              <w:jc w:val="center"/>
              <w:rPr>
                <w:sz w:val="18"/>
                <w:szCs w:val="18"/>
              </w:rPr>
            </w:pPr>
            <w:r>
              <w:rPr>
                <w:rFonts w:hint="eastAsia"/>
                <w:sz w:val="18"/>
                <w:szCs w:val="18"/>
              </w:rPr>
              <w:t>作用于轨面的制动力</w:t>
            </w:r>
          </w:p>
        </w:tc>
      </w:tr>
      <w:tr w14:paraId="05EB6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Borders>
              <w:top w:val="single" w:color="auto" w:sz="8" w:space="0"/>
              <w:left w:val="single" w:color="auto" w:sz="8" w:space="0"/>
              <w:bottom w:val="single" w:color="auto" w:sz="4" w:space="0"/>
              <w:right w:val="single" w:color="auto" w:sz="4" w:space="0"/>
            </w:tcBorders>
            <w:vAlign w:val="center"/>
          </w:tcPr>
          <w:p w14:paraId="5562B7DA">
            <w:pPr>
              <w:jc w:val="center"/>
              <w:rPr>
                <w:sz w:val="18"/>
                <w:szCs w:val="18"/>
              </w:rPr>
            </w:pPr>
            <w:r>
              <w:rPr>
                <w:rFonts w:hint="eastAsia"/>
                <w:sz w:val="18"/>
                <w:szCs w:val="18"/>
              </w:rPr>
              <w:t>美国</w:t>
            </w:r>
          </w:p>
        </w:tc>
        <w:tc>
          <w:tcPr>
            <w:tcW w:w="2866" w:type="dxa"/>
            <w:tcBorders>
              <w:top w:val="single" w:color="auto" w:sz="8" w:space="0"/>
              <w:left w:val="single" w:color="auto" w:sz="4" w:space="0"/>
              <w:bottom w:val="single" w:color="auto" w:sz="4" w:space="0"/>
              <w:right w:val="single" w:color="auto" w:sz="4" w:space="0"/>
            </w:tcBorders>
            <w:vAlign w:val="center"/>
          </w:tcPr>
          <w:p w14:paraId="47341C82">
            <w:pPr>
              <w:jc w:val="center"/>
              <w:rPr>
                <w:sz w:val="18"/>
                <w:szCs w:val="18"/>
              </w:rPr>
            </w:pPr>
            <w:r>
              <w:rPr>
                <w:rFonts w:hint="eastAsia"/>
                <w:sz w:val="18"/>
                <w:szCs w:val="18"/>
              </w:rPr>
              <w:t>旧金山城市轨道系统（BART）</w:t>
            </w:r>
          </w:p>
        </w:tc>
        <w:tc>
          <w:tcPr>
            <w:tcW w:w="2237" w:type="dxa"/>
            <w:tcBorders>
              <w:top w:val="single" w:color="auto" w:sz="8" w:space="0"/>
              <w:left w:val="single" w:color="auto" w:sz="4" w:space="0"/>
              <w:bottom w:val="single" w:color="auto" w:sz="4" w:space="0"/>
              <w:right w:val="single" w:color="auto" w:sz="8" w:space="0"/>
            </w:tcBorders>
            <w:vAlign w:val="center"/>
          </w:tcPr>
          <w:p w14:paraId="353679CC">
            <w:pPr>
              <w:jc w:val="center"/>
              <w:rPr>
                <w:sz w:val="18"/>
                <w:szCs w:val="18"/>
              </w:rPr>
            </w:pPr>
            <w:r>
              <w:rPr>
                <w:rFonts w:hint="eastAsia"/>
                <w:sz w:val="18"/>
                <w:szCs w:val="18"/>
              </w:rPr>
              <w:t>0.21gL</w:t>
            </w:r>
          </w:p>
        </w:tc>
      </w:tr>
      <w:tr w14:paraId="43689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Borders>
              <w:top w:val="single" w:color="auto" w:sz="4" w:space="0"/>
              <w:left w:val="single" w:color="auto" w:sz="8" w:space="0"/>
              <w:bottom w:val="single" w:color="auto" w:sz="4" w:space="0"/>
              <w:right w:val="single" w:color="auto" w:sz="4" w:space="0"/>
            </w:tcBorders>
            <w:vAlign w:val="center"/>
          </w:tcPr>
          <w:p w14:paraId="32EA50D4">
            <w:pPr>
              <w:jc w:val="center"/>
              <w:rPr>
                <w:sz w:val="18"/>
                <w:szCs w:val="18"/>
              </w:rPr>
            </w:pPr>
            <w:r>
              <w:rPr>
                <w:rFonts w:hint="eastAsia"/>
                <w:sz w:val="18"/>
                <w:szCs w:val="18"/>
              </w:rPr>
              <w:t>美国</w:t>
            </w:r>
          </w:p>
        </w:tc>
        <w:tc>
          <w:tcPr>
            <w:tcW w:w="2866" w:type="dxa"/>
            <w:tcBorders>
              <w:top w:val="single" w:color="auto" w:sz="4" w:space="0"/>
              <w:left w:val="single" w:color="auto" w:sz="4" w:space="0"/>
              <w:bottom w:val="single" w:color="auto" w:sz="4" w:space="0"/>
              <w:right w:val="single" w:color="auto" w:sz="4" w:space="0"/>
            </w:tcBorders>
            <w:vAlign w:val="center"/>
          </w:tcPr>
          <w:p w14:paraId="622BA543">
            <w:pPr>
              <w:jc w:val="center"/>
              <w:rPr>
                <w:sz w:val="18"/>
                <w:szCs w:val="18"/>
              </w:rPr>
            </w:pPr>
            <w:r>
              <w:rPr>
                <w:rFonts w:hint="eastAsia"/>
                <w:sz w:val="18"/>
                <w:szCs w:val="18"/>
              </w:rPr>
              <w:t>芝加哥市城市轨道系统（CTA）</w:t>
            </w:r>
          </w:p>
        </w:tc>
        <w:tc>
          <w:tcPr>
            <w:tcW w:w="2237" w:type="dxa"/>
            <w:tcBorders>
              <w:top w:val="single" w:color="auto" w:sz="4" w:space="0"/>
              <w:left w:val="single" w:color="auto" w:sz="4" w:space="0"/>
              <w:bottom w:val="single" w:color="auto" w:sz="4" w:space="0"/>
              <w:right w:val="single" w:color="auto" w:sz="8" w:space="0"/>
            </w:tcBorders>
            <w:vAlign w:val="center"/>
          </w:tcPr>
          <w:p w14:paraId="3F6FE9C9">
            <w:pPr>
              <w:jc w:val="center"/>
              <w:rPr>
                <w:sz w:val="18"/>
                <w:szCs w:val="18"/>
              </w:rPr>
            </w:pPr>
            <w:r>
              <w:rPr>
                <w:rFonts w:hint="eastAsia"/>
                <w:sz w:val="18"/>
                <w:szCs w:val="18"/>
              </w:rPr>
              <w:t>0.15gL</w:t>
            </w:r>
          </w:p>
        </w:tc>
      </w:tr>
      <w:tr w14:paraId="118FF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Borders>
              <w:top w:val="single" w:color="auto" w:sz="4" w:space="0"/>
              <w:left w:val="single" w:color="auto" w:sz="8" w:space="0"/>
              <w:bottom w:val="single" w:color="auto" w:sz="4" w:space="0"/>
              <w:right w:val="single" w:color="auto" w:sz="4" w:space="0"/>
            </w:tcBorders>
            <w:vAlign w:val="center"/>
          </w:tcPr>
          <w:p w14:paraId="1DFBA3ED">
            <w:pPr>
              <w:jc w:val="center"/>
              <w:rPr>
                <w:sz w:val="18"/>
                <w:szCs w:val="18"/>
              </w:rPr>
            </w:pPr>
            <w:r>
              <w:rPr>
                <w:rFonts w:hint="eastAsia"/>
                <w:sz w:val="18"/>
                <w:szCs w:val="18"/>
              </w:rPr>
              <w:t>美国</w:t>
            </w:r>
          </w:p>
        </w:tc>
        <w:tc>
          <w:tcPr>
            <w:tcW w:w="2866" w:type="dxa"/>
            <w:tcBorders>
              <w:top w:val="single" w:color="auto" w:sz="4" w:space="0"/>
              <w:left w:val="single" w:color="auto" w:sz="4" w:space="0"/>
              <w:bottom w:val="single" w:color="auto" w:sz="4" w:space="0"/>
              <w:right w:val="single" w:color="auto" w:sz="4" w:space="0"/>
            </w:tcBorders>
            <w:vAlign w:val="center"/>
          </w:tcPr>
          <w:p w14:paraId="59CC7D42">
            <w:pPr>
              <w:jc w:val="center"/>
              <w:rPr>
                <w:sz w:val="18"/>
                <w:szCs w:val="18"/>
              </w:rPr>
            </w:pPr>
            <w:r>
              <w:rPr>
                <w:rFonts w:hint="eastAsia"/>
                <w:sz w:val="18"/>
                <w:szCs w:val="18"/>
              </w:rPr>
              <w:t>亚特兰大地铁（MARTA）</w:t>
            </w:r>
          </w:p>
        </w:tc>
        <w:tc>
          <w:tcPr>
            <w:tcW w:w="2237" w:type="dxa"/>
            <w:tcBorders>
              <w:top w:val="single" w:color="auto" w:sz="4" w:space="0"/>
              <w:left w:val="single" w:color="auto" w:sz="4" w:space="0"/>
              <w:bottom w:val="single" w:color="auto" w:sz="4" w:space="0"/>
              <w:right w:val="single" w:color="auto" w:sz="8" w:space="0"/>
            </w:tcBorders>
            <w:vAlign w:val="center"/>
          </w:tcPr>
          <w:p w14:paraId="14EE35BB">
            <w:pPr>
              <w:jc w:val="center"/>
              <w:rPr>
                <w:sz w:val="18"/>
                <w:szCs w:val="18"/>
              </w:rPr>
            </w:pPr>
            <w:r>
              <w:rPr>
                <w:rFonts w:hint="eastAsia"/>
                <w:sz w:val="18"/>
                <w:szCs w:val="18"/>
              </w:rPr>
              <w:t>0.21gL</w:t>
            </w:r>
          </w:p>
        </w:tc>
      </w:tr>
      <w:tr w14:paraId="5CE36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Borders>
              <w:top w:val="single" w:color="auto" w:sz="4" w:space="0"/>
              <w:left w:val="single" w:color="auto" w:sz="8" w:space="0"/>
              <w:bottom w:val="single" w:color="auto" w:sz="4" w:space="0"/>
              <w:right w:val="single" w:color="auto" w:sz="4" w:space="0"/>
            </w:tcBorders>
            <w:vAlign w:val="center"/>
          </w:tcPr>
          <w:p w14:paraId="5B24A436">
            <w:pPr>
              <w:jc w:val="center"/>
              <w:rPr>
                <w:sz w:val="18"/>
                <w:szCs w:val="18"/>
              </w:rPr>
            </w:pPr>
            <w:r>
              <w:rPr>
                <w:rFonts w:hint="eastAsia"/>
                <w:sz w:val="18"/>
                <w:szCs w:val="18"/>
              </w:rPr>
              <w:t>美国</w:t>
            </w:r>
          </w:p>
        </w:tc>
        <w:tc>
          <w:tcPr>
            <w:tcW w:w="2866" w:type="dxa"/>
            <w:tcBorders>
              <w:top w:val="single" w:color="auto" w:sz="4" w:space="0"/>
              <w:left w:val="single" w:color="auto" w:sz="4" w:space="0"/>
              <w:bottom w:val="single" w:color="auto" w:sz="4" w:space="0"/>
              <w:right w:val="single" w:color="auto" w:sz="4" w:space="0"/>
            </w:tcBorders>
            <w:vAlign w:val="center"/>
          </w:tcPr>
          <w:p w14:paraId="27BC9E09">
            <w:pPr>
              <w:jc w:val="center"/>
              <w:rPr>
                <w:sz w:val="18"/>
                <w:szCs w:val="18"/>
              </w:rPr>
            </w:pPr>
            <w:r>
              <w:rPr>
                <w:rFonts w:hint="eastAsia"/>
                <w:sz w:val="18"/>
                <w:szCs w:val="18"/>
              </w:rPr>
              <w:t>华盛顿地铁（WMATA）</w:t>
            </w:r>
          </w:p>
        </w:tc>
        <w:tc>
          <w:tcPr>
            <w:tcW w:w="2237" w:type="dxa"/>
            <w:tcBorders>
              <w:top w:val="single" w:color="auto" w:sz="4" w:space="0"/>
              <w:left w:val="single" w:color="auto" w:sz="4" w:space="0"/>
              <w:bottom w:val="single" w:color="auto" w:sz="4" w:space="0"/>
              <w:right w:val="single" w:color="auto" w:sz="8" w:space="0"/>
            </w:tcBorders>
            <w:vAlign w:val="center"/>
          </w:tcPr>
          <w:p w14:paraId="0A0780C3">
            <w:pPr>
              <w:jc w:val="center"/>
              <w:rPr>
                <w:sz w:val="18"/>
                <w:szCs w:val="18"/>
              </w:rPr>
            </w:pPr>
            <w:r>
              <w:rPr>
                <w:rFonts w:hint="eastAsia"/>
                <w:sz w:val="18"/>
                <w:szCs w:val="18"/>
              </w:rPr>
              <w:t>0.15gL</w:t>
            </w:r>
          </w:p>
        </w:tc>
      </w:tr>
      <w:tr w14:paraId="7E0A5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Borders>
              <w:top w:val="single" w:color="auto" w:sz="4" w:space="0"/>
              <w:left w:val="single" w:color="auto" w:sz="8" w:space="0"/>
              <w:bottom w:val="single" w:color="auto" w:sz="4" w:space="0"/>
              <w:right w:val="single" w:color="auto" w:sz="4" w:space="0"/>
            </w:tcBorders>
            <w:vAlign w:val="center"/>
          </w:tcPr>
          <w:p w14:paraId="1A550165">
            <w:pPr>
              <w:jc w:val="center"/>
              <w:rPr>
                <w:sz w:val="18"/>
                <w:szCs w:val="18"/>
              </w:rPr>
            </w:pPr>
            <w:r>
              <w:rPr>
                <w:rFonts w:hint="eastAsia"/>
                <w:sz w:val="18"/>
                <w:szCs w:val="18"/>
              </w:rPr>
              <w:t>加拿大</w:t>
            </w:r>
          </w:p>
        </w:tc>
        <w:tc>
          <w:tcPr>
            <w:tcW w:w="2866" w:type="dxa"/>
            <w:tcBorders>
              <w:top w:val="single" w:color="auto" w:sz="4" w:space="0"/>
              <w:left w:val="single" w:color="auto" w:sz="4" w:space="0"/>
              <w:bottom w:val="single" w:color="auto" w:sz="4" w:space="0"/>
              <w:right w:val="single" w:color="auto" w:sz="4" w:space="0"/>
            </w:tcBorders>
            <w:vAlign w:val="center"/>
          </w:tcPr>
          <w:p w14:paraId="4A23473F">
            <w:pPr>
              <w:jc w:val="center"/>
              <w:rPr>
                <w:sz w:val="18"/>
                <w:szCs w:val="18"/>
              </w:rPr>
            </w:pPr>
            <w:r>
              <w:rPr>
                <w:rFonts w:hint="eastAsia"/>
                <w:sz w:val="18"/>
                <w:szCs w:val="18"/>
              </w:rPr>
              <w:t>多伦多地铁（TTC）</w:t>
            </w:r>
          </w:p>
        </w:tc>
        <w:tc>
          <w:tcPr>
            <w:tcW w:w="2237" w:type="dxa"/>
            <w:tcBorders>
              <w:top w:val="single" w:color="auto" w:sz="4" w:space="0"/>
              <w:left w:val="single" w:color="auto" w:sz="4" w:space="0"/>
              <w:bottom w:val="single" w:color="auto" w:sz="4" w:space="0"/>
              <w:right w:val="single" w:color="auto" w:sz="8" w:space="0"/>
            </w:tcBorders>
            <w:vAlign w:val="center"/>
          </w:tcPr>
          <w:p w14:paraId="467127A2">
            <w:pPr>
              <w:jc w:val="center"/>
              <w:rPr>
                <w:sz w:val="18"/>
                <w:szCs w:val="18"/>
              </w:rPr>
            </w:pPr>
            <w:r>
              <w:rPr>
                <w:rFonts w:hint="eastAsia"/>
                <w:sz w:val="18"/>
                <w:szCs w:val="18"/>
              </w:rPr>
              <w:t>0.25gL</w:t>
            </w:r>
          </w:p>
        </w:tc>
      </w:tr>
      <w:tr w14:paraId="35E900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Borders>
              <w:top w:val="single" w:color="auto" w:sz="4" w:space="0"/>
              <w:left w:val="single" w:color="auto" w:sz="8" w:space="0"/>
              <w:bottom w:val="single" w:color="auto" w:sz="8" w:space="0"/>
              <w:right w:val="single" w:color="auto" w:sz="4" w:space="0"/>
            </w:tcBorders>
            <w:vAlign w:val="center"/>
          </w:tcPr>
          <w:p w14:paraId="6D2BC9C7">
            <w:pPr>
              <w:jc w:val="center"/>
              <w:rPr>
                <w:sz w:val="18"/>
                <w:szCs w:val="18"/>
              </w:rPr>
            </w:pPr>
            <w:r>
              <w:rPr>
                <w:rFonts w:hint="eastAsia"/>
                <w:sz w:val="18"/>
                <w:szCs w:val="18"/>
              </w:rPr>
              <w:t>加拿大</w:t>
            </w:r>
          </w:p>
        </w:tc>
        <w:tc>
          <w:tcPr>
            <w:tcW w:w="2866" w:type="dxa"/>
            <w:tcBorders>
              <w:top w:val="single" w:color="auto" w:sz="4" w:space="0"/>
              <w:left w:val="single" w:color="auto" w:sz="4" w:space="0"/>
              <w:bottom w:val="single" w:color="auto" w:sz="8" w:space="0"/>
              <w:right w:val="single" w:color="auto" w:sz="4" w:space="0"/>
            </w:tcBorders>
            <w:vAlign w:val="center"/>
          </w:tcPr>
          <w:p w14:paraId="43E8D8B2">
            <w:pPr>
              <w:jc w:val="center"/>
              <w:rPr>
                <w:sz w:val="18"/>
                <w:szCs w:val="18"/>
              </w:rPr>
            </w:pPr>
            <w:r>
              <w:rPr>
                <w:rFonts w:hint="eastAsia"/>
                <w:sz w:val="18"/>
                <w:szCs w:val="18"/>
              </w:rPr>
              <w:t>加拿大轻轨系统（CLRV）</w:t>
            </w:r>
          </w:p>
        </w:tc>
        <w:tc>
          <w:tcPr>
            <w:tcW w:w="2237" w:type="dxa"/>
            <w:tcBorders>
              <w:top w:val="single" w:color="auto" w:sz="4" w:space="0"/>
              <w:left w:val="single" w:color="auto" w:sz="4" w:space="0"/>
              <w:bottom w:val="single" w:color="auto" w:sz="8" w:space="0"/>
              <w:right w:val="single" w:color="auto" w:sz="8" w:space="0"/>
            </w:tcBorders>
            <w:vAlign w:val="center"/>
          </w:tcPr>
          <w:p w14:paraId="56CDF2D0">
            <w:pPr>
              <w:jc w:val="center"/>
              <w:rPr>
                <w:sz w:val="18"/>
                <w:szCs w:val="18"/>
              </w:rPr>
            </w:pPr>
            <w:r>
              <w:rPr>
                <w:rFonts w:hint="eastAsia"/>
                <w:sz w:val="18"/>
                <w:szCs w:val="18"/>
              </w:rPr>
              <w:t>0.25gL</w:t>
            </w:r>
          </w:p>
        </w:tc>
      </w:tr>
    </w:tbl>
    <w:p w14:paraId="46CD1637">
      <w:pPr>
        <w:ind w:firstLine="420"/>
        <w:rPr>
          <w:szCs w:val="21"/>
        </w:rPr>
      </w:pPr>
      <w:r>
        <w:rPr>
          <w:b/>
          <w:szCs w:val="21"/>
        </w:rPr>
        <w:t xml:space="preserve">4 </w:t>
      </w:r>
      <w:r>
        <w:rPr>
          <w:rFonts w:hint="eastAsia"/>
          <w:b/>
          <w:szCs w:val="21"/>
        </w:rPr>
        <w:t xml:space="preserve"> </w:t>
      </w:r>
      <w:r>
        <w:rPr>
          <w:rFonts w:hint="eastAsia"/>
          <w:szCs w:val="21"/>
        </w:rPr>
        <w:t>车站及附近桥梁由于列车进出站频繁发生制动和起动，因此双线桥按双线制动力考虑，但由于一般都不是紧急制动，因此每线制动按</w:t>
      </w:r>
      <w:r>
        <w:rPr>
          <w:szCs w:val="21"/>
        </w:rPr>
        <w:t>10%</w:t>
      </w:r>
      <w:r>
        <w:rPr>
          <w:rFonts w:hint="eastAsia"/>
          <w:szCs w:val="21"/>
        </w:rPr>
        <w:t>计。</w:t>
      </w:r>
    </w:p>
    <w:p w14:paraId="44DA1C7D">
      <w:pPr>
        <w:rPr>
          <w:szCs w:val="21"/>
        </w:rPr>
      </w:pPr>
      <w:r>
        <w:rPr>
          <w:b/>
          <w:szCs w:val="21"/>
        </w:rPr>
        <w:t xml:space="preserve">11.1.23  </w:t>
      </w:r>
      <w:r>
        <w:rPr>
          <w:rFonts w:hint="eastAsia"/>
          <w:szCs w:val="21"/>
        </w:rPr>
        <w:t>参考现行行业标准《铁路桥涵设计规范》</w:t>
      </w:r>
      <w:r>
        <w:rPr>
          <w:szCs w:val="21"/>
        </w:rPr>
        <w:t>TB10002-2017</w:t>
      </w:r>
      <w:r>
        <w:rPr>
          <w:rFonts w:hint="eastAsia"/>
          <w:szCs w:val="21"/>
        </w:rPr>
        <w:t>对无缝线路纵向力的荷载取值、组合进行规定。</w:t>
      </w:r>
    </w:p>
    <w:p w14:paraId="7E83BF73">
      <w:pPr>
        <w:rPr>
          <w:szCs w:val="21"/>
        </w:rPr>
      </w:pPr>
      <w:r>
        <w:rPr>
          <w:b/>
          <w:szCs w:val="21"/>
        </w:rPr>
        <w:t xml:space="preserve">11.1.25  </w:t>
      </w:r>
      <w:r>
        <w:rPr>
          <w:rFonts w:hint="eastAsia"/>
          <w:szCs w:val="21"/>
        </w:rPr>
        <w:t>温度变化的作用可以划分为三类：体系温差（均匀升降温）、温度梯度和构件温差。现行国家标准《城市轨道交通桥梁设计规范》</w:t>
      </w:r>
      <w:r>
        <w:rPr>
          <w:szCs w:val="21"/>
        </w:rPr>
        <w:t>GB/T51234-2017</w:t>
      </w:r>
      <w:r>
        <w:rPr>
          <w:rFonts w:hint="eastAsia"/>
          <w:szCs w:val="21"/>
        </w:rPr>
        <w:t>规定全面、宜执行，适用于混凝土结构、钢混组合结构、钢结构桥梁等。本条直接引用该规范。</w:t>
      </w:r>
    </w:p>
    <w:p w14:paraId="1F548907">
      <w:pPr>
        <w:rPr>
          <w:szCs w:val="21"/>
        </w:rPr>
      </w:pPr>
      <w:r>
        <w:rPr>
          <w:b/>
          <w:szCs w:val="21"/>
        </w:rPr>
        <w:t xml:space="preserve">11.1.31  </w:t>
      </w:r>
      <w:r>
        <w:rPr>
          <w:rFonts w:hint="eastAsia"/>
          <w:szCs w:val="21"/>
        </w:rPr>
        <w:t>运营列车发生故障后，对故障列车实施救援是轨道交通运营中可能发生的一种特殊工况，桥梁设计中考虑救援工况是十分必要的。救援工况的设计对于中小跨度桥梁的影响不大，但对于大型桥梁如果在设计阶段不考虑救援工况，则会给后期运营带来不便。</w:t>
      </w:r>
    </w:p>
    <w:p w14:paraId="09199AE7">
      <w:pPr>
        <w:rPr>
          <w:szCs w:val="21"/>
        </w:rPr>
      </w:pPr>
      <w:r>
        <w:rPr>
          <w:rFonts w:hint="eastAsia"/>
          <w:szCs w:val="21"/>
        </w:rPr>
        <w:t>救援荷载与列车的救援模式有关，本规范考虑了一列同编组列车将事故列车推出，同时另外一线保持正常运营的工况；考虑到救援列车可能携带救援设备及人员，因此在无详细资料的情况下偏于安全的取一列满载列车的重量，并与运营荷载进行最不利组合。</w:t>
      </w:r>
    </w:p>
    <w:p w14:paraId="36583CBA">
      <w:pPr>
        <w:rPr>
          <w:szCs w:val="21"/>
        </w:rPr>
      </w:pPr>
      <w:r>
        <w:rPr>
          <w:rFonts w:hint="eastAsia"/>
          <w:szCs w:val="21"/>
        </w:rPr>
        <w:t>桥梁建成后，除通行运营车辆外，还需通过检修列车。在某城市的轨道线路中，出现过检修列车的效应大于运营列车的情况，因此设计中应根据检修列车的荷载分布情况进行结构检算。</w:t>
      </w:r>
    </w:p>
    <w:p w14:paraId="721E76DF">
      <w:pPr>
        <w:rPr>
          <w:szCs w:val="21"/>
        </w:rPr>
      </w:pPr>
      <w:r>
        <w:rPr>
          <w:rFonts w:hint="eastAsia"/>
          <w:szCs w:val="21"/>
        </w:rPr>
        <w:t>考虑到上述两种情况作用的时间短，发生的可能性小，因此将其列为附加力。</w:t>
      </w:r>
    </w:p>
    <w:p w14:paraId="15C337E9">
      <w:pPr>
        <w:rPr>
          <w:szCs w:val="21"/>
        </w:rPr>
      </w:pPr>
      <w:r>
        <w:rPr>
          <w:rFonts w:hint="eastAsia"/>
          <w:szCs w:val="21"/>
        </w:rPr>
        <w:t>参照《城市轨道交通桥梁设计规范》</w:t>
      </w:r>
      <w:r>
        <w:rPr>
          <w:szCs w:val="21"/>
        </w:rPr>
        <w:t>GB/T51234-2017</w:t>
      </w:r>
      <w:r>
        <w:rPr>
          <w:rFonts w:hint="eastAsia"/>
          <w:szCs w:val="21"/>
        </w:rPr>
        <w:t>相关规定，明确救援荷载、检修荷载取值。</w:t>
      </w:r>
    </w:p>
    <w:p w14:paraId="7D449286">
      <w:pPr>
        <w:jc w:val="center"/>
        <w:rPr>
          <w:rFonts w:eastAsia="黑体"/>
        </w:rPr>
      </w:pPr>
      <w:r>
        <w:rPr>
          <w:rFonts w:eastAsia="黑体"/>
          <w:b/>
        </w:rPr>
        <w:t xml:space="preserve">Ⅲ </w:t>
      </w:r>
      <w:r>
        <w:rPr>
          <w:rFonts w:eastAsia="黑体"/>
        </w:rPr>
        <w:t xml:space="preserve"> 刚度要求</w:t>
      </w:r>
    </w:p>
    <w:p w14:paraId="4AB61750">
      <w:pPr>
        <w:rPr>
          <w:szCs w:val="21"/>
        </w:rPr>
      </w:pPr>
      <w:r>
        <w:rPr>
          <w:b/>
          <w:szCs w:val="21"/>
        </w:rPr>
        <w:t>11.1.3</w:t>
      </w:r>
      <w:r>
        <w:rPr>
          <w:rFonts w:hint="eastAsia"/>
          <w:b/>
          <w:szCs w:val="21"/>
        </w:rPr>
        <w:t>5</w:t>
      </w:r>
      <w:r>
        <w:rPr>
          <w:b/>
          <w:szCs w:val="21"/>
        </w:rPr>
        <w:t xml:space="preserve">  </w:t>
      </w:r>
      <w:r>
        <w:rPr>
          <w:rFonts w:hint="eastAsia"/>
          <w:szCs w:val="21"/>
        </w:rPr>
        <w:t>关于桥梁结构刚度和变形规定：</w:t>
      </w:r>
    </w:p>
    <w:p w14:paraId="46A942FC">
      <w:pPr>
        <w:rPr>
          <w:szCs w:val="21"/>
        </w:rPr>
      </w:pPr>
      <w:r>
        <w:rPr>
          <w:rFonts w:hint="eastAsia"/>
          <w:szCs w:val="21"/>
        </w:rPr>
        <w:t>第一款：竖向刚度控制指标是桥梁设计的重要参数，与线路的运行速度、列车运行的平顺性和舒适度等因素有关，铁路一般采用竖向挠度和自振频率双控。与铁路不同，轨道交通由于列车运行速度低，当列车运行速度为</w:t>
      </w:r>
      <w:r>
        <w:rPr>
          <w:szCs w:val="21"/>
        </w:rPr>
        <w:t>80km/h~140km/h</w:t>
      </w:r>
      <w:r>
        <w:rPr>
          <w:rFonts w:hint="eastAsia"/>
          <w:szCs w:val="21"/>
        </w:rPr>
        <w:t>时，列车的激振频率一般为</w:t>
      </w:r>
      <w:r>
        <w:rPr>
          <w:szCs w:val="21"/>
        </w:rPr>
        <w:t>1.0Hz~1.8Hz</w:t>
      </w:r>
      <w:r>
        <w:rPr>
          <w:rFonts w:hint="eastAsia"/>
          <w:szCs w:val="21"/>
        </w:rPr>
        <w:t>，常用跨度轨道交通桥梁的自振频率已经远大于该频率，因此限定自振频率的必要性不大。本条关于桥梁竖向刚度控制指标主要基于以下三个因素：（</w:t>
      </w:r>
      <w:r>
        <w:rPr>
          <w:szCs w:val="21"/>
        </w:rPr>
        <w:t>1</w:t>
      </w:r>
      <w:r>
        <w:rPr>
          <w:rFonts w:hint="eastAsia"/>
          <w:szCs w:val="21"/>
        </w:rPr>
        <w:t>）采用无砟轨道后，由于扣件的调整量有限，需要对梁体的徐变变形进行控制，而控制梁体的徐变变形就需对梁体刚度进行限制；（</w:t>
      </w:r>
      <w:r>
        <w:rPr>
          <w:szCs w:val="21"/>
        </w:rPr>
        <w:t>2</w:t>
      </w:r>
      <w:r>
        <w:rPr>
          <w:rFonts w:hint="eastAsia"/>
          <w:szCs w:val="21"/>
        </w:rPr>
        <w:t>）为避免在梁端处产生的轨道不平顺，同时为了控制梁端转角引起的无砟轨道扣件的上拔力和下压力，需控制梁端转角，实际上也对竖向刚度提出了要求，两者宜基本一致；（</w:t>
      </w:r>
      <w:r>
        <w:rPr>
          <w:szCs w:val="21"/>
        </w:rPr>
        <w:t>3</w:t>
      </w:r>
      <w:r>
        <w:rPr>
          <w:rFonts w:hint="eastAsia"/>
          <w:szCs w:val="21"/>
        </w:rPr>
        <w:t>）为保证列车运行的舒适性和安全性，也需对梁体刚度进行控制。列车最高时速不大于</w:t>
      </w:r>
      <w:r>
        <w:rPr>
          <w:szCs w:val="21"/>
        </w:rPr>
        <w:t>120km/h</w:t>
      </w:r>
      <w:r>
        <w:rPr>
          <w:rFonts w:hint="eastAsia"/>
          <w:szCs w:val="21"/>
        </w:rPr>
        <w:t>的活载静挠度引用《城市轨道交通桥梁设计规范》</w:t>
      </w:r>
      <w:r>
        <w:rPr>
          <w:szCs w:val="21"/>
        </w:rPr>
        <w:t>GB/T51234-2017</w:t>
      </w:r>
      <w:r>
        <w:rPr>
          <w:rFonts w:hint="eastAsia"/>
          <w:szCs w:val="21"/>
        </w:rPr>
        <w:t>相关要求；列车最高时速大于</w:t>
      </w:r>
      <w:r>
        <w:rPr>
          <w:szCs w:val="21"/>
        </w:rPr>
        <w:t>120km/h</w:t>
      </w:r>
      <w:r>
        <w:rPr>
          <w:rFonts w:hint="eastAsia"/>
          <w:szCs w:val="21"/>
        </w:rPr>
        <w:t>时的活载静挠度引用《市域（郊）轨道交通设计规范》</w:t>
      </w:r>
      <w:r>
        <w:rPr>
          <w:szCs w:val="21"/>
        </w:rPr>
        <w:t>DB11/T  1980-2022</w:t>
      </w:r>
      <w:r>
        <w:rPr>
          <w:rFonts w:hint="eastAsia"/>
          <w:szCs w:val="21"/>
        </w:rPr>
        <w:t>的相关要求。</w:t>
      </w:r>
    </w:p>
    <w:p w14:paraId="667B9F1A">
      <w:pPr>
        <w:rPr>
          <w:szCs w:val="21"/>
        </w:rPr>
      </w:pPr>
      <w:r>
        <w:rPr>
          <w:rFonts w:hint="eastAsia"/>
          <w:szCs w:val="21"/>
        </w:rPr>
        <w:t>第二款 理论和试验均表明，竖向温度梯度作用下，桥梁边、中跨均产生相应的竖向变形；且日照条件下连续梁中跨温度变形与活载挠度同向。故参考《市域（郊）铁路设计规范》</w:t>
      </w:r>
      <w:r>
        <w:rPr>
          <w:szCs w:val="21"/>
        </w:rPr>
        <w:t>TB10624-2020</w:t>
      </w:r>
      <w:r>
        <w:rPr>
          <w:rFonts w:hint="eastAsia"/>
          <w:szCs w:val="21"/>
        </w:rPr>
        <w:t>相关条文规定拱桥、刚架及连续梁桥等超静定结构的竖向挠度计算应计入温度效应影响，且取最不利值。</w:t>
      </w:r>
    </w:p>
    <w:p w14:paraId="2F939551">
      <w:pPr>
        <w:rPr>
          <w:szCs w:val="21"/>
        </w:rPr>
      </w:pPr>
      <w:r>
        <w:rPr>
          <w:rFonts w:hint="eastAsia"/>
          <w:szCs w:val="21"/>
        </w:rPr>
        <w:t>第三款：城市轨道交通桥梁需具有长期变形小的特征，特别是铺设无砟轨道的桥梁，运营期间轨道平顺性只能通过扣件进行调整，且扣件调整量十分有限，因此必须严格限制梁体的长期残余变形，以保证桥上线路平顺。根据《城市轨道交通桥梁设计规范》</w:t>
      </w:r>
      <w:r>
        <w:rPr>
          <w:szCs w:val="21"/>
        </w:rPr>
        <w:t>GB/T51234-2017</w:t>
      </w:r>
      <w:r>
        <w:rPr>
          <w:rFonts w:hint="eastAsia"/>
          <w:szCs w:val="21"/>
        </w:rPr>
        <w:t>相关条文制定梁体徐变的限值。</w:t>
      </w:r>
    </w:p>
    <w:p w14:paraId="4BD41B58">
      <w:pPr>
        <w:rPr>
          <w:szCs w:val="21"/>
        </w:rPr>
      </w:pPr>
      <w:r>
        <w:rPr>
          <w:rFonts w:hint="eastAsia"/>
          <w:b/>
          <w:szCs w:val="21"/>
        </w:rPr>
        <w:t xml:space="preserve">11.1.36  </w:t>
      </w:r>
      <w:r>
        <w:rPr>
          <w:rFonts w:hint="eastAsia"/>
          <w:szCs w:val="21"/>
        </w:rPr>
        <w:t>本条参照《市域（郊）铁路设计规范》</w:t>
      </w:r>
      <w:r>
        <w:rPr>
          <w:szCs w:val="21"/>
        </w:rPr>
        <w:t>TB10624-2020</w:t>
      </w:r>
      <w:r>
        <w:rPr>
          <w:rFonts w:hint="eastAsia"/>
          <w:szCs w:val="21"/>
        </w:rPr>
        <w:t>相关条文制定。当大跨度桥梁的横向刚度不满足该规定时，应进行风</w:t>
      </w:r>
      <w:r>
        <w:rPr>
          <w:szCs w:val="21"/>
        </w:rPr>
        <w:t>-</w:t>
      </w:r>
      <w:r>
        <w:rPr>
          <w:rFonts w:hint="eastAsia"/>
          <w:szCs w:val="21"/>
        </w:rPr>
        <w:t>车</w:t>
      </w:r>
      <w:r>
        <w:rPr>
          <w:szCs w:val="21"/>
        </w:rPr>
        <w:t>-</w:t>
      </w:r>
      <w:r>
        <w:rPr>
          <w:rFonts w:hint="eastAsia"/>
          <w:szCs w:val="21"/>
        </w:rPr>
        <w:t>桥系统耦合振动分析，并检算车辆的动力学指标和桥梁的动力学性能是否满足要求，并结合其他使用功能的要求确定桥梁的刚度指标。</w:t>
      </w:r>
    </w:p>
    <w:p w14:paraId="2329CD6C">
      <w:pPr>
        <w:rPr>
          <w:szCs w:val="21"/>
        </w:rPr>
      </w:pPr>
      <w:r>
        <w:rPr>
          <w:rFonts w:hint="eastAsia"/>
          <w:b/>
          <w:szCs w:val="21"/>
        </w:rPr>
        <w:t xml:space="preserve">11.1.37  </w:t>
      </w:r>
      <w:r>
        <w:rPr>
          <w:rFonts w:hint="eastAsia"/>
          <w:szCs w:val="21"/>
        </w:rPr>
        <w:t>车桥耦合振动的计算表明，过大梁端转角将增加轮对的水平力，从而影响走行性。对于有砟轨道，转角过大会影响梁缝处的道床的稳定性；对无砟轨道，梁端转角会引起梁缝两端的扣件分别出现上拔和下压现象，转角过大时梁端轨道扣件的上拔力将超过扣件的扣压力容许值，造成垫板滑出，而扣压力过大则有可能造成垫板产生破坏。根据《城市轨道交通桥梁设计规范》</w:t>
      </w:r>
      <w:r>
        <w:rPr>
          <w:szCs w:val="21"/>
        </w:rPr>
        <w:t>GB/T51234-2017</w:t>
      </w:r>
      <w:r>
        <w:rPr>
          <w:rFonts w:hint="eastAsia"/>
          <w:szCs w:val="21"/>
        </w:rPr>
        <w:t>相关条文制定列车最高时速不大于</w:t>
      </w:r>
      <w:r>
        <w:rPr>
          <w:szCs w:val="21"/>
        </w:rPr>
        <w:t>120km/h</w:t>
      </w:r>
      <w:r>
        <w:rPr>
          <w:rFonts w:hint="eastAsia"/>
          <w:szCs w:val="21"/>
        </w:rPr>
        <w:t>的转角要求；根据《市域（郊）铁路设计规范》</w:t>
      </w:r>
      <w:r>
        <w:rPr>
          <w:szCs w:val="21"/>
        </w:rPr>
        <w:t>TB10624-2020</w:t>
      </w:r>
      <w:r>
        <w:rPr>
          <w:rFonts w:hint="eastAsia"/>
          <w:szCs w:val="21"/>
        </w:rPr>
        <w:t>相关条文制定列车最高时速大于</w:t>
      </w:r>
      <w:r>
        <w:rPr>
          <w:szCs w:val="21"/>
        </w:rPr>
        <w:t>120km/h</w:t>
      </w:r>
      <w:r>
        <w:rPr>
          <w:rFonts w:hint="eastAsia"/>
          <w:szCs w:val="21"/>
        </w:rPr>
        <w:t>时的转角要求。</w:t>
      </w:r>
    </w:p>
    <w:p w14:paraId="15BA6288">
      <w:pPr>
        <w:rPr>
          <w:szCs w:val="21"/>
        </w:rPr>
      </w:pPr>
      <w:r>
        <w:rPr>
          <w:rFonts w:hint="eastAsia"/>
          <w:b/>
          <w:szCs w:val="21"/>
        </w:rPr>
        <w:t xml:space="preserve">11.1.39  </w:t>
      </w:r>
      <w:r>
        <w:rPr>
          <w:szCs w:val="21"/>
        </w:rPr>
        <w:t>由于桥梁和无缝线路的相互作用，梁-轨之间的温差、列车制动力及梁体在竖向荷载作用下的弯曲等作用时都会在钢轨中形成相应的附加应力，当该附加应力达到一定数值时就会影响钢轨的安全。由于轨道交通的轴重较轻，因此列车轴重引起的动弯应力要明显小于铁路</w:t>
      </w:r>
      <w:r>
        <w:rPr>
          <w:rFonts w:hint="eastAsia"/>
          <w:szCs w:val="21"/>
        </w:rPr>
        <w:t>（客货共线铁路）</w:t>
      </w:r>
      <w:r>
        <w:rPr>
          <w:szCs w:val="21"/>
        </w:rPr>
        <w:t>，这就意味着同样的钢轨，轨道交通允许的附加应力数值可更大，从而与铁路</w:t>
      </w:r>
      <w:r>
        <w:rPr>
          <w:rFonts w:hint="eastAsia"/>
          <w:szCs w:val="21"/>
        </w:rPr>
        <w:t>（客货共线铁路）</w:t>
      </w:r>
      <w:r>
        <w:rPr>
          <w:szCs w:val="21"/>
        </w:rPr>
        <w:t>相比可以降低桥墩的线刚度控制标准。《城市轨道交通桥梁设计规范》GB/T512</w:t>
      </w:r>
      <w:r>
        <w:rPr>
          <w:rFonts w:hint="eastAsia"/>
          <w:szCs w:val="21"/>
        </w:rPr>
        <w:t>34-2017的墩柱刚度要求与</w:t>
      </w:r>
      <w:r>
        <w:rPr>
          <w:szCs w:val="21"/>
        </w:rPr>
        <w:t>《</w:t>
      </w:r>
      <w:r>
        <w:rPr>
          <w:rFonts w:hint="eastAsia"/>
          <w:szCs w:val="21"/>
        </w:rPr>
        <w:t>市域（郊）铁路设计规范</w:t>
      </w:r>
      <w:r>
        <w:rPr>
          <w:szCs w:val="21"/>
        </w:rPr>
        <w:t>》TB10</w:t>
      </w:r>
      <w:r>
        <w:rPr>
          <w:rFonts w:hint="eastAsia"/>
          <w:szCs w:val="21"/>
        </w:rPr>
        <w:t>624-2020中北京地区的刚度要求基本一致。本次修订采用</w:t>
      </w:r>
      <w:r>
        <w:rPr>
          <w:szCs w:val="21"/>
        </w:rPr>
        <w:t>《城市轨道交通桥梁设计规范》GB/T512</w:t>
      </w:r>
      <w:r>
        <w:rPr>
          <w:rFonts w:hint="eastAsia"/>
          <w:szCs w:val="21"/>
        </w:rPr>
        <w:t>34-2017的相关规定。</w:t>
      </w:r>
    </w:p>
    <w:p w14:paraId="2A62BB06">
      <w:pPr>
        <w:rPr>
          <w:szCs w:val="21"/>
        </w:rPr>
      </w:pPr>
      <w:r>
        <w:rPr>
          <w:rFonts w:hint="eastAsia"/>
          <w:b/>
          <w:szCs w:val="21"/>
        </w:rPr>
        <w:t xml:space="preserve">11.1.40  </w:t>
      </w:r>
      <w:r>
        <w:rPr>
          <w:rFonts w:hint="eastAsia"/>
          <w:szCs w:val="21"/>
        </w:rPr>
        <w:t>《铁路桥涵设计规范》</w:t>
      </w:r>
      <w:r>
        <w:rPr>
          <w:szCs w:val="21"/>
        </w:rPr>
        <w:t>TB10002-2017</w:t>
      </w:r>
      <w:r>
        <w:rPr>
          <w:rFonts w:hint="eastAsia"/>
          <w:szCs w:val="21"/>
        </w:rPr>
        <w:t>规定了由桥墩横向位移引起的梁端横向折角的限值，《城市轨道交通桥梁设计规范》</w:t>
      </w:r>
      <w:r>
        <w:rPr>
          <w:szCs w:val="21"/>
        </w:rPr>
        <w:t>GB/T1234-2017</w:t>
      </w:r>
      <w:r>
        <w:rPr>
          <w:rFonts w:hint="eastAsia"/>
          <w:szCs w:val="21"/>
        </w:rPr>
        <w:t>则规定了墩顶横向位移的限值。形式不同，但实质一样，都是控制形成轨道初始不平顺性、影响走行性的梁端水平折角。对于常规跨度简支梁，《城市轨道交通桥梁设计规范》</w:t>
      </w:r>
      <w:r>
        <w:rPr>
          <w:szCs w:val="21"/>
        </w:rPr>
        <w:t>GB/T51234-2017</w:t>
      </w:r>
      <w:r>
        <w:rPr>
          <w:rFonts w:hint="eastAsia"/>
          <w:szCs w:val="21"/>
        </w:rPr>
        <w:t>规定的梁端水平折角限值与《铁路桥涵设计规范》对速度</w:t>
      </w:r>
      <w:r>
        <w:rPr>
          <w:szCs w:val="21"/>
        </w:rPr>
        <w:t>160km</w:t>
      </w:r>
      <w:r>
        <w:rPr>
          <w:rFonts w:hint="eastAsia"/>
          <w:szCs w:val="21"/>
        </w:rPr>
        <w:t>及以下时规定的限值一样，都是</w:t>
      </w:r>
      <w:r>
        <w:rPr>
          <w:szCs w:val="21"/>
        </w:rPr>
        <w:t>1.5</w:t>
      </w:r>
      <w:r>
        <w:rPr>
          <w:rFonts w:hint="eastAsia"/>
          <w:szCs w:val="21"/>
        </w:rPr>
        <w:t>‰（大于</w:t>
      </w:r>
      <w:r>
        <w:rPr>
          <w:szCs w:val="21"/>
        </w:rPr>
        <w:t>40m</w:t>
      </w:r>
      <w:r>
        <w:rPr>
          <w:rFonts w:hint="eastAsia"/>
          <w:szCs w:val="21"/>
        </w:rPr>
        <w:t>时是</w:t>
      </w:r>
      <w:r>
        <w:rPr>
          <w:szCs w:val="21"/>
        </w:rPr>
        <w:t>1</w:t>
      </w:r>
      <w:r>
        <w:rPr>
          <w:rFonts w:hint="eastAsia"/>
          <w:szCs w:val="21"/>
        </w:rPr>
        <w:t>‰，基本等同于</w:t>
      </w:r>
      <w:r>
        <w:rPr>
          <w:szCs w:val="21"/>
        </w:rPr>
        <w:t>4</w:t>
      </w:r>
      <m:oMath>
        <m:r>
          <m:rPr/>
          <w:rPr>
            <w:rFonts w:ascii="Cambria Math" w:hAnsi="Cambria Math"/>
            <w:szCs w:val="21"/>
          </w:rPr>
          <m:t>√L</m:t>
        </m:r>
      </m:oMath>
      <w:r>
        <w:rPr>
          <w:rFonts w:hint="eastAsia"/>
          <w:szCs w:val="21"/>
        </w:rPr>
        <w:t>）。德国规范规定的限值为</w:t>
      </w:r>
      <w:r>
        <w:rPr>
          <w:szCs w:val="21"/>
        </w:rPr>
        <w:t>2</w:t>
      </w:r>
      <w:r>
        <w:rPr>
          <w:rFonts w:hint="eastAsia"/>
          <w:szCs w:val="21"/>
        </w:rPr>
        <w:t>‰（</w:t>
      </w:r>
      <w:r>
        <w:rPr>
          <w:szCs w:val="21"/>
        </w:rPr>
        <w:t>V</w:t>
      </w:r>
      <w:r>
        <w:rPr>
          <w:rFonts w:hint="eastAsia"/>
          <w:szCs w:val="21"/>
        </w:rPr>
        <w:t>≤</w:t>
      </w:r>
      <w:r>
        <w:rPr>
          <w:szCs w:val="21"/>
        </w:rPr>
        <w:t>160km</w:t>
      </w:r>
      <w:r>
        <w:rPr>
          <w:rFonts w:hint="eastAsia"/>
          <w:szCs w:val="21"/>
        </w:rPr>
        <w:t>）、</w:t>
      </w:r>
      <w:r>
        <w:rPr>
          <w:szCs w:val="21"/>
        </w:rPr>
        <w:t>3.5</w:t>
      </w:r>
      <w:r>
        <w:rPr>
          <w:rFonts w:hint="eastAsia"/>
          <w:szCs w:val="21"/>
        </w:rPr>
        <w:t>‰（</w:t>
      </w:r>
      <w:r>
        <w:rPr>
          <w:szCs w:val="21"/>
        </w:rPr>
        <w:t>V</w:t>
      </w:r>
      <w:r>
        <w:rPr>
          <w:rFonts w:hint="eastAsia"/>
          <w:szCs w:val="21"/>
        </w:rPr>
        <w:t>≤</w:t>
      </w:r>
      <w:r>
        <w:rPr>
          <w:szCs w:val="21"/>
        </w:rPr>
        <w:t>120km</w:t>
      </w:r>
      <w:r>
        <w:rPr>
          <w:rFonts w:hint="eastAsia"/>
          <w:szCs w:val="21"/>
        </w:rPr>
        <w:t>）；日本规范规定的限值为</w:t>
      </w:r>
      <w:r>
        <w:rPr>
          <w:szCs w:val="21"/>
        </w:rPr>
        <w:t>3.5</w:t>
      </w:r>
      <w:r>
        <w:rPr>
          <w:rFonts w:hint="eastAsia"/>
          <w:szCs w:val="21"/>
        </w:rPr>
        <w:t>‰</w:t>
      </w:r>
      <w:r>
        <w:rPr>
          <w:szCs w:val="21"/>
        </w:rPr>
        <w:t>-4</w:t>
      </w:r>
      <w:r>
        <w:rPr>
          <w:rFonts w:hint="eastAsia"/>
          <w:szCs w:val="21"/>
        </w:rPr>
        <w:t>‰（</w:t>
      </w:r>
      <w:r>
        <w:rPr>
          <w:szCs w:val="21"/>
        </w:rPr>
        <w:t>V</w:t>
      </w:r>
      <w:r>
        <w:rPr>
          <w:rFonts w:hint="eastAsia"/>
          <w:szCs w:val="21"/>
        </w:rPr>
        <w:t>≤</w:t>
      </w:r>
      <w:r>
        <w:rPr>
          <w:szCs w:val="21"/>
        </w:rPr>
        <w:t>160km</w:t>
      </w:r>
      <w:r>
        <w:rPr>
          <w:rFonts w:hint="eastAsia"/>
          <w:szCs w:val="21"/>
        </w:rPr>
        <w:t>）；欧盟规范规定的限值为</w:t>
      </w:r>
      <w:r>
        <w:rPr>
          <w:szCs w:val="21"/>
        </w:rPr>
        <w:t>2</w:t>
      </w:r>
      <w:r>
        <w:rPr>
          <w:rFonts w:hint="eastAsia"/>
          <w:szCs w:val="21"/>
        </w:rPr>
        <w:t>‰（</w:t>
      </w:r>
      <w:r>
        <w:rPr>
          <w:szCs w:val="21"/>
        </w:rPr>
        <w:t>V</w:t>
      </w:r>
      <w:r>
        <w:rPr>
          <w:rFonts w:hint="eastAsia"/>
          <w:szCs w:val="21"/>
        </w:rPr>
        <w:t>≤</w:t>
      </w:r>
      <w:r>
        <w:rPr>
          <w:szCs w:val="21"/>
        </w:rPr>
        <w:t>160km</w:t>
      </w:r>
      <w:r>
        <w:rPr>
          <w:rFonts w:hint="eastAsia"/>
          <w:szCs w:val="21"/>
        </w:rPr>
        <w:t>）。由上看出，我国铁路规范对</w:t>
      </w:r>
      <w:r>
        <w:rPr>
          <w:szCs w:val="21"/>
        </w:rPr>
        <w:t>V</w:t>
      </w:r>
      <w:r>
        <w:rPr>
          <w:rFonts w:hint="eastAsia"/>
          <w:szCs w:val="21"/>
        </w:rPr>
        <w:t>≤</w:t>
      </w:r>
      <w:r>
        <w:rPr>
          <w:szCs w:val="21"/>
        </w:rPr>
        <w:t>160km</w:t>
      </w:r>
      <w:r>
        <w:rPr>
          <w:rFonts w:hint="eastAsia"/>
          <w:szCs w:val="21"/>
        </w:rPr>
        <w:t>及以下桥梁的桥墩横向刚度限值规定和城市轨道交通桥梁规范对桥墩横向位移限值规定都是略为偏紧的。当然，确定桥墩横向刚度限值不只考虑静力计算的墩顶横向位移，这只是形成轨道初始不平顺性，还应考虑列车运行时对风</w:t>
      </w:r>
      <w:r>
        <w:rPr>
          <w:szCs w:val="21"/>
        </w:rPr>
        <w:t>-</w:t>
      </w:r>
      <w:r>
        <w:rPr>
          <w:rFonts w:hint="eastAsia"/>
          <w:szCs w:val="21"/>
        </w:rPr>
        <w:t>车</w:t>
      </w:r>
      <w:r>
        <w:rPr>
          <w:szCs w:val="21"/>
        </w:rPr>
        <w:t>-</w:t>
      </w:r>
      <w:r>
        <w:rPr>
          <w:rFonts w:hint="eastAsia"/>
          <w:szCs w:val="21"/>
        </w:rPr>
        <w:t>桥耦合振动的影响即刚度的动力特性。参考《市域（郊）铁路设计规范》</w:t>
      </w:r>
      <w:r>
        <w:rPr>
          <w:szCs w:val="21"/>
        </w:rPr>
        <w:t>TB10624-2020</w:t>
      </w:r>
      <w:r>
        <w:rPr>
          <w:rFonts w:hint="eastAsia"/>
          <w:szCs w:val="21"/>
        </w:rPr>
        <w:t>的相关规定，列车最高时速不大于</w:t>
      </w:r>
      <w:r>
        <w:rPr>
          <w:szCs w:val="21"/>
        </w:rPr>
        <w:t>120km/h</w:t>
      </w:r>
      <w:r>
        <w:rPr>
          <w:rFonts w:hint="eastAsia"/>
          <w:szCs w:val="21"/>
        </w:rPr>
        <w:t>时，墩顶横向位移限值为</w:t>
      </w:r>
      <w:r>
        <w:rPr>
          <w:szCs w:val="21"/>
        </w:rPr>
        <w:t>5</w:t>
      </w:r>
      <m:oMath>
        <m:r>
          <m:rPr/>
          <w:rPr>
            <w:rFonts w:ascii="Cambria Math" w:hAnsi="Cambria Math"/>
            <w:szCs w:val="21"/>
          </w:rPr>
          <m:t>√L</m:t>
        </m:r>
      </m:oMath>
      <w:r>
        <w:rPr>
          <w:szCs w:val="21"/>
        </w:rPr>
        <w:t xml:space="preserve">; </w:t>
      </w:r>
      <w:r>
        <w:rPr>
          <w:rFonts w:hint="eastAsia"/>
          <w:szCs w:val="21"/>
        </w:rPr>
        <w:t>列车最高时速在</w:t>
      </w:r>
      <w:r>
        <w:rPr>
          <w:szCs w:val="21"/>
        </w:rPr>
        <w:t>120~140km/h</w:t>
      </w:r>
      <w:r>
        <w:rPr>
          <w:rFonts w:hint="eastAsia"/>
          <w:szCs w:val="21"/>
        </w:rPr>
        <w:t>之间时，墩顶横向位移限值为</w:t>
      </w:r>
      <w:r>
        <w:rPr>
          <w:szCs w:val="21"/>
        </w:rPr>
        <w:t>4</w:t>
      </w:r>
      <m:oMath>
        <m:r>
          <m:rPr/>
          <w:rPr>
            <w:rFonts w:ascii="Cambria Math" w:hAnsi="Cambria Math"/>
            <w:szCs w:val="21"/>
          </w:rPr>
          <m:t>√L</m:t>
        </m:r>
      </m:oMath>
      <w:r>
        <w:rPr>
          <w:rFonts w:hint="eastAsia"/>
          <w:szCs w:val="21"/>
        </w:rPr>
        <w:t>，此限值基本等同于《市域（郊）铁路设计规范》</w:t>
      </w:r>
      <w:r>
        <w:rPr>
          <w:szCs w:val="21"/>
        </w:rPr>
        <w:t>TB10624-2020</w:t>
      </w:r>
      <w:r>
        <w:rPr>
          <w:rFonts w:hint="eastAsia"/>
          <w:szCs w:val="21"/>
        </w:rPr>
        <w:t>中相应速度的转角规定。</w:t>
      </w:r>
    </w:p>
    <w:p w14:paraId="28AD90D3">
      <w:pPr>
        <w:jc w:val="center"/>
        <w:rPr>
          <w:rFonts w:eastAsia="黑体" w:cs="方正黑体_GBK"/>
        </w:rPr>
      </w:pPr>
      <w:r>
        <w:rPr>
          <w:rFonts w:eastAsia="黑体"/>
          <w:b/>
        </w:rPr>
        <w:t>Ⅳ</w:t>
      </w:r>
      <w:r>
        <w:rPr>
          <w:rFonts w:eastAsia="黑体"/>
        </w:rPr>
        <w:t xml:space="preserve">  结构设计</w:t>
      </w:r>
    </w:p>
    <w:p w14:paraId="2599B89C">
      <w:pPr>
        <w:rPr>
          <w:szCs w:val="21"/>
        </w:rPr>
      </w:pPr>
      <w:r>
        <w:rPr>
          <w:b/>
          <w:szCs w:val="21"/>
        </w:rPr>
        <w:t>11.1.4</w:t>
      </w:r>
      <w:r>
        <w:rPr>
          <w:rFonts w:hint="eastAsia"/>
          <w:b/>
          <w:szCs w:val="21"/>
        </w:rPr>
        <w:t>4</w:t>
      </w:r>
      <w:r>
        <w:rPr>
          <w:b/>
          <w:szCs w:val="21"/>
        </w:rPr>
        <w:t xml:space="preserve">  </w:t>
      </w:r>
      <w:r>
        <w:rPr>
          <w:rFonts w:hint="eastAsia"/>
          <w:szCs w:val="21"/>
        </w:rPr>
        <w:t>预拱度设置的目的是为了保证成桥时线形与理论线形基本一致，且在无活载作用时保持一定的上拱度，对于预应力混凝土桥，计算时必须考虑预应力和自重（二期恒载）和铺轨前收缩徐变变形；由于轨道交通多采用无砟轨道，而轨道的铺设多按照理论线形进行铺设，如果预拱度设置时考虑铺轨后的后期徐变变形，则铺轨时对轨道结构的厚度影响较大，甚至影响轨道铺设，因此结合近年来的建设经验，预拱度计算时仅考虑铺轨前的收缩徐变变形。而后期徐变则通过控制变形来达到控制轨道不平顺的目的。</w:t>
      </w:r>
    </w:p>
    <w:p w14:paraId="154BF6DE">
      <w:pPr>
        <w:rPr>
          <w:szCs w:val="21"/>
        </w:rPr>
      </w:pPr>
      <w:r>
        <w:rPr>
          <w:b/>
          <w:szCs w:val="21"/>
        </w:rPr>
        <w:t>11.1.</w:t>
      </w:r>
      <w:r>
        <w:rPr>
          <w:rFonts w:hint="eastAsia"/>
          <w:b/>
          <w:szCs w:val="21"/>
        </w:rPr>
        <w:t>47</w:t>
      </w:r>
      <w:r>
        <w:rPr>
          <w:szCs w:val="21"/>
        </w:rPr>
        <w:t xml:space="preserve">  </w:t>
      </w:r>
      <w:r>
        <w:rPr>
          <w:rFonts w:hint="eastAsia"/>
          <w:szCs w:val="21"/>
        </w:rPr>
        <w:t>关于</w:t>
      </w:r>
      <w:r>
        <w:rPr>
          <w:szCs w:val="21"/>
        </w:rPr>
        <w:t>U</w:t>
      </w:r>
      <w:r>
        <w:rPr>
          <w:rFonts w:hint="eastAsia"/>
          <w:szCs w:val="21"/>
        </w:rPr>
        <w:t>型梁设计规定：</w:t>
      </w:r>
    </w:p>
    <w:p w14:paraId="1E4A4CFC">
      <w:pPr>
        <w:rPr>
          <w:szCs w:val="21"/>
        </w:rPr>
      </w:pPr>
      <w:r>
        <w:rPr>
          <w:rFonts w:hint="eastAsia"/>
          <w:szCs w:val="21"/>
        </w:rPr>
        <w:t>第一款、第二款：根据近年来国内轨道交通</w:t>
      </w:r>
      <w:r>
        <w:rPr>
          <w:szCs w:val="21"/>
        </w:rPr>
        <w:t>U</w:t>
      </w:r>
      <w:r>
        <w:rPr>
          <w:rFonts w:hint="eastAsia"/>
          <w:szCs w:val="21"/>
        </w:rPr>
        <w:t>形梁的建设和运营经验，适当增加桥面板的厚度，对于降低振动和噪声是有利的；在梁端设置端横梁后，有利于提高</w:t>
      </w:r>
      <w:r>
        <w:rPr>
          <w:szCs w:val="21"/>
        </w:rPr>
        <w:t>U</w:t>
      </w:r>
      <w:r>
        <w:rPr>
          <w:rFonts w:hint="eastAsia"/>
          <w:szCs w:val="21"/>
        </w:rPr>
        <w:t>形梁的整体刚度，改善梁端桥面板的局部受力。</w:t>
      </w:r>
    </w:p>
    <w:p w14:paraId="23782B14">
      <w:pPr>
        <w:rPr>
          <w:szCs w:val="21"/>
        </w:rPr>
      </w:pPr>
      <w:r>
        <w:rPr>
          <w:rFonts w:hint="eastAsia"/>
          <w:szCs w:val="21"/>
        </w:rPr>
        <w:t>第三款：</w:t>
      </w:r>
    </w:p>
    <w:p w14:paraId="54195556">
      <w:pPr>
        <w:rPr>
          <w:szCs w:val="21"/>
        </w:rPr>
      </w:pPr>
      <w:r>
        <w:rPr>
          <w:rFonts w:hint="eastAsia"/>
          <w:szCs w:val="21"/>
        </w:rPr>
        <w:t>根据重庆</w:t>
      </w:r>
      <w:r>
        <w:rPr>
          <w:szCs w:val="21"/>
        </w:rPr>
        <w:t>1</w:t>
      </w:r>
      <w:r>
        <w:rPr>
          <w:rFonts w:hint="eastAsia"/>
          <w:szCs w:val="21"/>
        </w:rPr>
        <w:t>号线</w:t>
      </w:r>
      <w:r>
        <w:rPr>
          <w:szCs w:val="21"/>
        </w:rPr>
        <w:t>U</w:t>
      </w:r>
      <w:r>
        <w:rPr>
          <w:rFonts w:hint="eastAsia"/>
          <w:szCs w:val="21"/>
        </w:rPr>
        <w:t>形梁足尺寸疲劳试验结果，</w:t>
      </w:r>
      <w:r>
        <w:rPr>
          <w:szCs w:val="21"/>
        </w:rPr>
        <w:t>600</w:t>
      </w:r>
      <w:r>
        <w:rPr>
          <w:rFonts w:hint="eastAsia"/>
          <w:szCs w:val="21"/>
        </w:rPr>
        <w:t>万次疲劳试验后，底板顺桥向裂缝的最大值较理论计算的结果偏大，在裂缝计算公式无法改变的前提下，同时考虑到提高底板混凝土的耐久性要求，将桥道板顺桥向计算裂缝的最大值控制在</w:t>
      </w:r>
      <w:r>
        <w:rPr>
          <w:szCs w:val="21"/>
        </w:rPr>
        <w:t>0.14mm</w:t>
      </w:r>
      <w:r>
        <w:rPr>
          <w:rFonts w:hint="eastAsia"/>
          <w:szCs w:val="21"/>
        </w:rPr>
        <w:t>以内，以保证结构的安全。底板横桥向实际上是偏心受拉构件，对于裂缝计算是有影响的，故本条要求按偏心受拉构件计算裂缝宽度。</w:t>
      </w:r>
    </w:p>
    <w:p w14:paraId="6AEBB17C">
      <w:pPr>
        <w:rPr>
          <w:szCs w:val="21"/>
        </w:rPr>
      </w:pPr>
      <w:r>
        <w:rPr>
          <w:rFonts w:hint="eastAsia"/>
          <w:szCs w:val="21"/>
        </w:rPr>
        <w:t>第四款：</w:t>
      </w:r>
    </w:p>
    <w:p w14:paraId="6F04DBCE">
      <w:pPr>
        <w:rPr>
          <w:szCs w:val="21"/>
        </w:rPr>
      </w:pPr>
      <w:r>
        <w:rPr>
          <w:rFonts w:hint="eastAsia"/>
          <w:szCs w:val="21"/>
        </w:rPr>
        <w:t>现行铁路规范计算正截面抗裂安全系数时是考虑混凝土抗拉塑性强度贡献的。但重庆</w:t>
      </w:r>
      <w:r>
        <w:rPr>
          <w:szCs w:val="21"/>
        </w:rPr>
        <w:t>1</w:t>
      </w:r>
      <w:r>
        <w:rPr>
          <w:rFonts w:hint="eastAsia"/>
          <w:szCs w:val="21"/>
        </w:rPr>
        <w:t>号线</w:t>
      </w:r>
      <w:r>
        <w:rPr>
          <w:szCs w:val="21"/>
        </w:rPr>
        <w:t>U</w:t>
      </w:r>
      <w:r>
        <w:rPr>
          <w:rFonts w:hint="eastAsia"/>
          <w:szCs w:val="21"/>
        </w:rPr>
        <w:t>形梁足尺寸疲劳试验结果表明，随着疲劳荷载的施加（</w:t>
      </w:r>
      <w:r>
        <w:rPr>
          <w:szCs w:val="21"/>
        </w:rPr>
        <w:t>80</w:t>
      </w:r>
      <w:r>
        <w:rPr>
          <w:rFonts w:hint="eastAsia"/>
          <w:szCs w:val="21"/>
        </w:rPr>
        <w:t>万次左右），混凝土的抗拉强度逐渐消失，疲劳试验完成后的正截面抗裂安全系数的试验已测不出混凝土塑性抗拉强度的贡献（混凝土抗拉强度已不存在）。因此，本条规定在不考虑混凝土塑性抗拉强度的前提下，正截面抗裂安全系数仍不应小于</w:t>
      </w:r>
      <w:r>
        <w:rPr>
          <w:szCs w:val="21"/>
        </w:rPr>
        <w:t>1.2</w:t>
      </w:r>
      <w:r>
        <w:rPr>
          <w:rFonts w:hint="eastAsia"/>
          <w:szCs w:val="21"/>
        </w:rPr>
        <w:t>，相当于较铁路规范提高了安全度。</w:t>
      </w:r>
    </w:p>
    <w:p w14:paraId="28714E1F">
      <w:pPr>
        <w:jc w:val="center"/>
        <w:rPr>
          <w:rFonts w:eastAsia="黑体"/>
        </w:rPr>
      </w:pPr>
      <w:r>
        <w:rPr>
          <w:rFonts w:eastAsia="黑体"/>
          <w:b/>
        </w:rPr>
        <w:t xml:space="preserve">Ⅴ  </w:t>
      </w:r>
      <w:r>
        <w:rPr>
          <w:rFonts w:eastAsia="黑体"/>
        </w:rPr>
        <w:t>抗震设计</w:t>
      </w:r>
    </w:p>
    <w:p w14:paraId="1DCEBE7A">
      <w:pPr>
        <w:rPr>
          <w:szCs w:val="21"/>
        </w:rPr>
      </w:pPr>
      <w:r>
        <w:rPr>
          <w:b/>
          <w:szCs w:val="21"/>
        </w:rPr>
        <w:t>11.1.</w:t>
      </w:r>
      <w:r>
        <w:rPr>
          <w:rFonts w:hint="eastAsia"/>
          <w:b/>
          <w:szCs w:val="21"/>
        </w:rPr>
        <w:t>49</w:t>
      </w:r>
      <w:r>
        <w:rPr>
          <w:b/>
          <w:szCs w:val="21"/>
        </w:rPr>
        <w:t xml:space="preserve">  </w:t>
      </w:r>
      <w:r>
        <w:rPr>
          <w:rFonts w:hint="eastAsia"/>
          <w:szCs w:val="21"/>
        </w:rPr>
        <w:t>参照《城市轨道交通桥梁设计规范》</w:t>
      </w:r>
      <w:r>
        <w:rPr>
          <w:szCs w:val="21"/>
        </w:rPr>
        <w:t>GB/T51234-2017</w:t>
      </w:r>
      <w:r>
        <w:rPr>
          <w:rFonts w:hint="eastAsia"/>
          <w:szCs w:val="21"/>
        </w:rPr>
        <w:t>相关条文，规定抗震设防分类。</w:t>
      </w:r>
    </w:p>
    <w:p w14:paraId="1F6DFF2D">
      <w:pPr>
        <w:rPr>
          <w:szCs w:val="21"/>
        </w:rPr>
      </w:pPr>
      <w:r>
        <w:rPr>
          <w:b/>
          <w:szCs w:val="21"/>
        </w:rPr>
        <w:t>11.1.5</w:t>
      </w:r>
      <w:r>
        <w:rPr>
          <w:rFonts w:hint="eastAsia"/>
          <w:b/>
          <w:szCs w:val="21"/>
        </w:rPr>
        <w:t>0</w:t>
      </w:r>
      <w:r>
        <w:rPr>
          <w:b/>
          <w:szCs w:val="21"/>
        </w:rPr>
        <w:t xml:space="preserve"> </w:t>
      </w:r>
      <w:r>
        <w:rPr>
          <w:szCs w:val="21"/>
        </w:rPr>
        <w:t xml:space="preserve"> </w:t>
      </w:r>
      <w:r>
        <w:rPr>
          <w:rFonts w:hint="eastAsia"/>
          <w:szCs w:val="21"/>
        </w:rPr>
        <w:t>高架桥梁若处于断层地带，如为非活动断层，宜将墩台基础设置在同一盘上。高架桥梁如需跨越断层地带，基础不应设置在严重破碎带上，上部结构主梁宜采用较大简支结构，并宜预留抬高轨道的荷载条件。</w:t>
      </w:r>
    </w:p>
    <w:p w14:paraId="59E3254E">
      <w:pPr>
        <w:rPr>
          <w:szCs w:val="21"/>
        </w:rPr>
      </w:pPr>
      <w:r>
        <w:rPr>
          <w:b/>
          <w:szCs w:val="21"/>
        </w:rPr>
        <w:t>11.1.5</w:t>
      </w:r>
      <w:r>
        <w:rPr>
          <w:rFonts w:hint="eastAsia"/>
          <w:b/>
          <w:szCs w:val="21"/>
        </w:rPr>
        <w:t>1</w:t>
      </w:r>
      <w:r>
        <w:rPr>
          <w:b/>
          <w:szCs w:val="21"/>
        </w:rPr>
        <w:t xml:space="preserve">  </w:t>
      </w:r>
      <w:r>
        <w:rPr>
          <w:rFonts w:hint="eastAsia"/>
          <w:szCs w:val="21"/>
        </w:rPr>
        <w:t>已有多个高烈度区城市轨道交通桥梁使用减隔震支座的成功案例，在抗震设计较困难或经济性较差时，可采用减隔震设计。桥梁减隔震设计可参考相关规范。参考相关规范，明确不适用减隔震的情况。</w:t>
      </w:r>
    </w:p>
    <w:p w14:paraId="7A1B17DF">
      <w:pPr>
        <w:rPr>
          <w:szCs w:val="21"/>
        </w:rPr>
      </w:pPr>
      <w:r>
        <w:rPr>
          <w:b/>
          <w:szCs w:val="21"/>
        </w:rPr>
        <w:t>11.1.5</w:t>
      </w:r>
      <w:r>
        <w:rPr>
          <w:rFonts w:hint="eastAsia"/>
          <w:b/>
          <w:szCs w:val="21"/>
        </w:rPr>
        <w:t>4</w:t>
      </w:r>
      <w:r>
        <w:rPr>
          <w:b/>
          <w:szCs w:val="21"/>
        </w:rPr>
        <w:t xml:space="preserve">  </w:t>
      </w:r>
      <w:r>
        <w:rPr>
          <w:rFonts w:hint="eastAsia"/>
          <w:szCs w:val="21"/>
        </w:rPr>
        <w:t>能力保护设计具体算法、参数等可参照现行国家标准《城市轨道交通桥梁设计规范》</w:t>
      </w:r>
      <w:r>
        <w:rPr>
          <w:szCs w:val="21"/>
        </w:rPr>
        <w:t>GB/T51234-2017</w:t>
      </w:r>
      <w:r>
        <w:rPr>
          <w:rFonts w:hint="eastAsia"/>
          <w:szCs w:val="21"/>
        </w:rPr>
        <w:t>、现行行业标准《公路桥梁抗震设计规范》</w:t>
      </w:r>
      <w:r>
        <w:rPr>
          <w:szCs w:val="21"/>
        </w:rPr>
        <w:t>JTG/T 2231-01-2020</w:t>
      </w:r>
      <w:r>
        <w:rPr>
          <w:rFonts w:hint="eastAsia"/>
          <w:szCs w:val="21"/>
        </w:rPr>
        <w:t>的相关要求执行。</w:t>
      </w:r>
    </w:p>
    <w:p w14:paraId="7C6FAD7C">
      <w:pPr>
        <w:jc w:val="center"/>
        <w:rPr>
          <w:rFonts w:eastAsia="黑体"/>
        </w:rPr>
      </w:pPr>
      <w:r>
        <w:rPr>
          <w:b/>
        </w:rPr>
        <w:t>Ⅷ</w:t>
      </w:r>
      <w:r>
        <w:rPr>
          <w:rFonts w:eastAsia="黑体"/>
        </w:rPr>
        <w:t xml:space="preserve">  附属结构设计</w:t>
      </w:r>
    </w:p>
    <w:p w14:paraId="635F6867">
      <w:pPr>
        <w:rPr>
          <w:szCs w:val="21"/>
        </w:rPr>
      </w:pPr>
      <w:r>
        <w:rPr>
          <w:b/>
          <w:szCs w:val="21"/>
        </w:rPr>
        <w:t>11.1.</w:t>
      </w:r>
      <w:r>
        <w:rPr>
          <w:rFonts w:hint="eastAsia"/>
          <w:b/>
          <w:szCs w:val="21"/>
        </w:rPr>
        <w:t>65</w:t>
      </w:r>
      <w:r>
        <w:rPr>
          <w:b/>
          <w:szCs w:val="21"/>
        </w:rPr>
        <w:t xml:space="preserve">  </w:t>
      </w:r>
      <w:r>
        <w:rPr>
          <w:rFonts w:hint="eastAsia"/>
          <w:szCs w:val="21"/>
        </w:rPr>
        <w:t>现行行业标准《铁路声屏障工程设计规范》</w:t>
      </w:r>
      <w:r>
        <w:rPr>
          <w:szCs w:val="21"/>
        </w:rPr>
        <w:t>TB10505-2019</w:t>
      </w:r>
      <w:r>
        <w:rPr>
          <w:rFonts w:hint="eastAsia"/>
          <w:szCs w:val="21"/>
        </w:rPr>
        <w:t>第</w:t>
      </w:r>
      <w:r>
        <w:rPr>
          <w:szCs w:val="21"/>
        </w:rPr>
        <w:t>5.1.6</w:t>
      </w:r>
      <w:r>
        <w:rPr>
          <w:rFonts w:hint="eastAsia"/>
          <w:szCs w:val="21"/>
        </w:rPr>
        <w:t>条第六款</w:t>
      </w:r>
      <w:bookmarkStart w:id="2542" w:name="_Hlk183012460"/>
      <w:r>
        <w:rPr>
          <w:rFonts w:hint="eastAsia"/>
          <w:szCs w:val="21"/>
        </w:rPr>
        <w:t>半封闭、全封闭</w:t>
      </w:r>
      <w:bookmarkEnd w:id="2542"/>
      <w:r>
        <w:rPr>
          <w:rFonts w:hint="eastAsia"/>
          <w:szCs w:val="21"/>
        </w:rPr>
        <w:t>声屏障钢结构的耐火等级不应低于《建筑设计防火规范》</w:t>
      </w:r>
      <w:r>
        <w:rPr>
          <w:szCs w:val="21"/>
        </w:rPr>
        <w:t>GB50016</w:t>
      </w:r>
      <w:r>
        <w:rPr>
          <w:rFonts w:hint="eastAsia"/>
          <w:szCs w:val="21"/>
        </w:rPr>
        <w:t>规定的二级标准。本条参照执行。</w:t>
      </w:r>
    </w:p>
    <w:p w14:paraId="5E352915">
      <w:pPr>
        <w:pStyle w:val="4"/>
        <w:numPr>
          <w:ilvl w:val="0"/>
          <w:numId w:val="0"/>
        </w:numPr>
      </w:pPr>
      <w:bookmarkStart w:id="2543" w:name="_Toc183882661"/>
      <w:bookmarkStart w:id="2544" w:name="_Toc183738130"/>
      <w:bookmarkStart w:id="2545" w:name="_Toc183790738"/>
      <w:bookmarkStart w:id="2546" w:name="_Toc183888713"/>
      <w:bookmarkStart w:id="2547" w:name="_Toc183765308"/>
      <w:bookmarkStart w:id="2548" w:name="_Toc183888351"/>
      <w:bookmarkStart w:id="2549" w:name="_Toc183454175"/>
      <w:bookmarkStart w:id="2550" w:name="_Toc183454855"/>
      <w:bookmarkStart w:id="2551" w:name="_Toc183882299"/>
      <w:bookmarkStart w:id="2552" w:name="_Toc183454472"/>
      <w:r>
        <w:rPr>
          <w:rFonts w:hint="eastAsia"/>
          <w:b/>
        </w:rPr>
        <w:t xml:space="preserve">11.2 </w:t>
      </w:r>
      <w:r>
        <w:rPr>
          <w:rFonts w:hint="eastAsia"/>
        </w:rPr>
        <w:t xml:space="preserve"> 车站高架结构</w:t>
      </w:r>
      <w:bookmarkEnd w:id="2543"/>
      <w:bookmarkEnd w:id="2544"/>
      <w:bookmarkEnd w:id="2545"/>
      <w:bookmarkEnd w:id="2546"/>
      <w:bookmarkEnd w:id="2547"/>
      <w:bookmarkEnd w:id="2548"/>
      <w:bookmarkEnd w:id="2549"/>
      <w:bookmarkEnd w:id="2550"/>
      <w:bookmarkEnd w:id="2551"/>
      <w:bookmarkEnd w:id="2552"/>
    </w:p>
    <w:p w14:paraId="3875F986">
      <w:pPr>
        <w:jc w:val="center"/>
        <w:rPr>
          <w:rFonts w:eastAsia="黑体"/>
        </w:rPr>
      </w:pPr>
      <w:r>
        <w:rPr>
          <w:rFonts w:eastAsia="黑体"/>
          <w:b/>
        </w:rPr>
        <w:t>Ⅰ</w:t>
      </w:r>
      <w:r>
        <w:rPr>
          <w:rFonts w:eastAsia="黑体"/>
        </w:rPr>
        <w:t xml:space="preserve">  一般规定</w:t>
      </w:r>
    </w:p>
    <w:p w14:paraId="20F25CED">
      <w:pPr>
        <w:rPr>
          <w:szCs w:val="21"/>
        </w:rPr>
      </w:pPr>
      <w:r>
        <w:rPr>
          <w:b/>
          <w:szCs w:val="21"/>
        </w:rPr>
        <w:t xml:space="preserve">11.2.1  </w:t>
      </w:r>
      <w:r>
        <w:rPr>
          <w:rFonts w:hint="eastAsia"/>
          <w:szCs w:val="21"/>
        </w:rPr>
        <w:t>当车站采用</w:t>
      </w:r>
      <w:r>
        <w:rPr>
          <w:szCs w:val="21"/>
        </w:rPr>
        <w:t>“</w:t>
      </w:r>
      <w:r>
        <w:rPr>
          <w:rFonts w:hint="eastAsia"/>
          <w:szCs w:val="21"/>
        </w:rPr>
        <w:t>桥</w:t>
      </w:r>
      <w:r>
        <w:rPr>
          <w:szCs w:val="21"/>
        </w:rPr>
        <w:t>−</w:t>
      </w:r>
      <w:r>
        <w:rPr>
          <w:rFonts w:hint="eastAsia"/>
          <w:szCs w:val="21"/>
        </w:rPr>
        <w:t>建</w:t>
      </w:r>
      <w:r>
        <w:rPr>
          <w:szCs w:val="21"/>
        </w:rPr>
        <w:t>”</w:t>
      </w:r>
      <w:r>
        <w:rPr>
          <w:rFonts w:hint="eastAsia"/>
          <w:szCs w:val="21"/>
        </w:rPr>
        <w:t>分离式结构、相互独立时，形成“桥</w:t>
      </w:r>
      <w:r>
        <w:rPr>
          <w:szCs w:val="21"/>
        </w:rPr>
        <w:t>-</w:t>
      </w:r>
      <w:r>
        <w:rPr>
          <w:rFonts w:hint="eastAsia"/>
          <w:szCs w:val="21"/>
        </w:rPr>
        <w:t>建”分离式车站结构，此时，站内桥梁可作为区间高架桥梁的一部分来考虑，而车站其余部分结构则可执行现行建筑结构设计规范。</w:t>
      </w:r>
    </w:p>
    <w:p w14:paraId="0CE3C25F">
      <w:pPr>
        <w:rPr>
          <w:szCs w:val="21"/>
        </w:rPr>
      </w:pPr>
      <w:r>
        <w:rPr>
          <w:b/>
          <w:szCs w:val="21"/>
        </w:rPr>
        <w:t xml:space="preserve">11.2.3  </w:t>
      </w:r>
      <w:r>
        <w:rPr>
          <w:rFonts w:hint="eastAsia"/>
          <w:szCs w:val="21"/>
        </w:rPr>
        <w:t>为快速施工高架车站，减少施工占地、降低对交通的影响，韩国、台湾省有高架车站采用钢混组合结构，我国芜湖跨座式单轨高架车站也采用钢混组合结构。城市轨道交通高架站一般均为经停站，列车制动、启动时振动较小；也可在站台下层采用钢混组合梁降低振动的影响或单独轨道梁</w:t>
      </w:r>
      <w:r>
        <w:rPr>
          <w:szCs w:val="21"/>
        </w:rPr>
        <w:t>+</w:t>
      </w:r>
      <w:r>
        <w:rPr>
          <w:rFonts w:hint="eastAsia"/>
          <w:szCs w:val="21"/>
        </w:rPr>
        <w:t>减振支座。</w:t>
      </w:r>
    </w:p>
    <w:p w14:paraId="18A47AED">
      <w:pPr>
        <w:rPr>
          <w:szCs w:val="21"/>
        </w:rPr>
      </w:pPr>
      <w:r>
        <w:rPr>
          <w:rFonts w:hint="eastAsia"/>
          <w:szCs w:val="21"/>
        </w:rPr>
        <w:t>北京市是高烈度区，独柱车站抗震性能不佳。目前国内八度区还未见独柱高架车站，北京市高架站均为双柱及以上。故要求不应采用独柱式带长悬臂</w:t>
      </w:r>
      <w:r>
        <w:rPr>
          <w:szCs w:val="21"/>
        </w:rPr>
        <w:t>“</w:t>
      </w:r>
      <w:r>
        <w:rPr>
          <w:rFonts w:hint="eastAsia"/>
          <w:szCs w:val="21"/>
        </w:rPr>
        <w:t>桥</w:t>
      </w:r>
      <w:r>
        <w:rPr>
          <w:szCs w:val="21"/>
        </w:rPr>
        <w:t>−</w:t>
      </w:r>
      <w:r>
        <w:rPr>
          <w:rFonts w:hint="eastAsia"/>
          <w:szCs w:val="21"/>
        </w:rPr>
        <w:t>建</w:t>
      </w:r>
      <w:r>
        <w:rPr>
          <w:szCs w:val="21"/>
        </w:rPr>
        <w:t>”</w:t>
      </w:r>
      <w:r>
        <w:rPr>
          <w:rFonts w:hint="eastAsia"/>
          <w:szCs w:val="21"/>
        </w:rPr>
        <w:t>组合结构体系。</w:t>
      </w:r>
    </w:p>
    <w:p w14:paraId="790C835A">
      <w:pPr>
        <w:rPr>
          <w:szCs w:val="21"/>
        </w:rPr>
      </w:pPr>
      <w:r>
        <w:rPr>
          <w:b/>
          <w:szCs w:val="21"/>
        </w:rPr>
        <w:t xml:space="preserve">11.2.5  </w:t>
      </w:r>
      <w:r>
        <w:rPr>
          <w:rFonts w:hint="eastAsia"/>
          <w:szCs w:val="21"/>
        </w:rPr>
        <w:t>根据《工程结构通用规范》</w:t>
      </w:r>
      <w:r>
        <w:rPr>
          <w:szCs w:val="21"/>
        </w:rPr>
        <w:t>GB55001-2021</w:t>
      </w:r>
      <w:r>
        <w:rPr>
          <w:rFonts w:hint="eastAsia"/>
          <w:szCs w:val="21"/>
        </w:rPr>
        <w:t>第</w:t>
      </w:r>
      <w:r>
        <w:rPr>
          <w:szCs w:val="21"/>
        </w:rPr>
        <w:t>2.2.4</w:t>
      </w:r>
      <w:r>
        <w:rPr>
          <w:rFonts w:hint="eastAsia"/>
          <w:szCs w:val="21"/>
        </w:rPr>
        <w:t>条的要求，参考相关规范，明确车站主体结构、顶棚、天桥、附属用房等的设计工作年限，以便于设计。</w:t>
      </w:r>
    </w:p>
    <w:p w14:paraId="701808CE">
      <w:pPr>
        <w:jc w:val="center"/>
        <w:rPr>
          <w:rFonts w:eastAsia="黑体"/>
        </w:rPr>
      </w:pPr>
      <w:r>
        <w:rPr>
          <w:rFonts w:eastAsia="黑体"/>
          <w:b/>
        </w:rPr>
        <w:t>Ⅱ</w:t>
      </w:r>
      <w:r>
        <w:rPr>
          <w:rFonts w:eastAsia="黑体"/>
        </w:rPr>
        <w:t xml:space="preserve">  设 计 荷 载</w:t>
      </w:r>
    </w:p>
    <w:p w14:paraId="6516C371">
      <w:pPr>
        <w:rPr>
          <w:szCs w:val="21"/>
        </w:rPr>
      </w:pPr>
      <w:r>
        <w:rPr>
          <w:b/>
          <w:szCs w:val="21"/>
        </w:rPr>
        <w:t xml:space="preserve">11.2.8 </w:t>
      </w:r>
      <w:r>
        <w:rPr>
          <w:szCs w:val="21"/>
        </w:rPr>
        <w:t xml:space="preserve"> </w:t>
      </w:r>
      <w:r>
        <w:rPr>
          <w:rFonts w:hint="eastAsia"/>
          <w:szCs w:val="21"/>
        </w:rPr>
        <w:t>根据《城市轨道交通高架结构设计荷载标准》</w:t>
      </w:r>
      <w:r>
        <w:rPr>
          <w:szCs w:val="21"/>
        </w:rPr>
        <w:t>CJJ/T301-2020</w:t>
      </w:r>
      <w:r>
        <w:rPr>
          <w:rFonts w:hint="eastAsia"/>
          <w:szCs w:val="21"/>
        </w:rPr>
        <w:t>第</w:t>
      </w:r>
      <w:r>
        <w:rPr>
          <w:szCs w:val="21"/>
        </w:rPr>
        <w:t>4.4.2</w:t>
      </w:r>
      <w:r>
        <w:rPr>
          <w:rFonts w:hint="eastAsia"/>
          <w:szCs w:val="21"/>
        </w:rPr>
        <w:t>条、《地铁设计标准》</w:t>
      </w:r>
      <w:r>
        <w:rPr>
          <w:szCs w:val="21"/>
        </w:rPr>
        <w:t>GB50157-2013</w:t>
      </w:r>
      <w:r>
        <w:rPr>
          <w:rFonts w:hint="eastAsia"/>
          <w:szCs w:val="21"/>
        </w:rPr>
        <w:t>相关条文执行本条。</w:t>
      </w:r>
    </w:p>
    <w:p w14:paraId="3554A297">
      <w:pPr>
        <w:rPr>
          <w:szCs w:val="21"/>
        </w:rPr>
      </w:pPr>
      <w:r>
        <w:rPr>
          <w:b/>
          <w:szCs w:val="21"/>
        </w:rPr>
        <w:t xml:space="preserve">11.2.9 </w:t>
      </w:r>
      <w:r>
        <w:rPr>
          <w:szCs w:val="21"/>
        </w:rPr>
        <w:t xml:space="preserve"> </w:t>
      </w:r>
      <w:r>
        <w:rPr>
          <w:rFonts w:hint="eastAsia"/>
          <w:szCs w:val="21"/>
        </w:rPr>
        <w:t>参考《城市道路交通工程项目规范》</w:t>
      </w:r>
      <w:r>
        <w:rPr>
          <w:szCs w:val="21"/>
        </w:rPr>
        <w:t>GB55011-2021</w:t>
      </w:r>
      <w:r>
        <w:rPr>
          <w:rFonts w:hint="eastAsia"/>
          <w:szCs w:val="21"/>
        </w:rPr>
        <w:t>、《城市轨道交通高架结构设计荷载标准》</w:t>
      </w:r>
      <w:r>
        <w:rPr>
          <w:szCs w:val="21"/>
        </w:rPr>
        <w:t>CJJ/T301-2020</w:t>
      </w:r>
      <w:r>
        <w:rPr>
          <w:rFonts w:hint="eastAsia"/>
          <w:szCs w:val="21"/>
        </w:rPr>
        <w:t>规定天桥人群荷载的取值。</w:t>
      </w:r>
    </w:p>
    <w:p w14:paraId="0AEE3AD9">
      <w:pPr>
        <w:rPr>
          <w:szCs w:val="21"/>
        </w:rPr>
      </w:pPr>
      <w:r>
        <w:rPr>
          <w:b/>
          <w:szCs w:val="21"/>
        </w:rPr>
        <w:t xml:space="preserve">11.2.10  </w:t>
      </w:r>
      <w:r>
        <w:rPr>
          <w:rFonts w:hint="eastAsia"/>
          <w:szCs w:val="21"/>
        </w:rPr>
        <w:t>参考《城市轨道交通高架结构设计荷载标准》</w:t>
      </w:r>
      <w:r>
        <w:rPr>
          <w:szCs w:val="21"/>
        </w:rPr>
        <w:t>CJJ/T301-2020</w:t>
      </w:r>
      <w:r>
        <w:rPr>
          <w:rFonts w:hint="eastAsia"/>
          <w:szCs w:val="21"/>
        </w:rPr>
        <w:t>给出列车荷载有关的组合值系数、频遇值系数、准永久值系数。</w:t>
      </w:r>
    </w:p>
    <w:p w14:paraId="70544EF3">
      <w:pPr>
        <w:rPr>
          <w:szCs w:val="21"/>
        </w:rPr>
      </w:pPr>
      <w:r>
        <w:rPr>
          <w:b/>
          <w:szCs w:val="21"/>
        </w:rPr>
        <w:t xml:space="preserve">11.2.11 </w:t>
      </w:r>
      <w:r>
        <w:rPr>
          <w:szCs w:val="21"/>
        </w:rPr>
        <w:t xml:space="preserve"> </w:t>
      </w:r>
      <w:r>
        <w:rPr>
          <w:rFonts w:hint="eastAsia"/>
          <w:szCs w:val="21"/>
        </w:rPr>
        <w:t>国内高架车站顶棚围护结构有被大风掀起的事故。本条规定与《市域（郊）轨道交通设计规范》</w:t>
      </w:r>
      <w:r>
        <w:rPr>
          <w:szCs w:val="21"/>
        </w:rPr>
        <w:t>DB/T 11-1980-2022</w:t>
      </w:r>
      <w:r>
        <w:rPr>
          <w:rFonts w:hint="eastAsia"/>
          <w:szCs w:val="21"/>
        </w:rPr>
        <w:t>第</w:t>
      </w:r>
      <w:r>
        <w:rPr>
          <w:szCs w:val="21"/>
        </w:rPr>
        <w:t>14.8.8</w:t>
      </w:r>
      <w:r>
        <w:rPr>
          <w:rFonts w:hint="eastAsia"/>
          <w:szCs w:val="21"/>
        </w:rPr>
        <w:t>、《市域铁路设计规范》（</w:t>
      </w:r>
      <w:r>
        <w:rPr>
          <w:szCs w:val="21"/>
        </w:rPr>
        <w:t>TB10624-2020</w:t>
      </w:r>
      <w:r>
        <w:rPr>
          <w:rFonts w:hint="eastAsia"/>
          <w:szCs w:val="21"/>
        </w:rPr>
        <w:t>）第</w:t>
      </w:r>
      <w:r>
        <w:rPr>
          <w:szCs w:val="21"/>
        </w:rPr>
        <w:t>19.2.16</w:t>
      </w:r>
      <w:r>
        <w:rPr>
          <w:rFonts w:hint="eastAsia"/>
          <w:szCs w:val="21"/>
        </w:rPr>
        <w:t>条一致，规定顶棚、天桥等结构基本风压、基本雪压重现期应取</w:t>
      </w:r>
      <w:r>
        <w:rPr>
          <w:szCs w:val="21"/>
        </w:rPr>
        <w:t>100</w:t>
      </w:r>
      <w:r>
        <w:rPr>
          <w:rFonts w:hint="eastAsia"/>
          <w:szCs w:val="21"/>
        </w:rPr>
        <w:t>年。</w:t>
      </w:r>
    </w:p>
    <w:p w14:paraId="6D65C25A">
      <w:pPr>
        <w:rPr>
          <w:szCs w:val="21"/>
        </w:rPr>
      </w:pPr>
      <w:r>
        <w:rPr>
          <w:b/>
          <w:szCs w:val="21"/>
        </w:rPr>
        <w:t xml:space="preserve">11.2.12  </w:t>
      </w:r>
      <w:r>
        <w:rPr>
          <w:rFonts w:hint="eastAsia"/>
          <w:szCs w:val="21"/>
        </w:rPr>
        <w:t>车站变形缝的存在影响建筑布局，存在漏水的可能。条件具备时，可取消变形缝。参考现行行业标准《超长混凝土结构无缝施工标准》</w:t>
      </w:r>
      <w:r>
        <w:rPr>
          <w:szCs w:val="21"/>
        </w:rPr>
        <w:t>JGJ/T492-2</w:t>
      </w:r>
      <w:r>
        <w:rPr>
          <w:rFonts w:hint="eastAsia"/>
          <w:szCs w:val="21"/>
        </w:rPr>
        <w:t>023制定使用阶段整体升降温作用的取值。站厅层板、站台层板混凝土浇筑后，存在混凝土收缩效应。参考《铁路桥涵设计规范》</w:t>
      </w:r>
      <w:r>
        <w:rPr>
          <w:szCs w:val="21"/>
        </w:rPr>
        <w:t>TB10002</w:t>
      </w:r>
      <w:r>
        <w:rPr>
          <w:rFonts w:hint="eastAsia"/>
          <w:szCs w:val="21"/>
        </w:rPr>
        <w:t>规定混凝土收缩的等效降温幅度。</w:t>
      </w:r>
    </w:p>
    <w:p w14:paraId="73DDDD1F">
      <w:pPr>
        <w:jc w:val="center"/>
        <w:rPr>
          <w:rFonts w:eastAsia="黑体"/>
        </w:rPr>
      </w:pPr>
      <w:r>
        <w:rPr>
          <w:rFonts w:eastAsia="黑体"/>
          <w:b/>
        </w:rPr>
        <w:t xml:space="preserve">Ⅲ  </w:t>
      </w:r>
      <w:r>
        <w:rPr>
          <w:rFonts w:eastAsia="黑体"/>
        </w:rPr>
        <w:t>结构设计</w:t>
      </w:r>
    </w:p>
    <w:p w14:paraId="2178D3CB">
      <w:pPr>
        <w:rPr>
          <w:szCs w:val="21"/>
        </w:rPr>
      </w:pPr>
      <w:r>
        <w:rPr>
          <w:b/>
          <w:szCs w:val="21"/>
        </w:rPr>
        <w:t xml:space="preserve">11.2.18 </w:t>
      </w:r>
      <w:r>
        <w:rPr>
          <w:szCs w:val="21"/>
        </w:rPr>
        <w:t xml:space="preserve"> </w:t>
      </w:r>
      <w:r>
        <w:rPr>
          <w:rFonts w:hint="eastAsia"/>
          <w:szCs w:val="21"/>
        </w:rPr>
        <w:t>考虑到现行施工质量验收规范要求进行桩基础竖向承载力检验，均采用工后竖向承载力检验；以及大量的工程实践经验。故规定按建筑结构设计的车站基础等级不宜低于乙级。</w:t>
      </w:r>
    </w:p>
    <w:p w14:paraId="3361CB05">
      <w:pPr>
        <w:rPr>
          <w:szCs w:val="21"/>
        </w:rPr>
      </w:pPr>
      <w:r>
        <w:rPr>
          <w:b/>
          <w:szCs w:val="21"/>
        </w:rPr>
        <w:t xml:space="preserve">11.2.19  </w:t>
      </w:r>
      <w:r>
        <w:rPr>
          <w:rFonts w:hint="eastAsia"/>
          <w:szCs w:val="21"/>
        </w:rPr>
        <w:t>参考《市域（郊）轨道交通设计规范》（</w:t>
      </w:r>
      <w:r>
        <w:rPr>
          <w:szCs w:val="21"/>
        </w:rPr>
        <w:t>DB/T 11-1980-2022</w:t>
      </w:r>
      <w:r>
        <w:rPr>
          <w:rFonts w:hint="eastAsia"/>
          <w:szCs w:val="21"/>
        </w:rPr>
        <w:t>）的相关规定，将顶棚、天桥、金属屋面安全等级提升为一级。</w:t>
      </w:r>
    </w:p>
    <w:p w14:paraId="49B6421A">
      <w:pPr>
        <w:rPr>
          <w:szCs w:val="21"/>
        </w:rPr>
      </w:pPr>
      <w:r>
        <w:rPr>
          <w:b/>
          <w:szCs w:val="21"/>
        </w:rPr>
        <w:t xml:space="preserve">11.2.20  </w:t>
      </w:r>
      <w:r>
        <w:rPr>
          <w:rFonts w:hint="eastAsia"/>
          <w:szCs w:val="21"/>
        </w:rPr>
        <w:t>超长结构的温度作用、混凝土收缩作用已规定。宜按照现行行业标准《超长混凝土结构无缝施工标准》</w:t>
      </w:r>
      <w:r>
        <w:rPr>
          <w:szCs w:val="21"/>
        </w:rPr>
        <w:t>JGJ/T492</w:t>
      </w:r>
      <w:r>
        <w:rPr>
          <w:rFonts w:hint="eastAsia"/>
          <w:szCs w:val="21"/>
        </w:rPr>
        <w:t>-2023明确混凝土原材料、混凝土、后浇带、构造配筋、施工的要求。</w:t>
      </w:r>
    </w:p>
    <w:p w14:paraId="7012BDA1">
      <w:pPr>
        <w:jc w:val="center"/>
        <w:rPr>
          <w:rFonts w:eastAsia="黑体"/>
        </w:rPr>
      </w:pPr>
      <w:r>
        <w:rPr>
          <w:rFonts w:eastAsia="黑体"/>
          <w:b/>
        </w:rPr>
        <w:t>Ⅳ</w:t>
      </w:r>
      <w:r>
        <w:rPr>
          <w:rFonts w:eastAsia="黑体"/>
        </w:rPr>
        <w:t xml:space="preserve">  抗震设计</w:t>
      </w:r>
    </w:p>
    <w:p w14:paraId="1A01AFB1">
      <w:pPr>
        <w:rPr>
          <w:szCs w:val="21"/>
        </w:rPr>
      </w:pPr>
      <w:r>
        <w:rPr>
          <w:b/>
          <w:szCs w:val="21"/>
        </w:rPr>
        <w:t xml:space="preserve">11.2.25  </w:t>
      </w:r>
      <w:r>
        <w:rPr>
          <w:rFonts w:hint="eastAsia"/>
          <w:szCs w:val="21"/>
        </w:rPr>
        <w:t>本条参照《市域（郊）轨道交通设计规范》</w:t>
      </w:r>
      <w:r>
        <w:rPr>
          <w:szCs w:val="21"/>
        </w:rPr>
        <w:t>DB/T 11-1980-2022</w:t>
      </w:r>
      <w:r>
        <w:rPr>
          <w:rFonts w:hint="eastAsia"/>
          <w:szCs w:val="21"/>
        </w:rPr>
        <w:t>细化了不同结构的抗震设防类别。天桥抗震设防类别还应满足相关桥梁规范的要求。</w:t>
      </w:r>
    </w:p>
    <w:p w14:paraId="4DBDE9D9">
      <w:pPr>
        <w:rPr>
          <w:szCs w:val="21"/>
        </w:rPr>
      </w:pPr>
      <w:r>
        <w:rPr>
          <w:b/>
          <w:szCs w:val="21"/>
        </w:rPr>
        <w:t>11.</w:t>
      </w:r>
      <w:r>
        <w:rPr>
          <w:rFonts w:hint="eastAsia"/>
          <w:b/>
          <w:szCs w:val="21"/>
        </w:rPr>
        <w:t>2</w:t>
      </w:r>
      <w:r>
        <w:rPr>
          <w:b/>
          <w:szCs w:val="21"/>
        </w:rPr>
        <w:t xml:space="preserve">.28 </w:t>
      </w:r>
      <w:r>
        <w:rPr>
          <w:szCs w:val="21"/>
        </w:rPr>
        <w:t xml:space="preserve"> </w:t>
      </w:r>
      <w:r>
        <w:rPr>
          <w:rFonts w:hint="eastAsia"/>
          <w:szCs w:val="21"/>
        </w:rPr>
        <w:t>考虑到城市轨道交通列车发车频次较高，高峰期内车站内两列车相遇的概率是较大的，偏于安全的根据列车定员人数计算出两列车的自重。</w:t>
      </w:r>
    </w:p>
    <w:p w14:paraId="09C10DCA">
      <w:pPr>
        <w:rPr>
          <w:szCs w:val="21"/>
        </w:rPr>
      </w:pPr>
      <w:r>
        <w:rPr>
          <w:b/>
          <w:szCs w:val="21"/>
        </w:rPr>
        <w:t xml:space="preserve">11.2.30  </w:t>
      </w:r>
      <w:r>
        <w:rPr>
          <w:rFonts w:hint="eastAsia"/>
          <w:szCs w:val="21"/>
        </w:rPr>
        <w:t>参考《建筑与市政工程抗震通用规范》</w:t>
      </w:r>
      <w:r>
        <w:rPr>
          <w:szCs w:val="21"/>
        </w:rPr>
        <w:t>GB55002-2021</w:t>
      </w:r>
      <w:r>
        <w:rPr>
          <w:rFonts w:hint="eastAsia"/>
          <w:szCs w:val="21"/>
        </w:rPr>
        <w:t>第</w:t>
      </w:r>
      <w:r>
        <w:rPr>
          <w:szCs w:val="21"/>
        </w:rPr>
        <w:t>4.1.2</w:t>
      </w:r>
      <w:r>
        <w:rPr>
          <w:rFonts w:hint="eastAsia"/>
          <w:szCs w:val="21"/>
        </w:rPr>
        <w:t>条的条文说明，明确长悬臂结构的定义。天桥跨度大于</w:t>
      </w:r>
      <w:r>
        <w:rPr>
          <w:szCs w:val="21"/>
        </w:rPr>
        <w:t>24m</w:t>
      </w:r>
      <w:r>
        <w:rPr>
          <w:rFonts w:hint="eastAsia"/>
          <w:szCs w:val="21"/>
        </w:rPr>
        <w:t>时，也需计算竖向地震作用。</w:t>
      </w:r>
    </w:p>
    <w:p w14:paraId="4E3ABDB2">
      <w:pPr>
        <w:jc w:val="center"/>
        <w:rPr>
          <w:rFonts w:eastAsia="黑体"/>
        </w:rPr>
      </w:pPr>
      <w:r>
        <w:rPr>
          <w:rFonts w:eastAsia="黑体"/>
          <w:b/>
        </w:rPr>
        <w:t xml:space="preserve">Ⅴ  </w:t>
      </w:r>
      <w:r>
        <w:rPr>
          <w:rFonts w:eastAsia="黑体"/>
        </w:rPr>
        <w:t>构造要求</w:t>
      </w:r>
    </w:p>
    <w:p w14:paraId="3E8C4229">
      <w:pPr>
        <w:rPr>
          <w:szCs w:val="21"/>
        </w:rPr>
      </w:pPr>
      <w:r>
        <w:rPr>
          <w:b/>
          <w:szCs w:val="21"/>
        </w:rPr>
        <w:t>11.2.3</w:t>
      </w:r>
      <w:r>
        <w:rPr>
          <w:rFonts w:hint="eastAsia"/>
          <w:b/>
          <w:szCs w:val="21"/>
        </w:rPr>
        <w:t>4</w:t>
      </w:r>
      <w:r>
        <w:rPr>
          <w:b/>
          <w:szCs w:val="21"/>
        </w:rPr>
        <w:t xml:space="preserve">  </w:t>
      </w:r>
      <w:r>
        <w:rPr>
          <w:rFonts w:hint="eastAsia"/>
          <w:szCs w:val="21"/>
        </w:rPr>
        <w:t>根据目前高架站的使用情况，普遍反映结构维护、清洁、构件更换等施工困难，特别对于曲面及复杂形式的屋顶无法进行日常维护，主要是没有预留人员进行这些操作所必要的条件，因此，设计时应考虑在适当位置增加锚钉等设施，便于维修时进行安全设施的绑定，也可根据需要对车站结构、顶棚结构设置易于维修人员通行的铁爬梯、滑行爬梯、临时锚固件等设施。</w:t>
      </w:r>
    </w:p>
    <w:p w14:paraId="25D2F956">
      <w:pPr>
        <w:rPr>
          <w:szCs w:val="21"/>
        </w:rPr>
      </w:pPr>
      <w:r>
        <w:rPr>
          <w:b/>
          <w:szCs w:val="21"/>
        </w:rPr>
        <w:t xml:space="preserve">11.2.38  </w:t>
      </w:r>
      <w:r>
        <w:rPr>
          <w:rFonts w:hint="eastAsia"/>
          <w:szCs w:val="21"/>
        </w:rPr>
        <w:t>《建筑与市政工程抗震通用规范》</w:t>
      </w:r>
      <w:r>
        <w:rPr>
          <w:szCs w:val="21"/>
        </w:rPr>
        <w:t>GB55002-2021</w:t>
      </w:r>
      <w:r>
        <w:rPr>
          <w:rFonts w:hint="eastAsia"/>
          <w:szCs w:val="21"/>
        </w:rPr>
        <w:t>第</w:t>
      </w:r>
      <w:r>
        <w:rPr>
          <w:szCs w:val="21"/>
        </w:rPr>
        <w:t>6.1.7</w:t>
      </w:r>
      <w:r>
        <w:rPr>
          <w:rFonts w:hint="eastAsia"/>
          <w:szCs w:val="21"/>
        </w:rPr>
        <w:t>条明确了抗震防落梁长度，车站、附属用房牛腿长度应满足。</w:t>
      </w:r>
    </w:p>
    <w:p w14:paraId="29B414F0">
      <w:pPr>
        <w:jc w:val="center"/>
        <w:rPr>
          <w:rFonts w:eastAsia="黑体"/>
        </w:rPr>
      </w:pPr>
      <w:r>
        <w:rPr>
          <w:rFonts w:eastAsia="黑体"/>
          <w:b/>
        </w:rPr>
        <w:t xml:space="preserve">Ⅶ  </w:t>
      </w:r>
      <w:r>
        <w:rPr>
          <w:rFonts w:eastAsia="黑体"/>
        </w:rPr>
        <w:t>车站顶棚及出入口结构</w:t>
      </w:r>
    </w:p>
    <w:p w14:paraId="7C93F39B">
      <w:pPr>
        <w:rPr>
          <w:szCs w:val="21"/>
        </w:rPr>
      </w:pPr>
      <w:r>
        <w:rPr>
          <w:b/>
          <w:szCs w:val="21"/>
        </w:rPr>
        <w:t>11.2.4</w:t>
      </w:r>
      <w:r>
        <w:rPr>
          <w:rFonts w:hint="eastAsia"/>
          <w:b/>
          <w:szCs w:val="21"/>
        </w:rPr>
        <w:t>0</w:t>
      </w:r>
      <w:r>
        <w:rPr>
          <w:b/>
          <w:szCs w:val="21"/>
        </w:rPr>
        <w:t xml:space="preserve">  </w:t>
      </w:r>
      <w:r>
        <w:rPr>
          <w:rFonts w:hint="eastAsia"/>
          <w:szCs w:val="21"/>
        </w:rPr>
        <w:t>车站顶棚结构一般要求大跨度，也是建筑专业变化较多的地方，建筑形式多样，相应的结构变化也多，且上下结构的刚度有突变，因此，结构设计应尽量与建筑专业配合，采取对结构受力更有利的方案。北京市高烈度区，采用轻型钢结构更有利于降低成本，但应注意顶棚屋面的防风、防雪设计。</w:t>
      </w:r>
    </w:p>
    <w:p w14:paraId="52F578E5">
      <w:pPr>
        <w:ind w:firstLine="210" w:firstLineChars="100"/>
        <w:rPr>
          <w:szCs w:val="21"/>
        </w:rPr>
      </w:pPr>
      <w:r>
        <w:rPr>
          <w:rFonts w:hint="eastAsia"/>
          <w:szCs w:val="21"/>
        </w:rPr>
        <w:t>顶棚结构与下部结构同为连成一体的结构，且顶棚结构与下部结构之间存在结构刚度突变，应做整体结构分析才能反映出相互之间的影响。车站主体结构外露构件较多，尤其是顶棚结构及当结构分缝距离超长时，受温度影响较严重，计算分析时应予以考虑，并应结合工期考虑结构合拢时的温度。</w:t>
      </w:r>
    </w:p>
    <w:p w14:paraId="2E2BBF23">
      <w:pPr>
        <w:rPr>
          <w:szCs w:val="21"/>
        </w:rPr>
      </w:pPr>
      <w:r>
        <w:rPr>
          <w:b/>
          <w:szCs w:val="21"/>
        </w:rPr>
        <w:t>11.2.4</w:t>
      </w:r>
      <w:r>
        <w:rPr>
          <w:rFonts w:hint="eastAsia"/>
          <w:b/>
          <w:szCs w:val="21"/>
        </w:rPr>
        <w:t>1</w:t>
      </w:r>
      <w:r>
        <w:rPr>
          <w:b/>
          <w:szCs w:val="21"/>
        </w:rPr>
        <w:t xml:space="preserve">  </w:t>
      </w:r>
      <w:r>
        <w:rPr>
          <w:rFonts w:hint="eastAsia"/>
          <w:szCs w:val="21"/>
        </w:rPr>
        <w:t>出入口天桥舒适度标准应满足现行行业标准《城市人行天桥与人行地道技术规范》</w:t>
      </w:r>
      <w:r>
        <w:rPr>
          <w:szCs w:val="21"/>
        </w:rPr>
        <w:t>CJJ69</w:t>
      </w:r>
      <w:r>
        <w:rPr>
          <w:rFonts w:hint="eastAsia"/>
          <w:szCs w:val="21"/>
        </w:rPr>
        <w:t>的相关规定。</w:t>
      </w:r>
    </w:p>
    <w:p w14:paraId="5F50624D">
      <w:pPr>
        <w:jc w:val="center"/>
        <w:rPr>
          <w:rFonts w:ascii="Arial" w:hAnsi="Arial" w:cs="Arial"/>
          <w:spacing w:val="4"/>
          <w:szCs w:val="18"/>
        </w:rPr>
      </w:pPr>
    </w:p>
    <w:p w14:paraId="29D813D8">
      <w:pPr>
        <w:rPr>
          <w:szCs w:val="21"/>
        </w:rPr>
      </w:pPr>
    </w:p>
    <w:p w14:paraId="617E0036">
      <w:pPr>
        <w:jc w:val="center"/>
        <w:rPr>
          <w:rFonts w:ascii="Arial" w:hAnsi="Arial" w:cs="Arial"/>
          <w:spacing w:val="4"/>
          <w:szCs w:val="18"/>
        </w:rPr>
      </w:pPr>
    </w:p>
    <w:p w14:paraId="39DB010B">
      <w:pPr>
        <w:widowControl/>
        <w:spacing w:line="240" w:lineRule="auto"/>
        <w:jc w:val="left"/>
        <w:rPr>
          <w:rFonts w:eastAsia="黑体"/>
          <w:b/>
          <w:bCs/>
          <w:szCs w:val="21"/>
        </w:rPr>
      </w:pPr>
      <w:r>
        <w:rPr>
          <w:rFonts w:eastAsia="黑体"/>
          <w:b/>
          <w:bCs/>
          <w:szCs w:val="21"/>
        </w:rPr>
        <w:br w:type="page"/>
      </w:r>
    </w:p>
    <w:p w14:paraId="21C3CC47">
      <w:pPr>
        <w:pStyle w:val="240"/>
      </w:pPr>
      <w:bookmarkStart w:id="2553" w:name="_Toc183699900"/>
      <w:bookmarkStart w:id="2554" w:name="_Toc183888352"/>
      <w:bookmarkStart w:id="2555" w:name="_Toc183454176"/>
      <w:bookmarkStart w:id="2556" w:name="_Toc183738131"/>
      <w:bookmarkStart w:id="2557" w:name="_Toc183790739"/>
      <w:bookmarkStart w:id="2558" w:name="_Toc183765309"/>
      <w:bookmarkStart w:id="2559" w:name="_Toc183882300"/>
      <w:bookmarkStart w:id="2560" w:name="_Toc183735444"/>
      <w:bookmarkStart w:id="2561" w:name="_Toc183454856"/>
      <w:bookmarkStart w:id="2562" w:name="_Toc183882662"/>
      <w:bookmarkStart w:id="2563" w:name="_Toc183454473"/>
      <w:bookmarkStart w:id="2564" w:name="_Toc183888714"/>
      <w:r>
        <w:rPr>
          <w:rFonts w:hint="eastAsia"/>
          <w:b/>
        </w:rPr>
        <w:t xml:space="preserve">13 </w:t>
      </w:r>
      <w:r>
        <w:rPr>
          <w:rFonts w:hint="eastAsia"/>
        </w:rPr>
        <w:t xml:space="preserve"> 工程防水</w:t>
      </w:r>
      <w:bookmarkEnd w:id="2553"/>
      <w:bookmarkEnd w:id="2554"/>
      <w:bookmarkEnd w:id="2555"/>
      <w:bookmarkEnd w:id="2556"/>
      <w:bookmarkEnd w:id="2557"/>
      <w:bookmarkEnd w:id="2558"/>
      <w:bookmarkEnd w:id="2559"/>
      <w:bookmarkEnd w:id="2560"/>
      <w:bookmarkEnd w:id="2561"/>
      <w:bookmarkEnd w:id="2562"/>
      <w:bookmarkEnd w:id="2563"/>
      <w:bookmarkEnd w:id="2564"/>
    </w:p>
    <w:p w14:paraId="6F808BFE">
      <w:pPr>
        <w:pStyle w:val="4"/>
        <w:numPr>
          <w:ilvl w:val="0"/>
          <w:numId w:val="0"/>
        </w:numPr>
      </w:pPr>
      <w:bookmarkStart w:id="2565" w:name="_Toc183454857"/>
      <w:bookmarkStart w:id="2566" w:name="_Toc183454177"/>
      <w:bookmarkStart w:id="2567" w:name="_Toc183454474"/>
      <w:bookmarkStart w:id="2568" w:name="_Toc183765310"/>
      <w:bookmarkStart w:id="2569" w:name="_Toc183882301"/>
      <w:bookmarkStart w:id="2570" w:name="_Toc183882663"/>
      <w:bookmarkStart w:id="2571" w:name="_Toc183790740"/>
      <w:bookmarkStart w:id="2572" w:name="_Toc183888715"/>
      <w:bookmarkStart w:id="2573" w:name="_Toc183738132"/>
      <w:bookmarkStart w:id="2574" w:name="_Toc183888353"/>
      <w:r>
        <w:rPr>
          <w:rFonts w:hint="eastAsia"/>
        </w:rPr>
        <w:t>13.1</w:t>
      </w:r>
      <w:r>
        <w:t xml:space="preserve">  一般规定</w:t>
      </w:r>
      <w:bookmarkEnd w:id="2565"/>
      <w:bookmarkEnd w:id="2566"/>
      <w:bookmarkEnd w:id="2567"/>
      <w:bookmarkEnd w:id="2568"/>
      <w:bookmarkEnd w:id="2569"/>
      <w:bookmarkEnd w:id="2570"/>
      <w:bookmarkEnd w:id="2571"/>
      <w:bookmarkEnd w:id="2572"/>
      <w:bookmarkEnd w:id="2573"/>
      <w:bookmarkEnd w:id="2574"/>
    </w:p>
    <w:p w14:paraId="31878510">
      <w:pPr>
        <w:spacing w:line="240" w:lineRule="auto"/>
        <w:rPr>
          <w:rFonts w:ascii="宋体" w:hAnsi="宋体" w:cs="宋体"/>
          <w:szCs w:val="21"/>
        </w:rPr>
      </w:pPr>
      <w:r>
        <w:rPr>
          <w:rFonts w:eastAsia="黑体" w:cs="方正黑体_GBK"/>
          <w:b/>
          <w:bCs/>
          <w:szCs w:val="21"/>
        </w:rPr>
        <w:t xml:space="preserve">13.1.3 </w:t>
      </w:r>
      <w:r>
        <w:rPr>
          <w:rFonts w:hint="eastAsia" w:ascii="宋体" w:hAnsi="宋体" w:cs="宋体"/>
          <w:sz w:val="20"/>
        </w:rPr>
        <w:t>按照《建筑与市政工程防水通用规范》规定了</w:t>
      </w:r>
      <w:r>
        <w:rPr>
          <w:rFonts w:hint="eastAsia" w:ascii="宋体" w:hAnsi="宋体" w:cs="宋体"/>
          <w:szCs w:val="21"/>
        </w:rPr>
        <w:t>规定了防水材料选用的基本原则。</w:t>
      </w:r>
    </w:p>
    <w:p w14:paraId="37087EF8">
      <w:pPr>
        <w:spacing w:line="240" w:lineRule="auto"/>
        <w:ind w:firstLine="420"/>
        <w:rPr>
          <w:rFonts w:ascii="宋体" w:hAnsi="宋体" w:cs="宋体"/>
          <w:szCs w:val="21"/>
        </w:rPr>
      </w:pPr>
      <w:r>
        <w:rPr>
          <w:rFonts w:hint="eastAsia" w:ascii="宋体" w:hAnsi="宋体" w:cs="宋体"/>
          <w:b/>
          <w:szCs w:val="21"/>
        </w:rPr>
        <w:t xml:space="preserve">1  </w:t>
      </w:r>
      <w:r>
        <w:rPr>
          <w:rFonts w:hint="eastAsia" w:ascii="宋体" w:hAnsi="宋体" w:cs="宋体"/>
          <w:szCs w:val="21"/>
        </w:rPr>
        <w:t>工程使用环境通常包括防水材料的暴露使用情况、环境最高及最低气温、极限温差、降水量、浸水情况、水压、环境中腐蚀性介质种类与浓度、风荷载、雪荷载、种植、振动、交通荷载等，可根据工程部位及使用环境条件进行选材。</w:t>
      </w:r>
    </w:p>
    <w:p w14:paraId="5BFBC6DC">
      <w:pPr>
        <w:spacing w:line="240" w:lineRule="auto"/>
        <w:ind w:firstLine="420"/>
        <w:rPr>
          <w:rFonts w:ascii="宋体" w:hAnsi="宋体" w:cs="宋体"/>
          <w:szCs w:val="21"/>
        </w:rPr>
      </w:pPr>
      <w:r>
        <w:rPr>
          <w:rFonts w:hint="eastAsia" w:ascii="宋体" w:hAnsi="宋体" w:cs="宋体"/>
          <w:b/>
          <w:szCs w:val="21"/>
        </w:rPr>
        <w:t>2</w:t>
      </w:r>
      <w:r>
        <w:rPr>
          <w:rFonts w:hint="eastAsia" w:ascii="宋体" w:hAnsi="宋体" w:cs="宋体"/>
          <w:szCs w:val="21"/>
        </w:rPr>
        <w:t xml:space="preserve">  一道防水层指具有独立防水功能的构造层，每道防水层均应具备一定的厚度要求，以满足防水功能要求。</w:t>
      </w:r>
    </w:p>
    <w:p w14:paraId="6508CCCC">
      <w:pPr>
        <w:spacing w:line="240" w:lineRule="auto"/>
        <w:ind w:firstLine="420"/>
        <w:rPr>
          <w:rFonts w:ascii="宋体" w:hAnsi="宋体" w:cs="宋体"/>
          <w:szCs w:val="21"/>
        </w:rPr>
      </w:pPr>
      <w:r>
        <w:rPr>
          <w:rFonts w:hint="eastAsia" w:ascii="宋体" w:hAnsi="宋体" w:cs="宋体"/>
          <w:b/>
          <w:szCs w:val="21"/>
        </w:rPr>
        <w:t>3</w:t>
      </w:r>
      <w:r>
        <w:rPr>
          <w:rFonts w:hint="eastAsia" w:ascii="宋体" w:hAnsi="宋体" w:cs="宋体"/>
          <w:szCs w:val="21"/>
        </w:rPr>
        <w:t xml:space="preserve">  有害物质限量可参考国家现行标准《建筑胶粘剂有害物质限量》 GB 30982 、《建筑防水材料有害物质试验方法》 GB/T41078 及《建筑防水涂料中有害物质限量》 JC 1066 等标准的规定。</w:t>
      </w:r>
    </w:p>
    <w:p w14:paraId="1DA59703">
      <w:pPr>
        <w:spacing w:line="240" w:lineRule="auto"/>
        <w:ind w:firstLine="420"/>
        <w:rPr>
          <w:rFonts w:ascii="宋体" w:hAnsi="宋体" w:cs="宋体"/>
          <w:szCs w:val="21"/>
        </w:rPr>
      </w:pPr>
      <w:r>
        <w:rPr>
          <w:rFonts w:hint="eastAsia" w:ascii="宋体" w:hAnsi="宋体" w:cs="宋体"/>
          <w:b/>
          <w:szCs w:val="21"/>
        </w:rPr>
        <w:t xml:space="preserve">4 </w:t>
      </w:r>
      <w:r>
        <w:rPr>
          <w:rFonts w:hint="eastAsia" w:ascii="宋体" w:hAnsi="宋体" w:cs="宋体"/>
          <w:szCs w:val="21"/>
        </w:rPr>
        <w:t xml:space="preserve"> 外露使用的防水材料不应为易燃材料，以降低火灾风险。</w:t>
      </w:r>
    </w:p>
    <w:p w14:paraId="749F0CF4">
      <w:pPr>
        <w:spacing w:line="240" w:lineRule="auto"/>
        <w:rPr>
          <w:rFonts w:ascii="宋体" w:hAnsi="宋体" w:cs="宋体"/>
          <w:szCs w:val="21"/>
        </w:rPr>
      </w:pPr>
      <w:r>
        <w:rPr>
          <w:rFonts w:hint="eastAsia" w:ascii="宋体" w:hAnsi="宋体" w:cs="宋体"/>
          <w:szCs w:val="21"/>
        </w:rPr>
        <w:t>现行国家标准《建筑材料及制品燃烧性能分级&gt;&gt; GB 8624 将材料燃烧性能分为A 级(不燃)、B1 级(难燃)、B2 级(可燃)和B3 级(易燃)。外露使用的防水材料燃烧性能等级按照现行国家标准《建筑材料及制品燃烧性能分级&gt;&gt; GB 8624 进行测试和判定。</w:t>
      </w:r>
    </w:p>
    <w:p w14:paraId="14C0D5B1">
      <w:pPr>
        <w:spacing w:line="240" w:lineRule="auto"/>
        <w:rPr>
          <w:rFonts w:ascii="Arial" w:hAnsi="Arial" w:cs="Arial"/>
          <w:spacing w:val="4"/>
          <w:sz w:val="20"/>
          <w:szCs w:val="18"/>
        </w:rPr>
      </w:pPr>
      <w:r>
        <w:rPr>
          <w:rFonts w:eastAsia="黑体" w:cs="方正黑体_GBK"/>
          <w:b/>
          <w:bCs/>
          <w:szCs w:val="21"/>
        </w:rPr>
        <w:t>13.1.4</w:t>
      </w:r>
      <w:r>
        <w:rPr>
          <w:rFonts w:hint="eastAsia" w:ascii="Arial" w:hAnsi="Arial" w:cs="Arial"/>
          <w:spacing w:val="4"/>
          <w:sz w:val="20"/>
          <w:szCs w:val="18"/>
        </w:rPr>
        <w:t xml:space="preserve"> </w:t>
      </w:r>
      <w:r>
        <w:rPr>
          <w:rFonts w:hint="eastAsia" w:ascii="宋体" w:hAnsi="宋体" w:cs="宋体"/>
          <w:szCs w:val="21"/>
        </w:rPr>
        <w:t>按照《建筑与市政工程防水通用规范》规定了地铁工程中不同部位的防水工程设计工作年限要求。</w:t>
      </w:r>
    </w:p>
    <w:p w14:paraId="44D2B441">
      <w:pPr>
        <w:spacing w:line="240" w:lineRule="auto"/>
        <w:rPr>
          <w:rFonts w:ascii="宋体" w:hAnsi="宋体" w:cs="宋体"/>
          <w:szCs w:val="21"/>
        </w:rPr>
      </w:pPr>
      <w:r>
        <w:rPr>
          <w:rFonts w:eastAsia="黑体" w:cs="方正黑体_GBK"/>
          <w:b/>
          <w:bCs/>
          <w:szCs w:val="21"/>
        </w:rPr>
        <w:t>13.1.5</w:t>
      </w:r>
      <w:r>
        <w:rPr>
          <w:rFonts w:hint="eastAsia" w:ascii="宋体" w:hAnsi="宋体" w:cs="宋体"/>
          <w:szCs w:val="21"/>
        </w:rPr>
        <w:t>《建筑与市政工程防水通用规范》实施后，防水等级按照“工程防水类别”和“工程防水使用环境类别”综合确定。对于地下工程，“工程防水类别”分为甲、乙、丙类，“工程防水使用环境类别”分为Ⅰ类、Ⅱ类。 其中地下车站、人行通道和机电设备集中区段属于甲类工程，不管是位于Ⅰ类使用环境还是Ⅱ类使用环境，防水等级均判定为一级，与原《规范》一致。区间隧道及联络通道、风道等结构属于乙类工程，位于Ⅰ类使用环境时防水等级判定为一级，较原《规范》有提高；位于Ⅱ类使用环境时判定为二级，与原《规范》一致。</w:t>
      </w:r>
    </w:p>
    <w:p w14:paraId="6259E9FE">
      <w:pPr>
        <w:spacing w:line="240" w:lineRule="auto"/>
        <w:ind w:firstLine="420"/>
        <w:rPr>
          <w:rFonts w:ascii="宋体" w:hAnsi="宋体" w:cs="宋体"/>
          <w:szCs w:val="21"/>
        </w:rPr>
      </w:pPr>
      <w:r>
        <w:rPr>
          <w:rFonts w:hint="eastAsia" w:ascii="宋体" w:hAnsi="宋体" w:cs="宋体"/>
          <w:szCs w:val="21"/>
        </w:rPr>
        <w:t>需要说明的是上述Ⅰ类、Ⅱ类环境是针对于明挖地下工程而言的。对于矿山法、盾构法、顶管法、箱涵顶进法、沉管法等暗挖法地下工程，其防水等级主要取决于工程类别(防水功能重要性、使用要求)、工程地质条件(围岩、地下水环境及内外水压等)和施工条件等，实际工程设计时应当合理确定。</w:t>
      </w:r>
    </w:p>
    <w:p w14:paraId="2E72A0F2">
      <w:pPr>
        <w:spacing w:line="240" w:lineRule="auto"/>
        <w:ind w:firstLine="420"/>
        <w:rPr>
          <w:rFonts w:ascii="Arial" w:hAnsi="Arial" w:cs="Arial"/>
          <w:spacing w:val="4"/>
          <w:sz w:val="20"/>
          <w:szCs w:val="18"/>
        </w:rPr>
      </w:pPr>
      <w:r>
        <w:rPr>
          <w:rFonts w:hint="eastAsia" w:ascii="宋体" w:hAnsi="宋体" w:cs="宋体"/>
          <w:szCs w:val="21"/>
        </w:rPr>
        <w:t>城市轨道交通工程具有线路长、途经地层地质条件差异大和水位变化大的特点，可根据工程防水类别、工程地质条件和施工条件等确定防水等级，地铁区间隧道的防水等级不应低于二级。</w:t>
      </w:r>
    </w:p>
    <w:p w14:paraId="7E953E6D">
      <w:pPr>
        <w:spacing w:line="240" w:lineRule="auto"/>
        <w:rPr>
          <w:rFonts w:ascii="宋体" w:hAnsi="宋体" w:cs="宋体"/>
          <w:szCs w:val="21"/>
        </w:rPr>
      </w:pPr>
      <w:r>
        <w:rPr>
          <w:rFonts w:eastAsia="黑体" w:cs="方正黑体_GBK"/>
          <w:b/>
          <w:bCs/>
          <w:szCs w:val="21"/>
        </w:rPr>
        <w:t>13.1.6</w:t>
      </w:r>
      <w:r>
        <w:rPr>
          <w:rFonts w:hint="eastAsia" w:ascii="Arial" w:hAnsi="Arial" w:cs="Arial"/>
          <w:spacing w:val="4"/>
          <w:sz w:val="20"/>
          <w:szCs w:val="18"/>
        </w:rPr>
        <w:t xml:space="preserve">  </w:t>
      </w:r>
      <w:r>
        <w:rPr>
          <w:rFonts w:hint="eastAsia" w:ascii="宋体" w:hAnsi="宋体" w:cs="宋体"/>
          <w:szCs w:val="21"/>
        </w:rPr>
        <w:t>《建筑与市政工程防水通用规范》依据“工程防水类别”来确定工程的防水验收标准。地下车站、人行通道和机电设备集中区段属于甲类工程，防水验收标准为：不允许渗水，结构表面无湿渍，与原《规范》以及《建筑与市政工程防水通用规范》一致。区间隧道及联络通道、风道等结构，属于乙类工程，防水验收标准为：顶部不得滴漏，其他部位不得漏水；结构表面可有少量湿渍，总湿渍面积不应大于总防水面积的2/1000，任意100m</w:t>
      </w:r>
      <w:r>
        <w:rPr>
          <w:rFonts w:hint="eastAsia" w:ascii="宋体" w:hAnsi="宋体" w:cs="宋体"/>
          <w:szCs w:val="21"/>
          <w:vertAlign w:val="superscript"/>
        </w:rPr>
        <w:t>2</w:t>
      </w:r>
      <w:r>
        <w:rPr>
          <w:rFonts w:hint="eastAsia" w:ascii="宋体" w:hAnsi="宋体" w:cs="宋体"/>
          <w:szCs w:val="21"/>
        </w:rPr>
        <w:t>防水面积上的湿渍不应超过3处，单个湿渍的最大面积不应大于0.2m</w:t>
      </w:r>
      <w:r>
        <w:rPr>
          <w:rFonts w:hint="eastAsia" w:ascii="宋体" w:hAnsi="宋体" w:cs="宋体"/>
          <w:szCs w:val="21"/>
          <w:vertAlign w:val="superscript"/>
        </w:rPr>
        <w:t>2</w:t>
      </w:r>
      <w:r>
        <w:rPr>
          <w:rFonts w:hint="eastAsia" w:ascii="宋体" w:hAnsi="宋体" w:cs="宋体"/>
          <w:szCs w:val="21"/>
        </w:rPr>
        <w:t>。区间隧道工程中漏水的平均渗漏量不应大于0.05L/m</w:t>
      </w:r>
      <w:r>
        <w:rPr>
          <w:rFonts w:hint="eastAsia" w:ascii="宋体" w:hAnsi="宋体" w:cs="宋体"/>
          <w:szCs w:val="21"/>
          <w:vertAlign w:val="superscript"/>
        </w:rPr>
        <w:t>2</w:t>
      </w:r>
      <w:r>
        <w:rPr>
          <w:rFonts w:hint="eastAsia" w:ascii="宋体" w:hAnsi="宋体" w:cs="宋体"/>
          <w:szCs w:val="21"/>
        </w:rPr>
        <w:t>·d，任意100m</w:t>
      </w:r>
      <w:r>
        <w:rPr>
          <w:rFonts w:hint="eastAsia" w:ascii="宋体" w:hAnsi="宋体" w:cs="宋体"/>
          <w:szCs w:val="21"/>
          <w:vertAlign w:val="superscript"/>
        </w:rPr>
        <w:t>2</w:t>
      </w:r>
      <w:r>
        <w:rPr>
          <w:rFonts w:hint="eastAsia" w:ascii="宋体" w:hAnsi="宋体" w:cs="宋体"/>
          <w:szCs w:val="21"/>
        </w:rPr>
        <w:t>防水面积渗漏量不应大于0.15L/m</w:t>
      </w:r>
      <w:r>
        <w:rPr>
          <w:rFonts w:hint="eastAsia" w:ascii="宋体" w:hAnsi="宋体" w:cs="宋体"/>
          <w:szCs w:val="21"/>
          <w:vertAlign w:val="superscript"/>
        </w:rPr>
        <w:t>2</w:t>
      </w:r>
      <w:r>
        <w:rPr>
          <w:rFonts w:hint="eastAsia" w:ascii="宋体" w:hAnsi="宋体" w:cs="宋体"/>
          <w:szCs w:val="21"/>
        </w:rPr>
        <w:t>·d。该标准沿用了原《规范》的规定，该标准既有定性要求，又有定量指标，定量指标不仅规定了整个工程的渗水量值，也规定了工程任一局部的渗水量值。该标准总体上略高于《建筑与市政工程防水通用规范》的要求，考虑《建筑与市政工程防水通用规范》为基本要求，地铁标准适度提高是合理的。从近20年地铁建设和使用情况看，以上规定也是基本上是符合工程情况的。</w:t>
      </w:r>
    </w:p>
    <w:p w14:paraId="3E88C59F">
      <w:pPr>
        <w:spacing w:line="240" w:lineRule="auto"/>
        <w:rPr>
          <w:rFonts w:eastAsia="黑体" w:cs="方正黑体_GBK"/>
          <w:b/>
          <w:bCs/>
          <w:szCs w:val="21"/>
        </w:rPr>
      </w:pPr>
      <w:r>
        <w:rPr>
          <w:rFonts w:eastAsia="黑体" w:cs="方正黑体_GBK"/>
          <w:b/>
          <w:bCs/>
          <w:sz w:val="20"/>
        </w:rPr>
        <w:t xml:space="preserve">13.1.7 </w:t>
      </w:r>
      <w:r>
        <w:rPr>
          <w:rFonts w:hint="eastAsia" w:eastAsia="黑体" w:cs="方正黑体_GBK"/>
          <w:b/>
          <w:bCs/>
          <w:sz w:val="20"/>
        </w:rPr>
        <w:t xml:space="preserve"> </w:t>
      </w:r>
      <w:r>
        <w:rPr>
          <w:rFonts w:hint="eastAsia" w:ascii="宋体" w:hAnsi="宋体" w:cs="宋体"/>
          <w:szCs w:val="21"/>
        </w:rPr>
        <w:t>在原《规范》条文的基础上，按照《建筑与市政工程防水通用规范》增加了对高架车站防水标准的规定。</w:t>
      </w:r>
    </w:p>
    <w:p w14:paraId="20123F81">
      <w:pPr>
        <w:spacing w:line="240" w:lineRule="auto"/>
        <w:rPr>
          <w:rFonts w:ascii="宋体" w:hAnsi="宋体" w:cs="宋体"/>
          <w:szCs w:val="21"/>
        </w:rPr>
      </w:pPr>
      <w:r>
        <w:rPr>
          <w:rFonts w:eastAsia="黑体" w:cs="方正黑体_GBK"/>
          <w:b/>
          <w:bCs/>
          <w:szCs w:val="21"/>
        </w:rPr>
        <w:t>13.1.9</w:t>
      </w:r>
      <w:r>
        <w:rPr>
          <w:rFonts w:hint="eastAsia" w:ascii="Times" w:hAnsi="Times"/>
          <w:spacing w:val="2"/>
          <w:sz w:val="20"/>
          <w:szCs w:val="18"/>
        </w:rPr>
        <w:t xml:space="preserve">  </w:t>
      </w:r>
      <w:r>
        <w:rPr>
          <w:rFonts w:hint="eastAsia" w:ascii="宋体" w:hAnsi="宋体" w:cs="宋体"/>
          <w:szCs w:val="21"/>
        </w:rPr>
        <w:t>本条中“种植”不含草皮，主要指灌木和乔木，特殊树种可按照相关规定执行。“耐根穿刺层”指园林局或同等机构测试并通过了“耐根穿刺试验”的防水材料或构造层，有检测数据和具体施工工艺要求的检测报告（书）。</w:t>
      </w:r>
    </w:p>
    <w:p w14:paraId="771AEA10">
      <w:pPr>
        <w:pStyle w:val="4"/>
        <w:numPr>
          <w:ilvl w:val="0"/>
          <w:numId w:val="0"/>
        </w:numPr>
      </w:pPr>
      <w:bookmarkStart w:id="2575" w:name="_Toc183765311"/>
      <w:bookmarkStart w:id="2576" w:name="_Toc357929551"/>
      <w:bookmarkStart w:id="2577" w:name="_Toc183888354"/>
      <w:bookmarkStart w:id="2578" w:name="_Toc183790741"/>
      <w:bookmarkStart w:id="2579" w:name="_Toc183882302"/>
      <w:bookmarkStart w:id="2580" w:name="_Toc183738133"/>
      <w:bookmarkStart w:id="2581" w:name="_Toc183888716"/>
      <w:bookmarkStart w:id="2582" w:name="_Toc183882664"/>
      <w:r>
        <w:rPr>
          <w:rFonts w:hint="eastAsia"/>
          <w:b/>
        </w:rPr>
        <w:t xml:space="preserve">13.2 </w:t>
      </w:r>
      <w:r>
        <w:rPr>
          <w:rFonts w:hint="eastAsia"/>
        </w:rPr>
        <w:t xml:space="preserve"> 混凝土结构自防水</w:t>
      </w:r>
      <w:bookmarkEnd w:id="2575"/>
      <w:bookmarkEnd w:id="2576"/>
      <w:bookmarkEnd w:id="2577"/>
      <w:bookmarkEnd w:id="2578"/>
      <w:bookmarkEnd w:id="2579"/>
      <w:bookmarkEnd w:id="2580"/>
      <w:bookmarkEnd w:id="2581"/>
      <w:bookmarkEnd w:id="2582"/>
    </w:p>
    <w:p w14:paraId="5E925C79">
      <w:pPr>
        <w:spacing w:line="240" w:lineRule="auto"/>
        <w:rPr>
          <w:rFonts w:ascii="宋体" w:hAnsi="宋体" w:cs="宋体"/>
          <w:szCs w:val="21"/>
        </w:rPr>
      </w:pPr>
      <w:r>
        <w:rPr>
          <w:rFonts w:eastAsia="黑体" w:cs="方正黑体_GBK"/>
          <w:b/>
          <w:bCs/>
          <w:szCs w:val="21"/>
        </w:rPr>
        <w:t>13.2.1</w:t>
      </w:r>
      <w:r>
        <w:rPr>
          <w:rFonts w:hint="eastAsia" w:eastAsia="黑体" w:cs="方正黑体_GBK"/>
          <w:b/>
          <w:bCs/>
          <w:szCs w:val="21"/>
        </w:rPr>
        <w:t xml:space="preserve"> </w:t>
      </w:r>
      <w:r>
        <w:rPr>
          <w:rFonts w:hint="eastAsia" w:ascii="Arial" w:hAnsi="Arial" w:cs="Arial"/>
          <w:spacing w:val="4"/>
          <w:sz w:val="20"/>
          <w:szCs w:val="18"/>
        </w:rPr>
        <w:t xml:space="preserve"> </w:t>
      </w:r>
      <w:r>
        <w:rPr>
          <w:rFonts w:hint="eastAsia" w:ascii="宋体" w:hAnsi="宋体" w:cs="宋体"/>
          <w:szCs w:val="21"/>
        </w:rPr>
        <w:t>原《规范》的一级防水指的是地下车站、人行通道和机电设备集中区段，二级防水指的是区间、联络通道等。《建筑与市政工程防水通用规范》执行后，区间、风道等也可能纳入一级防水的范畴。区间、风道等工程的防水验收标准要低于地下车站及其附属结构，因此其混凝土的抗渗等级也应有所区别。本次修编调整后，实际上对各部位混凝土抗渗等级的要求与原《规范》是一致的。从近20年地铁建设和使用情况看，以上规定也是基本上是符合工程情况的。</w:t>
      </w:r>
    </w:p>
    <w:p w14:paraId="2FF2871E">
      <w:pPr>
        <w:spacing w:line="240" w:lineRule="auto"/>
        <w:rPr>
          <w:rFonts w:ascii="宋体" w:hAnsi="宋体" w:cs="宋体"/>
          <w:szCs w:val="21"/>
        </w:rPr>
      </w:pPr>
      <w:r>
        <w:rPr>
          <w:rFonts w:eastAsia="黑体" w:cs="方正黑体_GBK"/>
          <w:b/>
          <w:bCs/>
          <w:sz w:val="20"/>
        </w:rPr>
        <w:t xml:space="preserve">13.2.3 </w:t>
      </w:r>
      <w:r>
        <w:rPr>
          <w:rFonts w:hint="eastAsia" w:eastAsia="黑体" w:cs="方正黑体_GBK"/>
          <w:b/>
          <w:bCs/>
          <w:sz w:val="20"/>
        </w:rPr>
        <w:t xml:space="preserve"> </w:t>
      </w:r>
      <w:r>
        <w:rPr>
          <w:rFonts w:hint="eastAsia" w:ascii="宋体" w:hAnsi="宋体" w:cs="宋体"/>
          <w:szCs w:val="21"/>
        </w:rPr>
        <w:t>地下工程所处的环境较为复杂、恶劣，结构主体长期浸泡在水中或受到各种侵蚀介质的侵蚀以及冻融、干湿交替的作用，易使混凝土结构随着时间的推移，逐渐产生劣化，各种侵蚀介质对混凝土的破坏与混凝土自身的透水性和吸水性密切相关。一旦结构抗渗性能下降，易发生结构渗漏水现象，导致电气和通信信号设备故障、轨道等金属构件锈蚀，同时地下水中的侵蚀性介质使结构劣化，使混凝土结构开裂、剥落，导致结构的耐久性下降，影响地铁的安全运营。故防水混凝土的配制首先应以满足抗渗等级要求作为主要设计依据，同时也应根据工程所处环境条件和工作条件需要，相应满足抗压、抗裂、抗冻和抗侵蚀性等耐久性要求。</w:t>
      </w:r>
    </w:p>
    <w:p w14:paraId="063658BA">
      <w:pPr>
        <w:spacing w:line="240" w:lineRule="auto"/>
        <w:rPr>
          <w:rFonts w:ascii="宋体" w:hAnsi="宋体" w:cs="宋体"/>
          <w:sz w:val="20"/>
        </w:rPr>
      </w:pPr>
      <w:r>
        <w:rPr>
          <w:rFonts w:eastAsia="黑体" w:cs="方正黑体_GBK"/>
          <w:b/>
          <w:bCs/>
          <w:sz w:val="20"/>
        </w:rPr>
        <w:t xml:space="preserve">13.2.5 </w:t>
      </w:r>
      <w:r>
        <w:rPr>
          <w:rFonts w:hint="eastAsia" w:eastAsia="黑体" w:cs="方正黑体_GBK"/>
          <w:b/>
          <w:bCs/>
          <w:sz w:val="20"/>
        </w:rPr>
        <w:t xml:space="preserve"> </w:t>
      </w:r>
      <w:r>
        <w:rPr>
          <w:rFonts w:hint="eastAsia" w:ascii="宋体" w:hAnsi="宋体" w:cs="宋体"/>
          <w:szCs w:val="21"/>
        </w:rPr>
        <w:t>当防水混凝土用于具有 一 定温度的工作环境时 ,其抗渗 性随着温度提高而降低 ,温度越高则降低越显著 ,当温度超过250℃时,混凝土几乎失去抗渗能力,因此规定,最高使用温度不得超过 80℃ 。</w:t>
      </w:r>
    </w:p>
    <w:p w14:paraId="6DF68E57">
      <w:pPr>
        <w:spacing w:line="240" w:lineRule="auto"/>
        <w:rPr>
          <w:spacing w:val="4"/>
          <w:sz w:val="20"/>
          <w:szCs w:val="18"/>
        </w:rPr>
      </w:pPr>
      <w:r>
        <w:rPr>
          <w:rFonts w:eastAsia="黑体" w:cs="方正黑体_GBK"/>
          <w:b/>
          <w:bCs/>
          <w:szCs w:val="21"/>
        </w:rPr>
        <w:t>13.2.6</w:t>
      </w:r>
      <w:r>
        <w:rPr>
          <w:rFonts w:hint="eastAsia" w:eastAsia="黑体" w:cs="方正黑体_GBK"/>
          <w:b/>
          <w:bCs/>
          <w:szCs w:val="21"/>
        </w:rPr>
        <w:t xml:space="preserve">  </w:t>
      </w:r>
      <w:r>
        <w:rPr>
          <w:rFonts w:hint="eastAsia" w:ascii="宋体" w:hAnsi="宋体" w:cs="宋体"/>
          <w:szCs w:val="21"/>
        </w:rPr>
        <w:t>轨道交通工程主体结构的耐久性要求高于一般地下工程，而防水混凝土的耐久性与混凝土的抗渗等级和氯离子扩散系数密切相关，因此除了混凝土的抗渗等级要求外，参考了现行国家标准《混凝土结构耐久性设计规范》GB/T 50467的相关条款，提出了对防水混凝土处于氯化物环境（环境作用等级为E级）中的氯离子扩散系数指标和电通量指标，包括现浇混凝土和装配式混凝土对氯离子扩散系数和电通量的要求，氯离子扩散系数一般采用外加电场加速离子迁移的标准试验方法（DRCM）测试混凝土的28d氯离子扩散系数。</w:t>
      </w:r>
    </w:p>
    <w:p w14:paraId="26BF9758">
      <w:pPr>
        <w:spacing w:line="240" w:lineRule="auto"/>
        <w:rPr>
          <w:rFonts w:ascii="宋体" w:hAnsi="宋体" w:cs="宋体"/>
          <w:szCs w:val="21"/>
        </w:rPr>
      </w:pPr>
      <w:r>
        <w:rPr>
          <w:rFonts w:eastAsia="黑体" w:cs="方正黑体_GBK"/>
          <w:b/>
          <w:bCs/>
          <w:szCs w:val="21"/>
        </w:rPr>
        <w:t xml:space="preserve">13.2.7 </w:t>
      </w:r>
      <w:r>
        <w:rPr>
          <w:rFonts w:hint="eastAsia" w:eastAsia="黑体" w:cs="方正黑体_GBK"/>
          <w:b/>
          <w:bCs/>
          <w:szCs w:val="21"/>
        </w:rPr>
        <w:t xml:space="preserve"> </w:t>
      </w:r>
      <w:r>
        <w:rPr>
          <w:rFonts w:ascii="宋体" w:hAnsi="宋体" w:cs="宋体"/>
          <w:sz w:val="20"/>
        </w:rPr>
        <w:t>根据</w:t>
      </w:r>
      <w:r>
        <w:rPr>
          <w:rFonts w:hint="eastAsia" w:ascii="宋体" w:hAnsi="宋体" w:cs="宋体"/>
          <w:szCs w:val="21"/>
        </w:rPr>
        <w:t>《混凝土结构通用规范》，将混凝土垫层强度等级提高至C20。</w:t>
      </w:r>
    </w:p>
    <w:p w14:paraId="1F1DC8A3">
      <w:pPr>
        <w:pStyle w:val="4"/>
        <w:numPr>
          <w:ilvl w:val="0"/>
          <w:numId w:val="0"/>
        </w:numPr>
      </w:pPr>
      <w:bookmarkStart w:id="2583" w:name="_Toc183882665"/>
      <w:bookmarkStart w:id="2584" w:name="_Toc183765312"/>
      <w:bookmarkStart w:id="2585" w:name="_Toc183888717"/>
      <w:bookmarkStart w:id="2586" w:name="_Toc183790742"/>
      <w:bookmarkStart w:id="2587" w:name="_Toc183888355"/>
      <w:bookmarkStart w:id="2588" w:name="_Toc183882303"/>
      <w:bookmarkStart w:id="2589" w:name="_Toc183738134"/>
      <w:r>
        <w:rPr>
          <w:rFonts w:hint="eastAsia"/>
        </w:rPr>
        <w:t>13.3  防水层</w:t>
      </w:r>
      <w:bookmarkEnd w:id="2583"/>
      <w:bookmarkEnd w:id="2584"/>
      <w:bookmarkEnd w:id="2585"/>
      <w:bookmarkEnd w:id="2586"/>
      <w:bookmarkEnd w:id="2587"/>
      <w:bookmarkEnd w:id="2588"/>
      <w:bookmarkEnd w:id="2589"/>
    </w:p>
    <w:p w14:paraId="54A6DB7F">
      <w:pPr>
        <w:spacing w:line="240" w:lineRule="auto"/>
        <w:rPr>
          <w:rFonts w:ascii="宋体" w:hAnsi="宋体" w:cs="宋体"/>
          <w:szCs w:val="21"/>
        </w:rPr>
      </w:pPr>
      <w:r>
        <w:rPr>
          <w:rFonts w:eastAsia="黑体" w:cs="方正黑体_GBK"/>
          <w:b/>
          <w:bCs/>
          <w:szCs w:val="21"/>
        </w:rPr>
        <w:t>13.3.2</w:t>
      </w:r>
      <w:r>
        <w:rPr>
          <w:rFonts w:hint="eastAsia" w:ascii="宋体" w:hAnsi="宋体" w:cs="宋体"/>
          <w:sz w:val="20"/>
        </w:rPr>
        <w:t xml:space="preserve"> </w:t>
      </w:r>
      <w:r>
        <w:rPr>
          <w:rFonts w:hint="eastAsia" w:ascii="宋体" w:hAnsi="宋体" w:cs="宋体"/>
          <w:b/>
          <w:sz w:val="20"/>
        </w:rPr>
        <w:t xml:space="preserve"> </w:t>
      </w:r>
      <w:r>
        <w:rPr>
          <w:rFonts w:hint="eastAsia" w:ascii="宋体" w:hAnsi="宋体" w:cs="宋体"/>
          <w:b/>
          <w:szCs w:val="21"/>
        </w:rPr>
        <w:t>1</w:t>
      </w:r>
      <w:r>
        <w:rPr>
          <w:rFonts w:hint="eastAsia" w:ascii="宋体" w:hAnsi="宋体" w:cs="宋体"/>
          <w:szCs w:val="21"/>
        </w:rPr>
        <w:t xml:space="preserve"> “相容性”，主要指防水材料使用时，与其相邻材料的接触面之间、材料与基面之间、在使用过程中不得产生化学反应或导致材料内部的添加剂出现迁移的现象。相临处的不同防水材料的相容性包括：</w:t>
      </w:r>
    </w:p>
    <w:p w14:paraId="203F7F84">
      <w:pPr>
        <w:spacing w:line="240" w:lineRule="auto"/>
        <w:ind w:firstLine="420"/>
        <w:rPr>
          <w:rFonts w:ascii="宋体" w:hAnsi="宋体" w:cs="宋体"/>
          <w:szCs w:val="21"/>
        </w:rPr>
      </w:pPr>
      <w:r>
        <w:rPr>
          <w:rFonts w:hint="eastAsia" w:ascii="宋体" w:hAnsi="宋体" w:cs="宋体"/>
          <w:szCs w:val="21"/>
        </w:rPr>
        <w:t>（1）  基层处理剂的选择应与首道防水涂料或卷材相容；</w:t>
      </w:r>
    </w:p>
    <w:p w14:paraId="3F0B9F67">
      <w:pPr>
        <w:spacing w:line="240" w:lineRule="auto"/>
        <w:ind w:firstLine="420"/>
        <w:rPr>
          <w:rFonts w:ascii="宋体" w:hAnsi="宋体" w:cs="宋体"/>
          <w:szCs w:val="21"/>
        </w:rPr>
      </w:pPr>
      <w:r>
        <w:rPr>
          <w:rFonts w:hint="eastAsia" w:ascii="宋体" w:hAnsi="宋体" w:cs="宋体"/>
          <w:szCs w:val="21"/>
        </w:rPr>
        <w:t>（2）  采用两种防水材料复合使用时，其材性应相容；</w:t>
      </w:r>
    </w:p>
    <w:p w14:paraId="3BEF11F4">
      <w:pPr>
        <w:spacing w:line="240" w:lineRule="auto"/>
        <w:ind w:firstLine="420"/>
        <w:rPr>
          <w:rFonts w:ascii="宋体" w:hAnsi="宋体" w:cs="宋体"/>
          <w:szCs w:val="21"/>
        </w:rPr>
      </w:pPr>
      <w:r>
        <w:rPr>
          <w:rFonts w:hint="eastAsia" w:ascii="宋体" w:hAnsi="宋体" w:cs="宋体"/>
          <w:szCs w:val="21"/>
        </w:rPr>
        <w:t>（3）  卷材、涂膜防水层收头及节点部位选用的密封材料，应与防水层材料相容；</w:t>
      </w:r>
    </w:p>
    <w:p w14:paraId="5D9087D1">
      <w:pPr>
        <w:spacing w:line="240" w:lineRule="auto"/>
        <w:ind w:firstLine="420"/>
        <w:rPr>
          <w:rFonts w:ascii="宋体" w:hAnsi="宋体" w:cs="宋体"/>
          <w:szCs w:val="21"/>
        </w:rPr>
      </w:pPr>
      <w:r>
        <w:rPr>
          <w:rFonts w:hint="eastAsia" w:ascii="宋体" w:hAnsi="宋体" w:cs="宋体"/>
          <w:szCs w:val="21"/>
        </w:rPr>
        <w:t>（4）  采用涂料做保护层时，涂料应与所接触防水卷材或防水涂膜相容；</w:t>
      </w:r>
    </w:p>
    <w:p w14:paraId="0CB75663">
      <w:pPr>
        <w:spacing w:line="240" w:lineRule="auto"/>
        <w:ind w:firstLine="420"/>
        <w:rPr>
          <w:rFonts w:ascii="宋体" w:hAnsi="宋体" w:cs="宋体"/>
          <w:szCs w:val="21"/>
        </w:rPr>
      </w:pPr>
      <w:r>
        <w:rPr>
          <w:rFonts w:hint="eastAsia" w:ascii="宋体" w:hAnsi="宋体" w:cs="宋体"/>
          <w:szCs w:val="21"/>
        </w:rPr>
        <w:t>（5）  种植屋面选用的耐根穿刺层材料应与普通防水层材性相容。</w:t>
      </w:r>
    </w:p>
    <w:p w14:paraId="7079D84C">
      <w:pPr>
        <w:spacing w:line="240" w:lineRule="auto"/>
        <w:ind w:firstLine="420"/>
        <w:rPr>
          <w:rFonts w:ascii="宋体" w:hAnsi="宋体" w:cs="宋体"/>
          <w:szCs w:val="21"/>
        </w:rPr>
      </w:pPr>
      <w:r>
        <w:rPr>
          <w:rFonts w:hint="eastAsia" w:ascii="宋体" w:hAnsi="宋体" w:cs="宋体"/>
          <w:b/>
          <w:szCs w:val="21"/>
        </w:rPr>
        <w:t xml:space="preserve">2 </w:t>
      </w:r>
      <w:r>
        <w:rPr>
          <w:rFonts w:hint="eastAsia" w:ascii="宋体" w:hAnsi="宋体" w:cs="宋体"/>
          <w:szCs w:val="21"/>
        </w:rPr>
        <w:t xml:space="preserve"> 强调直接施作于主体结构基面的防水卷材或防水涂料应与结构满粘密实是为了确保能真正达到“皮肤式”防水的要求，防止防水层与结构之间串水。</w:t>
      </w:r>
    </w:p>
    <w:p w14:paraId="0D6BCEA1">
      <w:pPr>
        <w:spacing w:line="240" w:lineRule="auto"/>
        <w:rPr>
          <w:rFonts w:ascii="宋体" w:hAnsi="宋体" w:cs="宋体"/>
          <w:szCs w:val="21"/>
        </w:rPr>
      </w:pPr>
      <w:r>
        <w:rPr>
          <w:rFonts w:eastAsia="黑体" w:cs="方正黑体_GBK"/>
          <w:b/>
          <w:bCs/>
          <w:szCs w:val="21"/>
        </w:rPr>
        <w:t xml:space="preserve">13.3.3  </w:t>
      </w:r>
      <w:r>
        <w:rPr>
          <w:rFonts w:ascii="宋体" w:hAnsi="宋体" w:cs="宋体"/>
          <w:szCs w:val="21"/>
        </w:rPr>
        <w:t>1本条</w:t>
      </w:r>
      <w:r>
        <w:rPr>
          <w:rFonts w:hint="eastAsia" w:ascii="宋体" w:hAnsi="宋体" w:cs="宋体"/>
          <w:szCs w:val="21"/>
        </w:rPr>
        <w:t>相较原《规范》做了较大的调整，主要修改如下：</w:t>
      </w:r>
    </w:p>
    <w:p w14:paraId="7BE2A311">
      <w:pPr>
        <w:spacing w:line="240" w:lineRule="auto"/>
        <w:ind w:firstLine="420"/>
        <w:rPr>
          <w:rFonts w:ascii="宋体" w:hAnsi="宋体" w:cs="宋体"/>
          <w:szCs w:val="21"/>
        </w:rPr>
      </w:pPr>
      <w:r>
        <w:rPr>
          <w:rFonts w:hint="eastAsia" w:ascii="宋体" w:hAnsi="宋体" w:cs="宋体"/>
          <w:szCs w:val="21"/>
        </w:rPr>
        <w:t>（1）删除了目前在北京已经不再采用的防水材料，如膨润土防水毯；</w:t>
      </w:r>
    </w:p>
    <w:p w14:paraId="4096C64D">
      <w:pPr>
        <w:spacing w:line="240" w:lineRule="auto"/>
        <w:ind w:firstLine="420"/>
        <w:rPr>
          <w:rFonts w:ascii="宋体" w:hAnsi="宋体" w:cs="宋体"/>
          <w:szCs w:val="21"/>
        </w:rPr>
      </w:pPr>
      <w:r>
        <w:rPr>
          <w:rFonts w:hint="eastAsia" w:ascii="宋体" w:hAnsi="宋体" w:cs="宋体"/>
          <w:szCs w:val="21"/>
        </w:rPr>
        <w:t>（2）根据《建筑与市政工程防水通用规范》要求修改了部分卷材和防水涂料的厚度要求。</w:t>
      </w:r>
    </w:p>
    <w:p w14:paraId="73424D03">
      <w:pPr>
        <w:spacing w:line="240" w:lineRule="auto"/>
        <w:ind w:firstLine="420"/>
        <w:rPr>
          <w:rFonts w:ascii="宋体" w:hAnsi="宋体" w:cs="宋体"/>
          <w:szCs w:val="21"/>
        </w:rPr>
      </w:pPr>
      <w:r>
        <w:rPr>
          <w:rFonts w:hint="eastAsia" w:ascii="宋体" w:hAnsi="宋体" w:cs="宋体"/>
          <w:b/>
          <w:szCs w:val="21"/>
        </w:rPr>
        <w:t xml:space="preserve">4 </w:t>
      </w:r>
      <w:r>
        <w:rPr>
          <w:rFonts w:hint="eastAsia" w:ascii="宋体" w:hAnsi="宋体" w:cs="宋体"/>
          <w:szCs w:val="21"/>
        </w:rPr>
        <w:t xml:space="preserve"> 规定预铺式防水卷材应单层设置于复合式结构墙和底板；指的是只有复合式结构墙和底板靠近主体结构的那层卷材才需要采用预铺防水卷材。分离式侧墙、车站顶板无需采用预铺防水卷材。</w:t>
      </w:r>
    </w:p>
    <w:p w14:paraId="51917283">
      <w:pPr>
        <w:pStyle w:val="4"/>
        <w:numPr>
          <w:ilvl w:val="0"/>
          <w:numId w:val="0"/>
        </w:numPr>
      </w:pPr>
      <w:bookmarkStart w:id="2590" w:name="_Toc183888718"/>
      <w:bookmarkStart w:id="2591" w:name="_Toc183882304"/>
      <w:bookmarkStart w:id="2592" w:name="_Toc183882666"/>
      <w:bookmarkStart w:id="2593" w:name="_Toc183765313"/>
      <w:bookmarkStart w:id="2594" w:name="_Toc183738135"/>
      <w:bookmarkStart w:id="2595" w:name="_Toc357929552"/>
      <w:bookmarkStart w:id="2596" w:name="_Toc183790743"/>
      <w:bookmarkStart w:id="2597" w:name="_Toc183888356"/>
      <w:r>
        <w:rPr>
          <w:rFonts w:hint="eastAsia"/>
          <w:b/>
        </w:rPr>
        <w:t xml:space="preserve">13.4 </w:t>
      </w:r>
      <w:r>
        <w:rPr>
          <w:rFonts w:hint="eastAsia"/>
        </w:rPr>
        <w:t xml:space="preserve"> 高架结构防水</w:t>
      </w:r>
      <w:bookmarkEnd w:id="2590"/>
      <w:bookmarkEnd w:id="2591"/>
      <w:bookmarkEnd w:id="2592"/>
      <w:bookmarkEnd w:id="2593"/>
      <w:bookmarkEnd w:id="2594"/>
      <w:bookmarkEnd w:id="2595"/>
      <w:bookmarkEnd w:id="2596"/>
      <w:bookmarkEnd w:id="2597"/>
    </w:p>
    <w:p w14:paraId="53E2E055">
      <w:pPr>
        <w:spacing w:line="240" w:lineRule="auto"/>
        <w:rPr>
          <w:rFonts w:ascii="宋体" w:hAnsi="宋体" w:cs="宋体"/>
          <w:szCs w:val="21"/>
        </w:rPr>
      </w:pPr>
      <w:r>
        <w:rPr>
          <w:rFonts w:eastAsia="黑体" w:cs="方正黑体_GBK"/>
          <w:b/>
          <w:bCs/>
          <w:szCs w:val="21"/>
        </w:rPr>
        <w:t xml:space="preserve">13.4.1 </w:t>
      </w:r>
      <w:r>
        <w:rPr>
          <w:rFonts w:hint="eastAsia"/>
          <w:spacing w:val="4"/>
          <w:sz w:val="20"/>
          <w:szCs w:val="18"/>
        </w:rPr>
        <w:t xml:space="preserve"> </w:t>
      </w:r>
      <w:r>
        <w:rPr>
          <w:rFonts w:hint="eastAsia" w:ascii="宋体" w:hAnsi="宋体" w:cs="宋体"/>
          <w:szCs w:val="21"/>
        </w:rPr>
        <w:t>桥面所处的环境通常受大气降水、北方地区冬季降雪的影响，化冰盐水、氧气、二氧化碳等均是危害桥面结构耐久性的因素，如果能将上述物质与桥面结构隔离开，则桥面结构的耐久性就会提高。而在桥面设置连续、整体密封、耐久的附加防水层便提供了这种可能性。用于附加防水层的材料品种较多，较为适合桥面防水材料有高聚物改性沥青防水涂料、聚氨酯防水涂料、水泥基渗透结晶型防水材料、水乳型阳离子氯丁橡胶沥青防水涂料等。</w:t>
      </w:r>
    </w:p>
    <w:p w14:paraId="41C5076D">
      <w:pPr>
        <w:pStyle w:val="4"/>
        <w:numPr>
          <w:ilvl w:val="0"/>
          <w:numId w:val="0"/>
        </w:numPr>
      </w:pPr>
      <w:bookmarkStart w:id="2598" w:name="_Toc183765314"/>
      <w:bookmarkStart w:id="2599" w:name="_Toc183790744"/>
      <w:bookmarkStart w:id="2600" w:name="_Toc183882667"/>
      <w:bookmarkStart w:id="2601" w:name="_Toc357929553"/>
      <w:bookmarkStart w:id="2602" w:name="_Toc183738136"/>
      <w:bookmarkStart w:id="2603" w:name="_Toc183888357"/>
      <w:bookmarkStart w:id="2604" w:name="_Toc183888719"/>
      <w:bookmarkStart w:id="2605" w:name="_Toc183882305"/>
      <w:r>
        <w:rPr>
          <w:rFonts w:hint="eastAsia"/>
          <w:b/>
        </w:rPr>
        <w:t xml:space="preserve">13.5  </w:t>
      </w:r>
      <w:r>
        <w:rPr>
          <w:rFonts w:hint="eastAsia"/>
        </w:rPr>
        <w:t>明挖法、盖挖法结构防水</w:t>
      </w:r>
      <w:bookmarkEnd w:id="2598"/>
      <w:bookmarkEnd w:id="2599"/>
      <w:bookmarkEnd w:id="2600"/>
      <w:bookmarkEnd w:id="2601"/>
      <w:bookmarkEnd w:id="2602"/>
      <w:bookmarkEnd w:id="2603"/>
      <w:bookmarkEnd w:id="2604"/>
      <w:bookmarkEnd w:id="2605"/>
    </w:p>
    <w:p w14:paraId="3EBAC5AD">
      <w:pPr>
        <w:spacing w:line="240" w:lineRule="auto"/>
        <w:rPr>
          <w:rFonts w:ascii="宋体" w:hAnsi="宋体" w:cs="宋体"/>
          <w:szCs w:val="21"/>
        </w:rPr>
      </w:pPr>
      <w:bookmarkStart w:id="2606" w:name="OLE_LINK2"/>
      <w:r>
        <w:rPr>
          <w:rFonts w:eastAsia="黑体" w:cs="方正黑体_GBK"/>
          <w:b/>
          <w:bCs/>
          <w:szCs w:val="21"/>
        </w:rPr>
        <w:t>13.5.2</w:t>
      </w:r>
      <w:r>
        <w:rPr>
          <w:rFonts w:hint="eastAsia" w:ascii="Arial" w:hAnsi="Arial" w:cs="Arial"/>
          <w:spacing w:val="4"/>
          <w:sz w:val="20"/>
          <w:szCs w:val="18"/>
        </w:rPr>
        <w:t xml:space="preserve"> </w:t>
      </w:r>
      <w:r>
        <w:rPr>
          <w:rFonts w:hint="eastAsia" w:ascii="宋体" w:hAnsi="宋体" w:cs="宋体"/>
          <w:szCs w:val="21"/>
        </w:rPr>
        <w:t>按照《建筑与市政工程防水通用规范》对明挖法、盖挖法修建的地下结构防水措施进行了修改。</w:t>
      </w:r>
    </w:p>
    <w:bookmarkEnd w:id="2606"/>
    <w:p w14:paraId="1E3E58F6">
      <w:pPr>
        <w:spacing w:line="240" w:lineRule="auto"/>
        <w:rPr>
          <w:rFonts w:ascii="宋体" w:hAnsi="宋体" w:cs="宋体"/>
          <w:szCs w:val="21"/>
        </w:rPr>
      </w:pPr>
      <w:r>
        <w:rPr>
          <w:rFonts w:eastAsia="黑体" w:cs="方正黑体_GBK"/>
          <w:b/>
          <w:bCs/>
          <w:szCs w:val="21"/>
        </w:rPr>
        <w:t xml:space="preserve">13.5.3 </w:t>
      </w:r>
      <w:r>
        <w:rPr>
          <w:rFonts w:hint="eastAsia" w:ascii="宋体" w:hAnsi="宋体" w:cs="宋体"/>
          <w:szCs w:val="21"/>
        </w:rPr>
        <w:t>明挖法结构的顶板、侧墙和底板防水层应封闭，形成外包防水体系，并根据防水层种类和设置部位的不同，选择合理的防水层临时或永久保护措施。而车站和出入口通道、通风道以及区间隧道的接口部位的防水层甩槎容易在后续浇筑内衬混凝土和破除围护结构时出现破损，造成车站和附属结构之间防水层接槎困难，因此应对该处防水层甩槎采取合理的保护措施以及防水加强措施。而车站和附属结构以及区间隧道由于工法的不同，采用的防水层材料种类有可能不同，不同防水层材料应采取合理措施做到密封过渡，使防水层形成连续封闭的防水体系。</w:t>
      </w:r>
    </w:p>
    <w:p w14:paraId="58E7AA69">
      <w:pPr>
        <w:pStyle w:val="4"/>
        <w:numPr>
          <w:ilvl w:val="0"/>
          <w:numId w:val="0"/>
        </w:numPr>
      </w:pPr>
      <w:bookmarkStart w:id="2607" w:name="_Toc183765315"/>
      <w:bookmarkStart w:id="2608" w:name="_Toc183882306"/>
      <w:bookmarkStart w:id="2609" w:name="_Toc183882668"/>
      <w:bookmarkStart w:id="2610" w:name="_Toc183738137"/>
      <w:bookmarkStart w:id="2611" w:name="_Toc357929554"/>
      <w:bookmarkStart w:id="2612" w:name="_Toc183888358"/>
      <w:bookmarkStart w:id="2613" w:name="_Toc183790745"/>
      <w:bookmarkStart w:id="2614" w:name="_Toc183888720"/>
      <w:r>
        <w:rPr>
          <w:rFonts w:hint="eastAsia"/>
          <w:b/>
        </w:rPr>
        <w:t xml:space="preserve">13.6 </w:t>
      </w:r>
      <w:r>
        <w:rPr>
          <w:rFonts w:hint="eastAsia"/>
        </w:rPr>
        <w:t xml:space="preserve"> 矿山法结构防水</w:t>
      </w:r>
      <w:bookmarkEnd w:id="2607"/>
      <w:bookmarkEnd w:id="2608"/>
      <w:bookmarkEnd w:id="2609"/>
      <w:bookmarkEnd w:id="2610"/>
      <w:bookmarkEnd w:id="2611"/>
      <w:bookmarkEnd w:id="2612"/>
      <w:bookmarkEnd w:id="2613"/>
      <w:bookmarkEnd w:id="2614"/>
    </w:p>
    <w:p w14:paraId="4A815E34">
      <w:pPr>
        <w:spacing w:line="240" w:lineRule="auto"/>
        <w:rPr>
          <w:rFonts w:ascii="Arial" w:hAnsi="Arial" w:cs="Arial"/>
          <w:spacing w:val="4"/>
          <w:sz w:val="20"/>
          <w:szCs w:val="18"/>
        </w:rPr>
      </w:pPr>
      <w:r>
        <w:rPr>
          <w:rFonts w:eastAsia="黑体" w:cs="方正黑体_GBK"/>
          <w:b/>
          <w:bCs/>
          <w:szCs w:val="21"/>
        </w:rPr>
        <w:t>13.6.1</w:t>
      </w:r>
      <w:r>
        <w:rPr>
          <w:rFonts w:hint="eastAsia" w:ascii="Arial" w:hAnsi="Arial" w:cs="Arial"/>
          <w:spacing w:val="4"/>
          <w:sz w:val="20"/>
          <w:szCs w:val="18"/>
        </w:rPr>
        <w:t xml:space="preserve"> </w:t>
      </w:r>
      <w:r>
        <w:rPr>
          <w:rFonts w:hint="eastAsia" w:ascii="宋体" w:hAnsi="宋体" w:cs="宋体"/>
          <w:szCs w:val="21"/>
        </w:rPr>
        <w:t>按照《建筑与市政工程防水通用规范》对矿山法结构防水措施进行了修改。</w:t>
      </w:r>
    </w:p>
    <w:p w14:paraId="6007C57C">
      <w:pPr>
        <w:spacing w:line="240" w:lineRule="auto"/>
        <w:rPr>
          <w:rFonts w:ascii="宋体" w:hAnsi="宋体" w:cs="宋体"/>
          <w:szCs w:val="21"/>
        </w:rPr>
      </w:pPr>
      <w:r>
        <w:rPr>
          <w:rFonts w:eastAsia="黑体" w:cs="方正黑体_GBK"/>
          <w:b/>
          <w:bCs/>
          <w:szCs w:val="21"/>
        </w:rPr>
        <w:t>13.6.3</w:t>
      </w:r>
      <w:r>
        <w:rPr>
          <w:rFonts w:hint="eastAsia"/>
          <w:spacing w:val="4"/>
          <w:sz w:val="20"/>
          <w:szCs w:val="18"/>
        </w:rPr>
        <w:t xml:space="preserve"> </w:t>
      </w:r>
      <w:r>
        <w:rPr>
          <w:rFonts w:hint="eastAsia" w:ascii="宋体" w:hAnsi="宋体" w:cs="宋体"/>
          <w:szCs w:val="21"/>
        </w:rPr>
        <w:t>矿山法施工的隧道结构防水措施，通常采用复合衬砌全包防水构造。复合式衬砌除采用防水混凝土外，还需做夹层柔性防水层。</w:t>
      </w:r>
    </w:p>
    <w:p w14:paraId="253002A9">
      <w:pPr>
        <w:spacing w:line="240" w:lineRule="auto"/>
        <w:ind w:firstLine="420"/>
        <w:rPr>
          <w:rFonts w:ascii="宋体" w:hAnsi="宋体" w:cs="宋体"/>
          <w:szCs w:val="21"/>
        </w:rPr>
      </w:pPr>
      <w:r>
        <w:rPr>
          <w:rFonts w:hint="eastAsia" w:ascii="宋体" w:hAnsi="宋体" w:cs="宋体"/>
          <w:szCs w:val="21"/>
        </w:rPr>
        <w:t>目前矿山法隧道柔性防水材料通常采用塑料类，如乙烯－醋酸乙烯共聚物（EVA）、乙烯－醋酸乙烯共聚物沥青（ECB）、聚氯乙烯（PVC）等。工程实践证明，在铺设塑料防水板、绑扎钢筋和浇筑振捣混凝土时，容易出现破损。而塑料防水板与二衬混凝土之间通常不密贴，地下水从防水层破损部位进入防水层与结构迎水面之间，并到处流动，导致“窜水”现象，这就给后期堵漏维修带来困难。而设置注浆系统是解决塑料防水板窜水问题的关键。</w:t>
      </w:r>
    </w:p>
    <w:p w14:paraId="3DE2D45A">
      <w:pPr>
        <w:spacing w:line="240" w:lineRule="auto"/>
        <w:ind w:firstLine="420"/>
        <w:rPr>
          <w:rFonts w:ascii="宋体" w:hAnsi="宋体" w:cs="宋体"/>
          <w:szCs w:val="21"/>
        </w:rPr>
      </w:pPr>
      <w:r>
        <w:rPr>
          <w:rFonts w:hint="eastAsia" w:ascii="宋体" w:hAnsi="宋体" w:cs="宋体"/>
          <w:szCs w:val="21"/>
        </w:rPr>
        <w:t>注浆系统包括焊接在防水板表面的注浆底座和穿过二衬的注浆导管组成，注浆底座是为了确保浇筑二衬混凝土时水泥等细颗粒不会进入注浆底座并流出。注浆导管与底座相连，主要起到成孔并引导浆液进入的作用。二衬结构施工完毕后，利用注浆导管进行回填注浆处理，注浆材料一般采用1∶0.8～1的水泥浆液，并添加8%～10%的膨胀剂或其他添加剂。注浆的目的是为了使浆液凝固后填充防水板与二衬迎水面之间的窜水通道，同时也利用浆液将结构迎水面的裂缝、孔洞封堵严密，达到提高结构自防水能力的作用。</w:t>
      </w:r>
    </w:p>
    <w:p w14:paraId="41F95B0F">
      <w:pPr>
        <w:spacing w:line="240" w:lineRule="auto"/>
        <w:ind w:firstLine="420"/>
        <w:rPr>
          <w:rFonts w:ascii="宋体" w:hAnsi="宋体" w:cs="宋体"/>
          <w:szCs w:val="21"/>
        </w:rPr>
      </w:pPr>
      <w:r>
        <w:rPr>
          <w:rFonts w:hint="eastAsia" w:ascii="宋体" w:hAnsi="宋体" w:cs="宋体"/>
          <w:szCs w:val="21"/>
        </w:rPr>
        <w:t>分区系统主要包括与防水板同材质的外贴式止水带，将外贴式止水带用专用焊接设备焊接在防水板表面，止水带的凸起齿条与二衬混凝土密实咬合，人为将隧道划分成各自独立的防水区域。但从工程实践证明，隧道顶板（顶拱）部位的混凝土浇筑不易密实，同时阴阳角部位止水带齿条容易倒伏，止水带接头部位不易焊接严密等，导致分区效果不好。因此提出宜在变形缝部位进行分区，不提出分区面积的具体要求。</w:t>
      </w:r>
    </w:p>
    <w:p w14:paraId="16272A8A">
      <w:pPr>
        <w:spacing w:line="240" w:lineRule="auto"/>
        <w:rPr>
          <w:rFonts w:ascii="宋体" w:hAnsi="宋体" w:cs="宋体"/>
          <w:szCs w:val="21"/>
        </w:rPr>
      </w:pPr>
      <w:r>
        <w:rPr>
          <w:rFonts w:eastAsia="黑体" w:cs="方正黑体_GBK"/>
          <w:b/>
          <w:bCs/>
          <w:szCs w:val="21"/>
        </w:rPr>
        <w:t xml:space="preserve">13.6.6 </w:t>
      </w:r>
      <w:r>
        <w:rPr>
          <w:rFonts w:hint="eastAsia" w:ascii="宋体" w:hAnsi="宋体" w:cs="宋体"/>
          <w:szCs w:val="21"/>
        </w:rPr>
        <w:t>根据《建筑与市政工程防水通用规范》矿山法工程的外包防水层可以选用预铺防水卷材，因此增加了相关设计规定。</w:t>
      </w:r>
      <w:r>
        <w:rPr>
          <w:rFonts w:ascii="宋体" w:hAnsi="宋体" w:cs="宋体"/>
          <w:szCs w:val="21"/>
        </w:rPr>
        <w:t>预铺</w:t>
      </w:r>
      <w:r>
        <w:rPr>
          <w:rFonts w:hint="eastAsia" w:ascii="宋体" w:hAnsi="宋体" w:cs="宋体"/>
          <w:szCs w:val="21"/>
        </w:rPr>
        <w:t>防水卷材的胶黏层可以与后浇混凝土粘结达到不“窜水”的目的。因此采用预铺防水卷材时可以不用设置注浆系统。根据《建筑与市政工程防水通用规范》预铺卷材的厚度不应小于1.5mm。卷材接缝张开是造成地下工程渗漏水的重要原因之一，卷材接缝焊接施工可以有效的避免接缝张开，因此推荐采用焊接施工工艺。</w:t>
      </w:r>
    </w:p>
    <w:p w14:paraId="7797ACAC">
      <w:pPr>
        <w:spacing w:line="240" w:lineRule="auto"/>
        <w:rPr>
          <w:rFonts w:ascii="宋体" w:hAnsi="宋体" w:cs="宋体"/>
          <w:sz w:val="20"/>
        </w:rPr>
      </w:pPr>
      <w:r>
        <w:rPr>
          <w:rFonts w:eastAsia="黑体" w:cs="方正黑体_GBK"/>
          <w:b/>
          <w:bCs/>
          <w:szCs w:val="21"/>
        </w:rPr>
        <w:t xml:space="preserve">13.6.7 </w:t>
      </w:r>
      <w:r>
        <w:rPr>
          <w:rFonts w:hint="eastAsia" w:ascii="宋体" w:hAnsi="宋体" w:cs="宋体"/>
          <w:szCs w:val="21"/>
        </w:rPr>
        <w:t>根据《建筑与市政工程防水通用规范》矿山法工程的外包防水层可以选用喷涂防水涂料，因此增加了相关设计规定。需要注意的是选择的喷涂型防水涂料应能提供与后浇混凝土的剥离强度指标。采用与后浇混凝土的剥离强度指标达标的防水涂料时可以不用设置注浆系统。</w:t>
      </w:r>
    </w:p>
    <w:p w14:paraId="10C839B3">
      <w:pPr>
        <w:pStyle w:val="4"/>
        <w:numPr>
          <w:ilvl w:val="0"/>
          <w:numId w:val="0"/>
        </w:numPr>
      </w:pPr>
      <w:bookmarkStart w:id="2615" w:name="_Toc183888359"/>
      <w:bookmarkStart w:id="2616" w:name="_Toc183882669"/>
      <w:bookmarkStart w:id="2617" w:name="_Toc183882307"/>
      <w:bookmarkStart w:id="2618" w:name="_Toc183765316"/>
      <w:bookmarkStart w:id="2619" w:name="_Toc183790746"/>
      <w:bookmarkStart w:id="2620" w:name="_Toc183888721"/>
      <w:bookmarkStart w:id="2621" w:name="_Toc183738138"/>
      <w:r>
        <w:rPr>
          <w:rFonts w:hint="eastAsia"/>
          <w:b/>
        </w:rPr>
        <w:t xml:space="preserve">13.7 </w:t>
      </w:r>
      <w:r>
        <w:rPr>
          <w:rFonts w:hint="eastAsia"/>
        </w:rPr>
        <w:t xml:space="preserve"> 盾构法结构防水</w:t>
      </w:r>
      <w:bookmarkEnd w:id="2615"/>
      <w:bookmarkEnd w:id="2616"/>
      <w:bookmarkEnd w:id="2617"/>
      <w:bookmarkEnd w:id="2618"/>
      <w:bookmarkEnd w:id="2619"/>
      <w:bookmarkEnd w:id="2620"/>
      <w:bookmarkEnd w:id="2621"/>
    </w:p>
    <w:p w14:paraId="6C5A3B33">
      <w:pPr>
        <w:spacing w:line="240" w:lineRule="auto"/>
        <w:rPr>
          <w:rFonts w:ascii="宋体" w:hAnsi="宋体" w:cs="宋体"/>
          <w:szCs w:val="21"/>
        </w:rPr>
      </w:pPr>
      <w:r>
        <w:rPr>
          <w:rFonts w:eastAsia="黑体" w:cs="方正黑体_GBK"/>
          <w:b/>
          <w:bCs/>
          <w:szCs w:val="21"/>
        </w:rPr>
        <w:t>13.7.1</w:t>
      </w:r>
      <w:r>
        <w:rPr>
          <w:rFonts w:hint="eastAsia" w:ascii="宋体" w:hAnsi="宋体" w:cs="宋体"/>
          <w:sz w:val="20"/>
        </w:rPr>
        <w:t xml:space="preserve"> </w:t>
      </w:r>
      <w:r>
        <w:rPr>
          <w:rFonts w:hint="eastAsia" w:ascii="宋体" w:hAnsi="宋体" w:cs="宋体"/>
          <w:szCs w:val="21"/>
        </w:rPr>
        <w:t>工程实践中，一般采用外加电场加速离子迁移的标准试验方法（DRCM）测试混凝土的氯离子扩散系数，参考现行《混凝土结构耐久性设计规范》GB/T50467的相关条款，规定为不宜低于</w:t>
      </w:r>
    </w:p>
    <w:p w14:paraId="5C9E160D">
      <w:pPr>
        <w:spacing w:line="240" w:lineRule="auto"/>
        <w:rPr>
          <w:rFonts w:ascii="宋体" w:hAnsi="宋体" w:cs="宋体"/>
          <w:szCs w:val="21"/>
        </w:rPr>
      </w:pPr>
      <w:r>
        <w:rPr>
          <w:rFonts w:hint="eastAsia" w:ascii="宋体" w:hAnsi="宋体" w:cs="宋体"/>
          <w:szCs w:val="21"/>
        </w:rPr>
        <w:t>3×10</w:t>
      </w:r>
      <w:r>
        <w:rPr>
          <w:rFonts w:hint="eastAsia" w:ascii="宋体" w:hAnsi="宋体" w:cs="宋体"/>
          <w:szCs w:val="21"/>
          <w:vertAlign w:val="superscript"/>
        </w:rPr>
        <w:t>－12</w:t>
      </w:r>
      <w:r>
        <w:rPr>
          <w:rFonts w:hint="eastAsia" w:ascii="宋体" w:hAnsi="宋体" w:cs="宋体"/>
          <w:szCs w:val="21"/>
        </w:rPr>
        <w:t>m</w:t>
      </w:r>
      <w:r>
        <w:rPr>
          <w:rFonts w:hint="eastAsia" w:ascii="宋体" w:hAnsi="宋体" w:cs="宋体"/>
          <w:szCs w:val="21"/>
          <w:vertAlign w:val="superscript"/>
        </w:rPr>
        <w:t>2</w:t>
      </w:r>
      <w:r>
        <w:rPr>
          <w:rFonts w:hint="eastAsia" w:ascii="宋体" w:hAnsi="宋体" w:cs="宋体"/>
          <w:szCs w:val="21"/>
        </w:rPr>
        <w:t>/S，当隧道处于侵蚀性介质中时，可在管片迎水面涂刷水泥基渗透结晶型防水材料、高渗透改性环氧、环氧聚氨酯等防水防腐涂层。</w:t>
      </w:r>
    </w:p>
    <w:p w14:paraId="37C0DABF">
      <w:pPr>
        <w:spacing w:line="240" w:lineRule="auto"/>
        <w:rPr>
          <w:rFonts w:ascii="宋体" w:hAnsi="宋体" w:cs="宋体"/>
          <w:szCs w:val="21"/>
        </w:rPr>
      </w:pPr>
      <w:r>
        <w:rPr>
          <w:rFonts w:eastAsia="黑体" w:cs="方正黑体_GBK"/>
          <w:b/>
          <w:bCs/>
          <w:szCs w:val="21"/>
        </w:rPr>
        <w:t>13.7.2</w:t>
      </w:r>
      <w:r>
        <w:rPr>
          <w:rFonts w:hint="eastAsia" w:ascii="宋体" w:hAnsi="宋体" w:cs="宋体"/>
          <w:sz w:val="20"/>
        </w:rPr>
        <w:t xml:space="preserve"> </w:t>
      </w:r>
      <w:r>
        <w:rPr>
          <w:rFonts w:hint="eastAsia" w:ascii="宋体" w:hAnsi="宋体" w:cs="宋体"/>
          <w:szCs w:val="21"/>
        </w:rPr>
        <w:t>本次修订主要是对管片嵌缝部位相关规定做了调整，尤其是拱顶嵌缝不再作为“应”选项。主要考虑：拱顶部位嵌缝尤其是刚性嵌缝，在列车运营期间出现脱落，影响了正常运营；接触网专业已对拱顶部位可能出现的渗漏水滴落有了配套防患措施。但嵌缝脱落也有施工不当的因素，因此，将嵌缝作为“局部可选”方案。</w:t>
      </w:r>
    </w:p>
    <w:p w14:paraId="7C94AC0C">
      <w:pPr>
        <w:spacing w:line="240" w:lineRule="auto"/>
        <w:rPr>
          <w:rFonts w:ascii="宋体" w:hAnsi="宋体" w:cs="宋体"/>
          <w:szCs w:val="21"/>
        </w:rPr>
      </w:pPr>
      <w:r>
        <w:rPr>
          <w:rFonts w:hint="eastAsia" w:ascii="宋体" w:hAnsi="宋体" w:cs="宋体"/>
          <w:szCs w:val="21"/>
        </w:rPr>
        <w:t xml:space="preserve">    管片内嵌缝是在采用接触网授流制时，为防止拱顶滴水影响供电而设置的，可起到辅助的止水导水作用。为防止振动脱落，管片模板接缝处不应为直企口和喇叭口形式，同时嵌缝密封膏与混凝土基面应有良好的粘结强度和持粘性。</w:t>
      </w:r>
    </w:p>
    <w:p w14:paraId="6E994051">
      <w:pPr>
        <w:spacing w:line="240" w:lineRule="auto"/>
        <w:rPr>
          <w:rFonts w:ascii="宋体" w:hAnsi="宋体" w:cs="宋体"/>
          <w:szCs w:val="21"/>
        </w:rPr>
      </w:pPr>
      <w:r>
        <w:rPr>
          <w:rFonts w:eastAsia="黑体" w:cs="方正黑体_GBK"/>
          <w:b/>
          <w:bCs/>
          <w:szCs w:val="21"/>
        </w:rPr>
        <w:t>13.7.5</w:t>
      </w:r>
      <w:r>
        <w:rPr>
          <w:rFonts w:hint="eastAsia" w:ascii="宋体" w:hAnsi="宋体" w:cs="宋体"/>
          <w:sz w:val="20"/>
        </w:rPr>
        <w:t xml:space="preserve"> </w:t>
      </w:r>
      <w:r>
        <w:rPr>
          <w:rFonts w:hint="eastAsia" w:ascii="宋体" w:hAnsi="宋体" w:cs="宋体"/>
          <w:szCs w:val="21"/>
        </w:rPr>
        <w:t>管片密封垫沟槽与密封垫截面积的比值要求应视为管片周圈的有效断面均应满足，其中包括管片转角部位。避免出现实心转角因应力过度集中导致管片角部破损和开裂。</w:t>
      </w:r>
    </w:p>
    <w:p w14:paraId="08455C4A">
      <w:pPr>
        <w:spacing w:line="240" w:lineRule="auto"/>
        <w:rPr>
          <w:rFonts w:ascii="宋体" w:hAnsi="宋体" w:cs="宋体"/>
          <w:sz w:val="20"/>
        </w:rPr>
      </w:pPr>
      <w:r>
        <w:rPr>
          <w:rFonts w:eastAsia="黑体" w:cs="方正黑体_GBK"/>
          <w:b/>
          <w:bCs/>
          <w:szCs w:val="21"/>
        </w:rPr>
        <w:t>13.7.12</w:t>
      </w:r>
      <w:r>
        <w:rPr>
          <w:rFonts w:hint="eastAsia" w:ascii="宋体" w:hAnsi="宋体" w:cs="宋体"/>
          <w:sz w:val="20"/>
        </w:rPr>
        <w:t xml:space="preserve"> </w:t>
      </w:r>
      <w:r>
        <w:rPr>
          <w:rFonts w:hint="eastAsia" w:ascii="宋体" w:hAnsi="宋体" w:cs="宋体"/>
          <w:szCs w:val="21"/>
        </w:rPr>
        <w:t>北京地区目前有不少出入口采用顶管法施工，故增加顶管法结构防水设计的相关要求。</w:t>
      </w:r>
    </w:p>
    <w:p w14:paraId="67F235E8">
      <w:pPr>
        <w:pStyle w:val="4"/>
        <w:numPr>
          <w:ilvl w:val="0"/>
          <w:numId w:val="0"/>
        </w:numPr>
      </w:pPr>
      <w:bookmarkStart w:id="2622" w:name="_Toc183738139"/>
      <w:bookmarkStart w:id="2623" w:name="_Toc357929555"/>
      <w:bookmarkStart w:id="2624" w:name="_Toc183882308"/>
      <w:bookmarkStart w:id="2625" w:name="_Toc183765317"/>
      <w:bookmarkStart w:id="2626" w:name="_Toc183790747"/>
      <w:bookmarkStart w:id="2627" w:name="_Toc183882670"/>
      <w:bookmarkStart w:id="2628" w:name="_Toc183888360"/>
      <w:bookmarkStart w:id="2629" w:name="_Toc183888722"/>
      <w:r>
        <w:rPr>
          <w:rFonts w:hint="eastAsia"/>
          <w:b/>
        </w:rPr>
        <w:t xml:space="preserve">13.8  </w:t>
      </w:r>
      <w:r>
        <w:rPr>
          <w:rFonts w:hint="eastAsia"/>
        </w:rPr>
        <w:t>细部构造防水</w:t>
      </w:r>
      <w:bookmarkEnd w:id="2622"/>
      <w:bookmarkEnd w:id="2623"/>
      <w:bookmarkEnd w:id="2624"/>
      <w:bookmarkEnd w:id="2625"/>
      <w:bookmarkEnd w:id="2626"/>
      <w:bookmarkEnd w:id="2627"/>
      <w:bookmarkEnd w:id="2628"/>
      <w:bookmarkEnd w:id="2629"/>
    </w:p>
    <w:p w14:paraId="520AF9DE">
      <w:pPr>
        <w:spacing w:line="240" w:lineRule="auto"/>
        <w:rPr>
          <w:rFonts w:ascii="宋体" w:hAnsi="宋体" w:cs="宋体"/>
          <w:szCs w:val="21"/>
        </w:rPr>
      </w:pPr>
      <w:r>
        <w:rPr>
          <w:rFonts w:hint="eastAsia" w:eastAsia="黑体" w:cs="方正黑体_GBK"/>
          <w:b/>
          <w:bCs/>
          <w:szCs w:val="21"/>
        </w:rPr>
        <w:t xml:space="preserve">13.8.1  </w:t>
      </w:r>
      <w:r>
        <w:rPr>
          <w:rFonts w:hint="eastAsia" w:ascii="宋体" w:hAnsi="宋体" w:cs="宋体"/>
          <w:szCs w:val="21"/>
        </w:rPr>
        <w:t>第4款：据统计，目前地下结构渗漏水有接近一半是由于施工缝防水没做好引起的，所谓“十缝九漏”。但是由于现浇钢筋混凝土结构必须分段浇筑，两段浇筑之间施工缝必然存在，因此做好施工缝防水是地下工程防水的重中重。</w:t>
      </w:r>
    </w:p>
    <w:p w14:paraId="0A20ABC5">
      <w:pPr>
        <w:spacing w:line="240" w:lineRule="auto"/>
        <w:ind w:firstLine="420"/>
        <w:rPr>
          <w:rFonts w:ascii="宋体" w:hAnsi="宋体" w:cs="宋体"/>
          <w:szCs w:val="21"/>
        </w:rPr>
      </w:pPr>
      <w:r>
        <w:rPr>
          <w:rFonts w:hint="eastAsia" w:ascii="宋体" w:hAnsi="宋体" w:cs="宋体"/>
          <w:szCs w:val="21"/>
        </w:rPr>
        <w:t>施工缝中埋式止水带的主要工作原理是通过延长渗水路径来实现止水。如下图13.8.1-1所示，渗水通道上，止水带与混凝土粘接的部分是防水的关键，当止水带与混凝土的粘接力能够抵抗水压，施工缝止水带才有防水效果。因此规定施工缝防水选用的中埋式止水构件应与混凝土具有较强的粘结性能。施工的便利性不但影响工期，重要的是影响施工缝的防水质量，因此应选择施工工艺便利的中埋式止水带。</w:t>
      </w:r>
    </w:p>
    <w:p w14:paraId="226A4A2F">
      <w:pPr>
        <w:spacing w:line="240" w:lineRule="auto"/>
        <w:ind w:firstLine="420"/>
        <w:rPr>
          <w:rFonts w:ascii="宋体" w:hAnsi="宋体" w:cs="宋体"/>
          <w:szCs w:val="21"/>
        </w:rPr>
      </w:pPr>
      <w:r>
        <w:rPr>
          <w:rFonts w:hint="eastAsia" w:ascii="宋体" w:hAnsi="宋体" w:cs="宋体"/>
          <w:szCs w:val="21"/>
        </w:rPr>
        <w:t>钢边橡胶止水带与混凝土的粘接能力在国标《高分子防水材料 止水带》（GB18173.2－2014）中并没有相应的要求，根据相关实验检测（如下图13.8.1-2所示），与后浇砂浆的正拉粘结强度平均约为0.27 MPa；镀锌钢板止水带，与后浇砂浆的正拉粘结强度约为0.02 MPa；自粘丁基橡胶钢板止水带该规范团标（T∕CECS 10015-2019 ）中要求为“与后浇砂浆正拉粘结强度≥0.20MPa”；高分子涂层止水带与后浇砂浆正拉粘结强度＞0.50MPa。</w:t>
      </w:r>
    </w:p>
    <w:p w14:paraId="62ACA797">
      <w:pPr>
        <w:spacing w:line="240" w:lineRule="auto"/>
        <w:rPr>
          <w:rFonts w:ascii="宋体" w:hAnsi="宋体" w:cs="宋体"/>
          <w:szCs w:val="21"/>
        </w:rPr>
      </w:pPr>
      <w:r>
        <w:rPr>
          <w:rFonts w:hint="eastAsia"/>
          <w:spacing w:val="4"/>
          <w:sz w:val="20"/>
          <w:szCs w:val="18"/>
        </w:rPr>
        <w:t xml:space="preserve">    </w:t>
      </w:r>
      <w:r>
        <w:rPr>
          <w:rFonts w:hint="eastAsia" w:ascii="宋体" w:hAnsi="宋体" w:cs="宋体"/>
          <w:szCs w:val="21"/>
        </w:rPr>
        <w:t>各止水带主要施工工艺要求如下：</w:t>
      </w:r>
    </w:p>
    <w:p w14:paraId="14A646BE">
      <w:pPr>
        <w:spacing w:line="240" w:lineRule="auto"/>
        <w:rPr>
          <w:rFonts w:ascii="宋体" w:hAnsi="宋体" w:cs="宋体"/>
          <w:szCs w:val="21"/>
        </w:rPr>
      </w:pPr>
      <w:r>
        <w:rPr>
          <w:rFonts w:hint="eastAsia" w:ascii="宋体" w:hAnsi="宋体" w:cs="宋体"/>
          <w:szCs w:val="21"/>
        </w:rPr>
        <w:t>（1）钢边橡胶止水带</w:t>
      </w:r>
    </w:p>
    <w:p w14:paraId="49F4964E">
      <w:pPr>
        <w:spacing w:line="240" w:lineRule="auto"/>
        <w:ind w:firstLine="420"/>
        <w:rPr>
          <w:rFonts w:ascii="宋体" w:hAnsi="宋体" w:cs="宋体"/>
          <w:szCs w:val="21"/>
        </w:rPr>
      </w:pPr>
      <w:r>
        <w:rPr>
          <w:rFonts w:hint="eastAsia" w:ascii="宋体" w:hAnsi="宋体" w:cs="宋体"/>
          <w:szCs w:val="21"/>
        </w:rPr>
        <w:t>纵向连接橡胶部分采用热硫化接头，钢板部分采用铆接，铆接部分应采用密封胶带密封。纵向止水带与环向止水带之间的连接应采用工厂定制的“十字”接头。现场施工时容易倒伏、弯曲，应采取可靠的固定措施。</w:t>
      </w:r>
    </w:p>
    <w:p w14:paraId="4736F96A">
      <w:pPr>
        <w:spacing w:line="240" w:lineRule="auto"/>
        <w:rPr>
          <w:rFonts w:ascii="宋体" w:hAnsi="宋体" w:cs="宋体"/>
          <w:szCs w:val="21"/>
        </w:rPr>
      </w:pPr>
      <w:r>
        <w:rPr>
          <w:rFonts w:hint="eastAsia" w:ascii="宋体" w:hAnsi="宋体" w:cs="宋体"/>
          <w:szCs w:val="21"/>
        </w:rPr>
        <w:t>（2）镀锌钢板止水带</w:t>
      </w:r>
    </w:p>
    <w:p w14:paraId="230B3180">
      <w:pPr>
        <w:spacing w:line="240" w:lineRule="auto"/>
        <w:ind w:firstLine="420"/>
        <w:rPr>
          <w:rFonts w:ascii="宋体" w:hAnsi="宋体" w:cs="宋体"/>
          <w:szCs w:val="21"/>
        </w:rPr>
      </w:pPr>
      <w:r>
        <w:rPr>
          <w:rFonts w:hint="eastAsia" w:ascii="宋体" w:hAnsi="宋体" w:cs="宋体"/>
          <w:szCs w:val="21"/>
        </w:rPr>
        <w:t>纵向连接采用现场焊接，纵向钢板止水带与环向钢板止水带的连接应“四面围焊”，止水带的转弯处宜采用定制转弯接头。该止水使用时应特别注意保证镀锌层厚度，一般要求镀锌层厚度不低于</w:t>
      </w:r>
    </w:p>
    <w:p w14:paraId="7F76B4BE">
      <w:pPr>
        <w:spacing w:line="240" w:lineRule="auto"/>
        <w:rPr>
          <w:rFonts w:ascii="宋体" w:hAnsi="宋体" w:cs="宋体"/>
          <w:szCs w:val="21"/>
        </w:rPr>
      </w:pPr>
      <w:r>
        <w:rPr>
          <w:rFonts w:hint="eastAsia" w:ascii="宋体" w:hAnsi="宋体" w:cs="宋体"/>
          <w:szCs w:val="21"/>
        </w:rPr>
        <w:t>70μm才能达到耐久性要求。同时，焊接时很容易破坏镀锌层，施工时应特别注意。</w:t>
      </w:r>
    </w:p>
    <w:p w14:paraId="0800D48A">
      <w:pPr>
        <w:spacing w:line="240" w:lineRule="auto"/>
        <w:rPr>
          <w:rFonts w:ascii="宋体" w:hAnsi="宋体" w:cs="宋体"/>
          <w:szCs w:val="21"/>
        </w:rPr>
      </w:pPr>
      <w:r>
        <w:rPr>
          <w:rFonts w:hint="eastAsia" w:ascii="宋体" w:hAnsi="宋体" w:cs="宋体"/>
          <w:szCs w:val="21"/>
        </w:rPr>
        <w:t>（3）自粘丁基橡胶钢板止水带</w:t>
      </w:r>
    </w:p>
    <w:p w14:paraId="22E65AD2">
      <w:pPr>
        <w:spacing w:line="240" w:lineRule="auto"/>
        <w:ind w:firstLine="420"/>
        <w:rPr>
          <w:rFonts w:ascii="宋体" w:hAnsi="宋体" w:cs="宋体"/>
          <w:szCs w:val="21"/>
        </w:rPr>
      </w:pPr>
      <w:r>
        <w:rPr>
          <w:rFonts w:hint="eastAsia" w:ascii="宋体" w:hAnsi="宋体" w:cs="宋体"/>
          <w:szCs w:val="21"/>
        </w:rPr>
        <w:t>纵向连接采用现场焊接，或铆钉连接，然后再缠绕丁基胶带。止水带外面缠绕的隔离膜应在浇筑混凝土之前撕除干净。</w:t>
      </w:r>
    </w:p>
    <w:p w14:paraId="7A36F5F7">
      <w:pPr>
        <w:spacing w:line="240" w:lineRule="auto"/>
        <w:rPr>
          <w:rFonts w:ascii="宋体" w:hAnsi="宋体" w:cs="宋体"/>
          <w:szCs w:val="21"/>
        </w:rPr>
      </w:pPr>
      <w:r>
        <w:rPr>
          <w:rFonts w:hint="eastAsia" w:ascii="宋体" w:hAnsi="宋体" w:cs="宋体"/>
          <w:szCs w:val="21"/>
        </w:rPr>
        <w:t>（4）高分子涂层止水带</w:t>
      </w:r>
    </w:p>
    <w:p w14:paraId="2986F01B">
      <w:pPr>
        <w:spacing w:line="240" w:lineRule="auto"/>
        <w:ind w:firstLine="420"/>
        <w:rPr>
          <w:rFonts w:ascii="宋体" w:hAnsi="宋体" w:cs="宋体"/>
          <w:szCs w:val="21"/>
        </w:rPr>
      </w:pPr>
      <w:r>
        <w:rPr>
          <w:rFonts w:hint="eastAsia" w:ascii="宋体" w:hAnsi="宋体" w:cs="宋体"/>
          <w:szCs w:val="21"/>
        </w:rPr>
        <w:t xml:space="preserve">止水带纵向连接、纵向与环向连接均采用配套胶连接。 </w:t>
      </w:r>
    </w:p>
    <w:p w14:paraId="38B5FA86">
      <w:pPr>
        <w:spacing w:line="240" w:lineRule="auto"/>
        <w:ind w:firstLine="420"/>
        <w:rPr>
          <w:rFonts w:ascii="宋体" w:hAnsi="宋体" w:cs="宋体"/>
          <w:szCs w:val="21"/>
        </w:rPr>
      </w:pPr>
      <w:r>
        <w:rPr>
          <w:rFonts w:hint="eastAsia" w:ascii="宋体" w:hAnsi="宋体" w:cs="宋体"/>
          <w:szCs w:val="21"/>
        </w:rPr>
        <w:t>各止水带性能指标要求及详细设计图可按照国标图集《地铁工程防水构造—明挖地铁车站及区间（二）》或相关材料、工程应用规范执行。</w:t>
      </w:r>
    </w:p>
    <w:p w14:paraId="3858C1CB">
      <w:pPr>
        <w:spacing w:line="240" w:lineRule="auto"/>
        <w:jc w:val="center"/>
        <w:rPr>
          <w:spacing w:val="4"/>
          <w:sz w:val="20"/>
          <w:szCs w:val="18"/>
        </w:rPr>
      </w:pPr>
      <w:r>
        <w:rPr>
          <w:rFonts w:ascii="方正书宋_GBK" w:hAnsi="方正书宋_GBK" w:eastAsia="方正书宋_GBK"/>
          <w:sz w:val="20"/>
        </w:rPr>
        <w:drawing>
          <wp:inline distT="0" distB="0" distL="0" distR="0">
            <wp:extent cx="1230630" cy="1631950"/>
            <wp:effectExtent l="0" t="0" r="7620" b="6350"/>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230630" cy="1631950"/>
                    </a:xfrm>
                    <a:prstGeom prst="rect">
                      <a:avLst/>
                    </a:prstGeom>
                    <a:noFill/>
                    <a:ln>
                      <a:noFill/>
                    </a:ln>
                  </pic:spPr>
                </pic:pic>
              </a:graphicData>
            </a:graphic>
          </wp:inline>
        </w:drawing>
      </w:r>
    </w:p>
    <w:p w14:paraId="400F5DCA">
      <w:pPr>
        <w:pStyle w:val="198"/>
      </w:pPr>
      <w:r>
        <w:rPr>
          <w:rFonts w:hint="eastAsia"/>
        </w:rPr>
        <w:t>图13.8.1-1 中埋式止水带防水原理图</w:t>
      </w:r>
    </w:p>
    <w:p w14:paraId="288DEE71">
      <w:pPr>
        <w:spacing w:line="240" w:lineRule="auto"/>
        <w:jc w:val="center"/>
        <w:rPr>
          <w:spacing w:val="4"/>
          <w:sz w:val="20"/>
          <w:szCs w:val="18"/>
        </w:rPr>
      </w:pPr>
      <w:r>
        <w:rPr>
          <w:rFonts w:ascii="方正书宋_GBK" w:hAnsi="方正书宋_GBK" w:eastAsia="方正书宋_GBK"/>
          <w:sz w:val="20"/>
        </w:rPr>
        <w:drawing>
          <wp:inline distT="0" distB="0" distL="0" distR="0">
            <wp:extent cx="2299970" cy="1399540"/>
            <wp:effectExtent l="0" t="0" r="5080" b="0"/>
            <wp:docPr id="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299970" cy="1399540"/>
                    </a:xfrm>
                    <a:prstGeom prst="rect">
                      <a:avLst/>
                    </a:prstGeom>
                    <a:noFill/>
                    <a:ln>
                      <a:noFill/>
                    </a:ln>
                  </pic:spPr>
                </pic:pic>
              </a:graphicData>
            </a:graphic>
          </wp:inline>
        </w:drawing>
      </w:r>
    </w:p>
    <w:p w14:paraId="680139A5">
      <w:pPr>
        <w:pStyle w:val="198"/>
      </w:pPr>
      <w:r>
        <w:rPr>
          <w:rFonts w:hint="eastAsia"/>
        </w:rPr>
        <w:t>图13.8.1-2  各中埋式止水带与后浇砂浆正粘结强度</w:t>
      </w:r>
    </w:p>
    <w:p w14:paraId="120D4B8E">
      <w:pPr>
        <w:spacing w:line="240" w:lineRule="auto"/>
        <w:rPr>
          <w:rFonts w:ascii="宋体" w:hAnsi="宋体" w:cs="宋体"/>
          <w:szCs w:val="21"/>
        </w:rPr>
      </w:pPr>
      <w:r>
        <w:rPr>
          <w:rFonts w:hint="eastAsia" w:ascii="宋体" w:hAnsi="宋体" w:cs="宋体"/>
          <w:szCs w:val="21"/>
        </w:rPr>
        <w:t>第5款：逆作法结构包括盖挖逆作法、洞桩（柱）逆作法及一次扣拱暗挖法，其逆作的墙体施工缝、新旧结构接头部位的环向施工缝、车站主体结构与附属结构、车站主体结构与区间隧道结构、盾构隧道后浇环梁两侧的环向施工缝等极易出现渗漏水，主要是因为该部位两侧混凝土浇筑的时间间隔较长，后浇筑的混凝土收缩导致该部位环向施工缝张开量较大；该部位的柔性防水层甩槎保护困难、接槎施工难度大，防水层难以完全封闭；现浇混凝土浇捣质量不易保证。该部位的环向施工缝难以设置传统的中埋式止水带，而随着技术的发展，现在有一种“卡槽型高分子涂层止水带”可以用于此处实现中埋式止水带的功能，给设计方案多提供了一种选择，因此本次修编增加了中埋式止水带的选项。</w:t>
      </w:r>
    </w:p>
    <w:p w14:paraId="23184D8C">
      <w:r>
        <w:br w:type="page"/>
      </w:r>
    </w:p>
    <w:p w14:paraId="7663A7DB">
      <w:pPr>
        <w:spacing w:line="240" w:lineRule="auto"/>
        <w:jc w:val="center"/>
        <w:rPr>
          <w:spacing w:val="4"/>
          <w:sz w:val="20"/>
        </w:rPr>
      </w:pPr>
      <w:r>
        <w:rPr>
          <w:rFonts w:ascii="方正书宋_GBK" w:hAnsi="方正书宋_GBK" w:eastAsia="方正书宋_GBK"/>
          <w:sz w:val="20"/>
        </w:rPr>
        <w:drawing>
          <wp:inline distT="0" distB="0" distL="0" distR="0">
            <wp:extent cx="1856740" cy="1610995"/>
            <wp:effectExtent l="0" t="0" r="0" b="8255"/>
            <wp:docPr id="135" name="图片 6" descr="说明: C:\Users\lenovo\Documents\WeChat Files\wxid_rntlr4jb989x21\FileStorage\Temp\1717072078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 descr="说明: C:\Users\lenovo\Documents\WeChat Files\wxid_rntlr4jb989x21\FileStorage\Temp\1717072078755.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1856740" cy="1610995"/>
                    </a:xfrm>
                    <a:prstGeom prst="rect">
                      <a:avLst/>
                    </a:prstGeom>
                    <a:noFill/>
                    <a:ln>
                      <a:noFill/>
                    </a:ln>
                  </pic:spPr>
                </pic:pic>
              </a:graphicData>
            </a:graphic>
          </wp:inline>
        </w:drawing>
      </w:r>
    </w:p>
    <w:p w14:paraId="682B7F02">
      <w:pPr>
        <w:spacing w:line="240" w:lineRule="auto"/>
        <w:jc w:val="center"/>
        <w:rPr>
          <w:spacing w:val="4"/>
          <w:sz w:val="15"/>
          <w:szCs w:val="15"/>
        </w:rPr>
      </w:pPr>
      <w:r>
        <w:rPr>
          <w:rFonts w:hint="eastAsia"/>
          <w:spacing w:val="4"/>
          <w:sz w:val="15"/>
          <w:szCs w:val="15"/>
        </w:rPr>
        <w:t>1—主体结构暗梁；2—附属（区间）结构；3—卡槽型高分子涂层止水带；</w:t>
      </w:r>
    </w:p>
    <w:p w14:paraId="67B452B4">
      <w:pPr>
        <w:spacing w:line="240" w:lineRule="auto"/>
        <w:jc w:val="center"/>
        <w:rPr>
          <w:spacing w:val="4"/>
          <w:sz w:val="15"/>
          <w:szCs w:val="15"/>
        </w:rPr>
      </w:pPr>
      <w:r>
        <w:rPr>
          <w:rFonts w:hint="eastAsia"/>
          <w:spacing w:val="4"/>
          <w:sz w:val="15"/>
          <w:szCs w:val="15"/>
        </w:rPr>
        <w:t>4—水泥基渗透结晶防水涂料或其他界面剂；5—固定用配套胶；6—螺栓；7—槽口</w:t>
      </w:r>
    </w:p>
    <w:p w14:paraId="0BD5C193">
      <w:pPr>
        <w:pStyle w:val="198"/>
      </w:pPr>
      <w:r>
        <w:rPr>
          <w:rFonts w:hint="eastAsia"/>
        </w:rPr>
        <w:t>图13.8.1-1  主体结构与附属（区间）结构接口接缝防水构造图</w:t>
      </w:r>
    </w:p>
    <w:p w14:paraId="226FD362">
      <w:pPr>
        <w:spacing w:line="240" w:lineRule="auto"/>
        <w:jc w:val="center"/>
        <w:rPr>
          <w:spacing w:val="4"/>
          <w:sz w:val="20"/>
        </w:rPr>
      </w:pPr>
      <w:r>
        <w:rPr>
          <w:rFonts w:ascii="方正书宋_GBK" w:hAnsi="方正书宋_GBK" w:eastAsia="方正书宋_GBK"/>
          <w:sz w:val="20"/>
        </w:rPr>
        <w:drawing>
          <wp:inline distT="0" distB="0" distL="0" distR="0">
            <wp:extent cx="1596390" cy="1800860"/>
            <wp:effectExtent l="0" t="0" r="3810" b="8890"/>
            <wp:docPr id="1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1596390" cy="1800860"/>
                    </a:xfrm>
                    <a:prstGeom prst="rect">
                      <a:avLst/>
                    </a:prstGeom>
                    <a:noFill/>
                    <a:ln>
                      <a:noFill/>
                    </a:ln>
                  </pic:spPr>
                </pic:pic>
              </a:graphicData>
            </a:graphic>
          </wp:inline>
        </w:drawing>
      </w:r>
    </w:p>
    <w:p w14:paraId="370D2C2C">
      <w:pPr>
        <w:spacing w:line="240" w:lineRule="auto"/>
        <w:jc w:val="center"/>
        <w:rPr>
          <w:spacing w:val="4"/>
          <w:sz w:val="15"/>
          <w:szCs w:val="15"/>
        </w:rPr>
      </w:pPr>
      <w:r>
        <w:rPr>
          <w:rFonts w:hint="eastAsia"/>
          <w:spacing w:val="4"/>
          <w:sz w:val="15"/>
          <w:szCs w:val="15"/>
        </w:rPr>
        <w:t>1—主体结构；2—洞口封堵墙；3—卡槽型高分子涂层止水带；4—水泥基渗透结晶防水涂料或其他界面剂；5—固定用配套胶；6—螺栓；7—槽口</w:t>
      </w:r>
    </w:p>
    <w:p w14:paraId="0F645819">
      <w:pPr>
        <w:pStyle w:val="198"/>
      </w:pPr>
      <w:r>
        <w:rPr>
          <w:rFonts w:hint="eastAsia"/>
        </w:rPr>
        <w:t>图13.8.1-2  洞口封堵墙或逆作法结构接缝防水构造图</w:t>
      </w:r>
    </w:p>
    <w:p w14:paraId="17946ED5">
      <w:pPr>
        <w:spacing w:line="240" w:lineRule="auto"/>
        <w:rPr>
          <w:rFonts w:ascii="Arial" w:hAnsi="Arial" w:cs="Arial"/>
          <w:spacing w:val="4"/>
          <w:sz w:val="20"/>
          <w:szCs w:val="18"/>
        </w:rPr>
      </w:pPr>
      <w:r>
        <w:rPr>
          <w:rFonts w:hint="eastAsia" w:eastAsia="黑体" w:cs="方正黑体_GBK"/>
          <w:b/>
          <w:bCs/>
          <w:szCs w:val="21"/>
        </w:rPr>
        <w:t xml:space="preserve">13.8.4  </w:t>
      </w:r>
      <w:r>
        <w:rPr>
          <w:rFonts w:hint="eastAsia" w:ascii="宋体" w:hAnsi="宋体" w:cs="宋体"/>
          <w:szCs w:val="21"/>
        </w:rPr>
        <w:t>桩头防水的关键是要做好防水层过渡及密封收头，根据近年来的工程经验，采用改性聚脲防水涂料进行过渡及密封收头可以取得较好效果。需要注意的是采用的改性聚脲要求能与防水层以及桩周涂刷的水泥基渗透结晶防水材料粘结强度高，一般粘结强度不能低于2MPa。</w:t>
      </w:r>
    </w:p>
    <w:p w14:paraId="346C9A40">
      <w:pPr>
        <w:spacing w:line="240" w:lineRule="auto"/>
        <w:jc w:val="center"/>
        <w:rPr>
          <w:spacing w:val="4"/>
          <w:sz w:val="20"/>
        </w:rPr>
      </w:pPr>
      <w:r>
        <w:rPr>
          <w:rFonts w:ascii="方正书宋_GBK" w:hAnsi="方正书宋_GBK" w:eastAsia="方正书宋_GBK"/>
          <w:sz w:val="24"/>
        </w:rPr>
        <w:drawing>
          <wp:inline distT="0" distB="0" distL="0" distR="0">
            <wp:extent cx="2933065" cy="1364615"/>
            <wp:effectExtent l="0" t="0" r="635" b="6985"/>
            <wp:docPr id="133" name="图片 1" descr="说明: 桩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说明: 桩头"/>
                    <pic:cNvPicPr>
                      <a:picLocks noChangeAspect="1" noChangeArrowheads="1"/>
                    </pic:cNvPicPr>
                  </pic:nvPicPr>
                  <pic:blipFill>
                    <a:blip r:embed="rId122" cstate="print">
                      <a:extLst>
                        <a:ext uri="{28A0092B-C50C-407E-A947-70E740481C1C}">
                          <a14:useLocalDpi xmlns:a14="http://schemas.microsoft.com/office/drawing/2010/main" val="0"/>
                        </a:ext>
                      </a:extLst>
                    </a:blip>
                    <a:srcRect b="20212"/>
                    <a:stretch>
                      <a:fillRect/>
                    </a:stretch>
                  </pic:blipFill>
                  <pic:spPr>
                    <a:xfrm>
                      <a:off x="0" y="0"/>
                      <a:ext cx="2933065" cy="1364615"/>
                    </a:xfrm>
                    <a:prstGeom prst="rect">
                      <a:avLst/>
                    </a:prstGeom>
                    <a:noFill/>
                    <a:ln>
                      <a:noFill/>
                    </a:ln>
                  </pic:spPr>
                </pic:pic>
              </a:graphicData>
            </a:graphic>
          </wp:inline>
        </w:drawing>
      </w:r>
    </w:p>
    <w:p w14:paraId="45665DEB">
      <w:pPr>
        <w:pStyle w:val="198"/>
      </w:pPr>
      <w:r>
        <w:rPr>
          <w:rFonts w:hint="eastAsia"/>
        </w:rPr>
        <w:t>图13.8.4-1  桩头防水构造图</w:t>
      </w:r>
    </w:p>
    <w:p w14:paraId="032DE3F4">
      <w:pPr>
        <w:spacing w:line="240" w:lineRule="auto"/>
        <w:rPr>
          <w:rFonts w:ascii="宋体" w:hAnsi="宋体" w:cs="宋体"/>
          <w:szCs w:val="21"/>
        </w:rPr>
      </w:pPr>
      <w:r>
        <w:rPr>
          <w:rFonts w:hint="eastAsia" w:eastAsia="黑体" w:cs="方正黑体_GBK"/>
          <w:b/>
          <w:bCs/>
          <w:szCs w:val="21"/>
        </w:rPr>
        <w:t xml:space="preserve">13.8.5  </w:t>
      </w:r>
      <w:r>
        <w:rPr>
          <w:rFonts w:hint="eastAsia" w:ascii="宋体" w:hAnsi="宋体" w:cs="宋体"/>
          <w:szCs w:val="21"/>
        </w:rPr>
        <w:t>穿墙管是目前地下结构渗漏水多发处，故新增该处防水要求。穿墙管防水的重点是做好密封和防水层过渡，可以参考下图执行。需要注意的是采用的改性聚脲要求能与防水层以及穿墙管具有良好的粘结强度，一般粘结强度不能低于2MPa。</w:t>
      </w:r>
    </w:p>
    <w:p w14:paraId="128ECA7B">
      <w:pPr>
        <w:spacing w:line="240" w:lineRule="auto"/>
        <w:jc w:val="center"/>
        <w:rPr>
          <w:rFonts w:ascii="Arial" w:hAnsi="Arial" w:cs="Arial"/>
          <w:spacing w:val="4"/>
          <w:sz w:val="20"/>
          <w:szCs w:val="18"/>
        </w:rPr>
      </w:pPr>
      <w:r>
        <w:rPr>
          <w:rFonts w:ascii="方正书宋_GBK" w:hAnsi="方正书宋_GBK" w:eastAsia="方正书宋_GBK"/>
          <w:sz w:val="20"/>
        </w:rPr>
        <w:drawing>
          <wp:inline distT="0" distB="0" distL="0" distR="0">
            <wp:extent cx="1814830" cy="1561465"/>
            <wp:effectExtent l="0" t="0" r="0" b="635"/>
            <wp:docPr id="132" name="图片 3" descr="说明: 侧墙穿墙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 descr="说明: 侧墙穿墙管"/>
                    <pic:cNvPicPr>
                      <a:picLocks noChangeAspect="1" noChangeArrowheads="1"/>
                    </pic:cNvPicPr>
                  </pic:nvPicPr>
                  <pic:blipFill>
                    <a:blip r:embed="rId123" cstate="print">
                      <a:extLst>
                        <a:ext uri="{28A0092B-C50C-407E-A947-70E740481C1C}">
                          <a14:useLocalDpi xmlns:a14="http://schemas.microsoft.com/office/drawing/2010/main" val="0"/>
                        </a:ext>
                      </a:extLst>
                    </a:blip>
                    <a:srcRect t="1649" b="11600"/>
                    <a:stretch>
                      <a:fillRect/>
                    </a:stretch>
                  </pic:blipFill>
                  <pic:spPr>
                    <a:xfrm>
                      <a:off x="0" y="0"/>
                      <a:ext cx="1814830" cy="1561465"/>
                    </a:xfrm>
                    <a:prstGeom prst="rect">
                      <a:avLst/>
                    </a:prstGeom>
                    <a:noFill/>
                    <a:ln>
                      <a:noFill/>
                    </a:ln>
                  </pic:spPr>
                </pic:pic>
              </a:graphicData>
            </a:graphic>
          </wp:inline>
        </w:drawing>
      </w:r>
    </w:p>
    <w:p w14:paraId="0AFA8510">
      <w:pPr>
        <w:spacing w:line="240" w:lineRule="auto"/>
        <w:jc w:val="center"/>
        <w:rPr>
          <w:rFonts w:ascii="Arial" w:hAnsi="Arial" w:cs="Arial"/>
          <w:spacing w:val="4"/>
          <w:sz w:val="20"/>
          <w:szCs w:val="18"/>
        </w:rPr>
      </w:pPr>
      <w:r>
        <w:rPr>
          <w:rFonts w:hint="eastAsia" w:ascii="Arial" w:hAnsi="Arial" w:cs="Arial"/>
          <w:spacing w:val="4"/>
          <w:sz w:val="20"/>
          <w:szCs w:val="18"/>
        </w:rPr>
        <w:t>图13.8.5-1 穿墙管防水构造图</w:t>
      </w:r>
    </w:p>
    <w:p w14:paraId="47CF8004">
      <w:pPr>
        <w:jc w:val="center"/>
        <w:rPr>
          <w:rFonts w:cs="Arial"/>
          <w:spacing w:val="4"/>
          <w:szCs w:val="18"/>
        </w:rPr>
      </w:pPr>
    </w:p>
    <w:p w14:paraId="7E6F050C">
      <w:pPr>
        <w:widowControl/>
        <w:spacing w:line="240" w:lineRule="auto"/>
        <w:jc w:val="left"/>
        <w:rPr>
          <w:rFonts w:ascii="Arial" w:hAnsi="Arial" w:cs="Arial"/>
          <w:spacing w:val="4"/>
          <w:szCs w:val="18"/>
        </w:rPr>
      </w:pPr>
      <w:r>
        <w:rPr>
          <w:rFonts w:ascii="Arial" w:hAnsi="Arial" w:cs="Arial"/>
          <w:b/>
          <w:bCs/>
          <w:spacing w:val="4"/>
          <w:szCs w:val="18"/>
        </w:rPr>
        <w:br w:type="page"/>
      </w:r>
    </w:p>
    <w:p w14:paraId="04219746">
      <w:pPr>
        <w:pStyle w:val="240"/>
      </w:pPr>
      <w:bookmarkStart w:id="2630" w:name="_Toc183454865"/>
      <w:bookmarkStart w:id="2631" w:name="_Toc183735445"/>
      <w:bookmarkStart w:id="2632" w:name="_Toc183882671"/>
      <w:bookmarkStart w:id="2633" w:name="_Toc183454185"/>
      <w:bookmarkStart w:id="2634" w:name="_Toc183882309"/>
      <w:bookmarkStart w:id="2635" w:name="_Toc183888723"/>
      <w:bookmarkStart w:id="2636" w:name="_Toc183699901"/>
      <w:bookmarkStart w:id="2637" w:name="_Toc183454482"/>
      <w:bookmarkStart w:id="2638" w:name="_Toc183765318"/>
      <w:bookmarkStart w:id="2639" w:name="_Toc183790748"/>
      <w:bookmarkStart w:id="2640" w:name="_Toc183738140"/>
      <w:bookmarkStart w:id="2641" w:name="_Toc183888361"/>
      <w:r>
        <w:rPr>
          <w:b/>
        </w:rPr>
        <w:t>14</w:t>
      </w:r>
      <w:r>
        <w:rPr>
          <w:rFonts w:hint="eastAsia"/>
        </w:rPr>
        <w:t xml:space="preserve">  通风、空调与供暖</w:t>
      </w:r>
      <w:bookmarkEnd w:id="2630"/>
      <w:bookmarkEnd w:id="2631"/>
      <w:bookmarkEnd w:id="2632"/>
      <w:bookmarkEnd w:id="2633"/>
      <w:bookmarkEnd w:id="2634"/>
      <w:bookmarkEnd w:id="2635"/>
      <w:bookmarkEnd w:id="2636"/>
      <w:bookmarkEnd w:id="2637"/>
      <w:bookmarkEnd w:id="2638"/>
      <w:bookmarkEnd w:id="2639"/>
      <w:bookmarkEnd w:id="2640"/>
      <w:bookmarkEnd w:id="2641"/>
    </w:p>
    <w:p w14:paraId="17B4F9ED">
      <w:pPr>
        <w:pStyle w:val="4"/>
        <w:numPr>
          <w:ilvl w:val="0"/>
          <w:numId w:val="0"/>
        </w:numPr>
      </w:pPr>
      <w:bookmarkStart w:id="2642" w:name="_Toc183882310"/>
      <w:bookmarkStart w:id="2643" w:name="_Toc183454866"/>
      <w:bookmarkStart w:id="2644" w:name="_Toc183454186"/>
      <w:bookmarkStart w:id="2645" w:name="_Toc183765319"/>
      <w:bookmarkStart w:id="2646" w:name="_Toc183888362"/>
      <w:bookmarkStart w:id="2647" w:name="_Toc183882672"/>
      <w:bookmarkStart w:id="2648" w:name="_Toc183454483"/>
      <w:bookmarkStart w:id="2649" w:name="_Toc183888724"/>
      <w:bookmarkStart w:id="2650" w:name="_Toc183790749"/>
      <w:bookmarkStart w:id="2651" w:name="_Toc183738141"/>
      <w:r>
        <w:rPr>
          <w:b/>
        </w:rPr>
        <w:t xml:space="preserve">14.1 </w:t>
      </w:r>
      <w:r>
        <w:t xml:space="preserve"> </w:t>
      </w:r>
      <w:r>
        <w:rPr>
          <w:rFonts w:hint="eastAsia"/>
        </w:rPr>
        <w:t>一般规定</w:t>
      </w:r>
      <w:bookmarkEnd w:id="2642"/>
      <w:bookmarkEnd w:id="2643"/>
      <w:bookmarkEnd w:id="2644"/>
      <w:bookmarkEnd w:id="2645"/>
      <w:bookmarkEnd w:id="2646"/>
      <w:bookmarkEnd w:id="2647"/>
      <w:bookmarkEnd w:id="2648"/>
      <w:bookmarkEnd w:id="2649"/>
      <w:bookmarkEnd w:id="2650"/>
      <w:bookmarkEnd w:id="2651"/>
    </w:p>
    <w:p w14:paraId="14E4B3FF">
      <w:pPr>
        <w:rPr>
          <w:rFonts w:cs="宋体"/>
          <w:szCs w:val="21"/>
        </w:rPr>
      </w:pPr>
      <w:r>
        <w:rPr>
          <w:rFonts w:hint="eastAsia" w:eastAsia="黑体" w:cs="方正黑体_GBK"/>
          <w:b/>
          <w:bCs/>
          <w:szCs w:val="21"/>
        </w:rPr>
        <w:t xml:space="preserve">14.1.4  </w:t>
      </w:r>
      <w:r>
        <w:rPr>
          <w:rFonts w:hint="eastAsia" w:cs="宋体"/>
          <w:szCs w:val="21"/>
        </w:rPr>
        <w:t>按照城市轨道交通行业的传统分类方式，地下线路空调系统的制式分为闭式空调系统和屏蔽门式空调系统两种。闭式空调系统与屏蔽门式空调系统的主要区别是：闭式空调系统车站设置非封闭站台门（安全门）或不设置站台门，车站与隧道之间的空间联通，车站空调需负担车站和隧道的全部负荷；屏蔽门式空调系统车站设置封闭站台门（屏蔽门），车站与隧道之间的空间不联通，车站空调只负担车站负荷，隧道负荷由隧道通风系统负担。在夏季空调季节，屏蔽门式空调系统的系统负荷小，与闭式空调系统相比具有节能的优势；但在非空调季节，由于设置封闭站台门（屏蔽门）后无法利用列车活塞风对车站进行自然通风，使得其通风能耗高于设置非封闭站台门（安全门）的车站。由此可见，空调系统制式是否节能与空调负荷的大小及空调季节的长短密切相关。由于不同线路决定空调负荷大小的运力、隧道长度等因素不尽相同，直接影响着与之相关的系统运行及维护费用的大小；同时，线路服务对象不同也会有不同的人员舒适度要求，因此空调系统制式应结合上述因素进行综合技术经济比较确定。</w:t>
      </w:r>
    </w:p>
    <w:p w14:paraId="24D9E846">
      <w:pPr>
        <w:ind w:firstLine="420"/>
        <w:rPr>
          <w:rFonts w:ascii="宋体" w:hAnsi="宋体" w:cs="宋体"/>
          <w:szCs w:val="21"/>
        </w:rPr>
      </w:pPr>
      <w:r>
        <w:rPr>
          <w:rFonts w:hint="eastAsia" w:ascii="宋体" w:hAnsi="宋体" w:cs="宋体"/>
          <w:szCs w:val="21"/>
        </w:rPr>
        <w:t>随着技术的发展，近年来国内出现了一种新型的封闭/非封闭可转换站台门，可以根据需要实现两种不同形式站台门的功能，与之相对应的空调系统制式即为闭式/屏蔽门式可转换空调系统。在北京地区，夏季空调季节站台门可转换为封闭站台门，节省空调能耗；非空调季节站台门可转换为非封闭站台门，节省通风能耗，从而实现了通风空调系统全年节能的目的。</w:t>
      </w:r>
    </w:p>
    <w:p w14:paraId="56B08677">
      <w:pPr>
        <w:rPr>
          <w:rFonts w:cs="宋体"/>
          <w:szCs w:val="21"/>
        </w:rPr>
      </w:pPr>
      <w:r>
        <w:rPr>
          <w:rFonts w:hint="eastAsia" w:cs="宋体"/>
          <w:szCs w:val="21"/>
        </w:rPr>
        <w:t>14.1.5  通风、空调与供暖系统设计能力的确定。由于存在线网分流等因素，城市轨道交通预测最大客流量不一定出现在远期，因此系统设计时除远期客流外，还需考虑是否存在更大的控制期客流量。</w:t>
      </w:r>
    </w:p>
    <w:p w14:paraId="4D23768B">
      <w:pPr>
        <w:rPr>
          <w:rFonts w:cs="宋体"/>
          <w:szCs w:val="21"/>
        </w:rPr>
      </w:pPr>
      <w:r>
        <w:rPr>
          <w:rFonts w:hint="eastAsia" w:eastAsia="黑体" w:cs="方正黑体_GBK"/>
          <w:b/>
          <w:bCs/>
          <w:szCs w:val="21"/>
        </w:rPr>
        <w:t xml:space="preserve">14.1.7  </w:t>
      </w:r>
      <w:r>
        <w:rPr>
          <w:rFonts w:hint="eastAsia" w:cs="宋体"/>
          <w:szCs w:val="21"/>
        </w:rPr>
        <w:t>大型通风与空调设备运输、安装条件的要求。应具备将冷水机组、大型轴流风机、可开启式表冷器、暖风机等大型通风与空调设备从室外或轨行区运输至安装位置的条件，以便于设备安装与日后的维护更换。</w:t>
      </w:r>
    </w:p>
    <w:p w14:paraId="6487A13D">
      <w:pPr>
        <w:rPr>
          <w:rFonts w:cs="宋体"/>
          <w:szCs w:val="21"/>
        </w:rPr>
      </w:pPr>
      <w:r>
        <w:rPr>
          <w:rFonts w:hint="eastAsia" w:eastAsia="黑体" w:cs="方正黑体_GBK"/>
          <w:b/>
          <w:bCs/>
          <w:szCs w:val="21"/>
        </w:rPr>
        <w:t>14.1.9</w:t>
      </w:r>
      <w:r>
        <w:rPr>
          <w:rFonts w:hint="eastAsia" w:cs="宋体"/>
          <w:szCs w:val="21"/>
        </w:rPr>
        <w:t>对车站空调通风系统的卫生质量检测结果显示，由于内壁积尘、军团菌滋生，超标的地方多为空气处理设备及风系统管道内部。根据国家卫生部颁布的《公共场所集中空调通风系统卫生规范》的有关规定，要求上述部位具备清洗、消毒的条件。</w:t>
      </w:r>
    </w:p>
    <w:p w14:paraId="42418CD5">
      <w:pPr>
        <w:rPr>
          <w:rFonts w:cs="宋体"/>
          <w:szCs w:val="21"/>
        </w:rPr>
      </w:pPr>
      <w:r>
        <w:rPr>
          <w:rFonts w:hint="eastAsia" w:eastAsia="黑体" w:cs="方正黑体_GBK"/>
          <w:b/>
          <w:bCs/>
          <w:szCs w:val="21"/>
        </w:rPr>
        <w:t xml:space="preserve">14.1.10 </w:t>
      </w:r>
      <w:r>
        <w:rPr>
          <w:rFonts w:hint="eastAsia" w:cs="宋体"/>
          <w:szCs w:val="21"/>
        </w:rPr>
        <w:t xml:space="preserve"> 通风与空调系统材料的燃烧性能等要求。国家标准《建筑材料及制品燃烧性能分级》GB 8624—2006于2006年6月19日发布，2007年3月1日正式实施。由于该标准新版GB 8624—2006与旧版GB 8624—1997在原理、分级结构、试验方法等方面有较大差异，为确保新旧标准体系的平稳过渡，公安部就有关问题下发了“关于实施国家标准GB 8624—2006《建筑材料及制品燃烧性能分级》若干问题的通知”（公消［2007］182号）。根据上述通知，按GB 8624—2006检验判断为A1级和A2级的，对应于相关规范和GB 8624—1997的A级；按GB 8624—2006检验判断为B级和C级的，对应于相关规范和GB 8624—1997的B1级。国家标准《地铁设计规范》GB 50157现行及修编版报批稿中的材料燃烧性能均按旧版标准分级编制，因此本规范仍采用旧版标准。</w:t>
      </w:r>
    </w:p>
    <w:p w14:paraId="67C4A1E4">
      <w:pPr>
        <w:pStyle w:val="4"/>
        <w:numPr>
          <w:ilvl w:val="0"/>
          <w:numId w:val="0"/>
        </w:numPr>
      </w:pPr>
      <w:bookmarkStart w:id="2652" w:name="_Toc183790750"/>
      <w:bookmarkStart w:id="2653" w:name="_Toc183882673"/>
      <w:bookmarkStart w:id="2654" w:name="_Toc183454484"/>
      <w:bookmarkStart w:id="2655" w:name="_Toc183454187"/>
      <w:bookmarkStart w:id="2656" w:name="_Toc183888725"/>
      <w:bookmarkStart w:id="2657" w:name="_Toc183738142"/>
      <w:bookmarkStart w:id="2658" w:name="_Toc183888363"/>
      <w:bookmarkStart w:id="2659" w:name="_Toc183882311"/>
      <w:bookmarkStart w:id="2660" w:name="_Toc183765320"/>
      <w:bookmarkStart w:id="2661" w:name="_Toc183454867"/>
      <w:r>
        <w:rPr>
          <w:b/>
        </w:rPr>
        <w:t>14.2</w:t>
      </w:r>
      <w:r>
        <w:rPr>
          <w:rFonts w:hint="eastAsia"/>
          <w:b/>
        </w:rPr>
        <w:t xml:space="preserve"> </w:t>
      </w:r>
      <w:r>
        <w:rPr>
          <w:rFonts w:hint="eastAsia"/>
        </w:rPr>
        <w:t xml:space="preserve"> 地下线通风、空调与供暖</w:t>
      </w:r>
      <w:bookmarkEnd w:id="2652"/>
      <w:bookmarkEnd w:id="2653"/>
      <w:bookmarkEnd w:id="2654"/>
      <w:bookmarkEnd w:id="2655"/>
      <w:bookmarkEnd w:id="2656"/>
      <w:bookmarkEnd w:id="2657"/>
      <w:bookmarkEnd w:id="2658"/>
      <w:bookmarkEnd w:id="2659"/>
      <w:bookmarkEnd w:id="2660"/>
      <w:bookmarkEnd w:id="2661"/>
    </w:p>
    <w:p w14:paraId="7D8391D9">
      <w:pPr>
        <w:jc w:val="center"/>
        <w:rPr>
          <w:rFonts w:eastAsia="黑体" w:cs="方正黑体_GBK"/>
        </w:rPr>
      </w:pPr>
      <w:r>
        <w:rPr>
          <w:rFonts w:eastAsia="黑体" w:cs="方正黑体_GBK"/>
          <w:b/>
        </w:rPr>
        <w:t xml:space="preserve">I  </w:t>
      </w:r>
      <w:r>
        <w:rPr>
          <w:rFonts w:eastAsia="黑体" w:cs="方正黑体_GBK"/>
        </w:rPr>
        <w:t>室内外设计参数</w:t>
      </w:r>
    </w:p>
    <w:p w14:paraId="3B7F32DC">
      <w:pPr>
        <w:rPr>
          <w:rFonts w:ascii="宋体" w:hAnsi="宋体"/>
          <w:szCs w:val="21"/>
        </w:rPr>
      </w:pPr>
      <w:r>
        <w:rPr>
          <w:rFonts w:hint="eastAsia" w:eastAsia="黑体" w:cs="方正黑体_GBK"/>
          <w:b/>
          <w:bCs/>
          <w:szCs w:val="21"/>
        </w:rPr>
        <w:t xml:space="preserve">14.2.1～14.2.4  </w:t>
      </w:r>
      <w:r>
        <w:rPr>
          <w:rFonts w:hint="eastAsia" w:ascii="宋体" w:hAnsi="宋体"/>
          <w:szCs w:val="21"/>
        </w:rPr>
        <w:t>室外空气计算温度的确定。本章节中的各种室外空气计算参数取自</w:t>
      </w:r>
      <w:r>
        <w:rPr>
          <w:rFonts w:hint="eastAsia" w:hAnsi="宋体"/>
          <w:szCs w:val="21"/>
        </w:rPr>
        <w:t>《民用建筑供暖通风与空气调节设计规范》</w:t>
      </w:r>
      <w:r>
        <w:rPr>
          <w:rFonts w:hint="eastAsia" w:ascii="宋体" w:hAnsi="宋体"/>
          <w:szCs w:val="21"/>
        </w:rPr>
        <w:t>GB 50736—2012以及北京既有线路设计过程中搜集的气象参数资料。对于隧道及车站公共区的夏季通风室外空气计算温度，根据《地铁设计规范》GB 50157的取值方法，本规范采用了GB/T51357-2019《城市轨道交通通风空气调节与供暖设计标准》的相关数据。</w:t>
      </w:r>
    </w:p>
    <w:p w14:paraId="19CEF3AC">
      <w:pPr>
        <w:rPr>
          <w:rFonts w:ascii="宋体" w:hAnsi="宋体"/>
          <w:szCs w:val="21"/>
        </w:rPr>
      </w:pPr>
      <w:r>
        <w:rPr>
          <w:rFonts w:hint="eastAsia" w:eastAsia="黑体" w:cs="方正黑体_GBK"/>
          <w:b/>
          <w:bCs/>
          <w:szCs w:val="21"/>
        </w:rPr>
        <w:t xml:space="preserve">14.2.5  </w:t>
      </w:r>
      <w:r>
        <w:rPr>
          <w:rFonts w:hint="eastAsia" w:ascii="宋体" w:hAnsi="宋体"/>
          <w:szCs w:val="21"/>
        </w:rPr>
        <w:t>区间隧道内部</w:t>
      </w:r>
      <w:r>
        <w:rPr>
          <w:rFonts w:hint="eastAsia" w:cs="宋体"/>
          <w:szCs w:val="21"/>
        </w:rPr>
        <w:t>夏季</w:t>
      </w:r>
      <w:r>
        <w:rPr>
          <w:rFonts w:hint="eastAsia" w:ascii="宋体" w:hAnsi="宋体"/>
          <w:szCs w:val="21"/>
        </w:rPr>
        <w:t>的最高温度的确定。本规范车辆章节已明确规定列车车厢均设置空调设施，因此本节未对非空调车情况进行规定。</w:t>
      </w:r>
    </w:p>
    <w:p w14:paraId="3366C77B">
      <w:pPr>
        <w:rPr>
          <w:rFonts w:ascii="宋体" w:hAnsi="宋体"/>
          <w:szCs w:val="21"/>
        </w:rPr>
      </w:pPr>
      <w:r>
        <w:rPr>
          <w:rFonts w:hint="eastAsia" w:eastAsia="黑体" w:cs="方正黑体_GBK"/>
          <w:b/>
          <w:bCs/>
          <w:szCs w:val="21"/>
        </w:rPr>
        <w:t xml:space="preserve">14.2.6  </w:t>
      </w:r>
      <w:r>
        <w:rPr>
          <w:rFonts w:hint="eastAsia" w:ascii="宋体" w:hAnsi="宋体"/>
          <w:szCs w:val="21"/>
        </w:rPr>
        <w:t>区间隧道内部冬季温度要求。根据相关资料，北京地区地层的自然温度约为12℃。</w:t>
      </w:r>
    </w:p>
    <w:p w14:paraId="08FF83CB">
      <w:pPr>
        <w:rPr>
          <w:rFonts w:ascii="宋体" w:hAnsi="宋体"/>
          <w:szCs w:val="21"/>
        </w:rPr>
      </w:pPr>
      <w:r>
        <w:rPr>
          <w:rFonts w:hint="eastAsia" w:eastAsia="黑体" w:cs="方正黑体_GBK"/>
          <w:b/>
          <w:bCs/>
          <w:szCs w:val="21"/>
        </w:rPr>
        <w:t xml:space="preserve">14.2.7  </w:t>
      </w:r>
      <w:r>
        <w:rPr>
          <w:rFonts w:hint="eastAsia" w:ascii="宋体" w:hAnsi="宋体"/>
          <w:szCs w:val="21"/>
        </w:rPr>
        <w:t>地下车站</w:t>
      </w:r>
      <w:r>
        <w:rPr>
          <w:rFonts w:hint="eastAsia" w:cs="宋体"/>
          <w:szCs w:val="21"/>
        </w:rPr>
        <w:t>公共</w:t>
      </w:r>
      <w:r>
        <w:rPr>
          <w:rFonts w:hint="eastAsia" w:ascii="宋体" w:hAnsi="宋体"/>
          <w:szCs w:val="21"/>
        </w:rPr>
        <w:t>区夏季温湿度要求。</w:t>
      </w:r>
    </w:p>
    <w:p w14:paraId="4D6FA882">
      <w:pPr>
        <w:ind w:firstLine="420"/>
        <w:rPr>
          <w:rFonts w:ascii="宋体" w:hAnsi="宋体"/>
          <w:szCs w:val="21"/>
        </w:rPr>
      </w:pPr>
      <w:r>
        <w:rPr>
          <w:rFonts w:hint="eastAsia" w:ascii="宋体" w:hAnsi="宋体"/>
          <w:szCs w:val="21"/>
        </w:rPr>
        <w:t>在“双碳”背景下，适当降低公共区空调温度要求,减小空调能耗；同时，适当提高公共区温度，可一定程度上缓解新建地下车站开通初期结露问题。</w:t>
      </w:r>
    </w:p>
    <w:p w14:paraId="4FA0720B">
      <w:pPr>
        <w:ind w:firstLine="420"/>
        <w:rPr>
          <w:rFonts w:ascii="宋体" w:hAnsi="宋体"/>
          <w:szCs w:val="21"/>
        </w:rPr>
      </w:pPr>
      <w:r>
        <w:rPr>
          <w:rFonts w:hint="eastAsia" w:ascii="宋体" w:hAnsi="宋体"/>
          <w:szCs w:val="21"/>
        </w:rPr>
        <w:t>根据国家标准《地铁设计标准》送审稿，当车站采用空调系统时，站厅公共区室内空气设计温度不应超过30℃，且应低于空调室外空气计算干球温度低2℃～3℃；站台公共区室内空气设计温度应低于站厅公共区空气设计温度1℃～2℃。北京空调室外空气计算干球温度为32.0℃，本规范站厅的空气计算温度采用30℃，站台的空气计算温度采用28℃。</w:t>
      </w:r>
    </w:p>
    <w:p w14:paraId="594402A3">
      <w:pPr>
        <w:rPr>
          <w:rFonts w:hAnsi="宋体"/>
          <w:szCs w:val="21"/>
        </w:rPr>
      </w:pPr>
      <w:r>
        <w:rPr>
          <w:rFonts w:hint="eastAsia" w:eastAsia="黑体" w:cs="方正黑体_GBK"/>
          <w:b/>
          <w:bCs/>
          <w:szCs w:val="21"/>
        </w:rPr>
        <w:t xml:space="preserve">14.2.11  </w:t>
      </w:r>
      <w:r>
        <w:rPr>
          <w:rFonts w:hint="eastAsia" w:hAnsi="宋体"/>
          <w:szCs w:val="21"/>
        </w:rPr>
        <w:t>人员新风量标准。根据现行国家标准《地铁设计规范》GB 50157的条文说明，乘客最小新风量标准参照商场、博物馆、体育馆等建筑的最少新风量标准制定。现行国家标准《公共建筑节能设计标准》GB 50189—2005中的商场、博物馆、体育馆新风量标准为每人每小时20m3，《民用建筑供暖通风与空气调节设计规范》GB 50736—2012为每人每小时15m3～19m3。另外，国家标准《公共场所卫生指标及限值要求》GB 37488-2019的强制性条款要求，对于没有睡眠和休憩需求的公共场所，室内新风量不应小于20 m</w:t>
      </w:r>
      <w:r>
        <w:rPr>
          <w:rFonts w:hint="eastAsia" w:hAnsi="宋体"/>
          <w:szCs w:val="21"/>
          <w:vertAlign w:val="superscript"/>
        </w:rPr>
        <w:t>3</w:t>
      </w:r>
      <w:r>
        <w:rPr>
          <w:rFonts w:hint="eastAsia" w:hAnsi="宋体"/>
          <w:szCs w:val="21"/>
        </w:rPr>
        <w:t>／（h•人）。因此本规范的乘客最小新风量标准相应提高。第二，本标准2013年版要求地下车站公共区新风量不应少于总送风量的10%，该规定源于国内早期的设计技术措施（如1997年版《建筑设备专业设计技术措施》的第3.2.2.9条）。但是，鉴于我国民用建筑的最小新风量主要针对二氧化碳浓度控制确定，与系统总风量无关，而且提高新风量会大幅度提高空调系统能耗。因此，2006年版《建筑设备专业设计技术措施》的15.2.17条即取消了10%最小新风比的相关规定，目前国内现行的《民用建筑供暖通风与空气调节设计规范》GB 50736等相关标准亦均未设置10%最小新风比的要求。</w:t>
      </w:r>
    </w:p>
    <w:p w14:paraId="2125FD9C">
      <w:pPr>
        <w:spacing w:line="360" w:lineRule="auto"/>
        <w:ind w:firstLine="420"/>
        <w:rPr>
          <w:rFonts w:ascii="宋体" w:hAnsi="宋体"/>
          <w:kern w:val="0"/>
          <w:szCs w:val="21"/>
          <w:lang w:bidi="en-US"/>
        </w:rPr>
      </w:pPr>
      <w:r>
        <w:rPr>
          <w:rFonts w:hint="eastAsia" w:ascii="宋体" w:hAnsi="宋体"/>
          <w:kern w:val="0"/>
          <w:szCs w:val="21"/>
          <w:lang w:bidi="en-US"/>
        </w:rPr>
        <w:t>基于以上原因，为了与现行相关专业设计标准相协调，同时考虑隧道中地铁列车新风需要与隧道空气进行交换获得，部分新鲜空气有时得不到充分利用等不利因素，本次修编将隧道内及车站公共区每人的新风量标准为由12.6m</w:t>
      </w:r>
      <w:r>
        <w:rPr>
          <w:rFonts w:hint="eastAsia" w:ascii="宋体" w:hAnsi="宋体"/>
          <w:kern w:val="0"/>
          <w:szCs w:val="21"/>
          <w:vertAlign w:val="superscript"/>
          <w:lang w:bidi="en-US"/>
        </w:rPr>
        <w:t>3</w:t>
      </w:r>
      <w:r>
        <w:rPr>
          <w:rFonts w:hint="eastAsia" w:ascii="宋体" w:hAnsi="宋体"/>
          <w:kern w:val="0"/>
          <w:szCs w:val="21"/>
          <w:lang w:bidi="en-US"/>
        </w:rPr>
        <w:t>／（h•人）提升到20m</w:t>
      </w:r>
      <w:r>
        <w:rPr>
          <w:rFonts w:hint="eastAsia" w:ascii="宋体" w:hAnsi="宋体"/>
          <w:kern w:val="0"/>
          <w:szCs w:val="21"/>
          <w:vertAlign w:val="superscript"/>
          <w:lang w:bidi="en-US"/>
        </w:rPr>
        <w:t>3</w:t>
      </w:r>
      <w:r>
        <w:rPr>
          <w:rFonts w:hint="eastAsia" w:ascii="宋体" w:hAnsi="宋体"/>
          <w:kern w:val="0"/>
          <w:szCs w:val="21"/>
          <w:lang w:bidi="en-US"/>
        </w:rPr>
        <w:t>／（h•人），并取消了10%最小新风比的要求。</w:t>
      </w:r>
    </w:p>
    <w:p w14:paraId="497F0DB5">
      <w:pPr>
        <w:rPr>
          <w:rFonts w:ascii="宋体" w:hAnsi="宋体"/>
          <w:szCs w:val="21"/>
        </w:rPr>
      </w:pPr>
      <w:r>
        <w:rPr>
          <w:rFonts w:hint="eastAsia" w:eastAsia="黑体" w:cs="方正黑体_GBK"/>
          <w:b/>
          <w:bCs/>
          <w:szCs w:val="21"/>
        </w:rPr>
        <w:t xml:space="preserve">14.2.13  </w:t>
      </w:r>
      <w:r>
        <w:rPr>
          <w:rFonts w:hint="eastAsia" w:ascii="宋体" w:hAnsi="宋体"/>
          <w:szCs w:val="21"/>
        </w:rPr>
        <w:t>车站设备及管理用房CO2浓度参数参照现行国家标准</w:t>
      </w:r>
      <w:r>
        <w:rPr>
          <w:rFonts w:hint="eastAsia" w:hAnsi="宋体"/>
          <w:szCs w:val="21"/>
        </w:rPr>
        <w:t>《室内空气质量标准》</w:t>
      </w:r>
      <w:r>
        <w:rPr>
          <w:rFonts w:hint="eastAsia" w:ascii="宋体" w:hAnsi="宋体"/>
          <w:szCs w:val="21"/>
        </w:rPr>
        <w:t>GB 18883制定。</w:t>
      </w:r>
    </w:p>
    <w:p w14:paraId="2A3DAFE6">
      <w:pPr>
        <w:rPr>
          <w:rFonts w:ascii="宋体" w:hAnsi="宋体"/>
          <w:szCs w:val="21"/>
        </w:rPr>
      </w:pPr>
      <w:r>
        <w:rPr>
          <w:rFonts w:hint="eastAsia" w:eastAsia="黑体" w:cs="方正黑体_GBK"/>
          <w:b/>
          <w:bCs/>
          <w:szCs w:val="21"/>
        </w:rPr>
        <w:t xml:space="preserve">14.2.14  </w:t>
      </w:r>
      <w:r>
        <w:rPr>
          <w:rFonts w:hint="eastAsia" w:ascii="宋体" w:hAnsi="宋体"/>
          <w:szCs w:val="21"/>
        </w:rPr>
        <w:t>车站设备及管理用房空气中可吸入颗粒物浓度参数参照现行国家标准《室内空气质量标准》GB 18883制定。</w:t>
      </w:r>
    </w:p>
    <w:p w14:paraId="1B91C78D">
      <w:pPr>
        <w:ind w:firstLine="422"/>
        <w:jc w:val="center"/>
        <w:rPr>
          <w:rFonts w:ascii="宋体" w:hAnsi="宋体"/>
          <w:b/>
          <w:bCs/>
          <w:szCs w:val="21"/>
        </w:rPr>
      </w:pPr>
      <w:r>
        <w:rPr>
          <w:rFonts w:hint="eastAsia" w:ascii="宋体" w:hAnsi="宋体"/>
          <w:b/>
          <w:bCs/>
          <w:szCs w:val="21"/>
        </w:rPr>
        <w:t xml:space="preserve">Ⅱ  </w:t>
      </w:r>
      <w:r>
        <w:rPr>
          <w:rFonts w:hint="eastAsia" w:ascii="宋体" w:hAnsi="宋体"/>
          <w:bCs/>
          <w:szCs w:val="21"/>
        </w:rPr>
        <w:t>区间隧道通风系统</w:t>
      </w:r>
    </w:p>
    <w:p w14:paraId="42A11A27">
      <w:pPr>
        <w:rPr>
          <w:rFonts w:ascii="宋体" w:hAnsi="宋体"/>
          <w:szCs w:val="21"/>
        </w:rPr>
      </w:pPr>
      <w:r>
        <w:rPr>
          <w:rFonts w:hint="eastAsia" w:eastAsia="黑体" w:cs="方正黑体_GBK"/>
          <w:b/>
          <w:bCs/>
          <w:szCs w:val="21"/>
        </w:rPr>
        <w:t xml:space="preserve">14.2.17 </w:t>
      </w:r>
      <w:r>
        <w:rPr>
          <w:rFonts w:hint="eastAsia" w:ascii="宋体" w:hAnsi="宋体"/>
          <w:szCs w:val="21"/>
        </w:rPr>
        <w:t xml:space="preserve"> 区间通风道及设备的设置条件。区间隧道发生火灾时，若采用纵向通风排烟方式，需迎着人员疏散的方向送新风，从人员疏散的反方向排烟，保障人员迎着新风安全疏散。对于同时存在两列车的区间隧道，若在两列车之间不设置区间通风道，当前方列车车尾发生火灾时，须向后方列车方向排烟，则后方列车将会受到烟气的威胁。因此，火灾情况下同时存在两列车是区间隧道设置区间通风道的重要判别条件。</w:t>
      </w:r>
    </w:p>
    <w:p w14:paraId="39753145">
      <w:pPr>
        <w:rPr>
          <w:rFonts w:ascii="宋体" w:hAnsi="宋体"/>
          <w:szCs w:val="21"/>
        </w:rPr>
      </w:pPr>
      <w:r>
        <w:rPr>
          <w:rFonts w:hint="eastAsia" w:eastAsia="黑体" w:cs="方正黑体_GBK"/>
          <w:b/>
          <w:bCs/>
          <w:szCs w:val="21"/>
        </w:rPr>
        <w:t xml:space="preserve">14.2.18 </w:t>
      </w:r>
      <w:r>
        <w:rPr>
          <w:rFonts w:hint="eastAsia" w:ascii="宋体" w:hAnsi="宋体"/>
          <w:szCs w:val="21"/>
        </w:rPr>
        <w:t xml:space="preserve"> 活塞风道设置要求。地下车站站台设封闭站台门时，车站需要设置活塞风道。一方面隧道机械通风时作为自然进风通道，另一方面隧道利用列车活塞作用自然通风时作为与室外换气的通道。通常车站每端对应上下行隧道分别设置活塞风道，但对于地面规划条件困难的车站，往往难以实现。根据相关研究成果，当车站每端只设置一条活塞风道时，若活塞风道连接出站隧道，则有利于将室外空气更多的引入区间隧道，对其内部实施有效换气，其通风效率高于将活塞风道连接进站隧道的方案。</w:t>
      </w:r>
    </w:p>
    <w:p w14:paraId="5FEFFB82">
      <w:pPr>
        <w:rPr>
          <w:rFonts w:ascii="宋体" w:hAnsi="宋体"/>
          <w:szCs w:val="21"/>
        </w:rPr>
      </w:pPr>
      <w:r>
        <w:rPr>
          <w:rFonts w:hint="eastAsia" w:eastAsia="黑体" w:cs="方正黑体_GBK"/>
          <w:b/>
          <w:bCs/>
          <w:szCs w:val="21"/>
        </w:rPr>
        <w:t xml:space="preserve">14.2.19  </w:t>
      </w:r>
      <w:r>
        <w:rPr>
          <w:rFonts w:hint="eastAsia" w:ascii="宋体" w:hAnsi="宋体"/>
          <w:szCs w:val="21"/>
        </w:rPr>
        <w:t>迂回风道设置要求。地下车站站台不设封闭站台门时，为减小列车活塞风对站台的冲击、减小出入口风速，在单洞单线区间隧道的车站端部上、下行线路之间应设置活塞风迂回风道。当隧道采用盾构法施工时，隧道之间的通道施工非常困难，因此迂回风道可设在车站的最端部，结合车站的开挖同时建成。若隧道采用其他方法施工时，迂回风道应设在隧道内邻近车站的位置。迂回风道的断面面积不宜小于25m2；为实现火灾及阻塞工况下上下行隧道的分隔，迂回风道中还应设置电动立转门或组合风阀。</w:t>
      </w:r>
    </w:p>
    <w:p w14:paraId="14908318">
      <w:pPr>
        <w:ind w:firstLine="422"/>
        <w:jc w:val="center"/>
        <w:rPr>
          <w:rFonts w:ascii="宋体" w:hAnsi="宋体"/>
          <w:b/>
          <w:bCs/>
          <w:szCs w:val="21"/>
        </w:rPr>
      </w:pPr>
      <w:r>
        <w:rPr>
          <w:rFonts w:hint="eastAsia" w:ascii="宋体" w:hAnsi="宋体"/>
          <w:b/>
          <w:bCs/>
          <w:szCs w:val="21"/>
        </w:rPr>
        <w:t xml:space="preserve">Ⅲ  </w:t>
      </w:r>
      <w:r>
        <w:rPr>
          <w:rFonts w:hint="eastAsia" w:ascii="宋体" w:hAnsi="宋体"/>
          <w:bCs/>
          <w:szCs w:val="21"/>
        </w:rPr>
        <w:t>车站公共区通风与空调系统</w:t>
      </w:r>
    </w:p>
    <w:p w14:paraId="0701F388">
      <w:pPr>
        <w:rPr>
          <w:rFonts w:ascii="宋体" w:hAnsi="宋体"/>
          <w:szCs w:val="21"/>
        </w:rPr>
      </w:pPr>
      <w:r>
        <w:rPr>
          <w:rFonts w:hint="eastAsia" w:eastAsia="黑体" w:cs="方正黑体_GBK"/>
          <w:b/>
          <w:bCs/>
          <w:szCs w:val="21"/>
        </w:rPr>
        <w:t xml:space="preserve">14.2.23～14.2.25  </w:t>
      </w:r>
      <w:r>
        <w:rPr>
          <w:rFonts w:hint="eastAsia" w:ascii="宋体" w:hAnsi="宋体"/>
          <w:szCs w:val="21"/>
        </w:rPr>
        <w:t>地下车站的出入口、换乘通道以及连接通道的温度标准。根据北京开通的新线运营反馈，较长的地下车站出入口及换乘通道内部温度过高是乘客投诉的热点之一。本规范参考国家标准</w:t>
      </w:r>
      <w:r>
        <w:rPr>
          <w:rFonts w:hint="eastAsia" w:hAnsi="宋体"/>
          <w:szCs w:val="21"/>
        </w:rPr>
        <w:t>《地铁设计标准》</w:t>
      </w:r>
      <w:r>
        <w:rPr>
          <w:rFonts w:hint="eastAsia" w:ascii="宋体" w:hAnsi="宋体"/>
          <w:szCs w:val="21"/>
        </w:rPr>
        <w:t>GB 50157（修编报批稿）对其内部温度进行了规定。由于换乘通道内的客流不均匀性较大，在空调系统设计时应考虑其对空调负荷的影响。</w:t>
      </w:r>
    </w:p>
    <w:p w14:paraId="70E86AA4">
      <w:pPr>
        <w:rPr>
          <w:rFonts w:ascii="宋体" w:hAnsi="宋体"/>
          <w:szCs w:val="21"/>
        </w:rPr>
      </w:pPr>
      <w:r>
        <w:rPr>
          <w:rFonts w:hint="eastAsia" w:eastAsia="黑体" w:cs="方正黑体_GBK"/>
          <w:b/>
          <w:bCs/>
          <w:szCs w:val="21"/>
        </w:rPr>
        <w:t xml:space="preserve">14.2.26  </w:t>
      </w:r>
      <w:r>
        <w:rPr>
          <w:rFonts w:hint="eastAsia" w:ascii="宋体" w:hAnsi="宋体"/>
          <w:szCs w:val="21"/>
        </w:rPr>
        <w:t>风机合用的相关规定。公共区通风机或车站排热风机与区间隧道风机合用的集成通风空调系统是北京城市轨道交通常用的通风空调系统方案。集成系统中的区间隧道风机一机多用，须满足不同工况下不同的风量与风压要求。若采用定转速风机，需按照最大的风量、风压（事故工况）选择风机，会导致正常工况下的风量、风压都高于设计值，运行时需通过风阀的调节进行节流，造成一定的浪费。而采用风机变频调速技术，通过改变风机的特性曲线，满足不同的风量、风压要求，具有良好的节能效果。</w:t>
      </w:r>
    </w:p>
    <w:p w14:paraId="1F50054C">
      <w:pPr>
        <w:jc w:val="center"/>
        <w:rPr>
          <w:rFonts w:ascii="宋体" w:hAnsi="宋体"/>
          <w:b/>
          <w:bCs/>
          <w:szCs w:val="21"/>
        </w:rPr>
      </w:pPr>
      <w:r>
        <w:rPr>
          <w:rFonts w:hint="eastAsia" w:ascii="宋体" w:hAnsi="宋体"/>
          <w:b/>
          <w:bCs/>
          <w:szCs w:val="21"/>
        </w:rPr>
        <w:t xml:space="preserve">Ⅳ  </w:t>
      </w:r>
      <w:r>
        <w:rPr>
          <w:rFonts w:hint="eastAsia" w:ascii="宋体" w:hAnsi="宋体"/>
          <w:bCs/>
          <w:szCs w:val="21"/>
        </w:rPr>
        <w:t>地下车站设备及管理用房通风与空调系统</w:t>
      </w:r>
    </w:p>
    <w:p w14:paraId="5BE807DA">
      <w:r>
        <w:rPr>
          <w:rFonts w:hint="eastAsia" w:eastAsia="黑体" w:cs="方正黑体_GBK"/>
          <w:b/>
          <w:bCs/>
          <w:szCs w:val="21"/>
        </w:rPr>
        <w:t xml:space="preserve">14.2.28  </w:t>
      </w:r>
      <w:r>
        <w:rPr>
          <w:rFonts w:hint="eastAsia"/>
        </w:rPr>
        <w:t>重要设备用房的备用空调系统规定。车站综合控制室、综合监控设备室、信号设备室、通信设备室、民用通信设备室、公安通信设备室、电源及蓄电池室属于重要的设备用房，若空调系统失效，可能导致较高的运营风险。根据北京地铁运营需求。这些房间考虑备用空调系统，有利于保证北京地铁线路的运行。</w:t>
      </w:r>
    </w:p>
    <w:p w14:paraId="6F822ED4">
      <w:r>
        <w:rPr>
          <w:rFonts w:hint="eastAsia" w:eastAsia="黑体" w:cs="方正黑体_GBK"/>
          <w:b/>
          <w:bCs/>
          <w:szCs w:val="21"/>
        </w:rPr>
        <w:t xml:space="preserve">14.2.29  </w:t>
      </w:r>
      <w:r>
        <w:rPr>
          <w:rFonts w:hint="eastAsia"/>
        </w:rPr>
        <w:t>多联分体空调系统室外机设置要求。室外机应尽可能设置在室外，以保证良好的散热。当受到规划条件限制无法设置在室外时，宜设置排风井下，确保室外机周围空气流通顺畅，在室外机进风口处安装防尘装置，并在附近设置防尘装置的清洗及排水设施。</w:t>
      </w:r>
    </w:p>
    <w:p w14:paraId="704B65C9">
      <w:pPr>
        <w:rPr>
          <w:rFonts w:ascii="宋体" w:hAnsi="宋体"/>
          <w:szCs w:val="21"/>
        </w:rPr>
      </w:pPr>
      <w:r>
        <w:rPr>
          <w:rFonts w:hint="eastAsia" w:eastAsia="黑体" w:cs="方正黑体_GBK"/>
          <w:b/>
          <w:bCs/>
          <w:szCs w:val="21"/>
        </w:rPr>
        <w:t xml:space="preserve">14.2.31  </w:t>
      </w:r>
      <w:r>
        <w:rPr>
          <w:rFonts w:hint="eastAsia" w:ascii="宋体" w:hAnsi="宋体"/>
          <w:szCs w:val="21"/>
        </w:rPr>
        <w:t>空调送风口、</w:t>
      </w:r>
      <w:r>
        <w:rPr>
          <w:rFonts w:hint="eastAsia"/>
        </w:rPr>
        <w:t>阀门</w:t>
      </w:r>
      <w:r>
        <w:rPr>
          <w:rFonts w:hint="eastAsia" w:ascii="宋体" w:hAnsi="宋体"/>
          <w:szCs w:val="21"/>
        </w:rPr>
        <w:t>及室内机的布置要求。空调送风口及室内机在运行过程中有产生凝结水的风险；另外，阀门及室内机等设备存在检修的要求，为避免影响下部电气设备的正常工作，要求上述通风空调设施避开电气设备上方布置。</w:t>
      </w:r>
    </w:p>
    <w:p w14:paraId="178CCA15">
      <w:pPr>
        <w:rPr>
          <w:rFonts w:ascii="宋体" w:hAnsi="宋体"/>
          <w:szCs w:val="21"/>
        </w:rPr>
      </w:pPr>
      <w:r>
        <w:rPr>
          <w:rFonts w:hint="eastAsia" w:ascii="宋体" w:hAnsi="宋体"/>
          <w:szCs w:val="21"/>
        </w:rPr>
        <w:t>14.2.32  厕所、污水泵房通风系统规定。污水泵房与厕所类似，也会产生异味，因此规定单独或与厕所一并设置独立的机械通风系统。</w:t>
      </w:r>
    </w:p>
    <w:p w14:paraId="0F313710">
      <w:pPr>
        <w:rPr>
          <w:rFonts w:ascii="宋体" w:hAnsi="宋体"/>
          <w:szCs w:val="21"/>
        </w:rPr>
      </w:pPr>
      <w:r>
        <w:rPr>
          <w:rFonts w:hint="eastAsia" w:eastAsia="黑体" w:cs="方正黑体_GBK"/>
          <w:b/>
          <w:bCs/>
          <w:szCs w:val="21"/>
        </w:rPr>
        <w:t xml:space="preserve">14.2.33  </w:t>
      </w:r>
      <w:r>
        <w:rPr>
          <w:rFonts w:hint="eastAsia" w:ascii="宋体" w:hAnsi="宋体"/>
          <w:szCs w:val="21"/>
        </w:rPr>
        <w:t>设置</w:t>
      </w:r>
      <w:r>
        <w:rPr>
          <w:rFonts w:hint="eastAsia"/>
        </w:rPr>
        <w:t>气体</w:t>
      </w:r>
      <w:r>
        <w:rPr>
          <w:rFonts w:hint="eastAsia" w:ascii="宋体" w:hAnsi="宋体"/>
          <w:szCs w:val="21"/>
        </w:rPr>
        <w:t>灭火的房间通风要求。灭火气体释放时，需房间保持密闭状态，以达到良好的灭火效果。因此，要求房间内的通风、空调风道口部能受控自动关闭，亦可通过通风、空调风道上的阀门实现封闭功能。</w:t>
      </w:r>
    </w:p>
    <w:p w14:paraId="6E1A1376">
      <w:pPr>
        <w:ind w:firstLine="420"/>
        <w:rPr>
          <w:rFonts w:ascii="宋体" w:hAnsi="宋体"/>
          <w:szCs w:val="21"/>
        </w:rPr>
      </w:pPr>
      <w:r>
        <w:rPr>
          <w:rFonts w:hint="eastAsia" w:ascii="宋体" w:hAnsi="宋体"/>
          <w:szCs w:val="21"/>
        </w:rPr>
        <w:t>Ⅴ  空调冷源及水系统</w:t>
      </w:r>
    </w:p>
    <w:p w14:paraId="79698DF9">
      <w:pPr>
        <w:rPr>
          <w:rFonts w:ascii="宋体" w:hAnsi="宋体"/>
          <w:szCs w:val="21"/>
        </w:rPr>
      </w:pPr>
      <w:r>
        <w:rPr>
          <w:rFonts w:hint="eastAsia" w:eastAsia="黑体" w:cs="方正黑体_GBK"/>
          <w:b/>
          <w:bCs/>
          <w:szCs w:val="21"/>
        </w:rPr>
        <w:t xml:space="preserve">14.2.35  </w:t>
      </w:r>
      <w:r>
        <w:rPr>
          <w:rFonts w:hint="eastAsia" w:ascii="宋体" w:hAnsi="宋体"/>
          <w:szCs w:val="21"/>
        </w:rPr>
        <w:t>空调冷源</w:t>
      </w:r>
      <w:r>
        <w:rPr>
          <w:rFonts w:hint="eastAsia"/>
        </w:rPr>
        <w:t>设计</w:t>
      </w:r>
      <w:r>
        <w:rPr>
          <w:rFonts w:hint="eastAsia" w:ascii="宋体" w:hAnsi="宋体"/>
          <w:szCs w:val="21"/>
        </w:rPr>
        <w:t>规定。</w:t>
      </w:r>
    </w:p>
    <w:p w14:paraId="61789040">
      <w:pPr>
        <w:ind w:firstLine="420"/>
        <w:rPr>
          <w:rFonts w:ascii="宋体" w:hAnsi="宋体"/>
          <w:szCs w:val="21"/>
        </w:rPr>
      </w:pPr>
      <w:r>
        <w:rPr>
          <w:rFonts w:hint="eastAsia" w:ascii="宋体" w:hAnsi="宋体"/>
          <w:szCs w:val="21"/>
        </w:rPr>
        <w:t>第2款：电动压缩式冷水机组是传统的城市轨道交通空调冷源方式，在北京既有线大量采用。根据近期的相关研究成果，在北京地铁9号线六里桥东站采用的电动压缩式直接蒸发空调机组可节能20%左右，且满足各项系统运行要求，可在北京推广使用。</w:t>
      </w:r>
    </w:p>
    <w:p w14:paraId="6942DEC2">
      <w:pPr>
        <w:ind w:firstLine="420"/>
      </w:pPr>
      <w:r>
        <w:rPr>
          <w:rFonts w:hint="eastAsia"/>
        </w:rPr>
        <w:t>第4款：根据北京既有线运营经验，车站公共区与设备及管理用房的空调系统冷源分别独立设置有利于夜间及过渡季节小冷量运营条件下的系统稳定与节能。另外，系统冷源分别独立设置即指冷水机组、循环水泵及系统管路均独立设置。</w:t>
      </w:r>
    </w:p>
    <w:p w14:paraId="4568ADD0">
      <w:pPr>
        <w:ind w:firstLine="420"/>
      </w:pPr>
      <w:r>
        <w:rPr>
          <w:rFonts w:hint="eastAsia"/>
        </w:rPr>
        <w:t>第5款：根据相关研究成果，同期建设、开通期相差2年以内的换乘车站空调水系统可共享设置，以利于降低系统及土建投资。为方便先期开通线路的运营管理，规定共享的冷冻机房应设置在先期开通的线路范围内；为避免后期开通线路对先期开通线路产生过多影响，在先期开通的线路范围内的服务于后期线路的管线宜在先期实施。</w:t>
      </w:r>
    </w:p>
    <w:p w14:paraId="5BE0EFA2">
      <w:pPr>
        <w:jc w:val="left"/>
        <w:rPr>
          <w:rFonts w:ascii="宋体" w:hAnsi="宋体"/>
          <w:szCs w:val="21"/>
        </w:rPr>
      </w:pPr>
      <w:r>
        <w:rPr>
          <w:rFonts w:hint="eastAsia" w:eastAsia="黑体" w:cs="方正黑体_GBK"/>
          <w:b/>
          <w:bCs/>
          <w:szCs w:val="21"/>
        </w:rPr>
        <w:t xml:space="preserve">14.2.37  </w:t>
      </w:r>
      <w:r>
        <w:rPr>
          <w:rFonts w:hint="eastAsia" w:ascii="宋体" w:hAnsi="宋体"/>
          <w:szCs w:val="21"/>
        </w:rPr>
        <w:t>冷冻水系统设计的规定。</w:t>
      </w:r>
    </w:p>
    <w:p w14:paraId="5F560958">
      <w:pPr>
        <w:ind w:firstLine="420"/>
        <w:rPr>
          <w:rFonts w:ascii="宋体" w:hAnsi="宋体"/>
          <w:szCs w:val="21"/>
        </w:rPr>
      </w:pPr>
      <w:r>
        <w:rPr>
          <w:rFonts w:hint="eastAsia" w:ascii="宋体" w:hAnsi="宋体"/>
          <w:szCs w:val="21"/>
        </w:rPr>
        <w:t>第5款：城市轨道交通工程专业众多，施工时交叉作业频繁，冷冻水管保温层外部设置金属保护层有利于成品保护。另外，土建风道内部及轨行区的风速较高，也有必要设置金属保护层以确保保温层的使用寿命与效果。</w:t>
      </w:r>
    </w:p>
    <w:p w14:paraId="02B1599A">
      <w:pPr>
        <w:jc w:val="left"/>
        <w:rPr>
          <w:rFonts w:ascii="宋体" w:hAnsi="宋体"/>
          <w:szCs w:val="21"/>
        </w:rPr>
      </w:pPr>
      <w:r>
        <w:rPr>
          <w:rFonts w:hint="eastAsia" w:eastAsia="黑体" w:cs="方正黑体_GBK"/>
          <w:b/>
          <w:bCs/>
          <w:szCs w:val="21"/>
        </w:rPr>
        <w:t xml:space="preserve">14.2.38  </w:t>
      </w:r>
      <w:r>
        <w:rPr>
          <w:rFonts w:hint="eastAsia" w:ascii="宋体" w:hAnsi="宋体"/>
          <w:szCs w:val="21"/>
        </w:rPr>
        <w:t>冷却水系统设计的规定。</w:t>
      </w:r>
    </w:p>
    <w:p w14:paraId="68C71A3F">
      <w:pPr>
        <w:ind w:firstLine="420"/>
        <w:rPr>
          <w:rFonts w:ascii="宋体" w:hAnsi="宋体"/>
          <w:szCs w:val="21"/>
        </w:rPr>
      </w:pPr>
      <w:r>
        <w:rPr>
          <w:rFonts w:hint="eastAsia" w:ascii="宋体" w:hAnsi="宋体"/>
          <w:szCs w:val="21"/>
        </w:rPr>
        <w:t>第5款：根据北京城市轨道交通内部温度标准及室外设计参数，冷却水在输送过程中可以不考虑热量损失的问题，因此规定冷却水管可不采取保温措施。</w:t>
      </w:r>
    </w:p>
    <w:p w14:paraId="3946D0A9">
      <w:pPr>
        <w:jc w:val="left"/>
        <w:rPr>
          <w:rFonts w:ascii="宋体" w:hAnsi="宋体"/>
          <w:szCs w:val="21"/>
        </w:rPr>
      </w:pPr>
      <w:r>
        <w:rPr>
          <w:rFonts w:hint="eastAsia" w:eastAsia="黑体" w:cs="方正黑体_GBK"/>
          <w:b/>
          <w:bCs/>
          <w:szCs w:val="21"/>
        </w:rPr>
        <w:t xml:space="preserve">14.2.39  </w:t>
      </w:r>
      <w:r>
        <w:rPr>
          <w:rFonts w:hint="eastAsia" w:ascii="宋体" w:hAnsi="宋体"/>
          <w:szCs w:val="21"/>
        </w:rPr>
        <w:t>冷却塔的设置规定。</w:t>
      </w:r>
    </w:p>
    <w:p w14:paraId="6CBFB1D8">
      <w:pPr>
        <w:ind w:firstLine="420"/>
        <w:rPr>
          <w:rFonts w:ascii="宋体" w:hAnsi="宋体"/>
          <w:szCs w:val="21"/>
        </w:rPr>
      </w:pPr>
      <w:r>
        <w:rPr>
          <w:rFonts w:hint="eastAsia" w:ascii="宋体" w:hAnsi="宋体"/>
          <w:szCs w:val="21"/>
        </w:rPr>
        <w:t>第3款：当结合室外地面建筑设置冷却塔时，为保证运营维护工作的人员安全，应设置安全防护措施。根据运营要求，当塔体距离楼顶边缘的距离不足3m时，护栏高度应超过塔顶2m。同时，还应设置避雷装置、排水设施和检修电源。</w:t>
      </w:r>
    </w:p>
    <w:p w14:paraId="11168C21">
      <w:pPr>
        <w:jc w:val="center"/>
        <w:rPr>
          <w:rFonts w:ascii="宋体" w:hAnsi="宋体"/>
          <w:b/>
          <w:bCs/>
          <w:szCs w:val="21"/>
        </w:rPr>
      </w:pPr>
      <w:r>
        <w:rPr>
          <w:rFonts w:hint="eastAsia" w:ascii="宋体" w:hAnsi="宋体"/>
          <w:b/>
          <w:bCs/>
          <w:szCs w:val="21"/>
        </w:rPr>
        <w:t xml:space="preserve">Ⅵ  </w:t>
      </w:r>
      <w:r>
        <w:rPr>
          <w:rFonts w:hint="eastAsia" w:ascii="宋体" w:hAnsi="宋体"/>
          <w:bCs/>
          <w:szCs w:val="21"/>
        </w:rPr>
        <w:t>机房、风道及风亭</w:t>
      </w:r>
    </w:p>
    <w:p w14:paraId="290A8DC1">
      <w:pPr>
        <w:jc w:val="left"/>
        <w:rPr>
          <w:rFonts w:ascii="宋体" w:hAnsi="宋体"/>
          <w:szCs w:val="21"/>
        </w:rPr>
      </w:pPr>
      <w:r>
        <w:rPr>
          <w:rFonts w:hint="eastAsia" w:eastAsia="黑体" w:cs="方正黑体_GBK"/>
          <w:b/>
          <w:bCs/>
          <w:szCs w:val="21"/>
        </w:rPr>
        <w:t xml:space="preserve">14.2.42  </w:t>
      </w:r>
      <w:r>
        <w:rPr>
          <w:rFonts w:hint="eastAsia" w:ascii="宋体" w:hAnsi="宋体"/>
          <w:szCs w:val="21"/>
        </w:rPr>
        <w:t>土建风道内布置设备的规定。受地面道路状况及规划条件的限制，不少车站的土建风道较长。如果不加以利用，浪费严重。北京城市轨道交通常用的集成通风空调系统方案，充分利用较长的土建风道内部空间布置通风与空调系统设备，可以大大压缩车站内部的机房土建规模，“节地”效果明显。</w:t>
      </w:r>
    </w:p>
    <w:p w14:paraId="14ECEEB2">
      <w:pPr>
        <w:jc w:val="left"/>
        <w:rPr>
          <w:rFonts w:ascii="宋体" w:hAnsi="宋体"/>
          <w:szCs w:val="21"/>
        </w:rPr>
      </w:pPr>
      <w:r>
        <w:rPr>
          <w:rFonts w:hint="eastAsia" w:eastAsia="黑体" w:cs="方正黑体_GBK"/>
          <w:b/>
          <w:bCs/>
          <w:szCs w:val="21"/>
        </w:rPr>
        <w:t xml:space="preserve">14.2.44  </w:t>
      </w:r>
      <w:r>
        <w:rPr>
          <w:rFonts w:hint="eastAsia" w:ascii="宋体" w:hAnsi="宋体"/>
          <w:szCs w:val="21"/>
        </w:rPr>
        <w:t>冷冻机房内的设备布置规定。根据《全国民用建筑工程设计技术措施暖通空调·动力》，对冷水机组四周最小操作与维修空间进行规定，个别部位要求较以往的规定有所提高。</w:t>
      </w:r>
    </w:p>
    <w:p w14:paraId="608DE460">
      <w:pPr>
        <w:jc w:val="left"/>
        <w:rPr>
          <w:rFonts w:ascii="宋体" w:hAnsi="宋体"/>
          <w:szCs w:val="21"/>
        </w:rPr>
      </w:pPr>
      <w:r>
        <w:rPr>
          <w:rFonts w:hint="eastAsia" w:eastAsia="黑体" w:cs="方正黑体_GBK"/>
          <w:b/>
          <w:bCs/>
          <w:szCs w:val="21"/>
        </w:rPr>
        <w:t xml:space="preserve">14.2.45  </w:t>
      </w:r>
      <w:r>
        <w:rPr>
          <w:rFonts w:hint="eastAsia" w:ascii="宋体" w:hAnsi="宋体"/>
          <w:szCs w:val="21"/>
        </w:rPr>
        <w:t>冷冻机房及通风空调机房排水设施的规定。分集水器泄水管、水处理器反冲洗泄水管、冷冻及冷却水系统冬季泄水管的泄水流量较大，若直接接入机房排水沟，由于机房排水沟通常较浅，会出现排水外溢形成地面漫流的现象，为此要求将上述大流量泄水管直接引至废水泵房集水池或设有防外溢措施的泄水槽内。</w:t>
      </w:r>
    </w:p>
    <w:p w14:paraId="3E7F1C2E">
      <w:pPr>
        <w:jc w:val="left"/>
        <w:rPr>
          <w:rFonts w:ascii="宋体" w:hAnsi="宋体"/>
          <w:szCs w:val="21"/>
        </w:rPr>
      </w:pPr>
      <w:r>
        <w:rPr>
          <w:rFonts w:hint="eastAsia" w:eastAsia="黑体" w:cs="方正黑体_GBK"/>
          <w:b/>
          <w:bCs/>
          <w:szCs w:val="21"/>
        </w:rPr>
        <w:t xml:space="preserve">14.2.46 </w:t>
      </w:r>
      <w:r>
        <w:rPr>
          <w:rFonts w:hint="eastAsia" w:ascii="宋体" w:hAnsi="宋体"/>
          <w:szCs w:val="21"/>
        </w:rPr>
        <w:t xml:space="preserve"> 通风空调机房的防水措施。为防止地面积水流至下层用房，影响运营安全，根据工程经验及《建筑设备施工安装通用图集》（91SB）的有关要求，在风管穿越楼板处设置高于地面面层不小于200mm的挡水台，水管穿越楼板处设置高于地面面层不小于200mm的套管。</w:t>
      </w:r>
    </w:p>
    <w:p w14:paraId="2D68DA5E">
      <w:pPr>
        <w:jc w:val="left"/>
        <w:rPr>
          <w:rFonts w:ascii="宋体" w:hAnsi="宋体"/>
          <w:szCs w:val="21"/>
        </w:rPr>
      </w:pPr>
      <w:r>
        <w:rPr>
          <w:rFonts w:hint="eastAsia" w:eastAsia="黑体" w:cs="方正黑体_GBK"/>
          <w:b/>
          <w:bCs/>
          <w:szCs w:val="21"/>
        </w:rPr>
        <w:t xml:space="preserve">14.2.47 </w:t>
      </w:r>
      <w:r>
        <w:rPr>
          <w:rFonts w:hint="eastAsia" w:ascii="宋体" w:hAnsi="宋体"/>
          <w:b/>
          <w:szCs w:val="21"/>
        </w:rPr>
        <w:t xml:space="preserve"> </w:t>
      </w:r>
      <w:r>
        <w:rPr>
          <w:rFonts w:hint="eastAsia" w:ascii="宋体" w:hAnsi="宋体"/>
          <w:szCs w:val="21"/>
        </w:rPr>
        <w:t>表冷器的冬季维护要求。北京冬季气候寒冷，表冷器应考虑防冻问题。根据既有线运营经验，防冻需经过泄水、吹干、加注防冻液等步骤，因此系统设计及设备选择应为上述运营维护流程创造条件。</w:t>
      </w:r>
    </w:p>
    <w:p w14:paraId="2A8E10D5">
      <w:pPr>
        <w:jc w:val="center"/>
        <w:rPr>
          <w:rFonts w:ascii="宋体" w:hAnsi="宋体"/>
          <w:b/>
          <w:bCs/>
          <w:szCs w:val="21"/>
        </w:rPr>
      </w:pPr>
      <w:r>
        <w:rPr>
          <w:rFonts w:hint="eastAsia" w:ascii="宋体" w:hAnsi="宋体"/>
          <w:b/>
          <w:bCs/>
          <w:szCs w:val="21"/>
        </w:rPr>
        <w:t xml:space="preserve">Ⅶ </w:t>
      </w:r>
      <w:r>
        <w:rPr>
          <w:rFonts w:hint="eastAsia" w:ascii="宋体" w:hAnsi="宋体"/>
          <w:bCs/>
          <w:szCs w:val="21"/>
        </w:rPr>
        <w:t xml:space="preserve"> 供    暖</w:t>
      </w:r>
    </w:p>
    <w:p w14:paraId="27287633">
      <w:pPr>
        <w:jc w:val="left"/>
        <w:rPr>
          <w:rFonts w:ascii="宋体" w:hAnsi="宋体"/>
          <w:szCs w:val="21"/>
        </w:rPr>
      </w:pPr>
      <w:r>
        <w:rPr>
          <w:rFonts w:hint="eastAsia" w:eastAsia="黑体" w:cs="方正黑体_GBK"/>
          <w:b/>
          <w:bCs/>
          <w:szCs w:val="21"/>
        </w:rPr>
        <w:t xml:space="preserve">14.2.56  </w:t>
      </w:r>
      <w:r>
        <w:rPr>
          <w:rFonts w:hint="eastAsia" w:ascii="宋体" w:hAnsi="宋体"/>
          <w:szCs w:val="21"/>
        </w:rPr>
        <w:t>人员房间的供暖规定。根据北京的气候条件，特别是运营初期的冬季，有供暖需求的地下车站房间主要是那些有工作人员的车站管理用房，如售票室、车站综合控制室、站长室、值班室等。局部供暖既可以采用电暖气供暖方式，也可采用空调热泵系统的方式。</w:t>
      </w:r>
    </w:p>
    <w:p w14:paraId="564B4C8E">
      <w:pPr>
        <w:pStyle w:val="4"/>
        <w:numPr>
          <w:ilvl w:val="0"/>
          <w:numId w:val="0"/>
        </w:numPr>
      </w:pPr>
      <w:bookmarkStart w:id="2662" w:name="_Toc183882312"/>
      <w:bookmarkStart w:id="2663" w:name="_Toc183888726"/>
      <w:bookmarkStart w:id="2664" w:name="_Toc183882674"/>
      <w:bookmarkStart w:id="2665" w:name="_Toc183738143"/>
      <w:bookmarkStart w:id="2666" w:name="_Toc183888364"/>
      <w:bookmarkStart w:id="2667" w:name="_Toc183765321"/>
      <w:bookmarkStart w:id="2668" w:name="_Toc183790751"/>
      <w:r>
        <w:rPr>
          <w:rFonts w:hint="eastAsia"/>
          <w:b/>
        </w:rPr>
        <w:t xml:space="preserve">14.3 </w:t>
      </w:r>
      <w:r>
        <w:rPr>
          <w:rFonts w:hint="eastAsia"/>
        </w:rPr>
        <w:t xml:space="preserve"> 高架、地面线通风、空调与供暖</w:t>
      </w:r>
      <w:bookmarkEnd w:id="2662"/>
      <w:bookmarkEnd w:id="2663"/>
      <w:bookmarkEnd w:id="2664"/>
      <w:bookmarkEnd w:id="2665"/>
      <w:bookmarkEnd w:id="2666"/>
      <w:bookmarkEnd w:id="2667"/>
      <w:bookmarkEnd w:id="2668"/>
    </w:p>
    <w:p w14:paraId="21C4CF1C">
      <w:pPr>
        <w:jc w:val="center"/>
        <w:rPr>
          <w:rFonts w:ascii="宋体" w:hAnsi="宋体"/>
          <w:b/>
          <w:bCs/>
          <w:szCs w:val="21"/>
        </w:rPr>
      </w:pPr>
      <w:r>
        <w:rPr>
          <w:rFonts w:hint="eastAsia" w:ascii="宋体" w:hAnsi="宋体"/>
          <w:b/>
          <w:bCs/>
          <w:szCs w:val="21"/>
        </w:rPr>
        <w:t xml:space="preserve">Ⅰ  </w:t>
      </w:r>
      <w:r>
        <w:rPr>
          <w:rFonts w:hint="eastAsia" w:ascii="宋体" w:hAnsi="宋体"/>
          <w:bCs/>
          <w:szCs w:val="21"/>
        </w:rPr>
        <w:t>室内外设计参数</w:t>
      </w:r>
    </w:p>
    <w:p w14:paraId="164A31C0">
      <w:pPr>
        <w:jc w:val="left"/>
        <w:rPr>
          <w:rFonts w:ascii="宋体" w:hAnsi="宋体"/>
          <w:szCs w:val="21"/>
        </w:rPr>
      </w:pPr>
      <w:r>
        <w:rPr>
          <w:rFonts w:hint="eastAsia" w:ascii="宋体" w:hAnsi="宋体"/>
          <w:b/>
          <w:szCs w:val="21"/>
        </w:rPr>
        <w:t xml:space="preserve">14.3.1～13.3.2 </w:t>
      </w:r>
      <w:r>
        <w:rPr>
          <w:rFonts w:hint="eastAsia" w:ascii="宋体" w:hAnsi="宋体"/>
          <w:szCs w:val="21"/>
        </w:rPr>
        <w:t xml:space="preserve"> 地上车站室外空气计算温度标准。本章节中的各种室外空气计算参数取自《民用建筑供暖通风与空气调节设计规范》GB 50736—2012。</w:t>
      </w:r>
    </w:p>
    <w:p w14:paraId="37635EA7">
      <w:pPr>
        <w:jc w:val="left"/>
        <w:rPr>
          <w:rFonts w:ascii="宋体" w:hAnsi="宋体"/>
          <w:szCs w:val="21"/>
        </w:rPr>
      </w:pPr>
      <w:r>
        <w:rPr>
          <w:rFonts w:hint="eastAsia" w:eastAsia="黑体" w:cs="方正黑体_GBK"/>
          <w:b/>
          <w:bCs/>
          <w:szCs w:val="21"/>
        </w:rPr>
        <w:t xml:space="preserve">14.3.3  </w:t>
      </w:r>
      <w:r>
        <w:rPr>
          <w:rFonts w:hint="eastAsia" w:ascii="宋体" w:hAnsi="宋体"/>
          <w:szCs w:val="21"/>
        </w:rPr>
        <w:t>地上车站站厅夏季通风空气计算温度。根据现行国家标准《地铁设计规范》GB 50157，站厅采用通风系统时，站厅内的夏季计算温度不应超过室外计算温度3℃，且最高不应超过35℃。北京夏季通风室外计算温度为29.7℃，因此设计标准采用32℃。</w:t>
      </w:r>
    </w:p>
    <w:p w14:paraId="7A330694">
      <w:pPr>
        <w:jc w:val="left"/>
        <w:rPr>
          <w:rFonts w:ascii="宋体" w:hAnsi="宋体"/>
          <w:szCs w:val="21"/>
        </w:rPr>
      </w:pPr>
      <w:r>
        <w:rPr>
          <w:rFonts w:hint="eastAsia" w:ascii="宋体" w:hAnsi="宋体"/>
          <w:b/>
          <w:szCs w:val="21"/>
        </w:rPr>
        <w:t xml:space="preserve">14.3.4 </w:t>
      </w:r>
      <w:r>
        <w:rPr>
          <w:rFonts w:hint="eastAsia" w:ascii="宋体" w:hAnsi="宋体"/>
          <w:szCs w:val="21"/>
        </w:rPr>
        <w:t>高架站和地面站的站厅层通常作为进入站台公共区的短暂过渡区域，因此，比室外计算温度和站台公共区低2℃，满足过渡舒适即可。</w:t>
      </w:r>
    </w:p>
    <w:p w14:paraId="12905AC6">
      <w:pPr>
        <w:jc w:val="center"/>
        <w:rPr>
          <w:rFonts w:ascii="宋体" w:hAnsi="宋体"/>
          <w:b/>
          <w:bCs/>
          <w:szCs w:val="21"/>
        </w:rPr>
      </w:pPr>
      <w:r>
        <w:rPr>
          <w:rFonts w:hint="eastAsia" w:ascii="宋体" w:hAnsi="宋体"/>
          <w:b/>
          <w:bCs/>
          <w:szCs w:val="21"/>
        </w:rPr>
        <w:t xml:space="preserve">Ⅱ </w:t>
      </w:r>
      <w:r>
        <w:rPr>
          <w:rFonts w:hint="eastAsia" w:ascii="宋体" w:hAnsi="宋体"/>
          <w:bCs/>
          <w:szCs w:val="21"/>
        </w:rPr>
        <w:t xml:space="preserve"> 通风与空调</w:t>
      </w:r>
    </w:p>
    <w:p w14:paraId="46F70CE9">
      <w:pPr>
        <w:jc w:val="left"/>
        <w:rPr>
          <w:rFonts w:ascii="宋体" w:hAnsi="宋体"/>
          <w:szCs w:val="21"/>
        </w:rPr>
      </w:pPr>
      <w:r>
        <w:rPr>
          <w:rFonts w:hint="eastAsia" w:eastAsia="黑体" w:cs="方正黑体_GBK"/>
          <w:b/>
          <w:bCs/>
          <w:szCs w:val="21"/>
        </w:rPr>
        <w:t xml:space="preserve">14.3.9  </w:t>
      </w:r>
      <w:r>
        <w:rPr>
          <w:rFonts w:hint="eastAsia" w:ascii="宋体" w:hAnsi="宋体"/>
          <w:szCs w:val="21"/>
        </w:rPr>
        <w:t>地上变电所通风的规定。由于北京多沙尘天气，根据供电专业的要求，通过在自然进风口设置滤尘设施及调节阀门，阻止大量尘土在极端气候情况下进入变电所。</w:t>
      </w:r>
    </w:p>
    <w:p w14:paraId="0EB71C37">
      <w:pPr>
        <w:jc w:val="left"/>
        <w:rPr>
          <w:rFonts w:ascii="宋体" w:hAnsi="宋体"/>
          <w:szCs w:val="21"/>
        </w:rPr>
      </w:pPr>
      <w:r>
        <w:rPr>
          <w:rFonts w:hint="eastAsia" w:eastAsia="黑体" w:cs="方正黑体_GBK"/>
          <w:b/>
          <w:bCs/>
          <w:szCs w:val="21"/>
        </w:rPr>
        <w:t xml:space="preserve">14.3.10  </w:t>
      </w:r>
      <w:r>
        <w:rPr>
          <w:rFonts w:hint="eastAsia" w:ascii="宋体" w:hAnsi="宋体"/>
          <w:szCs w:val="21"/>
        </w:rPr>
        <w:t>地上车站设备及管理用房空调系统形式的规定。多联分体空调系统因其设备布置灵活、管线占用吊顶空间小、室外机集中建筑立面效果好、分室温度调节节省能耗等优点，在北京既有线地上车站的设备及管理用房中已广泛使用。</w:t>
      </w:r>
    </w:p>
    <w:p w14:paraId="21C22E18">
      <w:pPr>
        <w:ind w:firstLine="420"/>
        <w:rPr>
          <w:rFonts w:ascii="宋体" w:hAnsi="宋体"/>
          <w:szCs w:val="21"/>
        </w:rPr>
      </w:pPr>
      <w:r>
        <w:rPr>
          <w:rFonts w:hint="eastAsia" w:ascii="宋体" w:hAnsi="宋体"/>
          <w:szCs w:val="21"/>
        </w:rPr>
        <w:t>对于发热量大的设备用房，其空调的制冷时间往往与管理用房的空调要求不一致，特别是冬季和春秋季节。为了适应不同的需求，这两类房间的空调系统应分别设置。</w:t>
      </w:r>
    </w:p>
    <w:p w14:paraId="316F0677">
      <w:pPr>
        <w:jc w:val="left"/>
        <w:rPr>
          <w:rFonts w:ascii="宋体" w:hAnsi="宋体"/>
          <w:szCs w:val="21"/>
        </w:rPr>
      </w:pPr>
      <w:r>
        <w:rPr>
          <w:rFonts w:hint="eastAsia" w:eastAsia="黑体" w:cs="方正黑体_GBK"/>
          <w:b/>
          <w:bCs/>
          <w:szCs w:val="21"/>
        </w:rPr>
        <w:t xml:space="preserve">14.3.11  </w:t>
      </w:r>
      <w:r>
        <w:rPr>
          <w:rFonts w:hint="eastAsia" w:ascii="宋体" w:hAnsi="宋体"/>
          <w:szCs w:val="21"/>
        </w:rPr>
        <w:t>局部设置分体空调器的规定。当局部设置分体空调器时，应注意处理室外机的摆放、凝结水的排放满足建筑装修及系统功能要求。</w:t>
      </w:r>
    </w:p>
    <w:p w14:paraId="0B57E278">
      <w:pPr>
        <w:jc w:val="left"/>
        <w:rPr>
          <w:rFonts w:ascii="宋体" w:hAnsi="宋体"/>
          <w:szCs w:val="21"/>
        </w:rPr>
      </w:pPr>
      <w:r>
        <w:rPr>
          <w:rFonts w:hint="eastAsia" w:eastAsia="黑体" w:cs="方正黑体_GBK"/>
          <w:b/>
          <w:bCs/>
          <w:szCs w:val="21"/>
        </w:rPr>
        <w:t xml:space="preserve">14.3.12 </w:t>
      </w:r>
      <w:r>
        <w:rPr>
          <w:rFonts w:hint="eastAsia" w:ascii="宋体" w:hAnsi="宋体"/>
          <w:szCs w:val="21"/>
        </w:rPr>
        <w:t xml:space="preserve"> 高架和地面区间通风的规定。北京既有线的部分高架和地面线路设置了全封闭声屏障，由于温室效应，夏季全封闭声屏障内部的温度非常高，严重影响了乘客及工作人员的舒适度。因此，本条规定全封闭声屏障内部应采取有效的自然通风措施。自然通风宜结合火灾排烟措施一并考虑。</w:t>
      </w:r>
    </w:p>
    <w:p w14:paraId="4597C3E6">
      <w:pPr>
        <w:jc w:val="center"/>
        <w:rPr>
          <w:rFonts w:ascii="宋体" w:hAnsi="宋体"/>
          <w:b/>
          <w:bCs/>
          <w:szCs w:val="21"/>
        </w:rPr>
      </w:pPr>
      <w:r>
        <w:rPr>
          <w:rFonts w:hint="eastAsia" w:ascii="宋体" w:hAnsi="宋体"/>
          <w:b/>
          <w:bCs/>
          <w:szCs w:val="21"/>
        </w:rPr>
        <w:t xml:space="preserve">Ⅲ </w:t>
      </w:r>
      <w:r>
        <w:rPr>
          <w:rFonts w:hint="eastAsia" w:ascii="宋体" w:hAnsi="宋体"/>
          <w:bCs/>
          <w:szCs w:val="21"/>
        </w:rPr>
        <w:t xml:space="preserve"> 供    暖</w:t>
      </w:r>
    </w:p>
    <w:p w14:paraId="6A433222">
      <w:pPr>
        <w:jc w:val="left"/>
        <w:rPr>
          <w:rFonts w:ascii="宋体" w:hAnsi="宋体"/>
          <w:szCs w:val="21"/>
        </w:rPr>
      </w:pPr>
      <w:r>
        <w:rPr>
          <w:rFonts w:hint="eastAsia" w:eastAsia="黑体" w:cs="方正黑体_GBK"/>
          <w:b/>
          <w:bCs/>
          <w:szCs w:val="21"/>
        </w:rPr>
        <w:t xml:space="preserve">14.3.13  </w:t>
      </w:r>
      <w:r>
        <w:rPr>
          <w:rFonts w:hint="eastAsia" w:ascii="宋体" w:hAnsi="宋体"/>
          <w:szCs w:val="21"/>
        </w:rPr>
        <w:t>地上车站公共区冬季供暖规定。根据现行国家标准《地铁设计规范》GB 50157，地上车站的站台不设供暖装置，对于最冷月份室外平均温度低于-10℃的严寒地区，站厅可设供暖系统。北京最冷月份室外平均温度为3.6℃，因此公共区可不设置冬季供暖系统。</w:t>
      </w:r>
    </w:p>
    <w:p w14:paraId="2EE72B8D">
      <w:r>
        <w:rPr>
          <w:rFonts w:hint="eastAsia"/>
          <w:b/>
        </w:rPr>
        <w:t xml:space="preserve">14.3.15  </w:t>
      </w:r>
      <w:r>
        <w:rPr>
          <w:rFonts w:hint="eastAsia"/>
        </w:rPr>
        <w:t>供暖热源的规定。地上车站通常远离市中心，一般附近不具备热网条件。从北京地铁5号线开始，地上车站基本都采用热泵型多联分体空调系统进行冬季供暖，对于未设置空调系统的房间（如厕所），采用局部电暖气供暖。从运行效果看，可以满足使用功能要求。</w:t>
      </w:r>
    </w:p>
    <w:p w14:paraId="757E9AF5">
      <w:r>
        <w:rPr>
          <w:rFonts w:hint="eastAsia"/>
          <w:b/>
        </w:rPr>
        <w:t xml:space="preserve">14.3.16 </w:t>
      </w:r>
      <w:r>
        <w:rPr>
          <w:rFonts w:hint="eastAsia"/>
        </w:rPr>
        <w:t xml:space="preserve"> 局部电热供暖设备的防盗及防护措施。根据运营单位反馈，既有线设置在公共部位（如厕所）的移动式局部电热供暖设备有损坏与丢失情况。因此，宜采用壁挂固定式的设备。</w:t>
      </w:r>
    </w:p>
    <w:p w14:paraId="150BA7EF">
      <w:pPr>
        <w:pStyle w:val="4"/>
        <w:numPr>
          <w:ilvl w:val="0"/>
          <w:numId w:val="0"/>
        </w:numPr>
      </w:pPr>
      <w:bookmarkStart w:id="2669" w:name="_Toc183882675"/>
      <w:bookmarkStart w:id="2670" w:name="_Toc183888727"/>
      <w:bookmarkStart w:id="2671" w:name="_Toc183888365"/>
      <w:bookmarkStart w:id="2672" w:name="_Toc183882313"/>
      <w:bookmarkStart w:id="2673" w:name="_Toc183765322"/>
      <w:bookmarkStart w:id="2674" w:name="_Toc183738144"/>
      <w:bookmarkStart w:id="2675" w:name="_Toc183790752"/>
      <w:r>
        <w:rPr>
          <w:rFonts w:hint="eastAsia"/>
          <w:b/>
        </w:rPr>
        <w:t xml:space="preserve">14.4  </w:t>
      </w:r>
      <w:r>
        <w:rPr>
          <w:rFonts w:hint="eastAsia"/>
        </w:rPr>
        <w:t>车辆综合基地、控制中心通风、空调与供暖</w:t>
      </w:r>
      <w:bookmarkEnd w:id="2669"/>
      <w:bookmarkEnd w:id="2670"/>
      <w:bookmarkEnd w:id="2671"/>
      <w:bookmarkEnd w:id="2672"/>
      <w:bookmarkEnd w:id="2673"/>
      <w:bookmarkEnd w:id="2674"/>
      <w:bookmarkEnd w:id="2675"/>
    </w:p>
    <w:p w14:paraId="7B364A45">
      <w:r>
        <w:rPr>
          <w:rFonts w:hint="eastAsia"/>
          <w:b/>
        </w:rPr>
        <w:t xml:space="preserve">14.4.1  </w:t>
      </w:r>
      <w:r>
        <w:rPr>
          <w:rFonts w:hint="eastAsia"/>
        </w:rPr>
        <w:t>车辆综合基地的大库供暖及通风规定。现行国家标准《地铁设计规范》GB 50157未对停车库、列检库、洗车库、月检库等运用和检修生产设施库室的冬季供暖室内设计温度做具体规定，根据工艺要求及北京既有线工程经验，本规范将上述库室的设计温度定为12℃。</w:t>
      </w:r>
    </w:p>
    <w:p w14:paraId="6CCC4016">
      <w:pPr>
        <w:ind w:firstLine="420"/>
        <w:rPr>
          <w:rFonts w:ascii="宋体" w:hAnsi="宋体"/>
          <w:szCs w:val="21"/>
        </w:rPr>
      </w:pPr>
      <w:r>
        <w:rPr>
          <w:rFonts w:hint="eastAsia" w:ascii="宋体" w:hAnsi="宋体"/>
          <w:szCs w:val="21"/>
        </w:rPr>
        <w:t>在实际工程中，有些库室不具备自然通风条件，夏季需设置机械通风系统。这些库室的虽然体量巨大，但内部发热量却很小，采用较大换气次数不利于运行节能。根据现行国家标准《采暖通风与空气调节设计规范》GB 50019的有关规定及北京既有线的工程经验，制定通风量设计标准。</w:t>
      </w:r>
    </w:p>
    <w:p w14:paraId="72C3721E">
      <w:r>
        <w:rPr>
          <w:rFonts w:hint="eastAsia" w:eastAsia="黑体" w:cs="方正黑体_GBK"/>
          <w:b/>
          <w:bCs/>
          <w:szCs w:val="21"/>
        </w:rPr>
        <w:t xml:space="preserve">14.4.3 </w:t>
      </w:r>
      <w:r>
        <w:rPr>
          <w:rFonts w:hint="eastAsia"/>
        </w:rPr>
        <w:t xml:space="preserve"> 控制中心内各条线路的设备机房空调设计规定。根据工艺要求，控制中心内各条线路的设备机房应执行现行国家标准《电子信息系统机房设计规范》GB 50174中B级机房的技术要求，而且北京轨道交通控制中心的设备机房是按不同线路分室设置的，因此要求各线设置独立的机房专业空调。</w:t>
      </w:r>
    </w:p>
    <w:p w14:paraId="4EFDD8EA">
      <w:pPr>
        <w:pStyle w:val="2396"/>
      </w:pPr>
      <w:r>
        <w:rPr>
          <w:rFonts w:hint="eastAsia" w:eastAsia="黑体" w:cs="方正黑体_GBK"/>
          <w:b/>
          <w:bCs/>
          <w:szCs w:val="21"/>
        </w:rPr>
        <w:t xml:space="preserve">14.4.4  </w:t>
      </w:r>
      <w:r>
        <w:rPr>
          <w:rFonts w:hint="eastAsia"/>
        </w:rPr>
        <w:t>控制中心的调度大厅、网管室、电源室等房间的空调设计规定。根据工艺要求，控制中心的调度大厅、网管室、电源室等设备及管理用房应执行现行国家标准《电子信息系统机房设计规范》GB 50174中C级机房的技术要求。考虑到上述房间内部有工作人员的因素，相对湿度标准由35%～75%调整为35%～65%。</w:t>
      </w:r>
    </w:p>
    <w:p w14:paraId="7B777820">
      <w:pPr>
        <w:widowControl/>
        <w:spacing w:line="240" w:lineRule="auto"/>
        <w:ind w:firstLine="436"/>
        <w:jc w:val="left"/>
        <w:rPr>
          <w:rFonts w:ascii="Arial" w:hAnsi="Arial" w:cs="Arial"/>
          <w:spacing w:val="4"/>
          <w:szCs w:val="18"/>
        </w:rPr>
      </w:pPr>
      <w:r>
        <w:rPr>
          <w:rFonts w:ascii="Arial" w:hAnsi="Arial" w:cs="Arial"/>
          <w:spacing w:val="4"/>
          <w:szCs w:val="18"/>
        </w:rPr>
        <w:br w:type="page"/>
      </w:r>
    </w:p>
    <w:p w14:paraId="31484BC7">
      <w:pPr>
        <w:pStyle w:val="240"/>
      </w:pPr>
      <w:bookmarkStart w:id="2676" w:name="_Toc183882676"/>
      <w:bookmarkStart w:id="2677" w:name="_Toc183454868"/>
      <w:bookmarkStart w:id="2678" w:name="_Toc183454485"/>
      <w:bookmarkStart w:id="2679" w:name="_Toc183699902"/>
      <w:bookmarkStart w:id="2680" w:name="_Toc183454188"/>
      <w:bookmarkStart w:id="2681" w:name="_Toc183888366"/>
      <w:bookmarkStart w:id="2682" w:name="_Toc183765323"/>
      <w:bookmarkStart w:id="2683" w:name="_Toc183735446"/>
      <w:bookmarkStart w:id="2684" w:name="_Toc183790753"/>
      <w:bookmarkStart w:id="2685" w:name="_Toc183882314"/>
      <w:bookmarkStart w:id="2686" w:name="_Toc183738145"/>
      <w:bookmarkStart w:id="2687" w:name="_Toc183888728"/>
      <w:r>
        <w:rPr>
          <w:rFonts w:hint="eastAsia"/>
          <w:b/>
        </w:rPr>
        <w:t xml:space="preserve">15 </w:t>
      </w:r>
      <w:r>
        <w:rPr>
          <w:rFonts w:hint="eastAsia"/>
        </w:rPr>
        <w:t xml:space="preserve"> 给水与排水</w:t>
      </w:r>
      <w:bookmarkEnd w:id="2676"/>
      <w:bookmarkEnd w:id="2677"/>
      <w:bookmarkEnd w:id="2678"/>
      <w:bookmarkEnd w:id="2679"/>
      <w:bookmarkEnd w:id="2680"/>
      <w:bookmarkEnd w:id="2681"/>
      <w:bookmarkEnd w:id="2682"/>
      <w:bookmarkEnd w:id="2683"/>
      <w:bookmarkEnd w:id="2684"/>
      <w:bookmarkEnd w:id="2685"/>
      <w:bookmarkEnd w:id="2686"/>
      <w:bookmarkEnd w:id="2687"/>
    </w:p>
    <w:p w14:paraId="3D8FD75A">
      <w:pPr>
        <w:pStyle w:val="4"/>
        <w:numPr>
          <w:ilvl w:val="0"/>
          <w:numId w:val="0"/>
        </w:numPr>
      </w:pPr>
      <w:bookmarkStart w:id="2688" w:name="_Toc183882315"/>
      <w:bookmarkStart w:id="2689" w:name="_Toc183454189"/>
      <w:bookmarkStart w:id="2690" w:name="_Toc183454486"/>
      <w:bookmarkStart w:id="2691" w:name="_Toc183790754"/>
      <w:bookmarkStart w:id="2692" w:name="_Toc183888367"/>
      <w:bookmarkStart w:id="2693" w:name="_Toc183454869"/>
      <w:bookmarkStart w:id="2694" w:name="_Toc183888729"/>
      <w:bookmarkStart w:id="2695" w:name="_Toc183738146"/>
      <w:bookmarkStart w:id="2696" w:name="_Toc357929562"/>
      <w:bookmarkStart w:id="2697" w:name="_Toc183765324"/>
      <w:bookmarkStart w:id="2698" w:name="_Toc183882677"/>
      <w:r>
        <w:rPr>
          <w:rFonts w:hint="eastAsia"/>
        </w:rPr>
        <w:t>15.1  一般规定</w:t>
      </w:r>
      <w:bookmarkEnd w:id="2688"/>
      <w:bookmarkEnd w:id="2689"/>
      <w:bookmarkEnd w:id="2690"/>
      <w:bookmarkEnd w:id="2691"/>
      <w:bookmarkEnd w:id="2692"/>
      <w:bookmarkEnd w:id="2693"/>
      <w:bookmarkEnd w:id="2694"/>
      <w:bookmarkEnd w:id="2695"/>
      <w:bookmarkEnd w:id="2696"/>
      <w:bookmarkEnd w:id="2697"/>
      <w:bookmarkEnd w:id="2698"/>
    </w:p>
    <w:p w14:paraId="52456B2A">
      <w:r>
        <w:rPr>
          <w:rFonts w:hint="eastAsia" w:eastAsia="黑体" w:cs="方正黑体_GBK"/>
          <w:b/>
          <w:bCs/>
          <w:szCs w:val="21"/>
        </w:rPr>
        <w:t xml:space="preserve">15.1.2  </w:t>
      </w:r>
      <w:r>
        <w:rPr>
          <w:rFonts w:hint="eastAsia"/>
        </w:rPr>
        <w:t>北京市地方标准《水污染物排放标准》是一本适用于北京市辖区内水污染物排放管理的标准，该标准对污染指标的控制总体水平严于现行国家标准《污水综合排放标准》GB 8978。因此，北京市城市轨道交通工程各类污废水的排放应以执行北京市地方标准为主，同时应满足各线《环境影响报告》的要求。</w:t>
      </w:r>
    </w:p>
    <w:p w14:paraId="4C2D116F">
      <w:r>
        <w:rPr>
          <w:rFonts w:hint="eastAsia" w:eastAsia="黑体" w:cs="方正黑体_GBK"/>
          <w:b/>
          <w:bCs/>
          <w:szCs w:val="21"/>
        </w:rPr>
        <w:t xml:space="preserve">15.1.3 </w:t>
      </w:r>
      <w:r>
        <w:rPr>
          <w:rFonts w:hint="eastAsia"/>
        </w:rPr>
        <w:t xml:space="preserve"> 北京的水资源非常紧张，缺水的问题已经变成了常态，目前北京水资源利用量的2/3都来自于地下水，水资源缺乏已成为制约首都发展的一个瓶颈。《北京市节约用水办法》已作为一个立法项目在北京市执行，因此，城市轨道交通工程给排水设计也应采取相应的措施提高水资源的利用率，如采用节水型卫生器具及中水回用技术等，具体参照现行国家标准《民用建筑节水设计标准》GB 50555的要求执行。</w:t>
      </w:r>
    </w:p>
    <w:p w14:paraId="7802ADBB">
      <w:r>
        <w:rPr>
          <w:rFonts w:hint="eastAsia" w:eastAsia="黑体" w:cs="方正黑体_GBK"/>
          <w:b/>
          <w:bCs/>
          <w:szCs w:val="21"/>
        </w:rPr>
        <w:t xml:space="preserve">15.1.5  </w:t>
      </w:r>
      <w:r>
        <w:rPr>
          <w:rFonts w:hint="eastAsia"/>
        </w:rPr>
        <w:t>第2款：给排水管道不宜穿越结构伸缩缝、变形缝及沉降缝，当必须穿越时，应设置补偿管道伸缩及剪切变形的装置。给水管道的伸缩补偿器装置，应根据管道长度、管材的线胀系数、环境温度和管内温度变化等因素设计确定。</w:t>
      </w:r>
    </w:p>
    <w:p w14:paraId="19CFDA0B">
      <w:pPr>
        <w:ind w:firstLine="420"/>
        <w:rPr>
          <w:rFonts w:ascii="宋体" w:hAnsi="宋体" w:cs="宋体"/>
          <w:szCs w:val="18"/>
        </w:rPr>
      </w:pPr>
      <w:r>
        <w:rPr>
          <w:rFonts w:hint="eastAsia" w:ascii="宋体" w:hAnsi="宋体" w:cs="宋体"/>
          <w:szCs w:val="18"/>
        </w:rPr>
        <w:t>第3款：室外给排水管道的覆土深度，除应考虑车辆荷载、管道材质和管道交叉等因素外，还应考虑冻土深度的影响。北京地区冬季较寒冷，冻土层深度约为0.8m～1.0m，一般来说，给排水管道应敷设在冻土层以下，管顶最小覆土深度不应小于土壤冰冻线以下0.15m。当管道受地形或其他条件影响，布置确实有困难时，生活排水接户管道埋深不得高于土壤冰冻线以上0.15m，当生活排水接户管采用排水塑料管时，管道埋深不得高于土壤冰冻线以上0.5m，但排水接户管道的覆土深度均不宜小于0.3m。</w:t>
      </w:r>
    </w:p>
    <w:p w14:paraId="55EC9C41">
      <w:pPr>
        <w:ind w:firstLine="420"/>
        <w:rPr>
          <w:rFonts w:ascii="宋体" w:hAnsi="宋体" w:cs="宋体"/>
          <w:szCs w:val="18"/>
        </w:rPr>
      </w:pPr>
      <w:r>
        <w:rPr>
          <w:rFonts w:hint="eastAsia"/>
        </w:rPr>
        <w:t>第4款： 城市轨道交通工程的杂散电流对金属管道有一定的腐蚀性，因此，给排水管道应采取防杂散电流腐蚀措施。具体包括：生产、生活及消防给水管当采用金属管道时，应在管道出室外之前设置绝缘接头，并在室外设置1m长的非金属管段；过轨管道与其他管道连接时应设置绝缘接头；金属管道与金属支托架或支墩之间应设置绝缘橡胶垫片；暗装于墙体或垫层内的金属管道及过轨管道外壁应采用涂刷环氧树脂等外绝缘处理等措施。</w:t>
      </w:r>
    </w:p>
    <w:p w14:paraId="713355A8">
      <w:pPr>
        <w:ind w:firstLine="420"/>
      </w:pPr>
      <w:r>
        <w:rPr>
          <w:rFonts w:hint="eastAsia"/>
        </w:rPr>
        <w:t>第5款：为便于车站运营维修管理，给排水及消防系统管道的最外面统一采用色环标识，色环宽150mm，间距8m，在管道的起点、终点、交叉点、转弯处、阀门和穿墙孔两侧等处应有色环。色环旁设识别符号和水流方向箭头，管道识别符号为管道类型的拼音字母，字体大小不应小于80mm；箭头方向与水流方向一致，如果管道内的水流为双向，则以双向箭头表示，箭头长度不应小于250mm，宽度为50mm，识别符号与箭头的颜色均与管道色环颜色相同。色环、识别符号及水流箭头均采用喷涂方式施工。管道标识如下表：</w:t>
      </w:r>
    </w:p>
    <w:p w14:paraId="596A0B63">
      <w:pPr>
        <w:jc w:val="center"/>
        <w:rPr>
          <w:rFonts w:ascii="黑体" w:hAnsi="黑体" w:eastAsia="黑体" w:cs="黑体"/>
          <w:sz w:val="18"/>
          <w:szCs w:val="18"/>
        </w:rPr>
      </w:pPr>
      <w:r>
        <w:rPr>
          <w:rFonts w:hint="eastAsia" w:ascii="黑体" w:hAnsi="黑体" w:eastAsia="黑体" w:cs="黑体"/>
          <w:sz w:val="18"/>
          <w:szCs w:val="18"/>
        </w:rPr>
        <w:t>表16  管道标识表</w:t>
      </w:r>
    </w:p>
    <w:tbl>
      <w:tblPr>
        <w:tblStyle w:val="88"/>
        <w:tblW w:w="57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816"/>
        <w:gridCol w:w="816"/>
        <w:gridCol w:w="1116"/>
        <w:gridCol w:w="816"/>
        <w:gridCol w:w="816"/>
      </w:tblGrid>
      <w:tr w14:paraId="5755C5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tcBorders>
              <w:top w:val="single" w:color="auto" w:sz="8" w:space="0"/>
              <w:bottom w:val="single" w:color="auto" w:sz="8" w:space="0"/>
            </w:tcBorders>
            <w:vAlign w:val="center"/>
          </w:tcPr>
          <w:p w14:paraId="5443AA75">
            <w:pPr>
              <w:autoSpaceDE w:val="0"/>
              <w:autoSpaceDN w:val="0"/>
              <w:jc w:val="center"/>
              <w:rPr>
                <w:rFonts w:eastAsia="等线"/>
                <w:kern w:val="0"/>
                <w:sz w:val="15"/>
                <w:szCs w:val="15"/>
              </w:rPr>
            </w:pPr>
            <w:r>
              <w:rPr>
                <w:rFonts w:hint="eastAsia" w:eastAsia="等线"/>
                <w:kern w:val="0"/>
                <w:sz w:val="15"/>
                <w:szCs w:val="15"/>
              </w:rPr>
              <w:t>管道名称</w:t>
            </w:r>
          </w:p>
        </w:tc>
        <w:tc>
          <w:tcPr>
            <w:tcW w:w="816" w:type="dxa"/>
            <w:tcBorders>
              <w:top w:val="single" w:color="auto" w:sz="8" w:space="0"/>
              <w:bottom w:val="single" w:color="auto" w:sz="8" w:space="0"/>
            </w:tcBorders>
            <w:vAlign w:val="center"/>
          </w:tcPr>
          <w:p w14:paraId="42EF2E02">
            <w:pPr>
              <w:autoSpaceDE w:val="0"/>
              <w:autoSpaceDN w:val="0"/>
              <w:jc w:val="center"/>
              <w:rPr>
                <w:rFonts w:eastAsia="等线"/>
                <w:kern w:val="0"/>
                <w:sz w:val="15"/>
                <w:szCs w:val="15"/>
              </w:rPr>
            </w:pPr>
            <w:r>
              <w:rPr>
                <w:rFonts w:hint="eastAsia" w:eastAsia="等线"/>
                <w:kern w:val="0"/>
                <w:sz w:val="15"/>
                <w:szCs w:val="15"/>
              </w:rPr>
              <w:t>字母名称</w:t>
            </w:r>
          </w:p>
        </w:tc>
        <w:tc>
          <w:tcPr>
            <w:tcW w:w="816" w:type="dxa"/>
            <w:tcBorders>
              <w:top w:val="single" w:color="auto" w:sz="8" w:space="0"/>
              <w:bottom w:val="single" w:color="auto" w:sz="8" w:space="0"/>
              <w:right w:val="double" w:color="auto" w:sz="4" w:space="0"/>
            </w:tcBorders>
            <w:vAlign w:val="center"/>
          </w:tcPr>
          <w:p w14:paraId="6CC4E4F5">
            <w:pPr>
              <w:autoSpaceDE w:val="0"/>
              <w:autoSpaceDN w:val="0"/>
              <w:jc w:val="center"/>
              <w:rPr>
                <w:rFonts w:eastAsia="等线"/>
                <w:kern w:val="0"/>
                <w:sz w:val="15"/>
                <w:szCs w:val="15"/>
              </w:rPr>
            </w:pPr>
            <w:r>
              <w:rPr>
                <w:rFonts w:hint="eastAsia" w:eastAsia="等线"/>
                <w:kern w:val="0"/>
                <w:sz w:val="15"/>
                <w:szCs w:val="15"/>
              </w:rPr>
              <w:t>色环颜色</w:t>
            </w:r>
          </w:p>
        </w:tc>
        <w:tc>
          <w:tcPr>
            <w:tcW w:w="1116" w:type="dxa"/>
            <w:tcBorders>
              <w:top w:val="single" w:color="auto" w:sz="8" w:space="0"/>
              <w:left w:val="double" w:color="auto" w:sz="4" w:space="0"/>
              <w:bottom w:val="single" w:color="auto" w:sz="8" w:space="0"/>
            </w:tcBorders>
            <w:vAlign w:val="center"/>
          </w:tcPr>
          <w:p w14:paraId="589069DD">
            <w:pPr>
              <w:autoSpaceDE w:val="0"/>
              <w:autoSpaceDN w:val="0"/>
              <w:jc w:val="center"/>
              <w:rPr>
                <w:rFonts w:eastAsia="等线"/>
                <w:kern w:val="0"/>
                <w:sz w:val="15"/>
                <w:szCs w:val="15"/>
              </w:rPr>
            </w:pPr>
            <w:r>
              <w:rPr>
                <w:rFonts w:hint="eastAsia" w:eastAsia="等线"/>
                <w:kern w:val="0"/>
                <w:sz w:val="15"/>
                <w:szCs w:val="15"/>
              </w:rPr>
              <w:t>管道名称</w:t>
            </w:r>
          </w:p>
        </w:tc>
        <w:tc>
          <w:tcPr>
            <w:tcW w:w="816" w:type="dxa"/>
            <w:tcBorders>
              <w:top w:val="single" w:color="auto" w:sz="8" w:space="0"/>
              <w:bottom w:val="single" w:color="auto" w:sz="8" w:space="0"/>
            </w:tcBorders>
            <w:vAlign w:val="center"/>
          </w:tcPr>
          <w:p w14:paraId="373A1BA0">
            <w:pPr>
              <w:autoSpaceDE w:val="0"/>
              <w:autoSpaceDN w:val="0"/>
              <w:jc w:val="center"/>
              <w:rPr>
                <w:rFonts w:eastAsia="等线"/>
                <w:kern w:val="0"/>
                <w:sz w:val="15"/>
                <w:szCs w:val="15"/>
              </w:rPr>
            </w:pPr>
            <w:r>
              <w:rPr>
                <w:rFonts w:hint="eastAsia" w:eastAsia="等线"/>
                <w:kern w:val="0"/>
                <w:sz w:val="15"/>
                <w:szCs w:val="15"/>
              </w:rPr>
              <w:t>字母名称</w:t>
            </w:r>
          </w:p>
        </w:tc>
        <w:tc>
          <w:tcPr>
            <w:tcW w:w="816" w:type="dxa"/>
            <w:tcBorders>
              <w:top w:val="single" w:color="auto" w:sz="8" w:space="0"/>
              <w:bottom w:val="single" w:color="auto" w:sz="8" w:space="0"/>
            </w:tcBorders>
            <w:vAlign w:val="center"/>
          </w:tcPr>
          <w:p w14:paraId="4B42A8E2">
            <w:pPr>
              <w:autoSpaceDE w:val="0"/>
              <w:autoSpaceDN w:val="0"/>
              <w:jc w:val="center"/>
              <w:rPr>
                <w:rFonts w:eastAsia="等线"/>
                <w:kern w:val="0"/>
                <w:sz w:val="15"/>
                <w:szCs w:val="15"/>
              </w:rPr>
            </w:pPr>
            <w:r>
              <w:rPr>
                <w:rFonts w:hint="eastAsia" w:eastAsia="等线"/>
                <w:kern w:val="0"/>
                <w:sz w:val="15"/>
                <w:szCs w:val="15"/>
              </w:rPr>
              <w:t>色环颜色</w:t>
            </w:r>
          </w:p>
        </w:tc>
      </w:tr>
      <w:tr w14:paraId="0043F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tcBorders>
              <w:top w:val="single" w:color="auto" w:sz="8" w:space="0"/>
            </w:tcBorders>
            <w:vAlign w:val="center"/>
          </w:tcPr>
          <w:p w14:paraId="107A892C">
            <w:pPr>
              <w:autoSpaceDE w:val="0"/>
              <w:autoSpaceDN w:val="0"/>
              <w:jc w:val="center"/>
              <w:rPr>
                <w:rFonts w:eastAsia="等线"/>
                <w:kern w:val="0"/>
                <w:sz w:val="15"/>
                <w:szCs w:val="15"/>
              </w:rPr>
            </w:pPr>
            <w:r>
              <w:rPr>
                <w:rFonts w:hint="eastAsia" w:eastAsia="等线"/>
                <w:kern w:val="0"/>
                <w:sz w:val="15"/>
                <w:szCs w:val="15"/>
              </w:rPr>
              <w:t>生产、生活给水管</w:t>
            </w:r>
          </w:p>
        </w:tc>
        <w:tc>
          <w:tcPr>
            <w:tcW w:w="816" w:type="dxa"/>
            <w:tcBorders>
              <w:top w:val="single" w:color="auto" w:sz="8" w:space="0"/>
            </w:tcBorders>
            <w:vAlign w:val="center"/>
          </w:tcPr>
          <w:p w14:paraId="47ED2271">
            <w:pPr>
              <w:autoSpaceDE w:val="0"/>
              <w:autoSpaceDN w:val="0"/>
              <w:jc w:val="center"/>
              <w:rPr>
                <w:rFonts w:eastAsia="等线"/>
                <w:kern w:val="0"/>
                <w:sz w:val="15"/>
                <w:szCs w:val="15"/>
              </w:rPr>
            </w:pPr>
            <w:r>
              <w:rPr>
                <w:rFonts w:hint="eastAsia" w:eastAsia="等线"/>
                <w:kern w:val="0"/>
                <w:sz w:val="15"/>
                <w:szCs w:val="15"/>
              </w:rPr>
              <w:t>JS</w:t>
            </w:r>
          </w:p>
        </w:tc>
        <w:tc>
          <w:tcPr>
            <w:tcW w:w="816" w:type="dxa"/>
            <w:tcBorders>
              <w:top w:val="single" w:color="auto" w:sz="8" w:space="0"/>
              <w:right w:val="double" w:color="auto" w:sz="4" w:space="0"/>
            </w:tcBorders>
            <w:vAlign w:val="center"/>
          </w:tcPr>
          <w:p w14:paraId="6F4F3180">
            <w:pPr>
              <w:autoSpaceDE w:val="0"/>
              <w:autoSpaceDN w:val="0"/>
              <w:jc w:val="center"/>
              <w:rPr>
                <w:rFonts w:eastAsia="等线"/>
                <w:kern w:val="0"/>
                <w:sz w:val="15"/>
                <w:szCs w:val="15"/>
              </w:rPr>
            </w:pPr>
            <w:r>
              <w:rPr>
                <w:rFonts w:hint="eastAsia" w:eastAsia="等线"/>
                <w:kern w:val="0"/>
                <w:sz w:val="15"/>
                <w:szCs w:val="15"/>
              </w:rPr>
              <w:t>蓝色</w:t>
            </w:r>
          </w:p>
        </w:tc>
        <w:tc>
          <w:tcPr>
            <w:tcW w:w="1116" w:type="dxa"/>
            <w:tcBorders>
              <w:top w:val="single" w:color="auto" w:sz="8" w:space="0"/>
              <w:left w:val="double" w:color="auto" w:sz="4" w:space="0"/>
            </w:tcBorders>
            <w:vAlign w:val="center"/>
          </w:tcPr>
          <w:p w14:paraId="4C2ADD48">
            <w:pPr>
              <w:autoSpaceDE w:val="0"/>
              <w:autoSpaceDN w:val="0"/>
              <w:jc w:val="center"/>
              <w:rPr>
                <w:rFonts w:eastAsia="等线"/>
                <w:kern w:val="0"/>
                <w:sz w:val="15"/>
                <w:szCs w:val="15"/>
              </w:rPr>
            </w:pPr>
            <w:r>
              <w:rPr>
                <w:rFonts w:hint="eastAsia" w:eastAsia="等线"/>
                <w:kern w:val="0"/>
                <w:sz w:val="15"/>
                <w:szCs w:val="15"/>
              </w:rPr>
              <w:t>冷却水供水管</w:t>
            </w:r>
          </w:p>
        </w:tc>
        <w:tc>
          <w:tcPr>
            <w:tcW w:w="816" w:type="dxa"/>
            <w:tcBorders>
              <w:top w:val="single" w:color="auto" w:sz="8" w:space="0"/>
            </w:tcBorders>
            <w:vAlign w:val="center"/>
          </w:tcPr>
          <w:p w14:paraId="2377EEA5">
            <w:pPr>
              <w:autoSpaceDE w:val="0"/>
              <w:autoSpaceDN w:val="0"/>
              <w:jc w:val="center"/>
              <w:rPr>
                <w:rFonts w:eastAsia="等线"/>
                <w:kern w:val="0"/>
                <w:sz w:val="15"/>
                <w:szCs w:val="15"/>
              </w:rPr>
            </w:pPr>
            <w:r>
              <w:rPr>
                <w:rFonts w:hint="eastAsia" w:eastAsia="等线"/>
                <w:kern w:val="0"/>
                <w:sz w:val="15"/>
                <w:szCs w:val="15"/>
              </w:rPr>
              <w:t>LQG</w:t>
            </w:r>
          </w:p>
        </w:tc>
        <w:tc>
          <w:tcPr>
            <w:tcW w:w="816" w:type="dxa"/>
            <w:tcBorders>
              <w:top w:val="single" w:color="auto" w:sz="8" w:space="0"/>
            </w:tcBorders>
            <w:vAlign w:val="center"/>
          </w:tcPr>
          <w:p w14:paraId="4B0B0177">
            <w:pPr>
              <w:autoSpaceDE w:val="0"/>
              <w:autoSpaceDN w:val="0"/>
              <w:jc w:val="center"/>
              <w:rPr>
                <w:rFonts w:eastAsia="等线"/>
                <w:kern w:val="0"/>
                <w:sz w:val="15"/>
                <w:szCs w:val="15"/>
              </w:rPr>
            </w:pPr>
            <w:r>
              <w:rPr>
                <w:rFonts w:hint="eastAsia" w:eastAsia="等线"/>
                <w:kern w:val="0"/>
                <w:sz w:val="15"/>
                <w:szCs w:val="15"/>
              </w:rPr>
              <w:t>紫</w:t>
            </w:r>
          </w:p>
        </w:tc>
      </w:tr>
      <w:tr w14:paraId="77244E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Align w:val="center"/>
          </w:tcPr>
          <w:p w14:paraId="4B67F90B">
            <w:pPr>
              <w:autoSpaceDE w:val="0"/>
              <w:autoSpaceDN w:val="0"/>
              <w:jc w:val="center"/>
              <w:rPr>
                <w:rFonts w:eastAsia="等线"/>
                <w:kern w:val="0"/>
                <w:sz w:val="15"/>
                <w:szCs w:val="15"/>
              </w:rPr>
            </w:pPr>
            <w:r>
              <w:rPr>
                <w:rFonts w:hint="eastAsia" w:eastAsia="等线"/>
                <w:kern w:val="0"/>
                <w:sz w:val="15"/>
                <w:szCs w:val="15"/>
              </w:rPr>
              <w:t>消防给水管</w:t>
            </w:r>
          </w:p>
        </w:tc>
        <w:tc>
          <w:tcPr>
            <w:tcW w:w="816" w:type="dxa"/>
            <w:vAlign w:val="center"/>
          </w:tcPr>
          <w:p w14:paraId="6EC9E600">
            <w:pPr>
              <w:autoSpaceDE w:val="0"/>
              <w:autoSpaceDN w:val="0"/>
              <w:jc w:val="center"/>
              <w:rPr>
                <w:rFonts w:eastAsia="等线"/>
                <w:kern w:val="0"/>
                <w:sz w:val="15"/>
                <w:szCs w:val="15"/>
              </w:rPr>
            </w:pPr>
            <w:r>
              <w:rPr>
                <w:rFonts w:hint="eastAsia" w:eastAsia="等线"/>
                <w:kern w:val="0"/>
                <w:sz w:val="15"/>
                <w:szCs w:val="15"/>
              </w:rPr>
              <w:t>XS</w:t>
            </w:r>
          </w:p>
        </w:tc>
        <w:tc>
          <w:tcPr>
            <w:tcW w:w="816" w:type="dxa"/>
            <w:tcBorders>
              <w:right w:val="double" w:color="auto" w:sz="4" w:space="0"/>
            </w:tcBorders>
            <w:vAlign w:val="center"/>
          </w:tcPr>
          <w:p w14:paraId="52896F68">
            <w:pPr>
              <w:autoSpaceDE w:val="0"/>
              <w:autoSpaceDN w:val="0"/>
              <w:jc w:val="center"/>
              <w:rPr>
                <w:rFonts w:eastAsia="等线"/>
                <w:kern w:val="0"/>
                <w:sz w:val="15"/>
                <w:szCs w:val="15"/>
              </w:rPr>
            </w:pPr>
            <w:r>
              <w:rPr>
                <w:rFonts w:hint="eastAsia" w:eastAsia="等线"/>
                <w:kern w:val="0"/>
                <w:sz w:val="15"/>
                <w:szCs w:val="15"/>
              </w:rPr>
              <w:t>大红</w:t>
            </w:r>
          </w:p>
        </w:tc>
        <w:tc>
          <w:tcPr>
            <w:tcW w:w="1116" w:type="dxa"/>
            <w:tcBorders>
              <w:left w:val="double" w:color="auto" w:sz="4" w:space="0"/>
            </w:tcBorders>
            <w:vAlign w:val="center"/>
          </w:tcPr>
          <w:p w14:paraId="7D83C7B6">
            <w:pPr>
              <w:autoSpaceDE w:val="0"/>
              <w:autoSpaceDN w:val="0"/>
              <w:jc w:val="center"/>
              <w:rPr>
                <w:rFonts w:eastAsia="等线"/>
                <w:kern w:val="0"/>
                <w:sz w:val="15"/>
                <w:szCs w:val="15"/>
              </w:rPr>
            </w:pPr>
            <w:r>
              <w:rPr>
                <w:rFonts w:hint="eastAsia" w:eastAsia="等线"/>
                <w:kern w:val="0"/>
                <w:sz w:val="15"/>
                <w:szCs w:val="15"/>
              </w:rPr>
              <w:t>冷却水回水管</w:t>
            </w:r>
          </w:p>
        </w:tc>
        <w:tc>
          <w:tcPr>
            <w:tcW w:w="816" w:type="dxa"/>
            <w:vAlign w:val="center"/>
          </w:tcPr>
          <w:p w14:paraId="439196A4">
            <w:pPr>
              <w:autoSpaceDE w:val="0"/>
              <w:autoSpaceDN w:val="0"/>
              <w:jc w:val="center"/>
              <w:rPr>
                <w:rFonts w:eastAsia="等线"/>
                <w:kern w:val="0"/>
                <w:sz w:val="15"/>
                <w:szCs w:val="15"/>
              </w:rPr>
            </w:pPr>
            <w:r>
              <w:rPr>
                <w:rFonts w:hint="eastAsia" w:eastAsia="等线"/>
                <w:kern w:val="0"/>
                <w:sz w:val="15"/>
                <w:szCs w:val="15"/>
              </w:rPr>
              <w:t>LQH</w:t>
            </w:r>
          </w:p>
        </w:tc>
        <w:tc>
          <w:tcPr>
            <w:tcW w:w="816" w:type="dxa"/>
            <w:vAlign w:val="center"/>
          </w:tcPr>
          <w:p w14:paraId="434CDF6E">
            <w:pPr>
              <w:autoSpaceDE w:val="0"/>
              <w:autoSpaceDN w:val="0"/>
              <w:jc w:val="center"/>
              <w:rPr>
                <w:rFonts w:eastAsia="等线"/>
                <w:kern w:val="0"/>
                <w:sz w:val="15"/>
                <w:szCs w:val="15"/>
              </w:rPr>
            </w:pPr>
            <w:r>
              <w:rPr>
                <w:rFonts w:hint="eastAsia" w:eastAsia="等线"/>
                <w:kern w:val="0"/>
                <w:sz w:val="15"/>
                <w:szCs w:val="15"/>
              </w:rPr>
              <w:t>紫</w:t>
            </w:r>
          </w:p>
        </w:tc>
      </w:tr>
      <w:tr w14:paraId="0396BD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Align w:val="center"/>
          </w:tcPr>
          <w:p w14:paraId="46DA3461">
            <w:pPr>
              <w:autoSpaceDE w:val="0"/>
              <w:autoSpaceDN w:val="0"/>
              <w:jc w:val="center"/>
              <w:rPr>
                <w:rFonts w:eastAsia="等线"/>
                <w:kern w:val="0"/>
                <w:sz w:val="15"/>
                <w:szCs w:val="15"/>
              </w:rPr>
            </w:pPr>
            <w:r>
              <w:rPr>
                <w:rFonts w:hint="eastAsia" w:eastAsia="等线"/>
                <w:kern w:val="0"/>
                <w:sz w:val="15"/>
                <w:szCs w:val="15"/>
              </w:rPr>
              <w:t>压力污水管</w:t>
            </w:r>
          </w:p>
        </w:tc>
        <w:tc>
          <w:tcPr>
            <w:tcW w:w="816" w:type="dxa"/>
            <w:vAlign w:val="center"/>
          </w:tcPr>
          <w:p w14:paraId="3C184C53">
            <w:pPr>
              <w:autoSpaceDE w:val="0"/>
              <w:autoSpaceDN w:val="0"/>
              <w:jc w:val="center"/>
              <w:rPr>
                <w:rFonts w:eastAsia="等线"/>
                <w:kern w:val="0"/>
                <w:sz w:val="15"/>
                <w:szCs w:val="15"/>
              </w:rPr>
            </w:pPr>
            <w:r>
              <w:rPr>
                <w:rFonts w:hint="eastAsia" w:eastAsia="等线"/>
                <w:kern w:val="0"/>
                <w:sz w:val="15"/>
                <w:szCs w:val="15"/>
              </w:rPr>
              <w:t>YW</w:t>
            </w:r>
          </w:p>
        </w:tc>
        <w:tc>
          <w:tcPr>
            <w:tcW w:w="816" w:type="dxa"/>
            <w:tcBorders>
              <w:right w:val="double" w:color="auto" w:sz="4" w:space="0"/>
            </w:tcBorders>
            <w:vAlign w:val="center"/>
          </w:tcPr>
          <w:p w14:paraId="0B34D2E3">
            <w:pPr>
              <w:autoSpaceDE w:val="0"/>
              <w:autoSpaceDN w:val="0"/>
              <w:jc w:val="center"/>
              <w:rPr>
                <w:rFonts w:eastAsia="等线"/>
                <w:kern w:val="0"/>
                <w:sz w:val="15"/>
                <w:szCs w:val="15"/>
              </w:rPr>
            </w:pPr>
            <w:r>
              <w:rPr>
                <w:rFonts w:hint="eastAsia" w:eastAsia="等线"/>
                <w:kern w:val="0"/>
                <w:sz w:val="15"/>
                <w:szCs w:val="15"/>
              </w:rPr>
              <w:t>中黄</w:t>
            </w:r>
          </w:p>
        </w:tc>
        <w:tc>
          <w:tcPr>
            <w:tcW w:w="1116" w:type="dxa"/>
            <w:tcBorders>
              <w:left w:val="double" w:color="auto" w:sz="4" w:space="0"/>
            </w:tcBorders>
            <w:vAlign w:val="center"/>
          </w:tcPr>
          <w:p w14:paraId="048B13ED">
            <w:pPr>
              <w:autoSpaceDE w:val="0"/>
              <w:autoSpaceDN w:val="0"/>
              <w:jc w:val="center"/>
              <w:rPr>
                <w:rFonts w:eastAsia="等线"/>
                <w:kern w:val="0"/>
                <w:sz w:val="15"/>
                <w:szCs w:val="15"/>
              </w:rPr>
            </w:pPr>
            <w:r>
              <w:rPr>
                <w:rFonts w:hint="eastAsia" w:eastAsia="等线"/>
                <w:kern w:val="0"/>
                <w:sz w:val="15"/>
                <w:szCs w:val="15"/>
              </w:rPr>
              <w:t>冷冻水供水管</w:t>
            </w:r>
          </w:p>
        </w:tc>
        <w:tc>
          <w:tcPr>
            <w:tcW w:w="816" w:type="dxa"/>
            <w:vAlign w:val="center"/>
          </w:tcPr>
          <w:p w14:paraId="66882D2F">
            <w:pPr>
              <w:autoSpaceDE w:val="0"/>
              <w:autoSpaceDN w:val="0"/>
              <w:jc w:val="center"/>
              <w:rPr>
                <w:rFonts w:eastAsia="等线"/>
                <w:kern w:val="0"/>
                <w:sz w:val="15"/>
                <w:szCs w:val="15"/>
              </w:rPr>
            </w:pPr>
            <w:r>
              <w:rPr>
                <w:rFonts w:hint="eastAsia" w:eastAsia="等线"/>
                <w:kern w:val="0"/>
                <w:sz w:val="15"/>
                <w:szCs w:val="15"/>
              </w:rPr>
              <w:t>LDG</w:t>
            </w:r>
          </w:p>
        </w:tc>
        <w:tc>
          <w:tcPr>
            <w:tcW w:w="816" w:type="dxa"/>
            <w:vAlign w:val="center"/>
          </w:tcPr>
          <w:p w14:paraId="113A45DC">
            <w:pPr>
              <w:autoSpaceDE w:val="0"/>
              <w:autoSpaceDN w:val="0"/>
              <w:jc w:val="center"/>
              <w:rPr>
                <w:rFonts w:eastAsia="等线"/>
                <w:kern w:val="0"/>
                <w:sz w:val="15"/>
                <w:szCs w:val="15"/>
              </w:rPr>
            </w:pPr>
            <w:r>
              <w:rPr>
                <w:rFonts w:hint="eastAsia" w:eastAsia="等线"/>
                <w:kern w:val="0"/>
                <w:sz w:val="15"/>
                <w:szCs w:val="15"/>
              </w:rPr>
              <w:t>棕</w:t>
            </w:r>
          </w:p>
        </w:tc>
      </w:tr>
      <w:tr w14:paraId="5C738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vAlign w:val="center"/>
          </w:tcPr>
          <w:p w14:paraId="4902C403">
            <w:pPr>
              <w:autoSpaceDE w:val="0"/>
              <w:autoSpaceDN w:val="0"/>
              <w:jc w:val="center"/>
              <w:rPr>
                <w:rFonts w:eastAsia="等线"/>
                <w:kern w:val="0"/>
                <w:sz w:val="15"/>
                <w:szCs w:val="15"/>
              </w:rPr>
            </w:pPr>
            <w:r>
              <w:rPr>
                <w:rFonts w:hint="eastAsia" w:eastAsia="等线"/>
                <w:kern w:val="0"/>
                <w:sz w:val="15"/>
                <w:szCs w:val="15"/>
              </w:rPr>
              <w:t>压力废水管</w:t>
            </w:r>
          </w:p>
        </w:tc>
        <w:tc>
          <w:tcPr>
            <w:tcW w:w="816" w:type="dxa"/>
            <w:vAlign w:val="center"/>
          </w:tcPr>
          <w:p w14:paraId="0A2676AB">
            <w:pPr>
              <w:autoSpaceDE w:val="0"/>
              <w:autoSpaceDN w:val="0"/>
              <w:jc w:val="center"/>
              <w:rPr>
                <w:rFonts w:eastAsia="等线"/>
                <w:kern w:val="0"/>
                <w:sz w:val="15"/>
                <w:szCs w:val="15"/>
              </w:rPr>
            </w:pPr>
            <w:r>
              <w:rPr>
                <w:rFonts w:hint="eastAsia" w:eastAsia="等线"/>
                <w:kern w:val="0"/>
                <w:sz w:val="15"/>
                <w:szCs w:val="15"/>
              </w:rPr>
              <w:t>YF</w:t>
            </w:r>
          </w:p>
        </w:tc>
        <w:tc>
          <w:tcPr>
            <w:tcW w:w="816" w:type="dxa"/>
            <w:tcBorders>
              <w:right w:val="double" w:color="auto" w:sz="4" w:space="0"/>
            </w:tcBorders>
            <w:vAlign w:val="center"/>
          </w:tcPr>
          <w:p w14:paraId="00A32DDB">
            <w:pPr>
              <w:autoSpaceDE w:val="0"/>
              <w:autoSpaceDN w:val="0"/>
              <w:jc w:val="center"/>
              <w:rPr>
                <w:rFonts w:eastAsia="等线"/>
                <w:kern w:val="0"/>
                <w:sz w:val="15"/>
                <w:szCs w:val="15"/>
              </w:rPr>
            </w:pPr>
            <w:r>
              <w:rPr>
                <w:rFonts w:hint="eastAsia" w:eastAsia="等线"/>
                <w:kern w:val="0"/>
                <w:sz w:val="15"/>
                <w:szCs w:val="15"/>
              </w:rPr>
              <w:t>黄棕</w:t>
            </w:r>
          </w:p>
        </w:tc>
        <w:tc>
          <w:tcPr>
            <w:tcW w:w="1116" w:type="dxa"/>
            <w:tcBorders>
              <w:left w:val="double" w:color="auto" w:sz="4" w:space="0"/>
              <w:bottom w:val="single" w:color="auto" w:sz="8" w:space="0"/>
            </w:tcBorders>
            <w:vAlign w:val="center"/>
          </w:tcPr>
          <w:p w14:paraId="0F22D2B9">
            <w:pPr>
              <w:autoSpaceDE w:val="0"/>
              <w:autoSpaceDN w:val="0"/>
              <w:jc w:val="center"/>
              <w:rPr>
                <w:rFonts w:eastAsia="等线"/>
                <w:kern w:val="0"/>
                <w:sz w:val="15"/>
                <w:szCs w:val="15"/>
              </w:rPr>
            </w:pPr>
            <w:r>
              <w:rPr>
                <w:rFonts w:hint="eastAsia" w:eastAsia="等线"/>
                <w:kern w:val="0"/>
                <w:sz w:val="15"/>
                <w:szCs w:val="15"/>
              </w:rPr>
              <w:t>冷冻水回水管</w:t>
            </w:r>
          </w:p>
        </w:tc>
        <w:tc>
          <w:tcPr>
            <w:tcW w:w="816" w:type="dxa"/>
            <w:vAlign w:val="center"/>
          </w:tcPr>
          <w:p w14:paraId="45FAC479">
            <w:pPr>
              <w:autoSpaceDE w:val="0"/>
              <w:autoSpaceDN w:val="0"/>
              <w:jc w:val="center"/>
              <w:rPr>
                <w:rFonts w:eastAsia="等线"/>
                <w:kern w:val="0"/>
                <w:sz w:val="15"/>
                <w:szCs w:val="15"/>
              </w:rPr>
            </w:pPr>
            <w:r>
              <w:rPr>
                <w:rFonts w:hint="eastAsia" w:eastAsia="等线"/>
                <w:kern w:val="0"/>
                <w:sz w:val="15"/>
                <w:szCs w:val="15"/>
              </w:rPr>
              <w:t>LDH</w:t>
            </w:r>
          </w:p>
        </w:tc>
        <w:tc>
          <w:tcPr>
            <w:tcW w:w="816" w:type="dxa"/>
            <w:vAlign w:val="center"/>
          </w:tcPr>
          <w:p w14:paraId="40501CF4">
            <w:pPr>
              <w:autoSpaceDE w:val="0"/>
              <w:autoSpaceDN w:val="0"/>
              <w:jc w:val="center"/>
              <w:rPr>
                <w:rFonts w:eastAsia="等线"/>
                <w:kern w:val="0"/>
                <w:sz w:val="15"/>
                <w:szCs w:val="15"/>
              </w:rPr>
            </w:pPr>
            <w:r>
              <w:rPr>
                <w:rFonts w:hint="eastAsia" w:eastAsia="等线"/>
                <w:kern w:val="0"/>
                <w:sz w:val="15"/>
                <w:szCs w:val="15"/>
              </w:rPr>
              <w:t>棕</w:t>
            </w:r>
          </w:p>
        </w:tc>
      </w:tr>
    </w:tbl>
    <w:p w14:paraId="5719389C">
      <w:r>
        <w:rPr>
          <w:rFonts w:hint="eastAsia" w:eastAsia="黑体" w:cs="方正黑体_GBK"/>
          <w:b/>
          <w:bCs/>
          <w:szCs w:val="21"/>
        </w:rPr>
        <w:t xml:space="preserve">15.1.7 </w:t>
      </w:r>
      <w:r>
        <w:rPr>
          <w:rFonts w:hint="eastAsia"/>
        </w:rPr>
        <w:t xml:space="preserve"> 随着技术发展与运维需求，提出能够满足自动化管理与智慧运维的要求。通过局域网或4G/5G网络上传所有水泵运行状态、水池液位信息到运营管理平台，通过终端电脑或手机，提前预警或发现设备故障信息，以便及时维护管理。 </w:t>
      </w:r>
    </w:p>
    <w:p w14:paraId="7D9D8AA4"/>
    <w:p w14:paraId="1FDCAAD8">
      <w:pPr>
        <w:pStyle w:val="4"/>
        <w:numPr>
          <w:ilvl w:val="0"/>
          <w:numId w:val="0"/>
        </w:numPr>
      </w:pPr>
      <w:bookmarkStart w:id="2699" w:name="_Toc183454190"/>
      <w:bookmarkStart w:id="2700" w:name="_Toc183454870"/>
      <w:bookmarkStart w:id="2701" w:name="_Toc183765325"/>
      <w:bookmarkStart w:id="2702" w:name="_Toc183738147"/>
      <w:bookmarkStart w:id="2703" w:name="_Toc357929563"/>
      <w:bookmarkStart w:id="2704" w:name="_Toc183882316"/>
      <w:bookmarkStart w:id="2705" w:name="_Toc183888368"/>
      <w:bookmarkStart w:id="2706" w:name="_Toc183882678"/>
      <w:bookmarkStart w:id="2707" w:name="_Toc183888730"/>
      <w:bookmarkStart w:id="2708" w:name="_Toc183790755"/>
      <w:bookmarkStart w:id="2709" w:name="_Toc183454487"/>
      <w:r>
        <w:rPr>
          <w:rFonts w:hint="eastAsia"/>
          <w:b/>
        </w:rPr>
        <w:t xml:space="preserve">15.2 </w:t>
      </w:r>
      <w:r>
        <w:rPr>
          <w:rFonts w:hint="eastAsia"/>
        </w:rPr>
        <w:t xml:space="preserve"> 车站与区间给水</w:t>
      </w:r>
      <w:bookmarkEnd w:id="2699"/>
      <w:bookmarkEnd w:id="2700"/>
      <w:bookmarkEnd w:id="2701"/>
      <w:bookmarkEnd w:id="2702"/>
      <w:bookmarkEnd w:id="2703"/>
      <w:bookmarkEnd w:id="2704"/>
      <w:bookmarkEnd w:id="2705"/>
      <w:bookmarkEnd w:id="2706"/>
      <w:bookmarkEnd w:id="2707"/>
      <w:bookmarkEnd w:id="2708"/>
      <w:bookmarkEnd w:id="2709"/>
    </w:p>
    <w:p w14:paraId="6F92DE48">
      <w:r>
        <w:rPr>
          <w:rFonts w:hint="eastAsia" w:eastAsia="黑体" w:cs="方正黑体_GBK"/>
          <w:b/>
          <w:bCs/>
          <w:szCs w:val="21"/>
        </w:rPr>
        <w:t xml:space="preserve">15.2.1  </w:t>
      </w:r>
      <w:r>
        <w:rPr>
          <w:rFonts w:hint="eastAsia"/>
        </w:rPr>
        <w:t>第3款：根据运营清洁方式，实际用水量较小，从节水角度出发，调整用水指标。</w:t>
      </w:r>
    </w:p>
    <w:p w14:paraId="70666ABC">
      <w:r>
        <w:rPr>
          <w:rFonts w:hint="eastAsia" w:eastAsia="黑体" w:cs="方正黑体_GBK"/>
          <w:b/>
          <w:bCs/>
          <w:szCs w:val="21"/>
        </w:rPr>
        <w:t xml:space="preserve">15.2.3 </w:t>
      </w:r>
      <w:r>
        <w:rPr>
          <w:rFonts w:hint="eastAsia"/>
        </w:rPr>
        <w:t xml:space="preserve"> 我国水资源严重匮乏，用水形势极为严峻，控制用水点处供水压力是给水系统节水中最为关键的一个环节。根据《建筑给水排水设计标准》GB50015、《民用建筑节水设计标准》GB 50555的规定，从节水角度出发，明确用水点水压要求。</w:t>
      </w:r>
    </w:p>
    <w:p w14:paraId="2419B4CC">
      <w:r>
        <w:rPr>
          <w:rFonts w:hint="eastAsia" w:eastAsia="黑体" w:cs="方正黑体_GBK"/>
          <w:b/>
          <w:bCs/>
          <w:szCs w:val="21"/>
        </w:rPr>
        <w:t xml:space="preserve">15.2.4  </w:t>
      </w:r>
      <w:r>
        <w:rPr>
          <w:rFonts w:hint="eastAsia"/>
        </w:rPr>
        <w:t>第1款：从节水角度出发，明确充分利用市政水压的原则。地下车站、地面或高架车站当市政压力能够满足用水需求时直接规定利用市政水压供水，当市政水压或水量不满足要求时，采用分区供水的方式，首先要充分利用市政给水管网的压力满足低区的供水要求，高区采用二次供水设施供水。</w:t>
      </w:r>
    </w:p>
    <w:p w14:paraId="0939AB63">
      <w:pPr>
        <w:ind w:firstLine="420"/>
        <w:rPr>
          <w:rFonts w:ascii="宋体" w:hAnsi="宋体" w:cs="宋体"/>
          <w:szCs w:val="18"/>
        </w:rPr>
      </w:pPr>
      <w:r>
        <w:rPr>
          <w:rFonts w:hint="eastAsia" w:ascii="宋体" w:hAnsi="宋体" w:cs="宋体"/>
          <w:szCs w:val="18"/>
        </w:rPr>
        <w:t>第4款：北京轨道交通网络发达，换乘站点多，换乘客流量也较大。城市轨道交通车站有“T”型换乘、“L”型换乘、“十”字型换乘、同站台换乘和通道换乘等多种形式。车站生产、生活给水水源一般采用市政自来水为给水水源，为减少车站与市政自来水管网的接管数量，节省工程投资，换乘车站先建线车站给水水源接管设计应综合考虑后建线的设计用水量，接市政自来水给水管管径应为后建线车站预留足够的给水能力。为减少换乘站不同线路之间管道检修的相互干扰，换乘车站生产、生活给水系统宜采用水源共享的形式，各线在市政引入管总水表后设置分支管道，并设置水表单独计量，先建线应将后建线水源管敷设至两线土建装修分界点处。采用通道换乘的换乘站由于换乘距离过远，换乘的各线生产、生活给水水源可单独从市政管网引入，不采用给水水源共享的方式。</w:t>
      </w:r>
    </w:p>
    <w:p w14:paraId="0470AE10">
      <w:r>
        <w:rPr>
          <w:rFonts w:hint="eastAsia"/>
        </w:rPr>
        <w:t>15.2.5  第5款：城市轨道交通车站面积较大，车站内给水管道较长，若阀门设置数量不够，一旦管道或阀门等需要检修而关闭相关阀门，将造成车站范围大面积断水从而影响到车站的使用功能。因此，城市轨道交通车站有必要在满足现行国家标准《建筑给水排水设计标准》GB 50015的基础上，适当增设阀门以满足运营管理部门快速有效抢险的要求。</w:t>
      </w:r>
    </w:p>
    <w:p w14:paraId="71D25F05">
      <w:pPr>
        <w:ind w:firstLine="420"/>
        <w:rPr>
          <w:rFonts w:ascii="宋体" w:hAnsi="宋体" w:cs="宋体"/>
          <w:szCs w:val="18"/>
        </w:rPr>
      </w:pPr>
      <w:r>
        <w:rPr>
          <w:rFonts w:hint="eastAsia" w:ascii="宋体" w:hAnsi="宋体" w:cs="宋体"/>
          <w:szCs w:val="18"/>
        </w:rPr>
        <w:t>根据北京城市轨道交通运营管理的要求，给水总管接男、女公共卫生间、残疾人卫生间的给水支管上均应分别设置检修阀门。除卫生间以外，车站其他生产、生活给水管段上阀门的设置应符合现行国家标准《建筑给水排水设计标准》GB50015的有关规定。</w:t>
      </w:r>
    </w:p>
    <w:p w14:paraId="2E944066">
      <w:pPr>
        <w:ind w:firstLine="420"/>
        <w:rPr>
          <w:rFonts w:ascii="宋体" w:hAnsi="宋体" w:cs="宋体"/>
          <w:szCs w:val="18"/>
        </w:rPr>
      </w:pPr>
      <w:r>
        <w:rPr>
          <w:rFonts w:hint="eastAsia" w:ascii="宋体" w:hAnsi="宋体" w:cs="宋体"/>
          <w:szCs w:val="18"/>
        </w:rPr>
        <w:t>第7款：根据运营需求，补充多联分体空调室外机处设置清洗给水点和排水点的要求，当有条件时，多联机分体空调室外机处设置清洗给水点和排水点。</w:t>
      </w:r>
    </w:p>
    <w:p w14:paraId="08774D05">
      <w:pPr>
        <w:pStyle w:val="4"/>
        <w:numPr>
          <w:ilvl w:val="0"/>
          <w:numId w:val="0"/>
        </w:numPr>
      </w:pPr>
      <w:bookmarkStart w:id="2710" w:name="_Toc183738148"/>
      <w:bookmarkStart w:id="2711" w:name="_Toc183882317"/>
      <w:bookmarkStart w:id="2712" w:name="_Toc183454871"/>
      <w:bookmarkStart w:id="2713" w:name="_Toc183790756"/>
      <w:bookmarkStart w:id="2714" w:name="_Toc183888369"/>
      <w:bookmarkStart w:id="2715" w:name="_Toc183888731"/>
      <w:bookmarkStart w:id="2716" w:name="_Toc183765326"/>
      <w:bookmarkStart w:id="2717" w:name="_Toc357929564"/>
      <w:bookmarkStart w:id="2718" w:name="_Toc183882679"/>
      <w:bookmarkStart w:id="2719" w:name="_Toc183454191"/>
      <w:bookmarkStart w:id="2720" w:name="_Toc183454488"/>
      <w:r>
        <w:rPr>
          <w:rFonts w:hint="eastAsia"/>
          <w:b/>
        </w:rPr>
        <w:t xml:space="preserve">15.3  </w:t>
      </w:r>
      <w:r>
        <w:rPr>
          <w:rFonts w:hint="eastAsia"/>
        </w:rPr>
        <w:t>车站与区间排水</w:t>
      </w:r>
      <w:bookmarkEnd w:id="2710"/>
      <w:bookmarkEnd w:id="2711"/>
      <w:bookmarkEnd w:id="2712"/>
      <w:bookmarkEnd w:id="2713"/>
      <w:bookmarkEnd w:id="2714"/>
      <w:bookmarkEnd w:id="2715"/>
      <w:bookmarkEnd w:id="2716"/>
      <w:bookmarkEnd w:id="2717"/>
      <w:bookmarkEnd w:id="2718"/>
      <w:bookmarkEnd w:id="2719"/>
      <w:bookmarkEnd w:id="2720"/>
    </w:p>
    <w:p w14:paraId="63D262A0">
      <w:r>
        <w:rPr>
          <w:rFonts w:hint="eastAsia" w:eastAsia="黑体" w:cs="方正黑体_GBK"/>
          <w:b/>
          <w:bCs/>
          <w:szCs w:val="21"/>
        </w:rPr>
        <w:t xml:space="preserve">15.3.1 </w:t>
      </w:r>
      <w:r>
        <w:rPr>
          <w:rFonts w:hint="eastAsia"/>
        </w:rPr>
        <w:t xml:space="preserve"> 第5款：根据北京市规委京规自发&lt;2023&gt;260号文件《北京市城市重要基础设施及建筑内涝防护技术要点（暂行）》，提升地铁内涝防护能力，提高设计标准。</w:t>
      </w:r>
    </w:p>
    <w:p w14:paraId="191E7B9B">
      <w:pPr>
        <w:ind w:firstLine="420"/>
        <w:rPr>
          <w:rFonts w:ascii="宋体" w:hAnsi="宋体" w:cs="宋体"/>
          <w:szCs w:val="18"/>
        </w:rPr>
      </w:pPr>
      <w:r>
        <w:rPr>
          <w:rFonts w:hint="eastAsia" w:ascii="宋体" w:hAnsi="宋体" w:cs="宋体"/>
          <w:szCs w:val="18"/>
        </w:rPr>
        <w:t>第6款：根据最新北京市海绵城市设计规范DB11_685-2021进行修订，删除原1）-2）条，暴雨强度公式直接参考《海绵城市雨水控制与利用工程设计规范》DB11_685-2021附录B计算。</w:t>
      </w:r>
    </w:p>
    <w:p w14:paraId="417896DE">
      <w:r>
        <w:rPr>
          <w:rFonts w:hint="eastAsia" w:eastAsia="黑体" w:cs="方正黑体_GBK"/>
          <w:b/>
          <w:bCs/>
          <w:szCs w:val="21"/>
        </w:rPr>
        <w:t xml:space="preserve">15.3.2 </w:t>
      </w:r>
      <w:r>
        <w:rPr>
          <w:rFonts w:hint="eastAsia"/>
        </w:rPr>
        <w:t xml:space="preserve"> 第1款：目前北京市地下水位上升，地铁车站结构渗漏水增多，当车站设有离壁墙时，应在离壁墙内设置地漏排水管等排水设施；</w:t>
      </w:r>
    </w:p>
    <w:p w14:paraId="4A4086E8">
      <w:pPr>
        <w:ind w:firstLine="420"/>
      </w:pPr>
      <w:r>
        <w:rPr>
          <w:rFonts w:hint="eastAsia"/>
        </w:rPr>
        <w:t>第2款：根据北京市规划委下发文件《便民用房设计需求》，增加地下站便民用房排水要求，地下车站内的便民服务用房预留压力排水管接至室外排水井；明确冷却塔排水应接市政污水管网。</w:t>
      </w:r>
    </w:p>
    <w:p w14:paraId="28845E54">
      <w:r>
        <w:rPr>
          <w:rFonts w:hint="eastAsia" w:eastAsia="黑体" w:cs="方正黑体_GBK"/>
          <w:b/>
          <w:bCs/>
          <w:szCs w:val="21"/>
        </w:rPr>
        <w:t xml:space="preserve">15.3.3 </w:t>
      </w:r>
      <w:r>
        <w:rPr>
          <w:rFonts w:hint="eastAsia"/>
        </w:rPr>
        <w:t xml:space="preserve"> 第3款：北京城市轨道交通地下车站一般在车站站台层设置公共卫生间，除真空排水系统外，污水泵房均利用站台板下空间布置。由于站台板下空间高度较小，为避免污水泵房局部结构降板或减小结构降板的深度，应尽量减小厕所重力流排水管的重力坡降，因此，车站站台污水泵房与厕所应尽量相邻布置。</w:t>
      </w:r>
    </w:p>
    <w:p w14:paraId="79239381">
      <w:pPr>
        <w:ind w:firstLine="420"/>
        <w:rPr>
          <w:rFonts w:ascii="宋体" w:hAnsi="宋体" w:cs="宋体"/>
          <w:szCs w:val="18"/>
        </w:rPr>
      </w:pPr>
      <w:r>
        <w:rPr>
          <w:rFonts w:hint="eastAsia" w:ascii="宋体" w:hAnsi="宋体" w:cs="宋体"/>
          <w:szCs w:val="18"/>
        </w:rPr>
        <w:t>第8款：本款为新增条款，为提升地铁内涝防护能力，提高防灾措施，在车站和区间主排水泵房、洞口雨水泵房的排水扬水管上增设抢险救援泵的快速接口，同时考虑防倒灌风险，增加出水末端设置拍门等防倒灌设施。</w:t>
      </w:r>
    </w:p>
    <w:p w14:paraId="64DEB7A5">
      <w:pPr>
        <w:rPr>
          <w:szCs w:val="18"/>
        </w:rPr>
      </w:pPr>
      <w:r>
        <w:rPr>
          <w:rFonts w:hint="eastAsia" w:eastAsia="黑体" w:cs="方正黑体_GBK"/>
          <w:b/>
          <w:bCs/>
          <w:szCs w:val="21"/>
        </w:rPr>
        <w:t xml:space="preserve">15.3.4  </w:t>
      </w:r>
      <w:r>
        <w:rPr>
          <w:rFonts w:hint="eastAsia"/>
          <w:szCs w:val="18"/>
        </w:rPr>
        <w:t>第3款：根据GB50974第5.5.14条及消火栓图示要求，</w:t>
      </w:r>
      <w:r>
        <w:rPr>
          <w:rFonts w:hint="eastAsia"/>
        </w:rPr>
        <w:t>消防泵房内集水坑的排水泵应按最大补水管流量选取，则集水池的有效容积按不小于最大一台排水泵5min的出水量计算；</w:t>
      </w:r>
    </w:p>
    <w:p w14:paraId="4F38117A">
      <w:pPr>
        <w:ind w:firstLine="420"/>
        <w:rPr>
          <w:rFonts w:ascii="宋体" w:hAnsi="宋体" w:cs="宋体"/>
          <w:szCs w:val="18"/>
        </w:rPr>
      </w:pPr>
      <w:r>
        <w:rPr>
          <w:rFonts w:hint="eastAsia" w:ascii="宋体" w:hAnsi="宋体" w:cs="宋体"/>
          <w:szCs w:val="18"/>
        </w:rPr>
        <w:t>第4款：在保证水泵安装要求和启停水位等有效水位要求的前提条件下，区间隧道主废水泵站集水池的有效容积应尽量利用地下区间联络通道的面积，通过扩大集水池的面积来减小集水池的深度，从而减小结构施工的风险。区间隧道主废水泵站集水池的有效容积按不小于最大一台排水泵15min～20min的出水量进行计算，区间主废水泵的排水流量一般为25m</w:t>
      </w:r>
      <w:r>
        <w:rPr>
          <w:rFonts w:hint="eastAsia" w:ascii="宋体" w:hAnsi="宋体" w:cs="宋体"/>
          <w:szCs w:val="18"/>
          <w:vertAlign w:val="superscript"/>
        </w:rPr>
        <w:t>3</w:t>
      </w:r>
      <w:r>
        <w:rPr>
          <w:rFonts w:hint="eastAsia" w:ascii="宋体" w:hAnsi="宋体" w:cs="宋体"/>
          <w:szCs w:val="18"/>
        </w:rPr>
        <w:t>/h～40m</w:t>
      </w:r>
      <w:r>
        <w:rPr>
          <w:rFonts w:hint="eastAsia" w:ascii="宋体" w:hAnsi="宋体" w:cs="宋体"/>
          <w:szCs w:val="18"/>
          <w:vertAlign w:val="superscript"/>
        </w:rPr>
        <w:t>3</w:t>
      </w:r>
      <w:r>
        <w:rPr>
          <w:rFonts w:hint="eastAsia" w:ascii="宋体" w:hAnsi="宋体" w:cs="宋体"/>
          <w:szCs w:val="18"/>
        </w:rPr>
        <w:t>/h，因此，区间主废水泵房的集水池有效容积为8m</w:t>
      </w:r>
      <w:r>
        <w:rPr>
          <w:rFonts w:hint="eastAsia" w:ascii="宋体" w:hAnsi="宋体" w:cs="宋体"/>
          <w:szCs w:val="18"/>
          <w:vertAlign w:val="superscript"/>
        </w:rPr>
        <w:t>3</w:t>
      </w:r>
      <w:r>
        <w:rPr>
          <w:rFonts w:hint="eastAsia" w:ascii="宋体" w:hAnsi="宋体" w:cs="宋体"/>
          <w:szCs w:val="18"/>
        </w:rPr>
        <w:t>～15m</w:t>
      </w:r>
      <w:r>
        <w:rPr>
          <w:rFonts w:hint="eastAsia" w:ascii="宋体" w:hAnsi="宋体" w:cs="宋体"/>
          <w:szCs w:val="18"/>
          <w:vertAlign w:val="superscript"/>
        </w:rPr>
        <w:t>3</w:t>
      </w:r>
      <w:r>
        <w:rPr>
          <w:rFonts w:hint="eastAsia" w:ascii="宋体" w:hAnsi="宋体" w:cs="宋体"/>
          <w:szCs w:val="18"/>
        </w:rPr>
        <w:t>左右，考虑到适当增加集水池的调节容积以提高区间主废水泵站抗区间水灾的能力，区间隧道最低点线路排水沟沟底至集水池池底的深度也不应大于3m。</w:t>
      </w:r>
    </w:p>
    <w:p w14:paraId="35035BAC">
      <w:pPr>
        <w:ind w:firstLine="420"/>
        <w:rPr>
          <w:rFonts w:ascii="宋体" w:hAnsi="宋体" w:cs="宋体"/>
          <w:szCs w:val="18"/>
        </w:rPr>
      </w:pPr>
      <w:r>
        <w:rPr>
          <w:rFonts w:hint="eastAsia" w:ascii="宋体" w:hAnsi="宋体" w:cs="宋体"/>
          <w:szCs w:val="18"/>
        </w:rPr>
        <w:t>第5款：北京地铁1号线、2号线、4号线、5号线及八通线的地下车站车站污水泵房污水泵采用卧式泵。由于卧式泵的水泵电机未浸泡在水中，维护检修方便，一直以来在北京城市轨道交通的工程中都得到了推广应用。</w:t>
      </w:r>
    </w:p>
    <w:p w14:paraId="5CE0B3F8">
      <w:pPr>
        <w:ind w:firstLine="420"/>
        <w:rPr>
          <w:rFonts w:ascii="宋体" w:hAnsi="宋体" w:cs="宋体"/>
          <w:szCs w:val="18"/>
        </w:rPr>
      </w:pPr>
      <w:r>
        <w:rPr>
          <w:rFonts w:hint="eastAsia" w:ascii="宋体" w:hAnsi="宋体" w:cs="宋体"/>
          <w:szCs w:val="18"/>
        </w:rPr>
        <w:t>随着城市轨道交通客流量的增长，地下车站的公共厕所污水量大、污物多，污水泵房内易出现水泵堵塞、污水池污水溢流等现象，对车站环境造成了较大影响。因此，从北京地铁大兴线开始，新型污水提升装置真空排水系统开始得到应用，北京地铁6号线、10号线则采用了密闭式污水提升装置。密闭式污水提升装置的水箱和真空排水系统真空罐的调节容积均较小，因此密闭式污水提升装置的排水泵每小时启停次数要求达到20次甚至更高，而真空排水系统的水泵采用凸轮泵，水泵每小时启停次数也不受6次的限制。所以，当新型污水提升装置的排水泵在每小时启动次数超过6次仍可满足水泵电机的性能要求时，则排水泵选型可不受本条文的限制。但排水泵采用立式泵时，排水泵的每小时启停次数仍不应超过6次。</w:t>
      </w:r>
    </w:p>
    <w:p w14:paraId="33650CCF">
      <w:r>
        <w:rPr>
          <w:rFonts w:hint="eastAsia" w:eastAsia="黑体" w:cs="方正黑体_GBK"/>
          <w:b/>
          <w:bCs/>
          <w:szCs w:val="21"/>
        </w:rPr>
        <w:t xml:space="preserve">15.3.5 </w:t>
      </w:r>
      <w:r>
        <w:rPr>
          <w:rFonts w:hint="eastAsia"/>
        </w:rPr>
        <w:t xml:space="preserve"> 第3款：本款规定了隧道内洞口雨水泵房处的雨水横截沟设置数量不少于三道，避免雨水进入隧道内，应校核横截沟的排水能力，不应小于隧道洞口的计算雨水排水量。</w:t>
      </w:r>
    </w:p>
    <w:p w14:paraId="46A92143">
      <w:pPr>
        <w:ind w:firstLine="420"/>
        <w:rPr>
          <w:rFonts w:ascii="宋体" w:hAnsi="宋体" w:cs="宋体"/>
          <w:szCs w:val="18"/>
        </w:rPr>
      </w:pPr>
      <w:r>
        <w:rPr>
          <w:rFonts w:hint="eastAsia" w:ascii="宋体" w:hAnsi="宋体" w:cs="宋体"/>
          <w:szCs w:val="18"/>
        </w:rPr>
        <w:t>第6款：当废水泵站的排水泵采用立式泵时，由于水泵电机位于水池上方，电机漏水的危害几率减小，水泵维护检修非常方便，立式排水泵在北京地铁1号线、2号线等已建线工程中被广泛应用。但由于立式泵的电机在集水池上方安装，需要占据一定空间，因此，其使用范围受到一定限制。</w:t>
      </w:r>
    </w:p>
    <w:p w14:paraId="616DECCB">
      <w:pPr>
        <w:ind w:firstLine="420"/>
        <w:rPr>
          <w:rFonts w:ascii="宋体" w:hAnsi="宋体" w:cs="宋体"/>
          <w:szCs w:val="18"/>
        </w:rPr>
      </w:pPr>
      <w:r>
        <w:rPr>
          <w:rFonts w:hint="eastAsia" w:ascii="宋体" w:hAnsi="宋体" w:cs="宋体"/>
          <w:szCs w:val="18"/>
        </w:rPr>
        <w:t>地下区间主废水泵站一般与联络通道合建，区间主废水泵站兼顾人员疏散通道功能要求，若采用立式泵的安装方式，为满足联络通道疏散宽度要求，需要增加联络通道宽度从而增加土建施工难度和工程投资。所以，与区间联络通道合建的主废水泵房、出入口通道处等局部排水泵房的排水泵应优先选用潜水泵，而具备水泵安装条件的车站主废水泵房、区间洞口雨水泵房以及与区间风井合建的主废水泵房，其排水泵则优先选用立式泵。</w:t>
      </w:r>
    </w:p>
    <w:p w14:paraId="5121FF56">
      <w:r>
        <w:rPr>
          <w:rFonts w:hint="eastAsia" w:eastAsia="黑体" w:cs="方正黑体_GBK"/>
          <w:b/>
          <w:bCs/>
          <w:szCs w:val="21"/>
        </w:rPr>
        <w:t xml:space="preserve">15.3.6 </w:t>
      </w:r>
      <w:r>
        <w:rPr>
          <w:rFonts w:hint="eastAsia"/>
        </w:rPr>
        <w:t xml:space="preserve"> 同15.3.4第5款。</w:t>
      </w:r>
    </w:p>
    <w:p w14:paraId="204D6D0C">
      <w:r>
        <w:rPr>
          <w:rFonts w:hint="eastAsia" w:eastAsia="黑体" w:cs="方正黑体_GBK"/>
          <w:b/>
          <w:bCs/>
          <w:szCs w:val="21"/>
        </w:rPr>
        <w:t xml:space="preserve">15.3.7 </w:t>
      </w:r>
      <w:r>
        <w:rPr>
          <w:rFonts w:hint="eastAsia"/>
        </w:rPr>
        <w:t xml:space="preserve"> 第3款：由于《建筑给水排水设计标准》GB50015中不允许通气管穿越风道的要求不适用地铁工程，因此补充说明给排水管道可沿风道敷设至室外。</w:t>
      </w:r>
    </w:p>
    <w:p w14:paraId="555D20ED">
      <w:pPr>
        <w:ind w:firstLine="420"/>
        <w:rPr>
          <w:rFonts w:ascii="宋体" w:hAnsi="宋体" w:cs="宋体"/>
          <w:szCs w:val="18"/>
        </w:rPr>
      </w:pPr>
      <w:r>
        <w:rPr>
          <w:rFonts w:hint="eastAsia" w:ascii="宋体" w:hAnsi="宋体" w:cs="宋体"/>
          <w:szCs w:val="18"/>
        </w:rPr>
        <w:t>第4款：根据北京地铁实际运维需求，修订此条标准，为保证水泵在设定液位下的安全启停及报警功能，根据北京城市轨道交通的运营经验，地下车站和区间主排水泵房、局部排水泵房、地下车站污水泵房集水池、密闭污水提升装置、洞口雨水泵房内采用安装方式较灵活的投入式液位传感器。由于洞口雨水泵房、车站及区间主排水泵房地位重要，水泵在暴雨期间能否安全启动将直接影响到城市轨道交通的行车安全；且区间排水泵房和洞口雨水泵房位于区间或洞口位置，工作人员不宜迅速到达，因此，宜在洞口雨水泵房、车站及区间排水泵房集水池内增加一个液位仪作为超高水位报警的备用措施，一旦投入式液位计失灵，则就近车站车控室工作人员可通过增设的液位计接收超高水位报警信号，远程启动水泵，以及时解除水淹的险情。</w:t>
      </w:r>
    </w:p>
    <w:p w14:paraId="70C50D72">
      <w:pPr>
        <w:ind w:firstLine="420"/>
        <w:rPr>
          <w:rFonts w:ascii="宋体" w:hAnsi="宋体" w:cs="宋体"/>
          <w:szCs w:val="18"/>
        </w:rPr>
      </w:pPr>
      <w:r>
        <w:rPr>
          <w:rFonts w:hint="eastAsia" w:ascii="宋体" w:hAnsi="宋体" w:cs="宋体"/>
          <w:szCs w:val="18"/>
        </w:rPr>
        <w:t>第5款：北京地区冬季寒冷，地下车站风道和出入口通道的管道均有冬季冻结的危险；北京地下水位较深，因此，出入口通道等局部排水泵房的集水池内冬季水位较浅。为了减少管道保温的设置范围并降低工程投资，局部排水泵房的排水管应设置泄水管便于运营单位冬季放空管道。</w:t>
      </w:r>
    </w:p>
    <w:p w14:paraId="52A1B717">
      <w:pPr>
        <w:ind w:firstLine="420"/>
        <w:rPr>
          <w:rFonts w:ascii="宋体" w:hAnsi="宋体" w:cs="宋体"/>
          <w:szCs w:val="18"/>
        </w:rPr>
      </w:pPr>
      <w:r>
        <w:rPr>
          <w:rFonts w:hint="eastAsia" w:ascii="宋体" w:hAnsi="宋体" w:cs="宋体"/>
          <w:szCs w:val="18"/>
        </w:rPr>
        <w:t>第6款：通风</w:t>
      </w:r>
      <w:r>
        <w:rPr>
          <w:rFonts w:hint="eastAsia" w:ascii="宋体" w:hAnsi="宋体" w:cs="宋体"/>
          <w:spacing w:val="6"/>
          <w:szCs w:val="18"/>
        </w:rPr>
        <w:t>空调机房设备和管道放空以及清洗设备的瞬时排水量均较大，当通风空调机房及</w:t>
      </w:r>
      <w:r>
        <w:rPr>
          <w:rFonts w:hint="eastAsia" w:ascii="宋体" w:hAnsi="宋体" w:cs="宋体"/>
          <w:szCs w:val="18"/>
        </w:rPr>
        <w:t>新</w:t>
      </w:r>
      <w:r>
        <w:rPr>
          <w:rFonts w:hint="eastAsia" w:ascii="宋体" w:hAnsi="宋体" w:cs="宋体"/>
          <w:spacing w:val="6"/>
          <w:szCs w:val="18"/>
        </w:rPr>
        <w:t>风道表冷器与车站主废水泵房同侧布置时，其排水应尽量直接接入车站主废水泵房。</w:t>
      </w:r>
    </w:p>
    <w:p w14:paraId="20F9BDC1">
      <w:pPr>
        <w:ind w:firstLine="420"/>
        <w:rPr>
          <w:rFonts w:ascii="宋体" w:hAnsi="宋体" w:cs="宋体"/>
          <w:szCs w:val="18"/>
        </w:rPr>
      </w:pPr>
      <w:r>
        <w:rPr>
          <w:rFonts w:hint="eastAsia" w:ascii="宋体" w:hAnsi="宋体" w:cs="宋体"/>
          <w:szCs w:val="18"/>
        </w:rPr>
        <w:t>第7款：地下车站通风空调机房、新风道及站台板下等需要排水的位置均应设置排水沟形成有组织的排水。应根据排水量的要求，对排水沟的断面尺寸及坡度进行核算，以保证排水沟的排水顺畅。同时，有排水的房间地面和排水沟均应做好防水处理。</w:t>
      </w:r>
    </w:p>
    <w:p w14:paraId="27F16B22">
      <w:pPr>
        <w:ind w:firstLine="420"/>
        <w:rPr>
          <w:rFonts w:ascii="宋体" w:hAnsi="宋体" w:cs="宋体"/>
          <w:szCs w:val="18"/>
        </w:rPr>
      </w:pPr>
      <w:r>
        <w:rPr>
          <w:rFonts w:hint="eastAsia" w:ascii="宋体" w:hAnsi="宋体" w:cs="宋体"/>
          <w:szCs w:val="18"/>
        </w:rPr>
        <w:t>第11款：当通风空调机房、风道表冷器及站厅、站台的生产废水及结构渗漏水排水管距离车站主废水泵房较远，无法接入主废水泵房时，这部分排水可通过管道接至线路排水沟，其排水管必须接至线路排水沟内，不得在道床面散流排放。线路排水沟还应加强防水措施，以减少水沟积水对轨行区杂散电流腐蚀的影响。</w:t>
      </w:r>
    </w:p>
    <w:p w14:paraId="73A7BEE8">
      <w:r>
        <w:rPr>
          <w:rFonts w:hint="eastAsia" w:eastAsia="黑体" w:cs="方正黑体_GBK"/>
          <w:b/>
          <w:bCs/>
          <w:szCs w:val="21"/>
        </w:rPr>
        <w:t xml:space="preserve">15.3.8  </w:t>
      </w:r>
      <w:r>
        <w:rPr>
          <w:rFonts w:hint="eastAsia"/>
        </w:rPr>
        <w:t>第1款：根据《室外排水设计标准》要求，补充车站可以不设化粪池的前提条件。</w:t>
      </w:r>
    </w:p>
    <w:p w14:paraId="0553B608">
      <w:pPr>
        <w:ind w:firstLine="420"/>
        <w:rPr>
          <w:rFonts w:ascii="宋体" w:hAnsi="宋体" w:cs="宋体"/>
          <w:szCs w:val="18"/>
        </w:rPr>
      </w:pPr>
      <w:r>
        <w:rPr>
          <w:rFonts w:hint="eastAsia" w:ascii="宋体" w:hAnsi="宋体" w:cs="宋体"/>
          <w:szCs w:val="18"/>
        </w:rPr>
        <w:t>第2款：根据市政排水部门要求，处理达标污水一般不允许接入市政雨水管网，因此排放方案要符合环评与当地排水部门的同意。</w:t>
      </w:r>
    </w:p>
    <w:p w14:paraId="777B0C2C">
      <w:pPr>
        <w:pStyle w:val="4"/>
        <w:numPr>
          <w:ilvl w:val="0"/>
          <w:numId w:val="0"/>
        </w:numPr>
      </w:pPr>
      <w:bookmarkStart w:id="2721" w:name="_Toc183454192"/>
      <w:bookmarkStart w:id="2722" w:name="_Toc183765327"/>
      <w:bookmarkStart w:id="2723" w:name="_Toc183882680"/>
      <w:bookmarkStart w:id="2724" w:name="_Toc183888370"/>
      <w:bookmarkStart w:id="2725" w:name="_Toc183888732"/>
      <w:bookmarkStart w:id="2726" w:name="_Toc183454872"/>
      <w:bookmarkStart w:id="2727" w:name="_Toc183790757"/>
      <w:bookmarkStart w:id="2728" w:name="_Toc183454489"/>
      <w:bookmarkStart w:id="2729" w:name="_Toc357929565"/>
      <w:bookmarkStart w:id="2730" w:name="_Toc183738149"/>
      <w:bookmarkStart w:id="2731" w:name="_Toc183882318"/>
      <w:r>
        <w:rPr>
          <w:rFonts w:hint="eastAsia"/>
          <w:b/>
        </w:rPr>
        <w:t xml:space="preserve">15.4  </w:t>
      </w:r>
      <w:r>
        <w:rPr>
          <w:rFonts w:hint="eastAsia"/>
        </w:rPr>
        <w:t>车辆基地给水与排水</w:t>
      </w:r>
      <w:bookmarkEnd w:id="2721"/>
      <w:bookmarkEnd w:id="2722"/>
      <w:bookmarkEnd w:id="2723"/>
      <w:bookmarkEnd w:id="2724"/>
      <w:bookmarkEnd w:id="2725"/>
      <w:bookmarkEnd w:id="2726"/>
      <w:bookmarkEnd w:id="2727"/>
      <w:bookmarkEnd w:id="2728"/>
      <w:bookmarkEnd w:id="2729"/>
      <w:bookmarkEnd w:id="2730"/>
      <w:bookmarkEnd w:id="2731"/>
    </w:p>
    <w:p w14:paraId="468EE7D3">
      <w:r>
        <w:rPr>
          <w:rFonts w:hint="eastAsia" w:eastAsia="黑体" w:cs="方正黑体_GBK"/>
          <w:b/>
          <w:bCs/>
          <w:szCs w:val="21"/>
        </w:rPr>
        <w:t xml:space="preserve">15.4.2 </w:t>
      </w:r>
      <w:r>
        <w:rPr>
          <w:rFonts w:hint="eastAsia"/>
        </w:rPr>
        <w:t xml:space="preserve"> 《城市轨道交通给水排水系统技术标准》中已根据建筑规模、天沟形式规定了不同重现期，参考其内容修改。</w:t>
      </w:r>
    </w:p>
    <w:p w14:paraId="73605C98">
      <w:r>
        <w:rPr>
          <w:rFonts w:hint="eastAsia" w:eastAsia="黑体" w:cs="方正黑体_GBK"/>
          <w:b/>
          <w:bCs/>
          <w:szCs w:val="21"/>
        </w:rPr>
        <w:t xml:space="preserve">15.4.3 </w:t>
      </w:r>
      <w:r>
        <w:rPr>
          <w:rFonts w:hint="eastAsia"/>
        </w:rPr>
        <w:t xml:space="preserve"> 第1款：目前北京市内已经不允许打井，因此删除采用自备井的要求。</w:t>
      </w:r>
    </w:p>
    <w:p w14:paraId="52CD3658">
      <w:pPr>
        <w:ind w:firstLine="420"/>
        <w:rPr>
          <w:rFonts w:ascii="宋体" w:hAnsi="宋体" w:cs="宋体"/>
          <w:szCs w:val="18"/>
        </w:rPr>
      </w:pPr>
      <w:r>
        <w:rPr>
          <w:rFonts w:hint="eastAsia" w:ascii="宋体" w:hAnsi="宋体" w:cs="宋体"/>
          <w:szCs w:val="18"/>
        </w:rPr>
        <w:t>第2款：北京是个严重缺水的城市，为节约有限的水资源，北京正在大力发展市政中水系统。当城市轨道交通车辆基地位于市政中水覆盖范围，车辆基地内的冲厕、冲洗地面和浇花均宜直接利用市政中水。当车辆基地周围无可直接利用的市政中水时，车辆基地内的生产废水和生活污水也可经过处理后作为中水回用。由于中水与城市自来水处理后的水质标准不同，为避免中水污染自</w:t>
      </w:r>
      <w:r>
        <w:rPr>
          <w:rFonts w:hint="eastAsia" w:ascii="宋体" w:hAnsi="宋体" w:cs="宋体"/>
          <w:spacing w:val="6"/>
          <w:szCs w:val="18"/>
        </w:rPr>
        <w:t>来水，中水系统与自来水供水系统应采用完全独立的两套给水系统，并分别设置计量装置进行单独计量。</w:t>
      </w:r>
    </w:p>
    <w:p w14:paraId="25AAA304">
      <w:pPr>
        <w:ind w:firstLine="420"/>
        <w:rPr>
          <w:rFonts w:ascii="宋体" w:hAnsi="宋体" w:cs="宋体"/>
          <w:szCs w:val="18"/>
        </w:rPr>
      </w:pPr>
      <w:r>
        <w:rPr>
          <w:rFonts w:hint="eastAsia" w:ascii="宋体" w:hAnsi="宋体" w:cs="宋体"/>
          <w:szCs w:val="18"/>
        </w:rPr>
        <w:t>第3款：从节水角度出发，明确充分利用市政水压的原则。根据规范的规定，当市政自来水水压不能满足车辆基地内部分建筑的生产、生活用水要求时，采用分区供水的方式，首先要充分利用市政给水管网的压力满足低区的供水要求，高区采用叠压供水装置或变频调速供水装置的二次供水设施供水。叠压供水装置直接利用市政自来水水压供水，且避免了生活调节水池的二次污染，较变频调速供水装置有一定的优势，但其能否使用应经过北京市或当地自来水公司的认可。</w:t>
      </w:r>
    </w:p>
    <w:p w14:paraId="1E3C8A26">
      <w:pPr>
        <w:ind w:firstLine="420"/>
        <w:rPr>
          <w:rFonts w:ascii="宋体" w:hAnsi="宋体" w:cs="宋体"/>
          <w:szCs w:val="18"/>
        </w:rPr>
      </w:pPr>
      <w:r>
        <w:rPr>
          <w:rFonts w:hint="eastAsia" w:ascii="宋体" w:hAnsi="宋体" w:cs="宋体"/>
          <w:szCs w:val="18"/>
        </w:rPr>
        <w:t>第6款：本款为新增条款，根据《建筑给水排水设计标准》GB50015的规定补充此条要求。</w:t>
      </w:r>
    </w:p>
    <w:p w14:paraId="138CA867">
      <w:pPr>
        <w:ind w:firstLine="420"/>
        <w:rPr>
          <w:rFonts w:ascii="宋体" w:hAnsi="宋体" w:cs="宋体"/>
          <w:szCs w:val="18"/>
        </w:rPr>
      </w:pPr>
      <w:r>
        <w:rPr>
          <w:rFonts w:hint="eastAsia" w:ascii="宋体" w:hAnsi="宋体" w:cs="宋体"/>
          <w:szCs w:val="18"/>
        </w:rPr>
        <w:t>第7款：本款为新增条款，根据《北京市节约用水办法》中的相关要求补充此条要求。</w:t>
      </w:r>
    </w:p>
    <w:p w14:paraId="16252DAB">
      <w:r>
        <w:rPr>
          <w:rFonts w:hint="eastAsia" w:eastAsia="黑体" w:cs="方正黑体_GBK"/>
          <w:b/>
          <w:bCs/>
          <w:szCs w:val="21"/>
        </w:rPr>
        <w:t xml:space="preserve">15.4.4  </w:t>
      </w:r>
      <w:r>
        <w:rPr>
          <w:rFonts w:hint="eastAsia"/>
        </w:rPr>
        <w:t>第4款：车辆基地内运用库和检修库的屋面面积较大，一般都能达到几千甚至几万平方米，屋面暴雨期间雨水流量较大，为减少库内排水立管的设置数量，其屋面雨水系统应优先采用满管压力流雨水系统。车辆基地内其他建筑的屋面面积较小，宜采用重力流排水系统以节约工程投资。但部分车辆基地的某些建筑如物资库的体积较大，其屋面面积达到将近2000m</w:t>
      </w:r>
      <w:r>
        <w:rPr>
          <w:rFonts w:hint="eastAsia"/>
          <w:vertAlign w:val="superscript"/>
        </w:rPr>
        <w:t>2</w:t>
      </w:r>
      <w:r>
        <w:rPr>
          <w:rFonts w:hint="eastAsia"/>
        </w:rPr>
        <w:t>，对于此类建筑，屋面雨水系统是采用重力流还是满管压力流雨水系统，应进行技术经济比较确定。</w:t>
      </w:r>
    </w:p>
    <w:p w14:paraId="2B55C014">
      <w:pPr>
        <w:ind w:firstLine="420"/>
        <w:rPr>
          <w:rFonts w:ascii="宋体" w:hAnsi="宋体" w:cs="宋体"/>
          <w:szCs w:val="18"/>
        </w:rPr>
      </w:pPr>
      <w:r>
        <w:rPr>
          <w:rFonts w:hint="eastAsia" w:ascii="宋体" w:hAnsi="宋体" w:cs="宋体"/>
          <w:szCs w:val="18"/>
        </w:rPr>
        <w:t>第7款：本款为新增条款，根据《海绵城市雨水控制与利用工程设计规范》DB11-685补充此条要求。</w:t>
      </w:r>
    </w:p>
    <w:p w14:paraId="13B699A2">
      <w:r>
        <w:rPr>
          <w:rFonts w:hint="eastAsia"/>
        </w:rPr>
        <w:t>15.4.5  第1款：北京市节能文件要求绿化、洗车、冲洗道路等采用再生水，根据规范要求采用再生水灌溉时，只能采用微喷灌、滴灌等，因此不再设室外洒水栓。对原条款进行修改。</w:t>
      </w:r>
    </w:p>
    <w:p w14:paraId="5F309193">
      <w:pPr>
        <w:ind w:firstLine="420"/>
        <w:rPr>
          <w:rFonts w:ascii="宋体" w:hAnsi="宋体" w:cs="宋体"/>
          <w:szCs w:val="18"/>
        </w:rPr>
      </w:pPr>
      <w:r>
        <w:rPr>
          <w:rFonts w:hint="eastAsia" w:ascii="宋体" w:hAnsi="宋体" w:cs="宋体"/>
          <w:szCs w:val="18"/>
        </w:rPr>
        <w:t>第7款：塑料检查井更适用于民建小区，不适合轨道交通前期运输车辆时有重荷载的车辆基地。</w:t>
      </w:r>
    </w:p>
    <w:p w14:paraId="654D974E">
      <w:r>
        <w:rPr>
          <w:rFonts w:hint="eastAsia" w:eastAsia="黑体" w:cs="方正黑体_GBK"/>
          <w:b/>
          <w:bCs/>
          <w:szCs w:val="21"/>
        </w:rPr>
        <w:t xml:space="preserve">15.5.3 </w:t>
      </w:r>
      <w:r>
        <w:rPr>
          <w:rFonts w:hint="eastAsia"/>
        </w:rPr>
        <w:t xml:space="preserve"> 《城市轨道交通工程项目规范》GB55033-2022增加了监视排水泵自动巡检状态要求，因此在本条中补充在车站综合控制室显示排水泵自动巡检故障状态的要求。</w:t>
      </w:r>
    </w:p>
    <w:p w14:paraId="6CB2828B">
      <w:pPr>
        <w:pStyle w:val="2396"/>
      </w:pPr>
    </w:p>
    <w:p w14:paraId="17470E54">
      <w:pPr>
        <w:ind w:firstLine="420"/>
        <w:rPr>
          <w:rFonts w:ascii="宋体" w:hAnsi="宋体" w:cs="宋体"/>
        </w:rPr>
      </w:pPr>
      <w:r>
        <w:rPr>
          <w:rFonts w:hint="eastAsia" w:ascii="宋体" w:hAnsi="宋体" w:cs="宋体"/>
        </w:rPr>
        <w:br w:type="page"/>
      </w:r>
    </w:p>
    <w:p w14:paraId="1BFD5B80">
      <w:pPr>
        <w:pStyle w:val="240"/>
      </w:pPr>
      <w:bookmarkStart w:id="2732" w:name="_Toc183888371"/>
      <w:bookmarkStart w:id="2733" w:name="_Toc183888733"/>
      <w:bookmarkStart w:id="2734" w:name="_Toc183882319"/>
      <w:bookmarkStart w:id="2735" w:name="_Toc183882681"/>
      <w:bookmarkStart w:id="2736" w:name="_Toc183454873"/>
      <w:bookmarkStart w:id="2737" w:name="_Toc183454193"/>
      <w:bookmarkStart w:id="2738" w:name="_Toc183454490"/>
      <w:bookmarkStart w:id="2739" w:name="_Toc183735447"/>
      <w:bookmarkStart w:id="2740" w:name="_Toc183738150"/>
      <w:bookmarkStart w:id="2741" w:name="_Toc183790758"/>
      <w:bookmarkStart w:id="2742" w:name="_Toc183765328"/>
      <w:bookmarkStart w:id="2743" w:name="_Toc183699903"/>
      <w:r>
        <w:rPr>
          <w:rFonts w:hint="eastAsia"/>
          <w:b/>
        </w:rPr>
        <w:t>1</w:t>
      </w:r>
      <w:r>
        <w:rPr>
          <w:b/>
        </w:rPr>
        <w:t xml:space="preserve">6 </w:t>
      </w:r>
      <w:r>
        <w:rPr>
          <w:rFonts w:hint="eastAsia"/>
        </w:rPr>
        <w:t xml:space="preserve"> 供  电</w:t>
      </w:r>
      <w:bookmarkEnd w:id="2732"/>
      <w:bookmarkEnd w:id="2733"/>
      <w:bookmarkEnd w:id="2734"/>
      <w:bookmarkEnd w:id="2735"/>
      <w:bookmarkEnd w:id="2736"/>
      <w:bookmarkEnd w:id="2737"/>
      <w:bookmarkEnd w:id="2738"/>
      <w:bookmarkEnd w:id="2739"/>
      <w:bookmarkEnd w:id="2740"/>
      <w:bookmarkEnd w:id="2741"/>
      <w:bookmarkEnd w:id="2742"/>
      <w:bookmarkEnd w:id="2743"/>
    </w:p>
    <w:p w14:paraId="61ABECB4">
      <w:pPr>
        <w:pStyle w:val="4"/>
        <w:numPr>
          <w:ilvl w:val="0"/>
          <w:numId w:val="0"/>
        </w:numPr>
      </w:pPr>
      <w:bookmarkStart w:id="2744" w:name="_Toc183738151"/>
      <w:bookmarkStart w:id="2745" w:name="_Toc183454491"/>
      <w:bookmarkStart w:id="2746" w:name="_Toc183888372"/>
      <w:bookmarkStart w:id="2747" w:name="_Toc183882682"/>
      <w:bookmarkStart w:id="2748" w:name="_Toc183765329"/>
      <w:bookmarkStart w:id="2749" w:name="_Toc183888734"/>
      <w:bookmarkStart w:id="2750" w:name="_Toc183882320"/>
      <w:bookmarkStart w:id="2751" w:name="_Toc183454874"/>
      <w:bookmarkStart w:id="2752" w:name="_Toc183790759"/>
      <w:bookmarkStart w:id="2753" w:name="_Toc183454194"/>
      <w:r>
        <w:rPr>
          <w:b/>
        </w:rPr>
        <w:t xml:space="preserve">16.1 </w:t>
      </w:r>
      <w:r>
        <w:t xml:space="preserve"> 一般规定</w:t>
      </w:r>
      <w:bookmarkEnd w:id="2744"/>
      <w:bookmarkEnd w:id="2745"/>
      <w:bookmarkEnd w:id="2746"/>
      <w:bookmarkEnd w:id="2747"/>
      <w:bookmarkEnd w:id="2748"/>
      <w:bookmarkEnd w:id="2749"/>
      <w:bookmarkEnd w:id="2750"/>
      <w:bookmarkEnd w:id="2751"/>
      <w:bookmarkEnd w:id="2752"/>
      <w:bookmarkEnd w:id="2753"/>
    </w:p>
    <w:p w14:paraId="1BA49FDE">
      <w:pPr>
        <w:pStyle w:val="2396"/>
        <w:rPr>
          <w:rFonts w:ascii="宋体" w:hAnsi="宋体"/>
          <w:bCs/>
        </w:rPr>
      </w:pPr>
      <w:r>
        <w:rPr>
          <w:rFonts w:eastAsia="黑体"/>
          <w:b/>
          <w:bCs/>
          <w:szCs w:val="21"/>
        </w:rPr>
        <w:t>16.1.2</w:t>
      </w:r>
      <w:r>
        <w:rPr>
          <w:rFonts w:ascii="宋体" w:hAnsi="宋体"/>
          <w:bCs/>
          <w:szCs w:val="21"/>
        </w:rPr>
        <w:t xml:space="preserve">  </w:t>
      </w:r>
      <w:r>
        <w:rPr>
          <w:rFonts w:ascii="宋体" w:hAnsi="宋体"/>
          <w:bCs/>
        </w:rPr>
        <w:t>轨道交通线网内部共享包含线路之间主变电所或电源开闭所共享、换乘车站降压变电所共享。</w:t>
      </w:r>
    </w:p>
    <w:p w14:paraId="1595BF66">
      <w:pPr>
        <w:ind w:firstLine="420"/>
        <w:rPr>
          <w:rFonts w:ascii="宋体" w:hAnsi="宋体"/>
          <w:bCs/>
        </w:rPr>
      </w:pPr>
      <w:r>
        <w:rPr>
          <w:rFonts w:ascii="宋体" w:hAnsi="宋体"/>
          <w:bCs/>
        </w:rPr>
        <w:t>轨道交通线路与地区用户共享是指因城市轨道交通工程而建设的110kV主变电所，当中压网络电压等级采用10kV时，可以同时为轨道交通线路、地区其他用户提供10kV电源。北京地铁4号线甘石桥110kV主变电所、5号线宋家庄110kV主变电所在这个方面做了尝试，取得工程建设经验。</w:t>
      </w:r>
    </w:p>
    <w:p w14:paraId="2CDC64ED">
      <w:pPr>
        <w:rPr>
          <w:rFonts w:ascii="宋体" w:hAnsi="宋体"/>
          <w:bCs/>
        </w:rPr>
      </w:pPr>
      <w:r>
        <w:rPr>
          <w:rFonts w:eastAsia="黑体"/>
          <w:b/>
          <w:bCs/>
          <w:szCs w:val="21"/>
        </w:rPr>
        <w:t>16.1.3</w:t>
      </w:r>
      <w:r>
        <w:rPr>
          <w:rFonts w:ascii="宋体" w:hAnsi="宋体"/>
          <w:bCs/>
        </w:rPr>
        <w:t xml:space="preserve">  北京三期建设的部分城市轨道交通线路远期行车通过能力实际已不能达到30对/h，仅系统能力按30对/h设计。《地铁设计规范》修编供电章节条文中，中压系统能力也强调了满足远期系统行车能力而未要求必须满足不应小于30对/h。</w:t>
      </w:r>
    </w:p>
    <w:p w14:paraId="1E18ACC5">
      <w:pPr>
        <w:rPr>
          <w:rFonts w:ascii="宋体" w:hAnsi="宋体"/>
          <w:bCs/>
          <w:szCs w:val="21"/>
        </w:rPr>
      </w:pPr>
      <w:r>
        <w:rPr>
          <w:rFonts w:eastAsia="黑体"/>
          <w:b/>
          <w:bCs/>
          <w:szCs w:val="21"/>
        </w:rPr>
        <w:t xml:space="preserve">16.1.5   </w:t>
      </w:r>
      <w:r>
        <w:rPr>
          <w:rFonts w:ascii="宋体" w:hAnsi="宋体"/>
          <w:bCs/>
          <w:szCs w:val="21"/>
        </w:rPr>
        <w:t>轨道交通是客运量远大于地面公交的交通工具。随着轨道交通规模化、网络化运营工作的展开，客运量占全市出行量的比例将越来越重。某条线路一旦停运，对地面公交造成很大冲击，甚至导致地面交通的管理混乱，因此对运营的安全提出了更高的要求。</w:t>
      </w:r>
    </w:p>
    <w:p w14:paraId="33A8BEC9">
      <w:pPr>
        <w:ind w:firstLine="420"/>
        <w:rPr>
          <w:rFonts w:ascii="宋体" w:hAnsi="宋体"/>
          <w:bCs/>
        </w:rPr>
      </w:pPr>
      <w:r>
        <w:rPr>
          <w:rFonts w:ascii="宋体" w:hAnsi="宋体"/>
          <w:bCs/>
        </w:rPr>
        <w:t>本规范执行了《供配电系统设计规范》GB 50052—2009第3.0.2条、第3.0.3条的规定。</w:t>
      </w:r>
    </w:p>
    <w:p w14:paraId="6BABE7DA">
      <w:pPr>
        <w:rPr>
          <w:rFonts w:ascii="宋体" w:hAnsi="宋体"/>
          <w:bCs/>
          <w:szCs w:val="21"/>
        </w:rPr>
      </w:pPr>
      <w:r>
        <w:rPr>
          <w:rFonts w:eastAsia="黑体"/>
          <w:b/>
          <w:bCs/>
          <w:szCs w:val="21"/>
        </w:rPr>
        <w:t>16.1.6</w:t>
      </w:r>
      <w:r>
        <w:rPr>
          <w:rFonts w:ascii="宋体" w:hAnsi="宋体"/>
          <w:bCs/>
          <w:szCs w:val="21"/>
        </w:rPr>
        <w:t xml:space="preserve">  车站二级负荷配电原则执行了《地铁设计规范》GB 50157的规定，增补了车辆综合基地二级负荷的配电规定。</w:t>
      </w:r>
    </w:p>
    <w:p w14:paraId="3CEA974C">
      <w:pPr>
        <w:ind w:firstLine="420"/>
        <w:rPr>
          <w:rFonts w:ascii="宋体" w:hAnsi="宋体"/>
          <w:bCs/>
        </w:rPr>
      </w:pPr>
      <w:r>
        <w:rPr>
          <w:rFonts w:ascii="宋体" w:hAnsi="宋体"/>
          <w:bCs/>
        </w:rPr>
        <w:t>第1款：车站及区间内的400V供电线路的长度较短（个别区间情况除外），采用专用通道明敷设，供电线路故障时宜较快查找故障点。因此，车站及区间二级负荷供电方式执行《地铁设计规范》GB 50157的规定，可以满足目前北京市轨道交通运营管理的需要。</w:t>
      </w:r>
    </w:p>
    <w:p w14:paraId="0EBB1741">
      <w:pPr>
        <w:ind w:firstLine="420"/>
        <w:rPr>
          <w:rFonts w:ascii="宋体" w:hAnsi="宋体"/>
          <w:bCs/>
        </w:rPr>
      </w:pPr>
      <w:r>
        <w:rPr>
          <w:rFonts w:ascii="宋体" w:hAnsi="宋体"/>
          <w:bCs/>
        </w:rPr>
        <w:t>第2款：车辆综合基地的地面作业活动较多，对电力电缆造成意外损坏的几率高于车站及区间；因占地面积大，电力电缆敷设长度较长，增加了电力电缆的故障率；电力电缆敷设方式多样化，尤其是埋地敷设形式，电力电缆检修难度较大，恢复送电时间较长，对车辆综合基地的正常管理与使用影响较大，因此当变电所不在单体建筑物内时，车辆综合基地建筑物二级负荷宜采用双回线路供电。</w:t>
      </w:r>
    </w:p>
    <w:p w14:paraId="3A77C785">
      <w:pPr>
        <w:ind w:firstLine="420"/>
        <w:rPr>
          <w:rFonts w:ascii="宋体" w:hAnsi="宋体"/>
          <w:bCs/>
        </w:rPr>
      </w:pPr>
      <w:r>
        <w:rPr>
          <w:rFonts w:ascii="宋体" w:hAnsi="宋体"/>
          <w:bCs/>
        </w:rPr>
        <w:t>按照城市轨道交通的负荷等级为一级的原则，变电所中压进线为双重电源，配电变压器至少设置两台，并分挂在不同中压母线，400V母线分段且设置断路器。考虑城市轨道交通的重要性、民用建筑常规做法以及工程造价等综合因素影响，推荐车辆综合基地建筑物二级负荷采用双重电源，建筑物第一个受电点配电装置实施双重电源自动切换功能，接线形式与一级负荷做法相同，但在供电系统电力调度管理上是有区别的。首先可以保障在供电系统正常运行下二级负荷电源可靠性，其次符合上级一个电源退出、供电系统应满足全部一、二级负荷的原则。</w:t>
      </w:r>
    </w:p>
    <w:p w14:paraId="202E07EB">
      <w:pPr>
        <w:rPr>
          <w:rFonts w:ascii="宋体" w:hAnsi="宋体"/>
          <w:bCs/>
        </w:rPr>
      </w:pPr>
      <w:r>
        <w:rPr>
          <w:rFonts w:eastAsia="黑体"/>
          <w:b/>
          <w:bCs/>
          <w:szCs w:val="21"/>
        </w:rPr>
        <w:t xml:space="preserve">16.1.8  </w:t>
      </w:r>
      <w:r>
        <w:rPr>
          <w:rFonts w:ascii="宋体" w:hAnsi="宋体"/>
          <w:bCs/>
        </w:rPr>
        <w:t>直流牵引变电所和交流25kV牵引变电所的运行方式不同，直流牵引变电所的两个电源各自带不同的母线同时运行；交流25kV牵引变电所的两个电源互为热备。</w:t>
      </w:r>
    </w:p>
    <w:p w14:paraId="20F28A9B">
      <w:pPr>
        <w:rPr>
          <w:rFonts w:ascii="宋体" w:hAnsi="宋体"/>
          <w:bCs/>
          <w:szCs w:val="21"/>
        </w:rPr>
      </w:pPr>
      <w:r>
        <w:rPr>
          <w:rFonts w:eastAsia="黑体"/>
          <w:b/>
          <w:bCs/>
          <w:szCs w:val="21"/>
        </w:rPr>
        <w:t xml:space="preserve">16.1.10  </w:t>
      </w:r>
      <w:r>
        <w:rPr>
          <w:rFonts w:ascii="宋体" w:hAnsi="宋体"/>
          <w:bCs/>
          <w:szCs w:val="21"/>
        </w:rPr>
        <w:t>目前列车再生能量吸收技术已有成熟技术及设备。为推进绿色、节能技术在北京城市轨道交通中的应用，增补此条文。</w:t>
      </w:r>
    </w:p>
    <w:p w14:paraId="13BC13AF">
      <w:pPr>
        <w:rPr>
          <w:rFonts w:ascii="宋体" w:hAnsi="宋体"/>
          <w:bCs/>
          <w:szCs w:val="21"/>
        </w:rPr>
      </w:pPr>
      <w:r>
        <w:rPr>
          <w:rFonts w:eastAsia="黑体"/>
          <w:b/>
          <w:bCs/>
          <w:szCs w:val="21"/>
        </w:rPr>
        <w:t>16.1.13</w:t>
      </w:r>
      <w:r>
        <w:rPr>
          <w:rFonts w:ascii="宋体" w:hAnsi="宋体"/>
          <w:bCs/>
          <w:szCs w:val="21"/>
        </w:rPr>
        <w:t xml:space="preserve">  常规的交流制牵引供电系统会产生较大的负序电流，需考虑采取相应的减小措施降低对公共电网的影响。</w:t>
      </w:r>
    </w:p>
    <w:p w14:paraId="314BDCF8">
      <w:pPr>
        <w:rPr>
          <w:rFonts w:ascii="宋体" w:hAnsi="宋体"/>
          <w:bCs/>
          <w:szCs w:val="21"/>
        </w:rPr>
      </w:pPr>
      <w:r>
        <w:rPr>
          <w:rFonts w:eastAsia="黑体"/>
          <w:b/>
          <w:bCs/>
          <w:szCs w:val="21"/>
        </w:rPr>
        <w:t>16.1.14</w:t>
      </w:r>
      <w:r>
        <w:rPr>
          <w:rFonts w:ascii="宋体" w:hAnsi="宋体"/>
          <w:bCs/>
          <w:szCs w:val="21"/>
        </w:rPr>
        <w:t xml:space="preserve">  杂散电流腐蚀防护措施属于城市轨道交通长期管理行为，而安全隐患的发生存在不确定性。因此，制定杂散电流腐蚀防护措施时，应满足安全的相关要求。</w:t>
      </w:r>
    </w:p>
    <w:p w14:paraId="4668D901">
      <w:pPr>
        <w:rPr>
          <w:rFonts w:ascii="宋体" w:hAnsi="宋体"/>
          <w:bCs/>
          <w:szCs w:val="21"/>
        </w:rPr>
      </w:pPr>
      <w:r>
        <w:rPr>
          <w:rFonts w:eastAsia="黑体"/>
          <w:b/>
          <w:bCs/>
          <w:szCs w:val="21"/>
        </w:rPr>
        <w:t>16.1.15</w:t>
      </w:r>
      <w:r>
        <w:rPr>
          <w:rFonts w:ascii="宋体" w:hAnsi="宋体"/>
          <w:bCs/>
          <w:szCs w:val="21"/>
        </w:rPr>
        <w:t xml:space="preserve">  当前，国内城市轨道交通供电系统的建设规模及造价越来越庞大，为提高供电效率，做出此规定。</w:t>
      </w:r>
    </w:p>
    <w:p w14:paraId="3F59DD12">
      <w:pPr>
        <w:rPr>
          <w:rFonts w:ascii="宋体" w:hAnsi="宋体"/>
          <w:bCs/>
          <w:szCs w:val="21"/>
        </w:rPr>
      </w:pPr>
      <w:r>
        <w:rPr>
          <w:rFonts w:eastAsia="黑体"/>
          <w:b/>
          <w:bCs/>
          <w:szCs w:val="21"/>
        </w:rPr>
        <w:t>16.1.18</w:t>
      </w:r>
      <w:r>
        <w:rPr>
          <w:rFonts w:ascii="宋体" w:hAnsi="宋体"/>
          <w:bCs/>
          <w:szCs w:val="21"/>
        </w:rPr>
        <w:t xml:space="preserve">  突光伏发电技术作为绿色、节能技术发展在北京城市轨道交通中的应用。</w:t>
      </w:r>
    </w:p>
    <w:p w14:paraId="7582CFFB">
      <w:pPr>
        <w:pStyle w:val="4"/>
        <w:numPr>
          <w:ilvl w:val="0"/>
          <w:numId w:val="0"/>
        </w:numPr>
      </w:pPr>
      <w:bookmarkStart w:id="2754" w:name="_Toc183882321"/>
      <w:bookmarkStart w:id="2755" w:name="_Toc183454875"/>
      <w:bookmarkStart w:id="2756" w:name="_Toc183888735"/>
      <w:bookmarkStart w:id="2757" w:name="_Toc183882683"/>
      <w:bookmarkStart w:id="2758" w:name="_Toc183454492"/>
      <w:bookmarkStart w:id="2759" w:name="_Toc183790760"/>
      <w:bookmarkStart w:id="2760" w:name="_Toc183738152"/>
      <w:bookmarkStart w:id="2761" w:name="_Toc183888373"/>
      <w:bookmarkStart w:id="2762" w:name="_Toc183454195"/>
      <w:bookmarkStart w:id="2763" w:name="_Toc183765330"/>
      <w:r>
        <w:rPr>
          <w:b/>
        </w:rPr>
        <w:t>16.2</w:t>
      </w:r>
      <w:r>
        <w:t xml:space="preserve">  牵引供电系统</w:t>
      </w:r>
      <w:bookmarkEnd w:id="2754"/>
      <w:bookmarkEnd w:id="2755"/>
      <w:bookmarkEnd w:id="2756"/>
      <w:bookmarkEnd w:id="2757"/>
      <w:bookmarkEnd w:id="2758"/>
      <w:bookmarkEnd w:id="2759"/>
      <w:bookmarkEnd w:id="2760"/>
      <w:bookmarkEnd w:id="2761"/>
      <w:bookmarkEnd w:id="2762"/>
      <w:bookmarkEnd w:id="2763"/>
    </w:p>
    <w:p w14:paraId="3671C539">
      <w:pPr>
        <w:rPr>
          <w:rFonts w:ascii="宋体" w:hAnsi="宋体"/>
          <w:bCs/>
          <w:szCs w:val="21"/>
        </w:rPr>
      </w:pPr>
      <w:r>
        <w:rPr>
          <w:rFonts w:eastAsia="黑体"/>
          <w:b/>
          <w:bCs/>
          <w:szCs w:val="21"/>
        </w:rPr>
        <w:t>16.2.5</w:t>
      </w:r>
      <w:r>
        <w:rPr>
          <w:rFonts w:ascii="宋体" w:hAnsi="宋体"/>
          <w:bCs/>
          <w:szCs w:val="21"/>
        </w:rPr>
        <w:t xml:space="preserve">  交流制式牵引网供电方式有直接供电方式、带回流线的直接供电方式、AT供电方式及BT供电方式，结合本规范的适用车速范围，以采用带回流线的直接供电方式为宜。</w:t>
      </w:r>
    </w:p>
    <w:p w14:paraId="45A7EB0E">
      <w:pPr>
        <w:pStyle w:val="4"/>
        <w:numPr>
          <w:ilvl w:val="0"/>
          <w:numId w:val="0"/>
        </w:numPr>
      </w:pPr>
      <w:bookmarkStart w:id="2764" w:name="_Toc183454196"/>
      <w:bookmarkStart w:id="2765" w:name="_Toc183765331"/>
      <w:bookmarkStart w:id="2766" w:name="_Toc183882684"/>
      <w:bookmarkStart w:id="2767" w:name="_Toc183888736"/>
      <w:bookmarkStart w:id="2768" w:name="_Toc183882322"/>
      <w:bookmarkStart w:id="2769" w:name="_Toc183454493"/>
      <w:bookmarkStart w:id="2770" w:name="_Toc183790761"/>
      <w:bookmarkStart w:id="2771" w:name="_Toc183738153"/>
      <w:bookmarkStart w:id="2772" w:name="_Toc183454876"/>
      <w:bookmarkStart w:id="2773" w:name="_Toc183888374"/>
      <w:r>
        <w:rPr>
          <w:b/>
        </w:rPr>
        <w:t xml:space="preserve">16.3  </w:t>
      </w:r>
      <w:r>
        <w:t>外电源与中压网络</w:t>
      </w:r>
      <w:bookmarkEnd w:id="2764"/>
      <w:bookmarkEnd w:id="2765"/>
      <w:bookmarkEnd w:id="2766"/>
      <w:bookmarkEnd w:id="2767"/>
      <w:bookmarkEnd w:id="2768"/>
      <w:bookmarkEnd w:id="2769"/>
      <w:bookmarkEnd w:id="2770"/>
      <w:bookmarkEnd w:id="2771"/>
      <w:bookmarkEnd w:id="2772"/>
      <w:bookmarkEnd w:id="2773"/>
    </w:p>
    <w:p w14:paraId="55F15FA3">
      <w:pPr>
        <w:rPr>
          <w:rFonts w:ascii="宋体" w:hAnsi="宋体"/>
          <w:bCs/>
          <w:szCs w:val="21"/>
        </w:rPr>
      </w:pPr>
      <w:r>
        <w:rPr>
          <w:rFonts w:eastAsia="黑体"/>
          <w:b/>
          <w:bCs/>
          <w:szCs w:val="21"/>
        </w:rPr>
        <w:t>16.3.4</w:t>
      </w:r>
      <w:r>
        <w:rPr>
          <w:rFonts w:ascii="宋体" w:hAnsi="宋体"/>
          <w:bCs/>
          <w:szCs w:val="21"/>
        </w:rPr>
        <w:t xml:space="preserve">  北京市轨道交通系统在公共交通领域的作用随网络化、规模化运营而日益突出，随之对供电系统电源可靠性提出了较高要求，专线电源的可靠性高于其他的电源引入形式。本规范规定“主变电所、电源开闭所进线电源应为专线电源”，是基于北京电力部门已将轨道交通列为重要用户，为主变电所、10kV电源开闭所电源专线引入提供了工程实施条件。</w:t>
      </w:r>
    </w:p>
    <w:p w14:paraId="27EECB1B">
      <w:pPr>
        <w:rPr>
          <w:rFonts w:ascii="宋体" w:hAnsi="宋体"/>
          <w:bCs/>
          <w:szCs w:val="21"/>
        </w:rPr>
      </w:pPr>
      <w:r>
        <w:rPr>
          <w:rFonts w:eastAsia="黑体"/>
          <w:b/>
          <w:bCs/>
          <w:szCs w:val="21"/>
        </w:rPr>
        <w:t xml:space="preserve">16.3.6 </w:t>
      </w:r>
      <w:r>
        <w:rPr>
          <w:rFonts w:eastAsia="黑体"/>
          <w:bCs/>
          <w:szCs w:val="21"/>
        </w:rPr>
        <w:t xml:space="preserve"> </w:t>
      </w:r>
      <w:r>
        <w:rPr>
          <w:rFonts w:ascii="宋体" w:hAnsi="宋体"/>
          <w:bCs/>
          <w:szCs w:val="21"/>
        </w:rPr>
        <w:t>分散式供电采用了与城市电网电压等级相同的10kV电压制式。10kV线路供电负荷力矩较小，若相邻电源开闭所电源引自城市电网同一座变电所，当该变电所退出时，将影响线路供电系统的供电能力和电压质量，因此做出此规定。</w:t>
      </w:r>
    </w:p>
    <w:p w14:paraId="0EF28AF3">
      <w:pPr>
        <w:rPr>
          <w:rFonts w:ascii="宋体" w:hAnsi="宋体"/>
          <w:bCs/>
          <w:szCs w:val="21"/>
        </w:rPr>
      </w:pPr>
      <w:r>
        <w:rPr>
          <w:rFonts w:eastAsia="黑体"/>
          <w:b/>
          <w:bCs/>
          <w:szCs w:val="21"/>
        </w:rPr>
        <w:t>16.3.10</w:t>
      </w:r>
      <w:r>
        <w:rPr>
          <w:rFonts w:ascii="宋体" w:hAnsi="宋体"/>
          <w:bCs/>
          <w:szCs w:val="21"/>
        </w:rPr>
        <w:t xml:space="preserve">  北京电力部门将北京地铁列为特别重要用户，重视外电源接入方案。近年北京城市轨道交通建设中，相关单位对主变电所、电源开闭所的越区供电方式及能力有些争议，为此，结合北京电网现状及建设规划的可靠性水平以及运营需求，做出此规定。此规定基本遵循了《城市电力网规划设计导则》Q/GDW156的相关要求，即“当送电网网中任一条送电线路，或一台主变压器，或地区发电厂内一台最大机组因计划检修或事故时，应能保持向所有用户正常供电”。</w:t>
      </w:r>
    </w:p>
    <w:p w14:paraId="09C95257">
      <w:pPr>
        <w:ind w:firstLine="420"/>
        <w:rPr>
          <w:rFonts w:ascii="宋体" w:hAnsi="宋体"/>
          <w:bCs/>
        </w:rPr>
      </w:pPr>
      <w:r>
        <w:rPr>
          <w:rFonts w:ascii="宋体" w:hAnsi="宋体"/>
          <w:bCs/>
        </w:rPr>
        <w:t>a)款：110kV电源可靠性较高，35kV供电线路的供电能力较强，可以认为110kV主变电所解列退出的故障几率很低。自上海地铁一号线一期工程（采用集中式供电）1992年通车以来，结合国内其他城市的运营情况，得到验证。16.3.5条规定，主变电所进线电源来自城市电网两座不同主变电站，或来自具有两回及以上进线的同一座主变电站的不同母线，可以充分保障外电源的可靠性。如110kV主变电所解列退出，已经不局限于对轨道交通的影响，而是对城市或城郊局部区域的影响，此时仅要求轨道交通电源的可靠性已经脱离实际。某一座主变电所退出时，相邻主变电所越区提供支援电源，承担退出运行的主变电所供电范围内的部分一级负荷，以保障线路防灾系统、线路最低运输能力或列车进站停运的基本用电需求。此时，主变电所间的安装容量如按冗余考虑，将导致供电系统效率低下，且无很大的实际意义。从110kV电源与中压网络结构的电源可靠性高以及提高供电系统效率出发，做出此规定。</w:t>
      </w:r>
    </w:p>
    <w:p w14:paraId="0B6880B7">
      <w:pPr>
        <w:ind w:firstLine="420"/>
        <w:rPr>
          <w:rFonts w:ascii="宋体" w:hAnsi="宋体"/>
          <w:bCs/>
        </w:rPr>
      </w:pPr>
      <w:r>
        <w:rPr>
          <w:rFonts w:ascii="宋体" w:hAnsi="宋体"/>
          <w:bCs/>
        </w:rPr>
        <w:t>b)款：对于分散供电方案，10kV进线电源取自线路附近的城市电网，其单个电源的可靠性较差，一条线路因10kV负荷力矩较小而引入的10kV外电源点则较多。一旦10kV电源开闭所解列退出，则对线路的正常运营构成较大影响。基于北京地铁多年来的运营经验，10kV电源开闭所分布密度较大，一座10kV电源开闭所退出时，可以通过相邻的10kV电源开闭所保障线路正常运输能力以及运营安全。因此，某一座10kV电源开闭所退出时，相邻的10kV电源开闭所越区供电，与该线路相邻的电源开闭所共同承担供电范围内的全部一、二级负荷，以保障线路正常运输能力。</w:t>
      </w:r>
    </w:p>
    <w:p w14:paraId="431EAD4B">
      <w:pPr>
        <w:ind w:firstLine="420"/>
        <w:rPr>
          <w:rFonts w:ascii="宋体" w:hAnsi="宋体"/>
          <w:bCs/>
          <w:szCs w:val="21"/>
        </w:rPr>
      </w:pPr>
      <w:r>
        <w:rPr>
          <w:rFonts w:ascii="宋体" w:hAnsi="宋体"/>
          <w:bCs/>
        </w:rPr>
        <w:t>所以，对主变电所和电源开闭所提出不同的支援能力要求。</w:t>
      </w:r>
    </w:p>
    <w:p w14:paraId="0AEAF4A9">
      <w:pPr>
        <w:rPr>
          <w:rFonts w:ascii="宋体" w:hAnsi="宋体"/>
          <w:bCs/>
          <w:szCs w:val="21"/>
        </w:rPr>
      </w:pPr>
      <w:r>
        <w:rPr>
          <w:rFonts w:eastAsia="黑体"/>
          <w:b/>
          <w:bCs/>
          <w:szCs w:val="21"/>
        </w:rPr>
        <w:t>16.3.13</w:t>
      </w:r>
      <w:r>
        <w:rPr>
          <w:rFonts w:ascii="宋体" w:hAnsi="宋体"/>
          <w:bCs/>
          <w:szCs w:val="21"/>
        </w:rPr>
        <w:t xml:space="preserve">  跟随式降压变电所为降压变电所主接线简化后的一种类型，一般为末端型降压变电所，中压接线形式为线路-变压器组，多用于车站和车辆综合基地。本条所指“跟随式降压变电所”用于车站的需要，“其他变电所”主要是指区间变电所。根据地下区间通风等系统用电的需要，经技术经济综合比较后，设置了降压变电所。从用电需求以及运营维护角度，此类降压变电所与传统意义上的降压变电所没有差异，且位于中压网络电缆经过的通道旁边，基于降低工程造价、利于区间电缆敷设等因素，因此，区间变电所接入中压网络是合理的。</w:t>
      </w:r>
    </w:p>
    <w:p w14:paraId="72B8A5C6">
      <w:pPr>
        <w:rPr>
          <w:rFonts w:ascii="宋体" w:hAnsi="宋体"/>
          <w:bCs/>
          <w:szCs w:val="21"/>
        </w:rPr>
      </w:pPr>
      <w:r>
        <w:rPr>
          <w:rFonts w:eastAsia="黑体"/>
          <w:b/>
          <w:bCs/>
          <w:szCs w:val="21"/>
        </w:rPr>
        <w:t>16.3.14</w:t>
      </w:r>
      <w:r>
        <w:rPr>
          <w:rFonts w:ascii="宋体" w:hAnsi="宋体"/>
          <w:bCs/>
          <w:szCs w:val="21"/>
        </w:rPr>
        <w:t xml:space="preserve">  北京三期建设的部分线路远期行车通过能力实际已不能达到30对/h，仅系统能力按30对/h设计。</w:t>
      </w:r>
    </w:p>
    <w:p w14:paraId="30BC877B">
      <w:pPr>
        <w:rPr>
          <w:rFonts w:ascii="宋体" w:hAnsi="宋体"/>
          <w:bCs/>
          <w:szCs w:val="21"/>
        </w:rPr>
      </w:pPr>
      <w:r>
        <w:rPr>
          <w:rFonts w:eastAsia="黑体"/>
          <w:b/>
          <w:bCs/>
          <w:szCs w:val="21"/>
        </w:rPr>
        <w:t>16.3.17</w:t>
      </w:r>
      <w:r>
        <w:rPr>
          <w:rFonts w:ascii="宋体" w:hAnsi="宋体"/>
          <w:bCs/>
          <w:szCs w:val="21"/>
        </w:rPr>
        <w:t xml:space="preserve">  目的是在某线路供电系统异常运行方式下，依托另一相关线路的主变电所或电源开闭所正常设计容量与实际用电负荷之间的余量，尽量满足本线路车站及区间一级负荷的用电需求，尤其是防灾系统的用电需求以及正线运输能力的牵引用电需求。供电系统异常运行方式下，本规范对需满足的正线运输能力大小不做具体规定，根据运营实际情况而定。</w:t>
      </w:r>
    </w:p>
    <w:p w14:paraId="4BA6388C">
      <w:pPr>
        <w:ind w:firstLine="420"/>
        <w:rPr>
          <w:rFonts w:ascii="宋体" w:hAnsi="宋体"/>
          <w:bCs/>
          <w:szCs w:val="21"/>
        </w:rPr>
      </w:pPr>
      <w:r>
        <w:rPr>
          <w:rFonts w:ascii="宋体" w:hAnsi="宋体"/>
          <w:bCs/>
        </w:rPr>
        <w:t>网络化运营规模及程度越高，对供电系统电源可靠性的要求则越高。尤其是分散式供电，有条件时，有关联的不同线路之间建立电源联络关系，彼此提供紧急电源，可以有效地提高网络化运营下的电源可靠性，较好地满足网络化运营需求。</w:t>
      </w:r>
    </w:p>
    <w:p w14:paraId="42D43BE9">
      <w:pPr>
        <w:pStyle w:val="4"/>
        <w:numPr>
          <w:ilvl w:val="0"/>
          <w:numId w:val="0"/>
        </w:numPr>
      </w:pPr>
      <w:bookmarkStart w:id="2774" w:name="_Toc183790762"/>
      <w:bookmarkStart w:id="2775" w:name="_Toc183738154"/>
      <w:bookmarkStart w:id="2776" w:name="_Toc183765332"/>
      <w:bookmarkStart w:id="2777" w:name="_Toc183882685"/>
      <w:bookmarkStart w:id="2778" w:name="_Toc183882323"/>
      <w:bookmarkStart w:id="2779" w:name="_Toc183888737"/>
      <w:bookmarkStart w:id="2780" w:name="_Toc183888375"/>
      <w:bookmarkStart w:id="2781" w:name="_Toc183454877"/>
      <w:bookmarkStart w:id="2782" w:name="_Toc183454197"/>
      <w:bookmarkStart w:id="2783" w:name="_Toc183454494"/>
      <w:r>
        <w:rPr>
          <w:b/>
        </w:rPr>
        <w:t>16.4</w:t>
      </w:r>
      <w:r>
        <w:t xml:space="preserve">  变  电  所</w:t>
      </w:r>
      <w:bookmarkEnd w:id="2774"/>
      <w:bookmarkEnd w:id="2775"/>
      <w:bookmarkEnd w:id="2776"/>
      <w:bookmarkEnd w:id="2777"/>
      <w:bookmarkEnd w:id="2778"/>
      <w:bookmarkEnd w:id="2779"/>
      <w:bookmarkEnd w:id="2780"/>
      <w:bookmarkEnd w:id="2781"/>
      <w:bookmarkEnd w:id="2782"/>
      <w:bookmarkEnd w:id="2783"/>
    </w:p>
    <w:p w14:paraId="630B2672">
      <w:pPr>
        <w:rPr>
          <w:rFonts w:ascii="宋体" w:hAnsi="宋体"/>
          <w:bCs/>
          <w:szCs w:val="21"/>
        </w:rPr>
      </w:pPr>
      <w:r>
        <w:rPr>
          <w:rFonts w:eastAsia="黑体"/>
          <w:b/>
          <w:bCs/>
          <w:szCs w:val="21"/>
        </w:rPr>
        <w:t>16.4.5</w:t>
      </w:r>
      <w:r>
        <w:rPr>
          <w:rFonts w:ascii="宋体" w:hAnsi="宋体"/>
          <w:bCs/>
          <w:szCs w:val="21"/>
        </w:rPr>
        <w:t xml:space="preserve">  同站台换乘车站的空调、照明等机电设备服务于多条线路，对于机电系统的设计等同于一个车站，为机电系统提供低压电源的降压变电所无法按线路拆分。为满足不同运营主体下的经济管理需要，共用机电设备的配电回路宜设置电度表计。</w:t>
      </w:r>
    </w:p>
    <w:p w14:paraId="3DCEC439">
      <w:pPr>
        <w:rPr>
          <w:rFonts w:ascii="宋体" w:hAnsi="宋体"/>
          <w:bCs/>
          <w:szCs w:val="21"/>
        </w:rPr>
      </w:pPr>
      <w:r>
        <w:rPr>
          <w:rFonts w:eastAsia="黑体"/>
          <w:b/>
          <w:bCs/>
          <w:szCs w:val="21"/>
        </w:rPr>
        <w:t>16.4.7</w:t>
      </w:r>
      <w:r>
        <w:rPr>
          <w:rFonts w:ascii="宋体" w:hAnsi="宋体"/>
          <w:bCs/>
          <w:szCs w:val="21"/>
        </w:rPr>
        <w:t xml:space="preserve">  城市轨道交通的主变电所为单条线路供电时，采用分段单母线接线可以满足轨道交通工程运行要求。</w:t>
      </w:r>
    </w:p>
    <w:p w14:paraId="404A8C42">
      <w:pPr>
        <w:ind w:firstLine="420"/>
        <w:rPr>
          <w:rFonts w:ascii="宋体" w:hAnsi="宋体"/>
          <w:bCs/>
          <w:szCs w:val="21"/>
        </w:rPr>
      </w:pPr>
      <w:r>
        <w:rPr>
          <w:rFonts w:ascii="宋体" w:hAnsi="宋体"/>
          <w:bCs/>
        </w:rPr>
        <w:t>当共享主变电所中压侧采用分段单母线时，共享主变电所的后续线路设置电源开闭所的目的是减少主变电所中压的出线间隔，并且在共享主变电所退出的时候，可操作本线路电源开闭所进线开关断开，作为隔离点，以便各条线路的相邻外电源点分别对故障区段进行供电支援，方便各条线路的运营管理。考虑到规划线路建设时序以及线路走向的不确定性，可以减少主变电所出线间隔的闲置率。当车站有条件时，电源开闭所宜设置在车站内。</w:t>
      </w:r>
    </w:p>
    <w:p w14:paraId="06F399BF">
      <w:pPr>
        <w:rPr>
          <w:rFonts w:ascii="宋体" w:hAnsi="宋体"/>
          <w:bCs/>
          <w:szCs w:val="21"/>
        </w:rPr>
      </w:pPr>
      <w:r>
        <w:rPr>
          <w:rFonts w:eastAsia="黑体"/>
          <w:b/>
          <w:bCs/>
          <w:szCs w:val="21"/>
        </w:rPr>
        <w:t>16.4.18</w:t>
      </w:r>
      <w:r>
        <w:rPr>
          <w:rFonts w:ascii="宋体" w:hAnsi="宋体"/>
          <w:bCs/>
          <w:szCs w:val="21"/>
        </w:rPr>
        <w:t xml:space="preserve">  纵联开关是实现大双边供电的重要设备。从运营情况分析，上网纵联开关的选型是解决牵引网快速恢复送电问题的关键。当纵联开关采用隔离开关时，大双边实施过程中需要一定的时间，尤其是北京市对运营停电时间的要求较为严格。上网纵联开关选用直流断路器，减少了电力调度环节，可以快速实现邻站不断电操作下的快速送电，明显节省了恢复送电时间。</w:t>
      </w:r>
    </w:p>
    <w:p w14:paraId="4A5DD8BA">
      <w:pPr>
        <w:ind w:firstLine="420"/>
        <w:rPr>
          <w:rFonts w:ascii="宋体" w:hAnsi="宋体"/>
          <w:bCs/>
        </w:rPr>
      </w:pPr>
      <w:r>
        <w:rPr>
          <w:rFonts w:ascii="宋体" w:hAnsi="宋体"/>
          <w:bCs/>
        </w:rPr>
        <w:t>纵联开关采用直流断路器，相对于牵引变电所直流接线形式（备用母线+纵联电动隔离开关）和联锁关系，降低了工程造价和设备维护成本。</w:t>
      </w:r>
    </w:p>
    <w:p w14:paraId="0D503516">
      <w:pPr>
        <w:rPr>
          <w:rFonts w:ascii="宋体" w:hAnsi="宋体"/>
          <w:bCs/>
          <w:szCs w:val="21"/>
        </w:rPr>
      </w:pPr>
      <w:r>
        <w:rPr>
          <w:rFonts w:eastAsia="黑体"/>
          <w:b/>
          <w:bCs/>
          <w:szCs w:val="21"/>
        </w:rPr>
        <w:t>16.4.26</w:t>
      </w:r>
      <w:r>
        <w:rPr>
          <w:rFonts w:ascii="宋体" w:hAnsi="宋体"/>
          <w:bCs/>
          <w:szCs w:val="21"/>
        </w:rPr>
        <w:t xml:space="preserve">  变电所低压开关柜改造时，面对着低压用户的不断电需求，尤其是特别重要负荷，低压开关柜一般采用分段改造。低压开关柜双排面对面排列，为分段改造创造了条件，降低了工程改造风险。</w:t>
      </w:r>
    </w:p>
    <w:p w14:paraId="5911347A">
      <w:pPr>
        <w:rPr>
          <w:rFonts w:ascii="宋体" w:hAnsi="宋体"/>
          <w:bCs/>
          <w:szCs w:val="21"/>
        </w:rPr>
      </w:pPr>
      <w:r>
        <w:rPr>
          <w:rFonts w:eastAsia="黑体"/>
          <w:b/>
          <w:bCs/>
          <w:szCs w:val="21"/>
        </w:rPr>
        <w:t>16.4.27</w:t>
      </w:r>
      <w:r>
        <w:rPr>
          <w:rFonts w:ascii="宋体" w:hAnsi="宋体"/>
          <w:bCs/>
          <w:szCs w:val="21"/>
        </w:rPr>
        <w:t xml:space="preserve">  工作人员维护、测试和检修变电所低压母线分段开关室时，有可能触及带电部位，为保证工作人员的安全而作此规定。当低压开关柜不存在上述情况时，可以不设置低压母线隔离柜和隔离电器。</w:t>
      </w:r>
    </w:p>
    <w:p w14:paraId="041721F6">
      <w:pPr>
        <w:rPr>
          <w:rFonts w:ascii="宋体" w:hAnsi="宋体"/>
          <w:bCs/>
          <w:szCs w:val="21"/>
        </w:rPr>
      </w:pPr>
      <w:r>
        <w:rPr>
          <w:rFonts w:eastAsia="黑体"/>
          <w:b/>
          <w:bCs/>
          <w:szCs w:val="21"/>
        </w:rPr>
        <w:t>16.4.28</w:t>
      </w:r>
      <w:r>
        <w:rPr>
          <w:rFonts w:ascii="宋体" w:hAnsi="宋体"/>
          <w:bCs/>
          <w:szCs w:val="21"/>
        </w:rPr>
        <w:t xml:space="preserve">  由于供电系统运行方式的需要，电力调度中心将对三级负荷开关进行远方操作，其配电回路应具备远程控制功能，如配置电动操作机构或接触器。采用分回路控制方案利于提高三级负荷运行的灵活性，提高变电所低压配电系统电源的可靠性。北京地铁多年来的运营经验表明，采用分回路控制方案（不设置三级负荷总开关）是合理的。</w:t>
      </w:r>
    </w:p>
    <w:p w14:paraId="067E9497">
      <w:pPr>
        <w:pStyle w:val="4"/>
        <w:numPr>
          <w:ilvl w:val="0"/>
          <w:numId w:val="0"/>
        </w:numPr>
      </w:pPr>
      <w:bookmarkStart w:id="2784" w:name="_Toc183882324"/>
      <w:bookmarkStart w:id="2785" w:name="_Toc183888738"/>
      <w:bookmarkStart w:id="2786" w:name="_Toc183454878"/>
      <w:bookmarkStart w:id="2787" w:name="_Toc183882686"/>
      <w:bookmarkStart w:id="2788" w:name="_Toc183790763"/>
      <w:bookmarkStart w:id="2789" w:name="_Toc183454495"/>
      <w:bookmarkStart w:id="2790" w:name="_Toc183454198"/>
      <w:bookmarkStart w:id="2791" w:name="_Toc183765333"/>
      <w:bookmarkStart w:id="2792" w:name="_Toc183738155"/>
      <w:bookmarkStart w:id="2793" w:name="_Toc183888376"/>
      <w:r>
        <w:rPr>
          <w:b/>
        </w:rPr>
        <w:t xml:space="preserve">16.5 </w:t>
      </w:r>
      <w:r>
        <w:t xml:space="preserve"> 牵  引  网</w:t>
      </w:r>
      <w:bookmarkEnd w:id="2784"/>
      <w:bookmarkEnd w:id="2785"/>
      <w:bookmarkEnd w:id="2786"/>
      <w:bookmarkEnd w:id="2787"/>
      <w:bookmarkEnd w:id="2788"/>
      <w:bookmarkEnd w:id="2789"/>
      <w:bookmarkEnd w:id="2790"/>
      <w:bookmarkEnd w:id="2791"/>
      <w:bookmarkEnd w:id="2792"/>
      <w:bookmarkEnd w:id="2793"/>
    </w:p>
    <w:p w14:paraId="41171D80">
      <w:pPr>
        <w:rPr>
          <w:rFonts w:ascii="宋体" w:hAnsi="宋体"/>
          <w:bCs/>
          <w:szCs w:val="21"/>
        </w:rPr>
      </w:pPr>
      <w:r>
        <w:rPr>
          <w:rFonts w:eastAsia="黑体"/>
          <w:b/>
          <w:bCs/>
          <w:szCs w:val="21"/>
        </w:rPr>
        <w:t>16.5.1</w:t>
      </w:r>
      <w:r>
        <w:rPr>
          <w:rFonts w:ascii="宋体" w:hAnsi="宋体"/>
          <w:bCs/>
          <w:szCs w:val="21"/>
        </w:rPr>
        <w:t xml:space="preserve">  补充交流制牵引网的回流通道要求。</w:t>
      </w:r>
    </w:p>
    <w:p w14:paraId="2ED39DA1">
      <w:pPr>
        <w:rPr>
          <w:rFonts w:ascii="宋体" w:hAnsi="宋体"/>
          <w:bCs/>
          <w:szCs w:val="21"/>
        </w:rPr>
      </w:pPr>
      <w:r>
        <w:rPr>
          <w:rFonts w:eastAsia="黑体"/>
          <w:b/>
          <w:bCs/>
          <w:szCs w:val="21"/>
        </w:rPr>
        <w:t>16.5.5</w:t>
      </w:r>
      <w:r>
        <w:rPr>
          <w:rFonts w:ascii="宋体" w:hAnsi="宋体"/>
          <w:bCs/>
          <w:szCs w:val="21"/>
        </w:rPr>
        <w:t xml:space="preserve">  明确直流制牵引网系统设置钢轨绝缘接头，两线共址场段间的联络线也需设置，修改第3条；根据GB55033-2022的要求补充第4条；根据杂散电流防护需求补充第5条要求。</w:t>
      </w:r>
    </w:p>
    <w:p w14:paraId="0752F312">
      <w:pPr>
        <w:rPr>
          <w:rFonts w:ascii="宋体" w:hAnsi="宋体"/>
          <w:bCs/>
          <w:szCs w:val="21"/>
        </w:rPr>
      </w:pPr>
      <w:r>
        <w:rPr>
          <w:rFonts w:eastAsia="黑体"/>
          <w:b/>
          <w:bCs/>
          <w:szCs w:val="21"/>
        </w:rPr>
        <w:t>16.5.6</w:t>
      </w:r>
      <w:r>
        <w:rPr>
          <w:rFonts w:ascii="宋体" w:hAnsi="宋体"/>
          <w:bCs/>
          <w:szCs w:val="21"/>
        </w:rPr>
        <w:t xml:space="preserve">  结合北京轨道交通实际情况，将折返线细化为设置车辆检查坑和不设车辆检查坑两种情况分别进行要求。</w:t>
      </w:r>
    </w:p>
    <w:p w14:paraId="1443BB41">
      <w:pPr>
        <w:rPr>
          <w:rFonts w:ascii="宋体" w:hAnsi="宋体"/>
          <w:bCs/>
          <w:szCs w:val="21"/>
        </w:rPr>
      </w:pPr>
      <w:r>
        <w:rPr>
          <w:rFonts w:eastAsia="黑体"/>
          <w:b/>
          <w:bCs/>
          <w:szCs w:val="21"/>
        </w:rPr>
        <w:t>16.5.7</w:t>
      </w:r>
      <w:r>
        <w:rPr>
          <w:rFonts w:ascii="宋体" w:hAnsi="宋体"/>
          <w:bCs/>
          <w:szCs w:val="21"/>
        </w:rPr>
        <w:t xml:space="preserve">  补充交流接触网可由开闭所馈电。库线接触网设置带接地刀闸手动隔离开关有争议，目前已有部分城市库内设置电动隔离开关+可视化接地装置，因此删除设置手动隔离开关的要求。</w:t>
      </w:r>
    </w:p>
    <w:p w14:paraId="05736B8F">
      <w:pPr>
        <w:rPr>
          <w:rFonts w:ascii="宋体" w:hAnsi="宋体"/>
          <w:bCs/>
          <w:szCs w:val="21"/>
        </w:rPr>
      </w:pPr>
      <w:r>
        <w:rPr>
          <w:rFonts w:eastAsia="黑体"/>
          <w:b/>
          <w:bCs/>
          <w:szCs w:val="21"/>
        </w:rPr>
        <w:t>16.5.9</w:t>
      </w:r>
      <w:r>
        <w:rPr>
          <w:rFonts w:ascii="宋体" w:hAnsi="宋体"/>
          <w:bCs/>
          <w:szCs w:val="21"/>
        </w:rPr>
        <w:t xml:space="preserve">  2001年以来，北京城市轨道交通建设工程多次出现电缆与走行轨焊接时，出现损伤走行轨的情况，为今后的行车安全构成隐患，原因有施工方法不当、焊接工艺要求复杂等。载流螺栓连接方式可以有效避免上述问题，但存在固定点长时间受振动后导致载流螺栓脱落、连接点接触电阻过大而烧毁电缆等潜在隐患。焊接和栓接方式在国外城市轨道交通工程都有应用，本规范不对电缆与走行轨的连接形式作出要求，只规定连接牢固可靠的基本要求。</w:t>
      </w:r>
    </w:p>
    <w:p w14:paraId="37F1F03E">
      <w:pPr>
        <w:rPr>
          <w:rFonts w:ascii="宋体" w:hAnsi="宋体"/>
          <w:bCs/>
          <w:szCs w:val="21"/>
        </w:rPr>
      </w:pPr>
      <w:r>
        <w:rPr>
          <w:rFonts w:eastAsia="黑体"/>
          <w:b/>
          <w:bCs/>
          <w:szCs w:val="21"/>
        </w:rPr>
        <w:t>16.5.11</w:t>
      </w:r>
      <w:r>
        <w:rPr>
          <w:rFonts w:ascii="宋体" w:hAnsi="宋体"/>
          <w:bCs/>
          <w:szCs w:val="21"/>
        </w:rPr>
        <w:t xml:space="preserve">  区分直流制、交流制、双流制系统电分段设置要求。</w:t>
      </w:r>
    </w:p>
    <w:p w14:paraId="579A4334">
      <w:pPr>
        <w:rPr>
          <w:rFonts w:ascii="宋体" w:hAnsi="宋体"/>
          <w:bCs/>
          <w:szCs w:val="21"/>
        </w:rPr>
      </w:pPr>
      <w:r>
        <w:rPr>
          <w:rFonts w:eastAsia="黑体"/>
          <w:b/>
          <w:bCs/>
          <w:szCs w:val="21"/>
        </w:rPr>
        <w:t>16.5.12</w:t>
      </w:r>
      <w:r>
        <w:rPr>
          <w:rFonts w:ascii="宋体" w:hAnsi="宋体"/>
          <w:bCs/>
          <w:szCs w:val="21"/>
        </w:rPr>
        <w:t xml:space="preserve">  明确本条为直流制牵引网系统要求。</w:t>
      </w:r>
    </w:p>
    <w:p w14:paraId="54110312">
      <w:pPr>
        <w:rPr>
          <w:rFonts w:ascii="宋体" w:hAnsi="宋体"/>
          <w:bCs/>
          <w:szCs w:val="21"/>
        </w:rPr>
      </w:pPr>
      <w:r>
        <w:rPr>
          <w:rFonts w:eastAsia="黑体"/>
          <w:b/>
          <w:bCs/>
          <w:szCs w:val="21"/>
        </w:rPr>
        <w:t xml:space="preserve">16.5.13 </w:t>
      </w:r>
      <w:r>
        <w:rPr>
          <w:rFonts w:ascii="宋体" w:hAnsi="宋体"/>
          <w:bCs/>
          <w:szCs w:val="21"/>
        </w:rPr>
        <w:t xml:space="preserve"> 结合北京轨道交通实际情况，为提高实际收发车供电可靠性，保障运营，补充本要求。</w:t>
      </w:r>
    </w:p>
    <w:p w14:paraId="2BAFB9EF">
      <w:pPr>
        <w:rPr>
          <w:rFonts w:ascii="宋体" w:hAnsi="宋体"/>
          <w:bCs/>
          <w:szCs w:val="21"/>
        </w:rPr>
      </w:pPr>
      <w:r>
        <w:rPr>
          <w:rFonts w:eastAsia="黑体"/>
          <w:b/>
          <w:bCs/>
          <w:szCs w:val="21"/>
        </w:rPr>
        <w:t>16.5.15</w:t>
      </w:r>
      <w:r>
        <w:rPr>
          <w:rFonts w:ascii="宋体" w:hAnsi="宋体"/>
          <w:bCs/>
          <w:szCs w:val="21"/>
        </w:rPr>
        <w:t xml:space="preserve">  车辆综合基地牵引变电所设置框架保护功能，当直流开关柜发生框架保护电流动作时，全部直流馈出回路退出运行。按通常做法，邻近的牵引变电所将越区向车辆综合基地提供直流牵引备用电源。车辆综合基地各供电分区之间通过联络隔离开关，可以实现邻近的牵引变电所提供直流牵引备用电源的功能。</w:t>
      </w:r>
    </w:p>
    <w:p w14:paraId="0F7CCAFC">
      <w:pPr>
        <w:rPr>
          <w:rFonts w:ascii="宋体" w:hAnsi="宋体"/>
          <w:bCs/>
          <w:szCs w:val="21"/>
        </w:rPr>
      </w:pPr>
      <w:r>
        <w:rPr>
          <w:rFonts w:eastAsia="黑体"/>
          <w:b/>
          <w:bCs/>
          <w:szCs w:val="21"/>
        </w:rPr>
        <w:t>16.5.16</w:t>
      </w:r>
      <w:r>
        <w:rPr>
          <w:rFonts w:ascii="宋体" w:hAnsi="宋体"/>
          <w:bCs/>
          <w:szCs w:val="21"/>
        </w:rPr>
        <w:t xml:space="preserve">  本条文架空接地线是指架空接触网以及金属支架固定式接触轨设置的接地线，设置目的是收集接触网的直流泄漏电流。城市轨道交通系统目前为直流牵引供电形式，杂散电流腐蚀问题不能忽视。架空接地线通过单向导通装置与牵引变电所负极母线连接，为正极接触网的泄漏电流提供一个回到负极母线的通路，可以降低杂散电流扩散到结构主体钢筋的总量，规避或降低杂散电流对结构主体钢筋的腐蚀程度，符合防止杂散电流向线路外界泄漏的防护原则。</w:t>
      </w:r>
    </w:p>
    <w:p w14:paraId="4183F220">
      <w:pPr>
        <w:rPr>
          <w:rFonts w:ascii="宋体" w:hAnsi="宋体"/>
          <w:bCs/>
          <w:szCs w:val="21"/>
        </w:rPr>
      </w:pPr>
      <w:r>
        <w:rPr>
          <w:rFonts w:ascii="宋体" w:hAnsi="宋体"/>
          <w:bCs/>
          <w:szCs w:val="21"/>
        </w:rPr>
        <w:t>经调研，目前广州地铁运营线路的架空接地线与变电所接地母排电气连接，排流柜通过“单向导通回路”将接地母排与牵引变电所负极母排电气连接。从电气回路上讲，与“架空接地线通过单向导通装置与牵引变电所负极母线连接”的规定一致。经调研，尚未因污秽、雨天等环境因素引起的架空接触网爬电，未造成牵引变电所直流馈出开关故障跳闸。</w:t>
      </w:r>
    </w:p>
    <w:p w14:paraId="7DEC8186">
      <w:pPr>
        <w:rPr>
          <w:rFonts w:ascii="宋体" w:hAnsi="宋体"/>
          <w:bCs/>
          <w:szCs w:val="21"/>
        </w:rPr>
      </w:pPr>
      <w:r>
        <w:rPr>
          <w:rFonts w:eastAsia="黑体"/>
          <w:b/>
          <w:bCs/>
          <w:szCs w:val="21"/>
        </w:rPr>
        <w:t>16.5.16</w:t>
      </w:r>
      <w:r>
        <w:rPr>
          <w:rFonts w:ascii="宋体" w:hAnsi="宋体"/>
          <w:bCs/>
          <w:szCs w:val="21"/>
        </w:rPr>
        <w:t xml:space="preserve">  根据GB55033修改架空地线接地要求。</w:t>
      </w:r>
    </w:p>
    <w:p w14:paraId="7531F1F4">
      <w:pPr>
        <w:rPr>
          <w:rFonts w:ascii="宋体" w:hAnsi="宋体"/>
          <w:bCs/>
          <w:szCs w:val="21"/>
        </w:rPr>
      </w:pPr>
      <w:r>
        <w:rPr>
          <w:rFonts w:eastAsia="黑体"/>
          <w:b/>
          <w:bCs/>
          <w:szCs w:val="21"/>
        </w:rPr>
        <w:t>16.5.17</w:t>
      </w:r>
      <w:r>
        <w:rPr>
          <w:rFonts w:ascii="宋体" w:hAnsi="宋体"/>
          <w:bCs/>
          <w:szCs w:val="21"/>
        </w:rPr>
        <w:t xml:space="preserve">  明确适用范围为接触轨供电，采用架空接触网供电厂区上网隔离开关一般靠近负荷中心设置。</w:t>
      </w:r>
    </w:p>
    <w:p w14:paraId="181C1CA6">
      <w:pPr>
        <w:jc w:val="center"/>
        <w:rPr>
          <w:rFonts w:eastAsia="黑体"/>
        </w:rPr>
      </w:pPr>
      <w:r>
        <w:rPr>
          <w:rFonts w:eastAsia="黑体"/>
          <w:b/>
        </w:rPr>
        <w:t>Ⅰ</w:t>
      </w:r>
      <w:r>
        <w:rPr>
          <w:rFonts w:eastAsia="黑体"/>
        </w:rPr>
        <w:t xml:space="preserve">  接  触  轨</w:t>
      </w:r>
    </w:p>
    <w:p w14:paraId="0983BB4A">
      <w:pPr>
        <w:rPr>
          <w:rFonts w:eastAsia="黑体"/>
          <w:b/>
          <w:bCs/>
          <w:szCs w:val="21"/>
        </w:rPr>
      </w:pPr>
      <w:r>
        <w:rPr>
          <w:rFonts w:eastAsia="黑体"/>
          <w:b/>
          <w:bCs/>
          <w:szCs w:val="21"/>
        </w:rPr>
        <w:t xml:space="preserve">16.5.27  </w:t>
      </w:r>
      <w:r>
        <w:rPr>
          <w:rFonts w:ascii="宋体" w:hAnsi="宋体"/>
          <w:bCs/>
          <w:szCs w:val="21"/>
        </w:rPr>
        <w:t>一般情况下，区间折返线、车辆综合基地等场所的隔离开关位置距牵引变电所较远，且工作环境较牵引变电所恶劣，通过牵引变电所内部设置的框架电流保护有一定困难。针对这种情况，本规范规定了相应对策。</w:t>
      </w:r>
    </w:p>
    <w:p w14:paraId="1DB4B517">
      <w:pPr>
        <w:ind w:firstLine="420"/>
        <w:rPr>
          <w:rFonts w:ascii="宋体" w:hAnsi="宋体"/>
          <w:bCs/>
        </w:rPr>
      </w:pPr>
      <w:r>
        <w:rPr>
          <w:rFonts w:ascii="宋体" w:hAnsi="宋体"/>
          <w:bCs/>
        </w:rPr>
        <w:t>整体道床段隔离开关柜外壳宜可靠等电位接地。当隔离开关正极碰壳时，相当于正极电压完全施加在隔离开关柜体上，建议隔离开关柜体与基础钢筋电气连接。一般情况下，为保证隔离开关的安装稳定性，其基础钢筋与主体结构钢筋或道床钢筋绑扎，如此处理，相当于接触网发生接地故障，促使牵引变电所跳闸。基于等电位的概念，也保障了维修人员的安全。</w:t>
      </w:r>
    </w:p>
    <w:p w14:paraId="3893F777">
      <w:pPr>
        <w:ind w:firstLine="420"/>
        <w:rPr>
          <w:rFonts w:ascii="宋体" w:hAnsi="宋体"/>
          <w:bCs/>
        </w:rPr>
      </w:pPr>
      <w:r>
        <w:rPr>
          <w:rFonts w:ascii="宋体" w:hAnsi="宋体"/>
          <w:bCs/>
        </w:rPr>
        <w:t>碎石道床段隔离开关柜外壳宜直接接地，或与牵引变电所的接地母排直接连接。碎石道床场所，往往没有主体结构钢筋可以利用，为此需要设置接地体，隔离开关柜优先利用基础钢筋做自然接地体，接地电阻不做具体规定，原理同整体道床段隔离开关做法。当隔离开关无基础钢筋或无条件设置接地体时，也可以将隔离开关金属外壳接至牵引变电所的接地母排，同样能起到保护效果。</w:t>
      </w:r>
    </w:p>
    <w:p w14:paraId="1F896E58">
      <w:r>
        <w:rPr>
          <w:rFonts w:eastAsia="黑体"/>
          <w:b/>
          <w:bCs/>
          <w:szCs w:val="21"/>
        </w:rPr>
        <w:t>16.5.28</w:t>
      </w:r>
      <w:r>
        <w:rPr>
          <w:rFonts w:ascii="宋体" w:hAnsi="宋体"/>
          <w:bCs/>
          <w:szCs w:val="21"/>
        </w:rPr>
        <w:t xml:space="preserve">  当采用钢支架时，爬电距离相对复合材料支架形式较短，设置贯通的接地线可以为保护绝缘子击穿或闪络后、通过对应牵引变电所内直流快速断路器的增量保护动作跳闸提供一定条件。接地线应固定于接触轨金属支架上，并与金属支架电气连接。</w:t>
      </w:r>
    </w:p>
    <w:p w14:paraId="765ADED6">
      <w:pPr>
        <w:jc w:val="center"/>
        <w:rPr>
          <w:rFonts w:eastAsia="黑体"/>
        </w:rPr>
      </w:pPr>
      <w:r>
        <w:rPr>
          <w:rFonts w:eastAsia="黑体"/>
          <w:b/>
        </w:rPr>
        <w:t>Ⅱ</w:t>
      </w:r>
      <w:r>
        <w:rPr>
          <w:rFonts w:eastAsia="黑体"/>
        </w:rPr>
        <w:t xml:space="preserve">  架空接触网</w:t>
      </w:r>
    </w:p>
    <w:p w14:paraId="1723B2C7">
      <w:pPr>
        <w:rPr>
          <w:rFonts w:ascii="宋体" w:hAnsi="宋体"/>
          <w:bCs/>
          <w:szCs w:val="21"/>
        </w:rPr>
      </w:pPr>
      <w:r>
        <w:rPr>
          <w:rFonts w:eastAsia="黑体"/>
          <w:b/>
          <w:bCs/>
          <w:szCs w:val="21"/>
        </w:rPr>
        <w:t>16.5.30</w:t>
      </w:r>
      <w:r>
        <w:rPr>
          <w:rFonts w:ascii="宋体" w:hAnsi="宋体"/>
          <w:bCs/>
          <w:szCs w:val="21"/>
        </w:rPr>
        <w:t xml:space="preserve">  实际工程中，地上线路因下穿高架桥等地段，柔性架空接触网的安装高度不够，可以考虑采用局部刚性架空接触网。刚性架空接触网与柔性架空接触网的过渡段的弹性较差，对弓网关系产生一定影响，因此具体应用时应关注过渡段接触网弹性问题。</w:t>
      </w:r>
    </w:p>
    <w:p w14:paraId="4F8E39A9">
      <w:pPr>
        <w:rPr>
          <w:rFonts w:ascii="宋体" w:hAnsi="宋体"/>
          <w:bCs/>
          <w:szCs w:val="21"/>
        </w:rPr>
      </w:pPr>
      <w:r>
        <w:rPr>
          <w:rFonts w:eastAsia="黑体"/>
          <w:b/>
          <w:bCs/>
          <w:szCs w:val="21"/>
        </w:rPr>
        <w:t>16.5.31</w:t>
      </w:r>
      <w:r>
        <w:rPr>
          <w:rFonts w:ascii="宋体" w:hAnsi="宋体"/>
          <w:bCs/>
          <w:szCs w:val="21"/>
        </w:rPr>
        <w:t xml:space="preserve">  TB 10009规范更新，明确柔性架空接触网各类线材安全系数按TB 10009要求执行。设计规范中无需明确允许磨耗，删除刚性接触网磨耗要求。</w:t>
      </w:r>
    </w:p>
    <w:p w14:paraId="1E46D92B">
      <w:pPr>
        <w:rPr>
          <w:rFonts w:ascii="宋体" w:hAnsi="宋体"/>
          <w:bCs/>
          <w:szCs w:val="21"/>
        </w:rPr>
      </w:pPr>
      <w:r>
        <w:rPr>
          <w:rFonts w:eastAsia="黑体"/>
          <w:b/>
          <w:bCs/>
          <w:szCs w:val="21"/>
        </w:rPr>
        <w:t>16.5.33</w:t>
      </w:r>
      <w:r>
        <w:rPr>
          <w:rFonts w:ascii="宋体" w:hAnsi="宋体"/>
          <w:bCs/>
          <w:szCs w:val="21"/>
        </w:rPr>
        <w:t xml:space="preserve">  补充交流制架空接触网导线高度要求。</w:t>
      </w:r>
    </w:p>
    <w:p w14:paraId="1F06191F">
      <w:pPr>
        <w:rPr>
          <w:rFonts w:ascii="宋体" w:hAnsi="宋体"/>
          <w:bCs/>
          <w:szCs w:val="21"/>
        </w:rPr>
      </w:pPr>
      <w:r>
        <w:rPr>
          <w:rFonts w:eastAsia="黑体"/>
          <w:b/>
          <w:bCs/>
          <w:szCs w:val="21"/>
        </w:rPr>
        <w:t>16.5.34</w:t>
      </w:r>
      <w:r>
        <w:rPr>
          <w:rFonts w:ascii="宋体" w:hAnsi="宋体"/>
          <w:bCs/>
          <w:szCs w:val="21"/>
        </w:rPr>
        <w:t xml:space="preserve">  在高度变化的始端和终端加进一个具有半个坡度的过渡跨距，可以避免变坡点处的接触线角度变化过大时，发生局部偏磨现象，设置过渡跨距也有利于受电弓在接触线上平滑通过。</w:t>
      </w:r>
    </w:p>
    <w:p w14:paraId="47FE6D36">
      <w:pPr>
        <w:rPr>
          <w:rFonts w:ascii="宋体" w:hAnsi="宋体"/>
          <w:bCs/>
          <w:szCs w:val="21"/>
        </w:rPr>
      </w:pPr>
      <w:r>
        <w:rPr>
          <w:rFonts w:eastAsia="黑体"/>
          <w:b/>
          <w:bCs/>
          <w:szCs w:val="21"/>
        </w:rPr>
        <w:t>16.5.34</w:t>
      </w:r>
      <w:r>
        <w:rPr>
          <w:rFonts w:ascii="宋体" w:hAnsi="宋体"/>
          <w:bCs/>
          <w:szCs w:val="21"/>
        </w:rPr>
        <w:t xml:space="preserve">  1）结合本规范适用的速度范围修改柔性接触网的坡度要求。2）补充细化刚性接触网的坡度要求。</w:t>
      </w:r>
    </w:p>
    <w:p w14:paraId="06B09E3E">
      <w:pPr>
        <w:rPr>
          <w:rFonts w:ascii="宋体" w:hAnsi="宋体"/>
          <w:bCs/>
          <w:szCs w:val="21"/>
        </w:rPr>
      </w:pPr>
      <w:r>
        <w:rPr>
          <w:rFonts w:eastAsia="黑体"/>
          <w:b/>
          <w:bCs/>
          <w:szCs w:val="21"/>
        </w:rPr>
        <w:t>16.5.35</w:t>
      </w:r>
      <w:r>
        <w:rPr>
          <w:rFonts w:ascii="宋体" w:hAnsi="宋体"/>
          <w:bCs/>
          <w:szCs w:val="21"/>
        </w:rPr>
        <w:t xml:space="preserve">  接触线拉出值的确定与车辆高度、接触线高度、轨道偏差、受电弓工作宽度、受电弓摆动幅度等问题相关，地上区段还应考虑风偏问题，而城市轨道交通采用的车辆、受电弓工作宽度虽然并不唯一，但是受电弓的有效宽度均不低于800mm。为达到受电弓磨耗均匀的目的，在考虑各种因素并实现安全运行的前提下，做此规定。工程中的拉出值确定应结合各种条件经计算确定。</w:t>
      </w:r>
    </w:p>
    <w:p w14:paraId="40B35A09">
      <w:pPr>
        <w:rPr>
          <w:rFonts w:ascii="宋体" w:hAnsi="宋体"/>
          <w:bCs/>
          <w:szCs w:val="21"/>
        </w:rPr>
      </w:pPr>
      <w:r>
        <w:rPr>
          <w:rFonts w:eastAsia="黑体"/>
          <w:b/>
          <w:bCs/>
          <w:szCs w:val="21"/>
        </w:rPr>
        <w:t>16.5.36</w:t>
      </w:r>
      <w:r>
        <w:rPr>
          <w:rFonts w:ascii="宋体" w:hAnsi="宋体"/>
          <w:bCs/>
          <w:szCs w:val="21"/>
        </w:rPr>
        <w:t xml:space="preserve">  区分刚性垂直悬挂、水平悬挂的锚段长度要求。</w:t>
      </w:r>
    </w:p>
    <w:p w14:paraId="3B91D6DF">
      <w:pPr>
        <w:rPr>
          <w:rFonts w:ascii="宋体" w:hAnsi="宋体"/>
          <w:bCs/>
          <w:szCs w:val="21"/>
        </w:rPr>
      </w:pPr>
      <w:r>
        <w:rPr>
          <w:rFonts w:eastAsia="黑体"/>
          <w:b/>
          <w:bCs/>
          <w:szCs w:val="21"/>
        </w:rPr>
        <w:t>16.5.38</w:t>
      </w:r>
      <w:r>
        <w:rPr>
          <w:rFonts w:ascii="宋体" w:hAnsi="宋体"/>
          <w:bCs/>
          <w:szCs w:val="21"/>
        </w:rPr>
        <w:t xml:space="preserve">  要求清晰化。</w:t>
      </w:r>
    </w:p>
    <w:p w14:paraId="64ED0D6A">
      <w:pPr>
        <w:rPr>
          <w:rFonts w:eastAsia="黑体"/>
          <w:b/>
          <w:bCs/>
          <w:szCs w:val="21"/>
        </w:rPr>
      </w:pPr>
      <w:r>
        <w:rPr>
          <w:rFonts w:eastAsia="黑体"/>
          <w:b/>
          <w:bCs/>
          <w:szCs w:val="21"/>
        </w:rPr>
        <w:t xml:space="preserve">16.5.39  </w:t>
      </w:r>
      <w:r>
        <w:rPr>
          <w:rFonts w:ascii="宋体" w:hAnsi="宋体"/>
          <w:bCs/>
          <w:szCs w:val="21"/>
        </w:rPr>
        <w:t>根据已通车采用架空接触网的某城市地铁的实际运营经验，且结合北京局部区域多雷的实际情况，在《地铁设计规范》GB 50157—2003第14.3.22条规定的基础上，由500m间距调整为300m。</w:t>
      </w:r>
    </w:p>
    <w:p w14:paraId="752884A1">
      <w:pPr>
        <w:rPr>
          <w:rFonts w:ascii="宋体" w:hAnsi="宋体"/>
          <w:bCs/>
          <w:szCs w:val="21"/>
        </w:rPr>
      </w:pPr>
      <w:r>
        <w:rPr>
          <w:rFonts w:eastAsia="黑体"/>
          <w:b/>
          <w:bCs/>
          <w:szCs w:val="21"/>
        </w:rPr>
        <w:t>16.5.39</w:t>
      </w:r>
      <w:r>
        <w:rPr>
          <w:rFonts w:ascii="宋体" w:hAnsi="宋体"/>
          <w:bCs/>
          <w:szCs w:val="21"/>
        </w:rPr>
        <w:t xml:space="preserve">  补充交流制架空接触网防雷要求并细化直流制接触网防雷要求。</w:t>
      </w:r>
    </w:p>
    <w:p w14:paraId="2E750E9F">
      <w:pPr>
        <w:rPr>
          <w:rFonts w:ascii="宋体" w:hAnsi="宋体"/>
          <w:bCs/>
          <w:szCs w:val="21"/>
        </w:rPr>
      </w:pPr>
      <w:r>
        <w:rPr>
          <w:rFonts w:eastAsia="黑体"/>
          <w:b/>
          <w:bCs/>
          <w:szCs w:val="21"/>
        </w:rPr>
        <w:t>16.5.41</w:t>
      </w:r>
      <w:r>
        <w:rPr>
          <w:rFonts w:ascii="宋体" w:hAnsi="宋体"/>
          <w:bCs/>
          <w:szCs w:val="21"/>
        </w:rPr>
        <w:t xml:space="preserve">  目前已有部分城市洗车库设置电动隔离开关+可视化接地装置，因此删除本条说明中关于带接地刀闸手动隔离开关的要求。</w:t>
      </w:r>
    </w:p>
    <w:p w14:paraId="5BBEC699">
      <w:pPr>
        <w:ind w:firstLine="420"/>
        <w:rPr>
          <w:rFonts w:ascii="宋体" w:hAnsi="宋体"/>
          <w:bCs/>
        </w:rPr>
      </w:pPr>
      <w:r>
        <w:rPr>
          <w:rFonts w:ascii="宋体" w:hAnsi="宋体"/>
          <w:bCs/>
        </w:rPr>
        <w:t>洗车库内接触网平面布置方案有两种：①接触网仅一端为电源端，车辆单方向进出洗车库；②接触网两端均为电源端，车辆可双方向进出洗车库。</w:t>
      </w:r>
    </w:p>
    <w:p w14:paraId="40D5B772">
      <w:pPr>
        <w:ind w:firstLine="420"/>
        <w:rPr>
          <w:rFonts w:ascii="宋体" w:hAnsi="宋体"/>
          <w:bCs/>
          <w:szCs w:val="21"/>
        </w:rPr>
      </w:pPr>
      <w:r>
        <w:rPr>
          <w:rFonts w:ascii="宋体" w:hAnsi="宋体"/>
          <w:bCs/>
        </w:rPr>
        <w:t>对于第一种方案，应在洗车库的出入口处设置接触网绝缘分段。对于第二种方案，则应在洗车库的两端出入口处设置接触网绝缘分段。</w:t>
      </w:r>
    </w:p>
    <w:p w14:paraId="61EB5E6A">
      <w:pPr>
        <w:pStyle w:val="4"/>
        <w:numPr>
          <w:ilvl w:val="0"/>
          <w:numId w:val="0"/>
        </w:numPr>
      </w:pPr>
      <w:bookmarkStart w:id="2794" w:name="_Toc183738156"/>
      <w:bookmarkStart w:id="2795" w:name="_Toc183454199"/>
      <w:bookmarkStart w:id="2796" w:name="_Toc183888739"/>
      <w:bookmarkStart w:id="2797" w:name="_Toc183790764"/>
      <w:bookmarkStart w:id="2798" w:name="_Toc183454496"/>
      <w:bookmarkStart w:id="2799" w:name="_Toc183454879"/>
      <w:bookmarkStart w:id="2800" w:name="_Toc183765334"/>
      <w:bookmarkStart w:id="2801" w:name="_Toc183882687"/>
      <w:bookmarkStart w:id="2802" w:name="_Toc183888377"/>
      <w:bookmarkStart w:id="2803" w:name="_Toc183882325"/>
      <w:r>
        <w:rPr>
          <w:b/>
        </w:rPr>
        <w:t>16.6</w:t>
      </w:r>
      <w:r>
        <w:t xml:space="preserve">  继电保护、测量及自动装置</w:t>
      </w:r>
      <w:bookmarkEnd w:id="2794"/>
      <w:bookmarkEnd w:id="2795"/>
      <w:bookmarkEnd w:id="2796"/>
      <w:bookmarkEnd w:id="2797"/>
      <w:bookmarkEnd w:id="2798"/>
      <w:bookmarkEnd w:id="2799"/>
      <w:bookmarkEnd w:id="2800"/>
      <w:bookmarkEnd w:id="2801"/>
      <w:bookmarkEnd w:id="2802"/>
      <w:bookmarkEnd w:id="2803"/>
    </w:p>
    <w:p w14:paraId="1D91E5B9">
      <w:pPr>
        <w:rPr>
          <w:rFonts w:ascii="宋体" w:hAnsi="宋体"/>
          <w:bCs/>
          <w:szCs w:val="21"/>
        </w:rPr>
      </w:pPr>
      <w:r>
        <w:rPr>
          <w:rFonts w:eastAsia="黑体"/>
          <w:b/>
          <w:bCs/>
          <w:szCs w:val="21"/>
        </w:rPr>
        <w:t>16.6.2</w:t>
      </w:r>
      <w:r>
        <w:rPr>
          <w:rFonts w:ascii="宋体" w:hAnsi="宋体"/>
          <w:bCs/>
          <w:szCs w:val="21"/>
        </w:rPr>
        <w:t xml:space="preserve">  本条文提出中压网络主保护采用线路差动保护或数字通信电流保护，是基于目前的成熟技术和产品，不限于采用其他形式的安全、可靠、成熟的技术和产品。</w:t>
      </w:r>
    </w:p>
    <w:p w14:paraId="01269C30">
      <w:pPr>
        <w:rPr>
          <w:rFonts w:ascii="宋体" w:hAnsi="宋体"/>
          <w:bCs/>
          <w:szCs w:val="21"/>
        </w:rPr>
      </w:pPr>
      <w:r>
        <w:rPr>
          <w:rFonts w:eastAsia="黑体"/>
          <w:b/>
          <w:bCs/>
          <w:szCs w:val="21"/>
        </w:rPr>
        <w:t>16.6.7</w:t>
      </w:r>
      <w:r>
        <w:rPr>
          <w:rFonts w:ascii="宋体" w:hAnsi="宋体"/>
          <w:bCs/>
          <w:szCs w:val="21"/>
        </w:rPr>
        <w:t xml:space="preserve">  电源开闭所中压系统设置合环选跳保护是北京市轨道交通供电设备维护的一个特点，合环操作可以实现在电源手动转换过程中不间断供电、保证用电设备电源持续性的目的。合环选跳投入、出现合环电流时，自动选择应该分闸的断路器，使供电系统继续正常运行。</w:t>
      </w:r>
    </w:p>
    <w:p w14:paraId="414296D5">
      <w:pPr>
        <w:rPr>
          <w:rFonts w:ascii="宋体" w:hAnsi="宋体"/>
          <w:bCs/>
          <w:szCs w:val="21"/>
        </w:rPr>
      </w:pPr>
      <w:r>
        <w:rPr>
          <w:rFonts w:eastAsia="黑体"/>
          <w:b/>
          <w:bCs/>
          <w:szCs w:val="21"/>
        </w:rPr>
        <w:t>16.6.9</w:t>
      </w:r>
      <w:r>
        <w:rPr>
          <w:rFonts w:ascii="宋体" w:hAnsi="宋体"/>
          <w:bCs/>
          <w:szCs w:val="21"/>
        </w:rPr>
        <w:t xml:space="preserve">  h款：城市轨道交通实际工程中，直流制牵引整流机组外壳开门保护推荐跳闸方案。本条款同样适用于外壳封闭式配电变压器。</w:t>
      </w:r>
    </w:p>
    <w:p w14:paraId="32A14877">
      <w:pPr>
        <w:rPr>
          <w:rFonts w:ascii="宋体" w:hAnsi="宋体"/>
          <w:bCs/>
          <w:szCs w:val="21"/>
        </w:rPr>
      </w:pPr>
      <w:r>
        <w:rPr>
          <w:rFonts w:ascii="宋体" w:hAnsi="宋体"/>
          <w:bCs/>
          <w:szCs w:val="21"/>
        </w:rPr>
        <w:t>外壳开门保护属非故障类保护，为便于本规范的使用，将其纳入本条文。</w:t>
      </w:r>
    </w:p>
    <w:p w14:paraId="7065CF6D">
      <w:pPr>
        <w:rPr>
          <w:rFonts w:ascii="宋体" w:hAnsi="宋体"/>
          <w:bCs/>
          <w:szCs w:val="21"/>
        </w:rPr>
      </w:pPr>
      <w:r>
        <w:rPr>
          <w:rFonts w:eastAsia="黑体"/>
          <w:b/>
          <w:bCs/>
          <w:szCs w:val="21"/>
        </w:rPr>
        <w:t>16.6.21</w:t>
      </w:r>
      <w:r>
        <w:rPr>
          <w:rFonts w:ascii="宋体" w:hAnsi="宋体"/>
          <w:bCs/>
          <w:szCs w:val="21"/>
        </w:rPr>
        <w:t xml:space="preserve">  框架保护动作意味着直流牵引变电所的直流供电设备（如整流器、直流开关柜等）发生了漏电，不仅造成杂散电流泄漏，严重的是直流供电设备的外壳将带有较高直流电位，存在对设备、人员的安全隐患。因此牵引变电所框架保护动作不宜远方复位，若牵引变电所框架保护动作设置了远方复位，则需要运营单位针对此问题做出相应的安全规程，以避免远方复位后操作相关断路器合闸而产生人身安全问题。</w:t>
      </w:r>
    </w:p>
    <w:p w14:paraId="0CD36C68">
      <w:pPr>
        <w:rPr>
          <w:rFonts w:ascii="宋体" w:hAnsi="宋体"/>
          <w:bCs/>
          <w:szCs w:val="21"/>
        </w:rPr>
      </w:pPr>
      <w:r>
        <w:rPr>
          <w:rFonts w:eastAsia="黑体"/>
          <w:b/>
          <w:bCs/>
          <w:szCs w:val="21"/>
        </w:rPr>
        <w:t>16.6.25</w:t>
      </w:r>
      <w:r>
        <w:rPr>
          <w:rFonts w:ascii="宋体" w:hAnsi="宋体"/>
          <w:bCs/>
          <w:szCs w:val="21"/>
        </w:rPr>
        <w:t xml:space="preserve">  根据实际工程的情况，低压进线开关设置接地故障保护后，难以与下级设置的接地故障保护之间实现配合的选择性，故当低压进线开关短路短延时保护灵敏度满足要求时，不必单独设置接地保护，从而避免出现接地保护不能关停而与下级无法实现选择性的问题。</w:t>
      </w:r>
    </w:p>
    <w:p w14:paraId="25F28329">
      <w:pPr>
        <w:pStyle w:val="4"/>
        <w:numPr>
          <w:ilvl w:val="0"/>
          <w:numId w:val="0"/>
        </w:numPr>
      </w:pPr>
      <w:bookmarkStart w:id="2804" w:name="_Toc183738157"/>
      <w:bookmarkStart w:id="2805" w:name="_Toc183454200"/>
      <w:bookmarkStart w:id="2806" w:name="_Toc183882326"/>
      <w:bookmarkStart w:id="2807" w:name="_Toc183882688"/>
      <w:bookmarkStart w:id="2808" w:name="_Toc183888740"/>
      <w:bookmarkStart w:id="2809" w:name="_Toc183454497"/>
      <w:bookmarkStart w:id="2810" w:name="_Toc183765335"/>
      <w:bookmarkStart w:id="2811" w:name="_Toc183790765"/>
      <w:bookmarkStart w:id="2812" w:name="_Toc183888378"/>
      <w:bookmarkStart w:id="2813" w:name="_Toc183454880"/>
      <w:r>
        <w:rPr>
          <w:b/>
        </w:rPr>
        <w:t xml:space="preserve">16.7 </w:t>
      </w:r>
      <w:r>
        <w:t xml:space="preserve"> 电力监控系统及供电智能运维系统</w:t>
      </w:r>
      <w:bookmarkEnd w:id="2804"/>
      <w:bookmarkEnd w:id="2805"/>
      <w:bookmarkEnd w:id="2806"/>
      <w:bookmarkEnd w:id="2807"/>
      <w:bookmarkEnd w:id="2808"/>
      <w:bookmarkEnd w:id="2809"/>
      <w:bookmarkEnd w:id="2810"/>
      <w:bookmarkEnd w:id="2811"/>
      <w:bookmarkEnd w:id="2812"/>
      <w:bookmarkEnd w:id="2813"/>
    </w:p>
    <w:p w14:paraId="639E8A45">
      <w:pPr>
        <w:rPr>
          <w:rFonts w:ascii="宋体" w:hAnsi="宋体"/>
          <w:bCs/>
          <w:szCs w:val="21"/>
        </w:rPr>
      </w:pPr>
      <w:r>
        <w:rPr>
          <w:rFonts w:eastAsia="黑体"/>
          <w:b/>
          <w:bCs/>
          <w:szCs w:val="21"/>
        </w:rPr>
        <w:t>16.7.6</w:t>
      </w:r>
      <w:r>
        <w:rPr>
          <w:rFonts w:ascii="宋体" w:hAnsi="宋体"/>
          <w:bCs/>
          <w:szCs w:val="21"/>
        </w:rPr>
        <w:t xml:space="preserve"> 车辆综合基地牵引变电所的管理模式与正线的牵引变电所不同，在夜间停运正线的牵引网应处于断电状态，以保证线路检修、巡视的安全。正线牵引变电所的操作服从电力调度中心的管理。车辆综合基地牵引变电所的操作服从车辆综合基地调度的管理，根据车辆综合基地夜间检修、作业的情况，车辆综合基地部分牵引网处于断电状态，部分会带电运行。</w:t>
      </w:r>
    </w:p>
    <w:p w14:paraId="542B52C1">
      <w:pPr>
        <w:rPr>
          <w:rFonts w:ascii="宋体" w:hAnsi="宋体"/>
          <w:bCs/>
          <w:szCs w:val="21"/>
        </w:rPr>
      </w:pPr>
      <w:r>
        <w:rPr>
          <w:rFonts w:eastAsia="黑体"/>
          <w:b/>
          <w:bCs/>
          <w:szCs w:val="21"/>
        </w:rPr>
        <w:t>16.7.8</w:t>
      </w:r>
      <w:r>
        <w:rPr>
          <w:rFonts w:ascii="宋体" w:hAnsi="宋体"/>
          <w:bCs/>
          <w:szCs w:val="21"/>
        </w:rPr>
        <w:t xml:space="preserve">  当线路设置综合监控系统时，本条文内容应纳入综合监控系统范围，为便于电力监控系统内容的完整性，条文内容仍在本款予以体现。</w:t>
      </w:r>
    </w:p>
    <w:p w14:paraId="1D12A037">
      <w:r>
        <w:rPr>
          <w:rFonts w:eastAsia="黑体"/>
          <w:b/>
          <w:bCs/>
          <w:szCs w:val="21"/>
        </w:rPr>
        <w:t>16.7.10</w:t>
      </w:r>
      <w:r>
        <w:rPr>
          <w:rFonts w:ascii="宋体" w:hAnsi="宋体"/>
          <w:bCs/>
          <w:szCs w:val="21"/>
        </w:rPr>
        <w:t xml:space="preserve">  车站和车辆综合基地跟随式降压变电所的自动化不作为单独的站级管理层接入电力监控网络，而是作为间隔层设备接入本车站或车辆综合基地牵引降压混合变电所的站级管理层。为减少接入站级管理层的通信电缆数量和长度，在跟随式降压变电所设置控制单元。而其他变电所设置冗余的控制单元是为了提高变电所自动化系统的可靠性。</w:t>
      </w:r>
    </w:p>
    <w:p w14:paraId="6E99193F">
      <w:pPr>
        <w:pStyle w:val="4"/>
        <w:numPr>
          <w:ilvl w:val="0"/>
          <w:numId w:val="0"/>
        </w:numPr>
      </w:pPr>
      <w:bookmarkStart w:id="2814" w:name="_Toc183454881"/>
      <w:bookmarkStart w:id="2815" w:name="_Toc183738158"/>
      <w:bookmarkStart w:id="2816" w:name="_Toc183454201"/>
      <w:bookmarkStart w:id="2817" w:name="_Toc183882327"/>
      <w:bookmarkStart w:id="2818" w:name="_Toc183882689"/>
      <w:bookmarkStart w:id="2819" w:name="_Toc183888741"/>
      <w:bookmarkStart w:id="2820" w:name="_Toc183765336"/>
      <w:bookmarkStart w:id="2821" w:name="_Toc183888379"/>
      <w:bookmarkStart w:id="2822" w:name="_Toc183454498"/>
      <w:bookmarkStart w:id="2823" w:name="_Toc183790766"/>
      <w:r>
        <w:rPr>
          <w:b/>
        </w:rPr>
        <w:t xml:space="preserve">16.9 </w:t>
      </w:r>
      <w:r>
        <w:t xml:space="preserve"> 供配电线路敷设</w:t>
      </w:r>
      <w:bookmarkEnd w:id="2814"/>
      <w:bookmarkEnd w:id="2815"/>
      <w:bookmarkEnd w:id="2816"/>
      <w:bookmarkEnd w:id="2817"/>
      <w:bookmarkEnd w:id="2818"/>
      <w:bookmarkEnd w:id="2819"/>
      <w:bookmarkEnd w:id="2820"/>
      <w:bookmarkEnd w:id="2821"/>
      <w:bookmarkEnd w:id="2822"/>
      <w:bookmarkEnd w:id="2823"/>
    </w:p>
    <w:p w14:paraId="026A79BB">
      <w:pPr>
        <w:rPr>
          <w:rFonts w:ascii="宋体" w:hAnsi="宋体"/>
          <w:bCs/>
          <w:szCs w:val="21"/>
        </w:rPr>
      </w:pPr>
      <w:r>
        <w:rPr>
          <w:rFonts w:eastAsia="黑体"/>
          <w:b/>
          <w:bCs/>
          <w:szCs w:val="21"/>
        </w:rPr>
        <w:t>16.9.4</w:t>
      </w:r>
      <w:r>
        <w:rPr>
          <w:rFonts w:ascii="宋体" w:hAnsi="宋体"/>
          <w:bCs/>
          <w:szCs w:val="21"/>
        </w:rPr>
        <w:t xml:space="preserve">  近年来，国内城市轨道交通运营线路区间电缆频繁发生被盗事件，给轨道交通的正常运营造成影响，为此推荐地面线路的区间电缆敷设在电缆沟槽内。地面线路的电力电缆与控制电缆敷设在电缆沟内有利于防盗、防晒、美观。若地面线路电缆在支架上敷设时应考虑防盗措施，并考虑对电缆载流量产生的影响。</w:t>
      </w:r>
    </w:p>
    <w:p w14:paraId="49CCA784">
      <w:pPr>
        <w:pStyle w:val="4"/>
        <w:numPr>
          <w:ilvl w:val="0"/>
          <w:numId w:val="0"/>
        </w:numPr>
      </w:pPr>
      <w:bookmarkStart w:id="2824" w:name="_Toc183454202"/>
      <w:bookmarkStart w:id="2825" w:name="_Toc183882690"/>
      <w:bookmarkStart w:id="2826" w:name="_Toc183882328"/>
      <w:bookmarkStart w:id="2827" w:name="_Toc183454882"/>
      <w:bookmarkStart w:id="2828" w:name="_Toc183790767"/>
      <w:bookmarkStart w:id="2829" w:name="_Toc183454499"/>
      <w:bookmarkStart w:id="2830" w:name="_Toc183888380"/>
      <w:bookmarkStart w:id="2831" w:name="_Toc183888742"/>
      <w:bookmarkStart w:id="2832" w:name="_Toc183738159"/>
      <w:bookmarkStart w:id="2833" w:name="_Toc183765337"/>
      <w:r>
        <w:rPr>
          <w:b/>
        </w:rPr>
        <w:t xml:space="preserve">16.10 </w:t>
      </w:r>
      <w:r>
        <w:t xml:space="preserve"> 杂散电流腐蚀防护、接地与电磁干扰防护</w:t>
      </w:r>
      <w:bookmarkEnd w:id="2824"/>
      <w:bookmarkEnd w:id="2825"/>
      <w:bookmarkEnd w:id="2826"/>
      <w:bookmarkEnd w:id="2827"/>
      <w:bookmarkEnd w:id="2828"/>
      <w:bookmarkEnd w:id="2829"/>
      <w:bookmarkEnd w:id="2830"/>
      <w:bookmarkEnd w:id="2831"/>
      <w:bookmarkEnd w:id="2832"/>
      <w:bookmarkEnd w:id="2833"/>
    </w:p>
    <w:p w14:paraId="4B434FB7">
      <w:pPr>
        <w:rPr>
          <w:rFonts w:ascii="宋体" w:hAnsi="宋体"/>
          <w:bCs/>
        </w:rPr>
      </w:pPr>
      <w:r>
        <w:rPr>
          <w:rFonts w:eastAsia="黑体"/>
          <w:b/>
          <w:bCs/>
          <w:szCs w:val="21"/>
        </w:rPr>
        <w:t xml:space="preserve">16.10.1  </w:t>
      </w:r>
      <w:r>
        <w:rPr>
          <w:rFonts w:ascii="宋体" w:hAnsi="宋体"/>
          <w:bCs/>
        </w:rPr>
        <w:t>当前，国内直流制式的城轨道交通工程的杂散电流腐蚀防护方案均设置了道床排流网，部分工程将主体结构钢筋用于辅助排流网，个别工程将外引接地体通过单向导通装置与牵引变电所负极母排电气连接。多个运营线路反映主体结构钢筋中的杂散电流量较大，约20A～150A不等。</w:t>
      </w:r>
    </w:p>
    <w:p w14:paraId="70560B60">
      <w:pPr>
        <w:ind w:firstLine="420"/>
        <w:rPr>
          <w:rFonts w:ascii="宋体" w:hAnsi="宋体"/>
          <w:bCs/>
        </w:rPr>
      </w:pPr>
      <w:r>
        <w:rPr>
          <w:rFonts w:ascii="宋体" w:hAnsi="宋体"/>
          <w:bCs/>
        </w:rPr>
        <w:t>台北都会区大众捷运系统（简称台北捷运）对道床排流网的排流效率做了测试研究，研究结果表明，随着杂散电流泄漏量的增加，排流网的效率在下降。杂散电流泄漏量较大时，排流网的效率约30%；当杂散电流泄漏量渐小时，排流网的效率由约30%变化为50%；当杂散电流泄漏量较小时，排流网的效率约50%以上。测试数据表明，排流网的作用是有限的。</w:t>
      </w:r>
    </w:p>
    <w:p w14:paraId="2FFF514B">
      <w:pPr>
        <w:ind w:firstLine="420"/>
        <w:rPr>
          <w:rFonts w:ascii="宋体" w:hAnsi="宋体"/>
          <w:bCs/>
        </w:rPr>
      </w:pPr>
      <w:r>
        <w:rPr>
          <w:rFonts w:ascii="宋体" w:hAnsi="宋体"/>
          <w:bCs/>
        </w:rPr>
        <w:t>杂散电流腐蚀防护应从源头解决，提高回流轨对地过渡电阻值，降低回流轨对地电位，以降低杂散电流泄漏量，解决方案虽然较多，但应综合利用。施工质量也是影响杂散电流腐蚀防护措施的关键因素。</w:t>
      </w:r>
    </w:p>
    <w:p w14:paraId="70DE87FB">
      <w:pPr>
        <w:rPr>
          <w:rFonts w:ascii="宋体" w:hAnsi="宋体"/>
          <w:bCs/>
        </w:rPr>
      </w:pPr>
      <w:r>
        <w:rPr>
          <w:rFonts w:eastAsia="黑体"/>
          <w:b/>
          <w:bCs/>
          <w:szCs w:val="21"/>
        </w:rPr>
        <w:t xml:space="preserve">16.10.2 </w:t>
      </w:r>
      <w:r>
        <w:rPr>
          <w:rFonts w:ascii="宋体" w:hAnsi="宋体"/>
          <w:bCs/>
        </w:rPr>
        <w:t>采用专用回流轨是直流牵引供电系统治理杂散电流腐蚀问题的有效措施。采用专用回流轨时，由于专用回流轨的对地绝缘能够得到保证，故不必再考虑设置杂散电流腐蚀防护系统；由于钢轨已不作为回流通路，故不需再设置钢轨电位限制装置。</w:t>
      </w:r>
    </w:p>
    <w:p w14:paraId="24138AF1">
      <w:pPr>
        <w:rPr>
          <w:rFonts w:eastAsia="黑体"/>
          <w:b/>
          <w:bCs/>
          <w:szCs w:val="21"/>
        </w:rPr>
      </w:pPr>
      <w:r>
        <w:rPr>
          <w:rFonts w:eastAsia="黑体"/>
          <w:b/>
          <w:bCs/>
          <w:szCs w:val="21"/>
        </w:rPr>
        <w:t xml:space="preserve">16.10.7  </w:t>
      </w:r>
      <w:r>
        <w:rPr>
          <w:rFonts w:ascii="宋体" w:hAnsi="宋体"/>
          <w:bCs/>
        </w:rPr>
        <w:t>本条目的是避免杂散电流通过主体结构钢筋向外界泄漏，同时降低主体结构钢筋被电腐蚀的风险。</w:t>
      </w:r>
    </w:p>
    <w:p w14:paraId="1CC6029D">
      <w:pPr>
        <w:rPr>
          <w:rFonts w:ascii="宋体" w:hAnsi="宋体"/>
          <w:bCs/>
          <w:szCs w:val="21"/>
        </w:rPr>
      </w:pPr>
      <w:r>
        <w:rPr>
          <w:rFonts w:eastAsia="黑体"/>
          <w:b/>
          <w:bCs/>
          <w:szCs w:val="21"/>
        </w:rPr>
        <w:t xml:space="preserve">16.10.9 </w:t>
      </w:r>
      <w:r>
        <w:rPr>
          <w:rFonts w:ascii="宋体" w:hAnsi="宋体"/>
          <w:bCs/>
        </w:rPr>
        <w:t>采用走行轨回流的直流制式工程</w:t>
      </w:r>
      <w:r>
        <w:rPr>
          <w:rFonts w:ascii="宋体" w:hAnsi="宋体"/>
          <w:bCs/>
          <w:szCs w:val="21"/>
        </w:rPr>
        <w:t>线路正常运行的任何情况下，道床内排流网或多或少存在杂散电流。当排流网与结构钢筋、金属管线、接地装置电气连接时，杂散电流将通过排流网遍布结构钢筋、金属管线以及接地装置，导致杂散电流向外界泄漏，因结构钢筋、金属管线以及接地装置彼此之间非良好的电气连接，结构钢筋、金属管线被电腐蚀的几率大大增加，对轨道交通工程的主体结构工程和道床结构100年设计使用寿命产生影响；线路周边的市政管线也将面临被电腐蚀的危险。</w:t>
      </w:r>
    </w:p>
    <w:p w14:paraId="735F0A50">
      <w:pPr>
        <w:rPr>
          <w:rFonts w:ascii="宋体" w:hAnsi="宋体"/>
          <w:bCs/>
          <w:szCs w:val="21"/>
        </w:rPr>
      </w:pPr>
      <w:r>
        <w:rPr>
          <w:rFonts w:eastAsia="黑体"/>
          <w:b/>
          <w:bCs/>
          <w:szCs w:val="21"/>
        </w:rPr>
        <w:t xml:space="preserve">16.10.11 </w:t>
      </w:r>
      <w:r>
        <w:rPr>
          <w:rFonts w:ascii="宋体" w:hAnsi="宋体"/>
          <w:bCs/>
          <w:szCs w:val="21"/>
        </w:rPr>
        <w:t xml:space="preserve"> 《城市轨道交通技术规范》GB 50490—2009第8.1.13条规定“车站应具有总等电位联结或辅助等电位联结”，如利用主体结构钢筋或金属管线做排流网，将导致杂散电流在保护线及设备金属外壳乱窜。而且，接地装置成为了排流网中的一部分，意味着杂散电流通过车站外的接地体在线路外界流动，违背了防止杂散电流向外界泄漏的原则。</w:t>
      </w:r>
    </w:p>
    <w:p w14:paraId="201B91A1">
      <w:pPr>
        <w:ind w:firstLine="420"/>
        <w:rPr>
          <w:rFonts w:ascii="宋体" w:hAnsi="宋体"/>
          <w:bCs/>
        </w:rPr>
      </w:pPr>
      <w:r>
        <w:rPr>
          <w:rFonts w:ascii="宋体" w:hAnsi="宋体"/>
          <w:bCs/>
          <w:szCs w:val="21"/>
        </w:rPr>
        <w:t>1</w:t>
      </w:r>
      <w:r>
        <w:rPr>
          <w:rFonts w:ascii="宋体" w:hAnsi="宋体"/>
          <w:bCs/>
        </w:rPr>
        <w:t>990年1月，台北都会区大众捷运系统（简称台北捷运）对南港-板桥线的钢轨电位与杂散电流的关系进行了测试研究，研究结果表明，当设置道床排流网以及利用主体结构钢筋兼做辅助排流网时，与不设置排流网相比，系统最大杂散电流泄漏量总值增大4倍左右；外引接地装置如与牵引变电所负极电气连接时，系统最大杂散电流泄漏量总值增大300倍左右。</w:t>
      </w:r>
    </w:p>
    <w:p w14:paraId="5CAE9CFC">
      <w:pPr>
        <w:ind w:firstLine="420"/>
        <w:rPr>
          <w:rFonts w:ascii="宋体" w:hAnsi="宋体"/>
          <w:bCs/>
        </w:rPr>
      </w:pPr>
      <w:r>
        <w:rPr>
          <w:rFonts w:ascii="宋体" w:hAnsi="宋体"/>
          <w:bCs/>
        </w:rPr>
        <w:t>本规范遵循杂散电流腐蚀防护的根本原则，做出了规定。</w:t>
      </w:r>
    </w:p>
    <w:p w14:paraId="31C96509">
      <w:pPr>
        <w:rPr>
          <w:rFonts w:ascii="宋体" w:hAnsi="宋体"/>
          <w:bCs/>
          <w:szCs w:val="21"/>
        </w:rPr>
      </w:pPr>
      <w:r>
        <w:rPr>
          <w:rFonts w:eastAsia="黑体"/>
          <w:b/>
          <w:bCs/>
          <w:szCs w:val="21"/>
        </w:rPr>
        <w:t>16.10.12</w:t>
      </w:r>
      <w:r>
        <w:rPr>
          <w:rFonts w:ascii="宋体" w:hAnsi="宋体"/>
          <w:bCs/>
          <w:szCs w:val="21"/>
        </w:rPr>
        <w:t xml:space="preserve">  为使测防端子的位置及做法不影响乘客安全疏散而做出本规定。关于道床测防端子距离道床面的高度要求，是基于目前普遍采用道床面设置测防端子方案，测防端子容易造成乘客脚下碰磕、剐蹭等不良现象，影响乘客的安全疏散或造成次生灾害。对于矩形隧道，隧道的测防端子宜嵌入隧道壁内，端头不应突出隧道面，并便于接线。</w:t>
      </w:r>
    </w:p>
    <w:p w14:paraId="1635DCEB">
      <w:pPr>
        <w:rPr>
          <w:rFonts w:ascii="宋体" w:hAnsi="宋体"/>
          <w:bCs/>
          <w:szCs w:val="21"/>
        </w:rPr>
      </w:pPr>
      <w:r>
        <w:rPr>
          <w:rFonts w:eastAsia="黑体"/>
          <w:b/>
          <w:bCs/>
          <w:szCs w:val="21"/>
        </w:rPr>
        <w:t>16.10.13</w:t>
      </w:r>
      <w:r>
        <w:rPr>
          <w:rFonts w:ascii="宋体" w:hAnsi="宋体"/>
          <w:bCs/>
          <w:szCs w:val="21"/>
        </w:rPr>
        <w:t xml:space="preserve">  《城市轨道交通技术规范》GB 50490—2009第8.1.12条，“在正常运营条件下，正线回流轨与地间的电压不应超过DC 90V”；《城市轨道交通直流牵引供电系统》GB/T 10411—2005第7.4.2条，“利用走行轨回流，且在最大负载时，轨上任意一点对地电位差应不大于90V”。本条规定未完全采纳上述国家标准规范。</w:t>
      </w:r>
    </w:p>
    <w:p w14:paraId="2B68E443">
      <w:pPr>
        <w:ind w:firstLine="420"/>
        <w:rPr>
          <w:rFonts w:ascii="宋体" w:hAnsi="宋体"/>
          <w:bCs/>
          <w:szCs w:val="21"/>
        </w:rPr>
      </w:pPr>
      <w:r>
        <w:rPr>
          <w:rFonts w:ascii="宋体" w:hAnsi="宋体"/>
          <w:bCs/>
          <w:szCs w:val="21"/>
        </w:rPr>
        <w:t>《铁路应用固定装置  第一部分：有关电气安全保护规定和接地》IEC 62128—1—2003第4.2.1条规定，高于DC 120V间接防护电压时应采取防护措施。</w:t>
      </w:r>
    </w:p>
    <w:p w14:paraId="72099D5A">
      <w:pPr>
        <w:ind w:firstLine="420"/>
        <w:rPr>
          <w:rFonts w:ascii="宋体" w:hAnsi="宋体"/>
          <w:bCs/>
          <w:szCs w:val="21"/>
        </w:rPr>
      </w:pPr>
      <w:r>
        <w:rPr>
          <w:rFonts w:ascii="宋体" w:hAnsi="宋体"/>
          <w:bCs/>
          <w:szCs w:val="21"/>
        </w:rPr>
        <w:t>英国标准《铁路应用－固定设施  第一部分：电气安全与接地的防护条款》BS EN 50122—1：1998第7.3.3条款规定，可允许电压不得超过DC 120V，除非有人经常工作的场所不得超过DC 60V。</w:t>
      </w:r>
    </w:p>
    <w:p w14:paraId="75E67CAE">
      <w:pPr>
        <w:ind w:firstLine="420"/>
        <w:rPr>
          <w:rFonts w:ascii="宋体" w:hAnsi="宋体"/>
          <w:bCs/>
          <w:szCs w:val="21"/>
        </w:rPr>
      </w:pPr>
      <w:r>
        <w:rPr>
          <w:rFonts w:ascii="宋体" w:hAnsi="宋体"/>
          <w:bCs/>
          <w:szCs w:val="21"/>
        </w:rPr>
        <w:t>《建筑物电气装置的电压区段》GB/T 18379—2001第4条规定，不接地或非有效接地系统直流极间电压区段Ⅰ的上限值不得大于120V。电压区段Ⅰ是指在某些条件下，依据电压值提供电击防护装置。</w:t>
      </w:r>
    </w:p>
    <w:p w14:paraId="264A0A23">
      <w:pPr>
        <w:ind w:firstLine="420"/>
        <w:rPr>
          <w:rFonts w:ascii="宋体" w:hAnsi="宋体"/>
          <w:bCs/>
          <w:szCs w:val="21"/>
        </w:rPr>
      </w:pPr>
      <w:r>
        <w:rPr>
          <w:rFonts w:ascii="宋体" w:hAnsi="宋体"/>
          <w:bCs/>
          <w:szCs w:val="21"/>
        </w:rPr>
        <w:t>上述标准规范中均以DC 120V为界，作为是否采取直接防护或间接防护的依据。</w:t>
      </w:r>
    </w:p>
    <w:p w14:paraId="01739BFD">
      <w:pPr>
        <w:ind w:firstLine="420"/>
        <w:rPr>
          <w:rFonts w:ascii="宋体" w:hAnsi="宋体"/>
          <w:bCs/>
          <w:szCs w:val="21"/>
        </w:rPr>
      </w:pPr>
      <w:r>
        <w:rPr>
          <w:rFonts w:ascii="宋体" w:hAnsi="宋体"/>
          <w:bCs/>
          <w:szCs w:val="21"/>
        </w:rPr>
        <w:t>在解决人员对钢轨的接触电压防护措施同时，应考虑杂散电流腐蚀防护问题，本款引用国内外相关标准，将正常运行方式下、正线兼做回流的走行轨对地电位不得超过DC 90V提高到DC 120V。</w:t>
      </w:r>
    </w:p>
    <w:p w14:paraId="4B33E006">
      <w:pPr>
        <w:rPr>
          <w:rFonts w:eastAsia="黑体"/>
          <w:b/>
          <w:bCs/>
          <w:szCs w:val="21"/>
        </w:rPr>
      </w:pPr>
      <w:r>
        <w:rPr>
          <w:rFonts w:eastAsia="黑体"/>
          <w:b/>
          <w:bCs/>
          <w:szCs w:val="21"/>
        </w:rPr>
        <w:t xml:space="preserve">16.10.14  </w:t>
      </w:r>
      <w:r>
        <w:rPr>
          <w:rFonts w:ascii="宋体" w:hAnsi="宋体"/>
          <w:bCs/>
          <w:szCs w:val="21"/>
        </w:rPr>
        <w:t>目前，钢轨电位限制装置的启动条件取决于钢轨对地电位和时间，钢轨对地电位长期高于设定值时，杂散电流将持续注入接地网，不利于杂散电流腐蚀防护。将车站内列车停留状态作为钢轨电位限制装置的启动条件之一，在保障乘客上下车的基本安全同时，可以缓解杂散电流对结构钢筋及金属管线的腐蚀程度。</w:t>
      </w:r>
    </w:p>
    <w:p w14:paraId="202618FB">
      <w:pPr>
        <w:rPr>
          <w:rFonts w:ascii="宋体" w:hAnsi="宋体"/>
          <w:bCs/>
          <w:szCs w:val="21"/>
        </w:rPr>
      </w:pPr>
      <w:r>
        <w:rPr>
          <w:rFonts w:eastAsia="黑体"/>
          <w:b/>
          <w:bCs/>
          <w:szCs w:val="21"/>
        </w:rPr>
        <w:t xml:space="preserve">16.10.16  </w:t>
      </w:r>
      <w:r>
        <w:rPr>
          <w:rFonts w:ascii="宋体" w:hAnsi="宋体"/>
          <w:bCs/>
          <w:szCs w:val="21"/>
        </w:rPr>
        <w:t>等电位联结是保护人身安全最有效措施之一，车站内人身安全与接地电阻大小无关。城市轨道交通低压配电系统的接地型式基本采用TN系统，《城市轨道交通技术规范》GB 50490—2009第8.1.13条，“车站应具有总等电位联结或辅助等电位联结”。供电系统与其他系统共用接地装置时，根据现行相关国家标准规范，一般要求接地电阻值不应大于接入设备中要求的最小值，工频接地电阻不大于1Ω可以满足各方面的需求。</w:t>
      </w:r>
    </w:p>
    <w:p w14:paraId="7099091B">
      <w:pPr>
        <w:ind w:firstLine="420"/>
        <w:rPr>
          <w:rFonts w:ascii="宋体" w:hAnsi="宋体"/>
          <w:bCs/>
          <w:szCs w:val="21"/>
        </w:rPr>
      </w:pPr>
      <w:r>
        <w:rPr>
          <w:rFonts w:ascii="宋体" w:hAnsi="宋体"/>
          <w:bCs/>
          <w:szCs w:val="21"/>
        </w:rPr>
        <w:t>IEC标准未对强弱电共用接地装置的接地电阻值做出规定。作为弱电系统设备的逻辑接地，追求的是本系统的同一参考电位，非本系统以外的接地电阻，共用接地装置反映的是高频接地阻抗，而不是工频接地电阻。因此，为保持与现行相关国家标准规范的一致性，供电系统与其他系统共用接地装置时，规定工频接地电阻不得大于1Ω。</w:t>
      </w:r>
    </w:p>
    <w:p w14:paraId="39FF4C4B">
      <w:pPr>
        <w:rPr>
          <w:rFonts w:ascii="宋体" w:hAnsi="宋体"/>
          <w:bCs/>
          <w:szCs w:val="21"/>
        </w:rPr>
      </w:pPr>
      <w:r>
        <w:rPr>
          <w:rFonts w:eastAsia="黑体"/>
          <w:b/>
          <w:bCs/>
          <w:szCs w:val="21"/>
        </w:rPr>
        <w:t xml:space="preserve">16.10.19  </w:t>
      </w:r>
      <w:r>
        <w:rPr>
          <w:rFonts w:ascii="宋体" w:hAnsi="宋体"/>
          <w:bCs/>
          <w:szCs w:val="21"/>
        </w:rPr>
        <w:t>变电所独立于建筑物外面，建筑物设置总等电位情况下，总等电位系统内的地下基础结构钢筋和金属管线以及电缆金属外铠都是量大面广的自然接地体，能起到良好的接地极作用，其接地电阻通常在1Ω甚至0.5Ω以下。这些自然接地体（特指结构钢筋）被基础水泥包裹，与酸性或碱性的泥土接触而有轻微腐蚀，其寿命等同于建筑物使用寿命，不需定期检验或更换接地极，可节省大量维护工作和费用。因此就防电击而言，无需再实施人工接地极来作接地或重复接地。</w:t>
      </w:r>
    </w:p>
    <w:p w14:paraId="121E99EA">
      <w:pPr>
        <w:ind w:firstLine="420"/>
        <w:rPr>
          <w:rFonts w:ascii="宋体" w:hAnsi="宋体"/>
          <w:bCs/>
          <w:szCs w:val="21"/>
        </w:rPr>
      </w:pPr>
      <w:r>
        <w:rPr>
          <w:rFonts w:ascii="宋体" w:hAnsi="宋体"/>
          <w:bCs/>
          <w:szCs w:val="21"/>
        </w:rPr>
        <w:t>本规范虽然规定了TN系统重复接地的工频接地电阻不得大于10Ω的要求，但在总等电位的建筑物内，TN系统可以不设置重复接地。</w:t>
      </w:r>
    </w:p>
    <w:p w14:paraId="3B03501E">
      <w:pPr>
        <w:rPr>
          <w:rFonts w:eastAsia="黑体"/>
          <w:b/>
          <w:bCs/>
          <w:szCs w:val="21"/>
        </w:rPr>
      </w:pPr>
      <w:r>
        <w:rPr>
          <w:rFonts w:eastAsia="黑体"/>
          <w:b/>
          <w:bCs/>
          <w:szCs w:val="21"/>
        </w:rPr>
        <w:t xml:space="preserve">16.10.20  </w:t>
      </w:r>
      <w:r>
        <w:rPr>
          <w:rFonts w:ascii="宋体" w:hAnsi="宋体"/>
          <w:bCs/>
          <w:szCs w:val="21"/>
        </w:rPr>
        <w:t>对于采用接地故障保护的低压配电系统，总等电位联结可以有效地解决人身触电安全、降低电气火灾发生几率。</w:t>
      </w:r>
    </w:p>
    <w:p w14:paraId="09256BE3">
      <w:pPr>
        <w:ind w:firstLine="420"/>
      </w:pPr>
    </w:p>
    <w:p w14:paraId="7BA8A6E6">
      <w:pPr>
        <w:widowControl/>
        <w:spacing w:line="240" w:lineRule="auto"/>
        <w:jc w:val="left"/>
        <w:rPr>
          <w:rFonts w:ascii="宋体" w:hAnsi="宋体" w:cs="宋体"/>
        </w:rPr>
      </w:pPr>
      <w:r>
        <w:rPr>
          <w:rFonts w:ascii="宋体" w:hAnsi="宋体" w:cs="宋体"/>
        </w:rPr>
        <w:br w:type="page"/>
      </w:r>
    </w:p>
    <w:p w14:paraId="1017B1AE">
      <w:pPr>
        <w:pStyle w:val="240"/>
      </w:pPr>
      <w:bookmarkStart w:id="2834" w:name="_Toc183882329"/>
      <w:bookmarkStart w:id="2835" w:name="_Toc183454500"/>
      <w:bookmarkStart w:id="2836" w:name="_Toc183699904"/>
      <w:bookmarkStart w:id="2837" w:name="_Toc183735448"/>
      <w:bookmarkStart w:id="2838" w:name="_Toc183790768"/>
      <w:bookmarkStart w:id="2839" w:name="_Toc183888381"/>
      <w:bookmarkStart w:id="2840" w:name="_Toc183888743"/>
      <w:bookmarkStart w:id="2841" w:name="_Toc183882691"/>
      <w:bookmarkStart w:id="2842" w:name="_Toc183738160"/>
      <w:bookmarkStart w:id="2843" w:name="_Toc183454883"/>
      <w:bookmarkStart w:id="2844" w:name="_Toc183454203"/>
      <w:bookmarkStart w:id="2845" w:name="_Toc183765338"/>
      <w:r>
        <w:rPr>
          <w:rFonts w:hint="eastAsia"/>
          <w:b/>
        </w:rPr>
        <w:t>1</w:t>
      </w:r>
      <w:r>
        <w:rPr>
          <w:b/>
        </w:rPr>
        <w:t xml:space="preserve">7 </w:t>
      </w:r>
      <w:r>
        <w:rPr>
          <w:rFonts w:hint="eastAsia"/>
        </w:rPr>
        <w:t xml:space="preserve"> 通  信</w:t>
      </w:r>
      <w:bookmarkEnd w:id="2834"/>
      <w:bookmarkEnd w:id="2835"/>
      <w:bookmarkEnd w:id="2836"/>
      <w:bookmarkEnd w:id="2837"/>
      <w:bookmarkEnd w:id="2838"/>
      <w:bookmarkEnd w:id="2839"/>
      <w:bookmarkEnd w:id="2840"/>
      <w:bookmarkEnd w:id="2841"/>
      <w:bookmarkEnd w:id="2842"/>
      <w:bookmarkEnd w:id="2843"/>
      <w:bookmarkEnd w:id="2844"/>
      <w:bookmarkEnd w:id="2845"/>
    </w:p>
    <w:p w14:paraId="780817E1">
      <w:pPr>
        <w:pStyle w:val="4"/>
        <w:numPr>
          <w:ilvl w:val="0"/>
          <w:numId w:val="0"/>
        </w:numPr>
      </w:pPr>
      <w:bookmarkStart w:id="2846" w:name="_Toc183454884"/>
      <w:bookmarkStart w:id="2847" w:name="_Toc183454501"/>
      <w:bookmarkStart w:id="2848" w:name="_Toc183454204"/>
      <w:bookmarkStart w:id="2849" w:name="_Toc183882330"/>
      <w:bookmarkStart w:id="2850" w:name="_Toc183738161"/>
      <w:bookmarkStart w:id="2851" w:name="_Toc183882692"/>
      <w:bookmarkStart w:id="2852" w:name="_Toc183888382"/>
      <w:bookmarkStart w:id="2853" w:name="_Toc183765339"/>
      <w:bookmarkStart w:id="2854" w:name="_Toc183888744"/>
      <w:bookmarkStart w:id="2855" w:name="_Toc183790769"/>
      <w:r>
        <w:rPr>
          <w:rFonts w:hint="eastAsia"/>
        </w:rPr>
        <w:t>17.</w:t>
      </w:r>
      <w:r>
        <w:t>1</w:t>
      </w:r>
      <w:r>
        <w:rPr>
          <w:rFonts w:hint="eastAsia"/>
        </w:rPr>
        <w:t xml:space="preserve"> </w:t>
      </w:r>
      <w:bookmarkEnd w:id="2846"/>
      <w:bookmarkEnd w:id="2847"/>
      <w:bookmarkEnd w:id="2848"/>
      <w:r>
        <w:rPr>
          <w:rFonts w:hint="eastAsia"/>
        </w:rPr>
        <w:t xml:space="preserve"> 一般规定</w:t>
      </w:r>
      <w:bookmarkEnd w:id="2849"/>
      <w:bookmarkEnd w:id="2850"/>
      <w:bookmarkEnd w:id="2851"/>
      <w:bookmarkEnd w:id="2852"/>
      <w:bookmarkEnd w:id="2853"/>
      <w:bookmarkEnd w:id="2854"/>
      <w:bookmarkEnd w:id="2855"/>
    </w:p>
    <w:p w14:paraId="6989115D">
      <w:pPr>
        <w:pStyle w:val="2396"/>
      </w:pPr>
      <w:r>
        <w:rPr>
          <w:b/>
        </w:rPr>
        <w:t xml:space="preserve">17.1.1  </w:t>
      </w:r>
      <w:r>
        <w:t>通信各系统采用技术应尽可能符合技术成熟、可靠，且短时间内不会被淘汰；符合国际、国家以及行业标准。</w:t>
      </w:r>
    </w:p>
    <w:p w14:paraId="4A6C1C17">
      <w:pPr>
        <w:pStyle w:val="2396"/>
      </w:pPr>
      <w:r>
        <w:rPr>
          <w:b/>
        </w:rPr>
        <w:t xml:space="preserve">17.1.2 </w:t>
      </w:r>
      <w:r>
        <w:t xml:space="preserve"> 随着北京市轨道交通的快速发展，轨道交通线网形成，各线路已不再是孤立的运营线路，贯通运行、跨线运行、两网融合、四网融合等思路逐步在轨道交通实施。因此，通信系统的建设，应适应线路运营、公安、政务等的通信需求，也应支持与其他轨道交通制式互联互通的通信要求。</w:t>
      </w:r>
    </w:p>
    <w:p w14:paraId="307E6923">
      <w:pPr>
        <w:pStyle w:val="2396"/>
      </w:pPr>
      <w:r>
        <w:rPr>
          <w:b/>
        </w:rPr>
        <w:t xml:space="preserve">17.1.3 </w:t>
      </w:r>
      <w:r>
        <w:t xml:space="preserve"> 城市轨道交通规划建设中，线路的延长线、支线等情况越来越多，通信系统在建设过程中为后续线路预留接入条件；《城市轨道交通运营管理规定》要求通信系统实现系统互联互通、兼容共享，满足网络化运营需要。</w:t>
      </w:r>
    </w:p>
    <w:p w14:paraId="7C9421D4">
      <w:pPr>
        <w:pStyle w:val="2396"/>
      </w:pPr>
      <w:r>
        <w:rPr>
          <w:b/>
        </w:rPr>
        <w:t xml:space="preserve">17.1.5  </w:t>
      </w:r>
      <w:r>
        <w:t>轨道交通越是在发生事故和灾害时越是需要迅速及时的通信联系，如果在常规通信系统之外再设置一套防灾救护通信系统，势必要增加很多投资，而且长期不使用的设备难以保持良好状态。所以，通信系统设计应在正常情况下为运营管理、指挥、监控提供迅速及时的联系，为乘客提供周到、方便的服务；在突发灾害或事故的情况下作为应急处理、抢险救灾的手段。</w:t>
      </w:r>
    </w:p>
    <w:p w14:paraId="59E2B21B">
      <w:pPr>
        <w:ind w:firstLine="420"/>
      </w:pPr>
      <w:r>
        <w:rPr>
          <w:b/>
        </w:rPr>
        <w:t xml:space="preserve">17.1.9～17.1.10 </w:t>
      </w:r>
      <w:r>
        <w:t xml:space="preserve"> 近期北京轨道交通民用通信系统建设投资方主要分为两部分，民用传输系统与民用电源系统为京投卓越，民用引入系统由中国铁塔公司，与城市轨道交通其他系统投资建设均不相同；且民用通信系统进场时间相对较晚，城市轨道交通在建设过程中为民用通信系统预留机房、供电、管槽敷设条件等，但需要为保障乘客的扫码进站等服务，民用通信系统须与城市轨道交通同步开通。</w:t>
      </w:r>
    </w:p>
    <w:p w14:paraId="68D7ABD2">
      <w:pPr>
        <w:pStyle w:val="2396"/>
      </w:pPr>
      <w:r>
        <w:rPr>
          <w:b/>
        </w:rPr>
        <w:t>17.1.13</w:t>
      </w:r>
      <w:r>
        <w:t xml:space="preserve">  区间隧道内为确保车辆行驶的安全和设备设施的安全，设置了严格的设备限界和车辆限界，本条明确了在隧道内的通信设备设施必须满足的限界要求。</w:t>
      </w:r>
    </w:p>
    <w:p w14:paraId="34E7745A">
      <w:pPr>
        <w:pStyle w:val="2396"/>
      </w:pPr>
      <w:r>
        <w:rPr>
          <w:b/>
        </w:rPr>
        <w:t xml:space="preserve">17.1.14  </w:t>
      </w:r>
      <w:r>
        <w:t>通信系统的设备设置地点较为复杂，很多设备安装在区间隧道和室外露天，且极寒、强降雨等极端天气对设备运营影响较大，出现过较多次天气造成的设备故障，甚至影响轨道交通正常运营；此外，设备安装期间的机房环境粉尘、湿度、温度等条件较为恶劣，对于这部分设备的设计要达到环境使用要求，应考虑防尘、防水、耐寒等的相关措施。</w:t>
      </w:r>
    </w:p>
    <w:p w14:paraId="2E676B1A">
      <w:pPr>
        <w:pStyle w:val="2396"/>
      </w:pPr>
      <w:r>
        <w:rPr>
          <w:b/>
        </w:rPr>
        <w:t xml:space="preserve">17.1.15 </w:t>
      </w:r>
      <w:r>
        <w:t xml:space="preserve"> 对于城市轨道交通通信系统使用的设备应严格选择，满足国家及行业有关要求，确保通信系统的可靠性和可用性。通信系统的设备必须全面考虑各个环节的防雷措施，确保系统安全。</w:t>
      </w:r>
    </w:p>
    <w:p w14:paraId="50848615">
      <w:pPr>
        <w:pStyle w:val="2396"/>
      </w:pPr>
      <w:r>
        <w:rPr>
          <w:b/>
        </w:rPr>
        <w:t xml:space="preserve">17.1.16、17.1.17  </w:t>
      </w:r>
      <w:r>
        <w:t>近期颁布实施的强标，对线缆的燃烧、阻燃等级以及布线等要求进行了详细要求。城市轨道交通隧道和车站内的电缆光缆必须无卤、低烟、阻燃，并宜采用不低于B级的阻燃材料，地下电力电缆和数据通信线缆（网线）应采用燃烧性能不低于B1级的电缆或阻燃型电线。是为了在火灾情况下，线缆能够尽量避免产生对人身有害的物质，并能有效地防止燃烧。地下隧道环境潮湿，电磁环境复杂，因此，线缆要求防腐蚀和并应符合杂散电流腐蚀防护要求。</w:t>
      </w:r>
    </w:p>
    <w:p w14:paraId="0718B1F8">
      <w:pPr>
        <w:pStyle w:val="2396"/>
      </w:pPr>
      <w:r>
        <w:rPr>
          <w:b/>
        </w:rPr>
        <w:t xml:space="preserve">17.1.18 </w:t>
      </w:r>
      <w:r>
        <w:t xml:space="preserve"> 民用通信、公安通信等在城市轨道交通内建设的系统，线缆、布线等要求均应满足本规范的相关规定。</w:t>
      </w:r>
    </w:p>
    <w:p w14:paraId="59701E81">
      <w:pPr>
        <w:pStyle w:val="4"/>
        <w:numPr>
          <w:ilvl w:val="0"/>
          <w:numId w:val="0"/>
        </w:numPr>
      </w:pPr>
      <w:bookmarkStart w:id="2856" w:name="_Toc183765340"/>
      <w:bookmarkStart w:id="2857" w:name="_Toc183454502"/>
      <w:bookmarkStart w:id="2858" w:name="_Toc183882331"/>
      <w:bookmarkStart w:id="2859" w:name="_Toc183454205"/>
      <w:bookmarkStart w:id="2860" w:name="_Toc183454885"/>
      <w:bookmarkStart w:id="2861" w:name="_Toc183738162"/>
      <w:bookmarkStart w:id="2862" w:name="_Toc183882693"/>
      <w:bookmarkStart w:id="2863" w:name="_Toc183888745"/>
      <w:bookmarkStart w:id="2864" w:name="_Toc183790770"/>
      <w:bookmarkStart w:id="2865" w:name="_Toc183888383"/>
      <w:r>
        <w:rPr>
          <w:rFonts w:hint="eastAsia"/>
          <w:b/>
        </w:rPr>
        <w:t>1</w:t>
      </w:r>
      <w:r>
        <w:rPr>
          <w:b/>
        </w:rPr>
        <w:t>7.2</w:t>
      </w:r>
      <w:r>
        <w:rPr>
          <w:rFonts w:hint="eastAsia"/>
          <w:b/>
        </w:rPr>
        <w:t xml:space="preserve"> </w:t>
      </w:r>
      <w:r>
        <w:rPr>
          <w:rFonts w:hint="eastAsia"/>
        </w:rPr>
        <w:t xml:space="preserve"> 专用通信系统</w:t>
      </w:r>
      <w:bookmarkEnd w:id="2856"/>
      <w:bookmarkEnd w:id="2857"/>
      <w:bookmarkEnd w:id="2858"/>
      <w:bookmarkEnd w:id="2859"/>
      <w:bookmarkEnd w:id="2860"/>
      <w:bookmarkEnd w:id="2861"/>
      <w:bookmarkEnd w:id="2862"/>
      <w:bookmarkEnd w:id="2863"/>
      <w:bookmarkEnd w:id="2864"/>
      <w:bookmarkEnd w:id="2865"/>
    </w:p>
    <w:p w14:paraId="3D4F2988">
      <w:pPr>
        <w:pStyle w:val="2396"/>
      </w:pPr>
      <w:r>
        <w:rPr>
          <w:b/>
        </w:rPr>
        <w:t xml:space="preserve">17.2.1   </w:t>
      </w:r>
      <w:r>
        <w:t>一般规定</w:t>
      </w:r>
    </w:p>
    <w:p w14:paraId="20F92B1D">
      <w:pPr>
        <w:ind w:firstLine="420"/>
      </w:pPr>
      <w:r>
        <w:rPr>
          <w:b/>
        </w:rPr>
        <w:t xml:space="preserve">2 </w:t>
      </w:r>
      <w:r>
        <w:t xml:space="preserve"> 云计算技术已经被广泛应用，已开通的11号线已经开始使用云计算技术，并建设了线网中心级云平台，正在建设的部分线路的通信视频、综合监控等系统也采用了云平台部署方案，由线网中心级云平台提供计算、存储等资源；通信子系统可以根据系统架构部署在该云平台上，并要确保自身的系统功能和性能。</w:t>
      </w:r>
    </w:p>
    <w:p w14:paraId="11F7AFCF">
      <w:pPr>
        <w:ind w:firstLine="420"/>
      </w:pPr>
      <w:r>
        <w:rPr>
          <w:b/>
        </w:rPr>
        <w:t>3</w:t>
      </w:r>
      <w:r>
        <w:rPr>
          <w:rFonts w:hint="eastAsia"/>
          <w:b/>
        </w:rPr>
        <w:t xml:space="preserve"> </w:t>
      </w:r>
      <w:r>
        <w:rPr>
          <w:rFonts w:hint="eastAsia"/>
        </w:rPr>
        <w:t xml:space="preserve"> </w:t>
      </w:r>
      <w:r>
        <w:t>近期建设开通线路采用了全自动运行模式，全自动运行模式针对早间上电、唤醒、出库、正弦运行、各类故障场景等要求，通信的无线通信系统、广播系统、视频监视系统等与信号、综合监控等系统进行联动反应，并在中心等位置设置乘客调、车联检修调相关的终端设备，为全自动运行模式提供辅助支持。</w:t>
      </w:r>
    </w:p>
    <w:p w14:paraId="66205B7C">
      <w:pPr>
        <w:ind w:firstLine="420"/>
      </w:pPr>
      <w:r>
        <w:rPr>
          <w:b/>
        </w:rPr>
        <w:t>4</w:t>
      </w:r>
      <w:r>
        <w:t xml:space="preserve">  为适应线路每天不同时段客流变化，实现降本增效，列车进行不同编组方式的运行（如3、2+3、4、4+4等），无线调度通信系统响应不同编组方式时的中心对列车的</w:t>
      </w:r>
      <w:r>
        <w:rPr>
          <w:rFonts w:ascii="宋体" w:hAnsi="宋体"/>
          <w:bCs/>
        </w:rPr>
        <w:t>不同</w:t>
      </w:r>
      <w:r>
        <w:t>呼叫模式，广播系统对不同编组列车播放不同进站广播内容等，更好</w:t>
      </w:r>
      <w:r>
        <w:rPr>
          <w:rFonts w:hint="eastAsia"/>
          <w:lang w:val="en-US" w:eastAsia="zh-CN"/>
        </w:rPr>
        <w:t>地</w:t>
      </w:r>
      <w:r>
        <w:t>为调度指挥、乘客疏导提供服务。</w:t>
      </w:r>
    </w:p>
    <w:p w14:paraId="0262823C">
      <w:pPr>
        <w:ind w:firstLine="420"/>
      </w:pPr>
      <w:r>
        <w:rPr>
          <w:b/>
        </w:rPr>
        <w:t>5</w:t>
      </w:r>
      <w:r>
        <w:t xml:space="preserve">  在2019年之后颁布了视频、广播、无线通信系统建设的地标，地标在功能、系统构成、接口、协议、指标等各个角度进行了详细规定，且近期建设线路的对应系统也主要遵循此部分地标要求进行建设，也作为验收的依据，本文件对此部分系统地标进行了重点引用，在相关章节对此部分地标补充。</w:t>
      </w:r>
    </w:p>
    <w:p w14:paraId="182AF7A3">
      <w:pPr>
        <w:pStyle w:val="2396"/>
      </w:pPr>
      <w:r>
        <w:rPr>
          <w:b/>
        </w:rPr>
        <w:t xml:space="preserve">17.2.2 </w:t>
      </w:r>
      <w:r>
        <w:t xml:space="preserve">  传输系统</w:t>
      </w:r>
    </w:p>
    <w:p w14:paraId="436AF8C4">
      <w:pPr>
        <w:ind w:firstLine="420"/>
      </w:pPr>
      <w:r>
        <w:rPr>
          <w:b/>
        </w:rPr>
        <w:t xml:space="preserve">1、2、3  </w:t>
      </w:r>
      <w:r>
        <w:t>从目前通信传输技术发展水平来看，光纤通信以其大容量、低成本、标准化及高可靠性等明显优势，成为通信传输的主要手段。随着城市轨道交通线路各业务系统的发展、线网的不断完善以及云计算平台、大数据中心的建设，为满足城市轨道交通的各种信息传输业务种类的要求更加多样，传输容量要求更大，传输覆盖范围更加广泛，因此，传输系统要从线网整体方面进行规划建设，满足不同层面业务的需求。应建立以</w:t>
      </w:r>
      <w:r>
        <w:rPr>
          <w:rFonts w:ascii="宋体" w:hAnsi="宋体"/>
          <w:bCs/>
        </w:rPr>
        <w:t>光纤通信</w:t>
      </w:r>
      <w:r>
        <w:t>为主的传输系统网络。传输设备制式呈多样化发展，基于SDH的多业务承载平台、IP光传输、OTN、PTN等都有所可以应用。因此，应根据城市轨道交通各种信息传输的要求，结合通信技术的发展，设置相应的传输系统网络。</w:t>
      </w:r>
    </w:p>
    <w:p w14:paraId="79D64BCB">
      <w:pPr>
        <w:ind w:firstLine="420"/>
      </w:pPr>
      <w:r>
        <w:t>5  由于轨道交通各系统的不断发展和功能的不断增加，传输系统的容量和接口板卡都有一定的预留，可为日后增加的应用提供传输条件，预留接口不只是设备板卡，也应将其相应板卡需如实配置并背板出线、配线至配线架。</w:t>
      </w:r>
    </w:p>
    <w:p w14:paraId="2D26ADB9">
      <w:pPr>
        <w:ind w:firstLine="420"/>
      </w:pPr>
      <w:r>
        <w:rPr>
          <w:b/>
        </w:rPr>
        <w:t xml:space="preserve">8 </w:t>
      </w:r>
      <w:r>
        <w:t xml:space="preserve"> 鉴于轨道交通的各种行车安全信息及控制信息将通过传输系统来传送，为从根本上提高光缆的可靠性，防止由于一侧光缆因故中断而造成信息传送大通道的完全中断，宜利用轨道交通自身建设的有利条件，利用</w:t>
      </w:r>
      <w:r>
        <w:rPr>
          <w:rFonts w:ascii="宋体" w:hAnsi="宋体"/>
          <w:bCs/>
        </w:rPr>
        <w:t>不同</w:t>
      </w:r>
      <w:r>
        <w:t>路径分别敷设光缆，通过信息传送构成自愈保护环，以大幅度提高网络的安全性。</w:t>
      </w:r>
    </w:p>
    <w:p w14:paraId="3FE3592A">
      <w:pPr>
        <w:ind w:firstLine="420"/>
      </w:pPr>
      <w:r>
        <w:rPr>
          <w:b/>
        </w:rPr>
        <w:t xml:space="preserve">9 </w:t>
      </w:r>
      <w:r>
        <w:t xml:space="preserve"> 根据北京市轨道交通的线网规划，在小营设置各个线路的控制中心，为了资源共享和方便实施，各线路与控制中心的联络通道需进行统一规划和建设，其中包括光缆网的建设，北京市轨道交通指挥中心光缆网的建设分阶段进行，独立实施，各线路的光缆工程在设计时要从光缆的容量、数量和径路方面满足北京市轨道交通指挥中心的统一规划要求，避免资源浪费，满足通信需求。</w:t>
      </w:r>
    </w:p>
    <w:p w14:paraId="0FE07AA0">
      <w:pPr>
        <w:pStyle w:val="2396"/>
      </w:pPr>
      <w:r>
        <w:t>光缆作为通信网建设的物理层基础设施，具有一次建设、长期使用、不易扩容的特点。随着城市轨道交通各机电系统的技术发展和建设需要，对光纤的需求量增长速度很快。因此，城市轨道交通的光缆容量除了应满足现阶段的需求外，还应充分考虑容量的预留，以适应远期发展需要。</w:t>
      </w:r>
    </w:p>
    <w:p w14:paraId="31CD01DA">
      <w:pPr>
        <w:pStyle w:val="2396"/>
      </w:pPr>
      <w:r>
        <w:rPr>
          <w:b/>
        </w:rPr>
        <w:t xml:space="preserve">12、13  </w:t>
      </w:r>
      <w:r>
        <w:t>光、电缆的敷设方式，是线路建设中的一项主要技术要求，直接关系到系统安全、工程量和投资。本条文是参照原邮电部的规定并结合城市轨道交通特点制定的。</w:t>
      </w:r>
    </w:p>
    <w:p w14:paraId="20CCC4BD">
      <w:pPr>
        <w:pStyle w:val="2396"/>
      </w:pPr>
      <w:r>
        <w:rPr>
          <w:b/>
        </w:rPr>
        <w:t xml:space="preserve">17.2.3  </w:t>
      </w:r>
      <w:r>
        <w:t>无线通信系统</w:t>
      </w:r>
    </w:p>
    <w:p w14:paraId="6AA45781">
      <w:pPr>
        <w:ind w:firstLine="420"/>
      </w:pPr>
      <w:r>
        <w:rPr>
          <w:b/>
        </w:rPr>
        <w:t xml:space="preserve">3 </w:t>
      </w:r>
      <w:r>
        <w:t xml:space="preserve"> 无线调度</w:t>
      </w:r>
      <w:r>
        <w:rPr>
          <w:rFonts w:ascii="宋体" w:hAnsi="宋体"/>
          <w:bCs/>
        </w:rPr>
        <w:t>通信</w:t>
      </w:r>
      <w:r>
        <w:t>子系统所采用的制式比较丰富，不宜明确具体的制式和频段。所采用的工作频段及频点应由无线电管理部门批准。</w:t>
      </w:r>
    </w:p>
    <w:p w14:paraId="3DBDEFB1">
      <w:pPr>
        <w:ind w:firstLine="420"/>
      </w:pPr>
      <w:r>
        <w:rPr>
          <w:b/>
        </w:rPr>
        <w:t xml:space="preserve">4 </w:t>
      </w:r>
      <w:r>
        <w:t xml:space="preserve"> 明确无线调度通信子系统的组成。</w:t>
      </w:r>
    </w:p>
    <w:p w14:paraId="3AA12E7F">
      <w:pPr>
        <w:ind w:firstLine="420"/>
      </w:pPr>
      <w:r>
        <w:rPr>
          <w:b/>
        </w:rPr>
        <w:t>6</w:t>
      </w:r>
      <w:r>
        <w:t xml:space="preserve">  随着轨道交通的发展，全自动运行线路不断增加，无线调度通信子系统应</w:t>
      </w:r>
      <w:r>
        <w:rPr>
          <w:rFonts w:ascii="宋体" w:hAnsi="宋体"/>
          <w:bCs/>
        </w:rPr>
        <w:t>设置</w:t>
      </w:r>
      <w:r>
        <w:t>全自动运行相关的调度用户群。</w:t>
      </w:r>
    </w:p>
    <w:p w14:paraId="548185C4">
      <w:pPr>
        <w:ind w:firstLine="420"/>
      </w:pPr>
      <w:r>
        <w:rPr>
          <w:b/>
        </w:rPr>
        <w:t>8</w:t>
      </w:r>
      <w:r>
        <w:rPr>
          <w:rFonts w:hint="eastAsia"/>
        </w:rPr>
        <w:t xml:space="preserve">  </w:t>
      </w:r>
      <w:r>
        <w:t>参考《城市轨道交通通信系统运营技术规范（试行）》无线覆盖范围包括正线、折返线、存车线、联络线、避让线等轨行区，运用库、检修库、洗车线/库、工程车库、综合楼、咽喉区、试车线、出入段/场线等车辆基地区域，站台、站厅、出入口、换乘通道等车站公共区域，区间风井、疏散通道，运营生产办公用房区域以及通信、信号、变电所/站等重要设备机房和设备区通道。</w:t>
      </w:r>
    </w:p>
    <w:p w14:paraId="07F5A2EC">
      <w:pPr>
        <w:pStyle w:val="2396"/>
      </w:pPr>
      <w:r>
        <w:rPr>
          <w:b/>
        </w:rPr>
        <w:t xml:space="preserve">17.2.4  </w:t>
      </w:r>
      <w:r>
        <w:t>宽带无线通信子系统</w:t>
      </w:r>
    </w:p>
    <w:p w14:paraId="7577EEBB">
      <w:pPr>
        <w:ind w:firstLine="420"/>
      </w:pPr>
      <w:r>
        <w:t>本章节为新增章节，宽带无线通信技术已在全国轨道交通广泛应用。在北京近期开通线路以及三期规划线路成为主要技术方案，本章节参考《城市轨道交通通信系统运营技术规范（试行）》规范进行编写，对承载业务，组网方式，频率使用等方面进行了规定。</w:t>
      </w:r>
    </w:p>
    <w:p w14:paraId="150E6237">
      <w:pPr>
        <w:ind w:firstLine="420"/>
      </w:pPr>
      <w:r>
        <w:rPr>
          <w:b/>
        </w:rPr>
        <w:t xml:space="preserve">5 </w:t>
      </w:r>
      <w:r>
        <w:t xml:space="preserve">  随着拥有我国完全自主知识产权的北斗卫星导航技术不断发展及大规模商用，通信系统中涉及使用全球卫星导航系统时应以北斗作为主用，宽带</w:t>
      </w:r>
      <w:r>
        <w:rPr>
          <w:rFonts w:ascii="宋体" w:hAnsi="宋体"/>
          <w:bCs/>
        </w:rPr>
        <w:t>无线通信</w:t>
      </w:r>
      <w:r>
        <w:t>系统采用技术制式，将1588V2时钟作为备用时钟源，需要传输系统为无线通信系统提供传输通道时，需传输系统具备传输1588V2协议的能力。</w:t>
      </w:r>
    </w:p>
    <w:p w14:paraId="63DA8935">
      <w:pPr>
        <w:pStyle w:val="2396"/>
      </w:pPr>
      <w:r>
        <w:rPr>
          <w:b/>
        </w:rPr>
        <w:t xml:space="preserve">17.2.5  </w:t>
      </w:r>
      <w:r>
        <w:t>公务电话系统</w:t>
      </w:r>
    </w:p>
    <w:p w14:paraId="51CE9D0E">
      <w:pPr>
        <w:ind w:firstLine="420"/>
        <w:rPr>
          <w:rFonts w:ascii="宋体" w:hAnsi="宋体"/>
          <w:bCs/>
        </w:rPr>
      </w:pPr>
      <w:r>
        <w:rPr>
          <w:b/>
        </w:rPr>
        <w:t xml:space="preserve">3 </w:t>
      </w:r>
      <w:r>
        <w:t xml:space="preserve"> 由于北京市轨道交通指挥中心的统一建设，在北京市轨道交通指挥中心设置的公务交换设备可以集中解决各线路在控制中心所在地的大量用户接入，北京市轨道</w:t>
      </w:r>
      <w:r>
        <w:rPr>
          <w:rFonts w:ascii="宋体" w:hAnsi="宋体"/>
          <w:bCs/>
        </w:rPr>
        <w:t>交通指挥中心的交换机亦作为统一各线路的统一中继设备。因此，各线路的公务电话统的设计一般不在北京市轨道交通指挥中心所在地的控制中心再设置汇接交换设备，而是在车辆基地等用户较为集中的地点设置。并应考虑与北京市轨道交通指挥中心交换设备的中继连接，达到公务通信系统线网层通信和设备资源共享的目的。</w:t>
      </w:r>
    </w:p>
    <w:p w14:paraId="7E6C0404">
      <w:pPr>
        <w:ind w:firstLine="420"/>
      </w:pPr>
      <w:r>
        <w:rPr>
          <w:rFonts w:ascii="宋体" w:hAnsi="宋体"/>
          <w:b/>
          <w:bCs/>
        </w:rPr>
        <w:t>8</w:t>
      </w:r>
      <w:r>
        <w:rPr>
          <w:rFonts w:ascii="宋体" w:hAnsi="宋体"/>
          <w:bCs/>
        </w:rPr>
        <w:t xml:space="preserve">  近期建设线路在车站公共区域部分位置设置乘客求助终端，在车站控制室\控制中心设置接听终端，该终端具备语音和视频通话功能，更好</w:t>
      </w:r>
      <w:r>
        <w:rPr>
          <w:rFonts w:hint="eastAsia" w:ascii="宋体" w:hAnsi="宋体"/>
          <w:bCs/>
          <w:lang w:val="en-US" w:eastAsia="zh-CN"/>
        </w:rPr>
        <w:t>地</w:t>
      </w:r>
      <w:r>
        <w:rPr>
          <w:rFonts w:ascii="宋体" w:hAnsi="宋体"/>
          <w:bCs/>
        </w:rPr>
        <w:t>为乘客出行提供</w:t>
      </w:r>
      <w:r>
        <w:t>服务，原规范中在专用电话系统在无障碍电梯处设置的乘客召援终端也统一调整为本系统的乘客求助终端；车辆专业设置</w:t>
      </w:r>
      <w:r>
        <w:rPr>
          <w:rFonts w:ascii="宋体" w:hAnsi="宋体"/>
          <w:bCs/>
        </w:rPr>
        <w:t>车载</w:t>
      </w:r>
      <w:r>
        <w:t>乘客求助终端，由公务电话系统提供转接、许可等服务以及车站、控制中心的接听终端。</w:t>
      </w:r>
    </w:p>
    <w:p w14:paraId="10E2F6CE">
      <w:pPr>
        <w:pStyle w:val="2396"/>
      </w:pPr>
      <w:r>
        <w:rPr>
          <w:b/>
        </w:rPr>
        <w:t xml:space="preserve">17.2.6  </w:t>
      </w:r>
      <w:r>
        <w:t>专用电话系统</w:t>
      </w:r>
    </w:p>
    <w:p w14:paraId="6E22FF4B">
      <w:pPr>
        <w:ind w:firstLine="420"/>
      </w:pPr>
      <w:r>
        <w:rPr>
          <w:b/>
        </w:rPr>
        <w:t xml:space="preserve">6～9  </w:t>
      </w:r>
      <w:r>
        <w:t>各个调度</w:t>
      </w:r>
      <w:r>
        <w:rPr>
          <w:rFonts w:ascii="宋体" w:hAnsi="宋体"/>
          <w:bCs/>
        </w:rPr>
        <w:t>分机</w:t>
      </w:r>
      <w:r>
        <w:t>主要为调度员和值班员所使用，应根据使用人员所在地设置。</w:t>
      </w:r>
    </w:p>
    <w:p w14:paraId="4FA8E4DE">
      <w:pPr>
        <w:ind w:firstLine="420"/>
      </w:pPr>
      <w:r>
        <w:rPr>
          <w:b/>
        </w:rPr>
        <w:t>11</w:t>
      </w:r>
      <w:r>
        <w:t xml:space="preserve">  随着城市轨道交通大带宽业务的不断增长，无线、有线调度功能具备了语音和视频功能，因此原集中录音设备升级为录音录像设备，并对有线调度、无线调度以及乘客求助等全部用户进行录音录像，公务电话系统中比较重要的分机（一般根据运营需求进行配置）、专用电话分机以及广播系统进行了集中录音。</w:t>
      </w:r>
    </w:p>
    <w:p w14:paraId="1D6105F9">
      <w:pPr>
        <w:ind w:firstLine="420"/>
      </w:pPr>
      <w:r>
        <w:rPr>
          <w:b/>
        </w:rPr>
        <w:t>14</w:t>
      </w:r>
      <w:r>
        <w:t xml:space="preserve">  在专用电话主系统、分系统设备失效时，相邻车站用户可以通过站间模拟中继进行联系。</w:t>
      </w:r>
    </w:p>
    <w:p w14:paraId="2E2ED575">
      <w:pPr>
        <w:ind w:firstLine="420"/>
      </w:pPr>
      <w:r>
        <w:rPr>
          <w:b/>
        </w:rPr>
        <w:t>16</w:t>
      </w:r>
      <w:r>
        <w:t xml:space="preserve">  根据目前各轨道交通运营线路现状，更多线路在区间使用无线通信设备进行</w:t>
      </w:r>
      <w:r>
        <w:rPr>
          <w:rFonts w:ascii="宋体" w:hAnsi="宋体"/>
          <w:bCs/>
        </w:rPr>
        <w:t>联络</w:t>
      </w:r>
      <w:r>
        <w:t>，本文件取消了区间电话插销盒，但保留了去交道岔电话，可以减少区间电缆敷设工作量；区间电话插销盒可以根据运营单位的需求进行设置。</w:t>
      </w:r>
    </w:p>
    <w:p w14:paraId="55BFC597">
      <w:pPr>
        <w:pStyle w:val="2396"/>
      </w:pPr>
      <w:r>
        <w:rPr>
          <w:b/>
        </w:rPr>
        <w:t xml:space="preserve">17.2.7  </w:t>
      </w:r>
      <w:r>
        <w:t>视频监视系统</w:t>
      </w:r>
    </w:p>
    <w:p w14:paraId="390C14C3">
      <w:pPr>
        <w:ind w:firstLine="420"/>
      </w:pPr>
      <w:r>
        <w:rPr>
          <w:b/>
        </w:rPr>
        <w:t>5</w:t>
      </w:r>
      <w:r>
        <w:rPr>
          <w:rFonts w:hint="eastAsia"/>
        </w:rPr>
        <w:t xml:space="preserve">  </w:t>
      </w:r>
      <w:r>
        <w:t>随着《中华人民共和国反恐怖主义法》颁布实施，关于视频存储时间对视频监视系统建设造价影响较大，H.265技术在多个城市的轨道交通视频监视系统进行了应用，大大节省了存储设备容量，而DB11/T1681中主要采用H.264编码技术，本条目对其进行补充。</w:t>
      </w:r>
    </w:p>
    <w:p w14:paraId="1F854DB1">
      <w:pPr>
        <w:ind w:firstLine="420"/>
      </w:pPr>
      <w:r>
        <w:t>10视频监视系统与公安视频通信系统存在大量相同的设备和相近的功能，因此，为了方便建设和运营维护管理，实现设备资源共享，在这两个系统的建设时，应尽量合并考虑，合并建设的系统应同时满足运营视频监控和公安视频监控各自的需求。且近期公安值班人员对列车视频信息调用尤为迫切。</w:t>
      </w:r>
    </w:p>
    <w:p w14:paraId="58023267">
      <w:pPr>
        <w:ind w:firstLine="420"/>
      </w:pPr>
      <w:r>
        <w:rPr>
          <w:b/>
        </w:rPr>
        <w:t>11</w:t>
      </w:r>
      <w:r>
        <w:rPr>
          <w:rFonts w:hint="eastAsia"/>
          <w:b/>
        </w:rPr>
        <w:t xml:space="preserve"> </w:t>
      </w:r>
      <w:r>
        <w:rPr>
          <w:rFonts w:hint="eastAsia"/>
        </w:rPr>
        <w:t xml:space="preserve"> </w:t>
      </w:r>
      <w:r>
        <w:t>公安要求车站设置具备人像抓拍功能的摄像机，且人像图片流可以不经过视频监视系统的控制处理，直接由摄像机输出图片流，通过网络通道传送至公安的人像平台，并通过标准协议（GA/T 1400）与平台对接。从降本增效角度考虑，人像抓拍摄像机可以与视频监视摄像机共用，摄像机同时输出监视流和图片流。</w:t>
      </w:r>
    </w:p>
    <w:p w14:paraId="67546E9C">
      <w:pPr>
        <w:pStyle w:val="2396"/>
      </w:pPr>
      <w:r>
        <w:rPr>
          <w:b/>
        </w:rPr>
        <w:t xml:space="preserve">17.2.8  </w:t>
      </w:r>
      <w:r>
        <w:t>广播系统</w:t>
      </w:r>
    </w:p>
    <w:p w14:paraId="2D2444AB">
      <w:pPr>
        <w:ind w:firstLine="420"/>
      </w:pPr>
      <w:r>
        <w:rPr>
          <w:b/>
        </w:rPr>
        <w:t xml:space="preserve">7、8  </w:t>
      </w:r>
      <w:r>
        <w:t>可根据确定的车站、隧道的结构形式、建筑装修材料等条件参照本条文进行广播网的</w:t>
      </w:r>
      <w:r>
        <w:rPr>
          <w:rFonts w:ascii="宋体" w:hAnsi="宋体"/>
          <w:bCs/>
        </w:rPr>
        <w:t>方案设计</w:t>
      </w:r>
      <w:r>
        <w:t>，进行现场声场仿真模拟。有条件时应进行现场声场试验。</w:t>
      </w:r>
    </w:p>
    <w:p w14:paraId="636B2079">
      <w:pPr>
        <w:ind w:firstLine="420"/>
      </w:pPr>
      <w:r>
        <w:t>现场扬声设备的选择应考虑建筑布局和装修条件。一般具有装修吊顶的处所宜设吸顶式扬声器；没有装修吊顶的处所，宜设壁挂或吊挂式音箱；室外露天处所宜设声柱或音箱。</w:t>
      </w:r>
    </w:p>
    <w:p w14:paraId="1FC99F52">
      <w:pPr>
        <w:ind w:firstLine="420"/>
      </w:pPr>
      <w:r>
        <w:t>广播系统的功放与</w:t>
      </w:r>
      <w:r>
        <w:rPr>
          <w:rFonts w:ascii="宋体" w:hAnsi="宋体"/>
          <w:bCs/>
        </w:rPr>
        <w:t>负荷</w:t>
      </w:r>
      <w:r>
        <w:t>之间通过切换控制设备连接，负荷与功放可不固定接续，根据实际工程情况，可按照每N台功放设置1台备用机（N≤4）、自动切换方式设计。功放N备1是指设置N台主用功放、1台备用功放及自动检测切换装置，自动检测切换装置实时监测功放设备的工作状态，发现故障自动倒换主、备功放。</w:t>
      </w:r>
    </w:p>
    <w:p w14:paraId="14F1CCB5">
      <w:pPr>
        <w:pStyle w:val="2396"/>
      </w:pPr>
      <w:r>
        <w:rPr>
          <w:b/>
        </w:rPr>
        <w:t xml:space="preserve">17.2.10  </w:t>
      </w:r>
      <w:r>
        <w:t>通信电源系统及接地</w:t>
      </w:r>
    </w:p>
    <w:p w14:paraId="1B46ECE9">
      <w:pPr>
        <w:ind w:firstLine="420"/>
      </w:pPr>
      <w:r>
        <w:rPr>
          <w:b/>
        </w:rPr>
        <w:t xml:space="preserve">2  </w:t>
      </w:r>
      <w:r>
        <w:t>自2010年以来，北京轨道交通建设中设置了综合电源系统，对通信、信号、综合监控、自动售检票等弱电系统的交流不间断电源进行统一整合，电源整合后，包括通信系统在内的各系统不再单独配置UPS设备，但仍要配置配电设备和直流电源设备。而随着弱电设备室的整合</w:t>
      </w:r>
      <w:r>
        <w:rPr>
          <w:rFonts w:ascii="宋体" w:hAnsi="宋体"/>
          <w:bCs/>
        </w:rPr>
        <w:t>设置</w:t>
      </w:r>
      <w:r>
        <w:t>，弱电设备室内的配电设备可以由综合电源系统进一步整合，直接为各系统设备进行供电。因此，在通信系统仍需要设置配电设备的情况，为实现减少维护人员和无人值守的目标，城市轨道交通通信电源设备须具有集中监控管理功能。</w:t>
      </w:r>
    </w:p>
    <w:p w14:paraId="0AFB601E">
      <w:pPr>
        <w:ind w:firstLine="420"/>
      </w:pPr>
      <w:r>
        <w:rPr>
          <w:b/>
        </w:rPr>
        <w:t xml:space="preserve">3 </w:t>
      </w:r>
      <w:r>
        <w:t xml:space="preserve"> 由于通信系统担负着电力、环控等重要信息的传输任务，并应确保正常运营和防灾救援时的通信功能，因此，通信电源是各个通信系统能正常运行的重要保障。本条款明确指出通信设备的用电等级</w:t>
      </w:r>
      <w:r>
        <w:rPr>
          <w:rFonts w:ascii="宋体" w:hAnsi="宋体"/>
          <w:bCs/>
        </w:rPr>
        <w:t>要求</w:t>
      </w:r>
      <w:r>
        <w:t>。</w:t>
      </w:r>
    </w:p>
    <w:p w14:paraId="68A31E96">
      <w:pPr>
        <w:ind w:firstLine="420"/>
      </w:pPr>
      <w:r>
        <w:rPr>
          <w:b/>
        </w:rPr>
        <w:t>4</w:t>
      </w:r>
      <w:r>
        <w:t xml:space="preserve">  通信设备的数字化使传输、交换及其他通信设备的用电基本要求趋于同一化。48V作为直流基础电压符合国际、国内标准以及数字通信的实际情况，故明确规定“直流基础电压为48V”。</w:t>
      </w:r>
    </w:p>
    <w:p w14:paraId="54D94977">
      <w:pPr>
        <w:ind w:firstLine="420"/>
      </w:pPr>
      <w:r>
        <w:rPr>
          <w:b/>
        </w:rPr>
        <w:t>8</w:t>
      </w:r>
      <w:r>
        <w:t xml:space="preserve">  明确指出</w:t>
      </w:r>
      <w:r>
        <w:rPr>
          <w:rFonts w:ascii="宋体" w:hAnsi="宋体"/>
          <w:bCs/>
        </w:rPr>
        <w:t>通信</w:t>
      </w:r>
      <w:r>
        <w:t>设备的接地设计和目的。</w:t>
      </w:r>
    </w:p>
    <w:p w14:paraId="2EE4466E">
      <w:pPr>
        <w:ind w:firstLine="420"/>
      </w:pPr>
      <w:r>
        <w:rPr>
          <w:b/>
        </w:rPr>
        <w:t xml:space="preserve">9 </w:t>
      </w:r>
      <w:r>
        <w:t xml:space="preserve"> 分设接地和合设接地两种接地方式可因地制宜采用。按分设接地方式设置的</w:t>
      </w:r>
      <w:r>
        <w:rPr>
          <w:rFonts w:ascii="宋体" w:hAnsi="宋体"/>
          <w:bCs/>
        </w:rPr>
        <w:t>接地</w:t>
      </w:r>
      <w:r>
        <w:t>体之间应保持一定距离，防止产生地线之间的串扰所造成的不安全因素。</w:t>
      </w:r>
    </w:p>
    <w:p w14:paraId="066EA888">
      <w:pPr>
        <w:ind w:firstLine="420"/>
      </w:pPr>
      <w:r>
        <w:rPr>
          <w:b/>
        </w:rPr>
        <w:t xml:space="preserve">10 </w:t>
      </w:r>
      <w:r>
        <w:t xml:space="preserve"> 一般来说，接地电阻越小，雷电流泄放越快，但是接地装置的造价就越高。应科学看待接地电阻值。统计数据表明，并不是接地电阻越小，遭雷害的概率也越小，雷害同接地电阻并不是必然对应的关系。目前</w:t>
      </w:r>
      <w:r>
        <w:rPr>
          <w:rFonts w:ascii="宋体" w:hAnsi="宋体"/>
          <w:bCs/>
        </w:rPr>
        <w:t>通信</w:t>
      </w:r>
      <w:r>
        <w:t>设备遭受雷击损坏的主要原因是设备用室等电位连接不好和没有适当的雷电过电压保护措施。</w:t>
      </w:r>
    </w:p>
    <w:p w14:paraId="5E441038">
      <w:pPr>
        <w:pStyle w:val="2396"/>
      </w:pPr>
      <w:r>
        <w:rPr>
          <w:b/>
        </w:rPr>
        <w:t>17.2.11</w:t>
      </w:r>
      <w:r>
        <w:t>集中告警系统</w:t>
      </w:r>
    </w:p>
    <w:p w14:paraId="742F11A0">
      <w:pPr>
        <w:ind w:firstLine="420"/>
      </w:pPr>
      <w:r>
        <w:rPr>
          <w:b/>
        </w:rPr>
        <w:t xml:space="preserve">1  </w:t>
      </w:r>
      <w:r>
        <w:t>由于通信子系统较多，并都配置了网络管理系统，运营人员面对多台网管终端，不太方便对告警和设备状态改变的统一监视，因此，在有条件的</w:t>
      </w:r>
      <w:r>
        <w:rPr>
          <w:rFonts w:ascii="宋体" w:hAnsi="宋体"/>
          <w:bCs/>
        </w:rPr>
        <w:t>情况</w:t>
      </w:r>
      <w:r>
        <w:t>下，可以利用集中告警系统帮助运营人员进行集中监视，提高维护效率。</w:t>
      </w:r>
    </w:p>
    <w:p w14:paraId="4CC42CCC">
      <w:pPr>
        <w:ind w:firstLine="420"/>
      </w:pPr>
      <w:r>
        <w:rPr>
          <w:b/>
        </w:rPr>
        <w:t xml:space="preserve">5 </w:t>
      </w:r>
      <w:r>
        <w:t xml:space="preserve"> 随着大数据、人工智能等信息化技术的发展，系统运维的智能化水平可以有效提升，集中告警系统可以对通信系统的故障进行智能分析，为运维人员提供辅助，提高运维效率，降低运维成本。另外，城市轨道交通的综合监控、智能运维系统的构建，也可以统一进行数据分析，通信各子系统可以通过集中告警系统将数据传送给这些系统进行统一运维管理。</w:t>
      </w:r>
    </w:p>
    <w:p w14:paraId="1CF769C0">
      <w:pPr>
        <w:pStyle w:val="2396"/>
      </w:pPr>
      <w:r>
        <w:rPr>
          <w:b/>
        </w:rPr>
        <w:t>17.2.12</w:t>
      </w:r>
      <w:r>
        <w:t>办公自动化系统</w:t>
      </w:r>
    </w:p>
    <w:p w14:paraId="5AA0A3D8">
      <w:pPr>
        <w:pStyle w:val="2396"/>
      </w:pPr>
      <w:r>
        <w:t>本节对办公自动化系统的基本功能和设置进行规定，在此基础上，各线路办公自动化的建设时应尽量与北京城市轨道交通各运营单位或部门沟通需求，综合考虑建设规模。</w:t>
      </w:r>
    </w:p>
    <w:p w14:paraId="5FBA7F0B">
      <w:pPr>
        <w:pStyle w:val="4"/>
        <w:numPr>
          <w:ilvl w:val="0"/>
          <w:numId w:val="0"/>
        </w:numPr>
      </w:pPr>
      <w:bookmarkStart w:id="2866" w:name="_Toc183454206"/>
      <w:bookmarkStart w:id="2867" w:name="_Toc183882694"/>
      <w:bookmarkStart w:id="2868" w:name="_Toc183790771"/>
      <w:bookmarkStart w:id="2869" w:name="_Toc183454886"/>
      <w:bookmarkStart w:id="2870" w:name="_Toc183765341"/>
      <w:bookmarkStart w:id="2871" w:name="_Toc183888384"/>
      <w:bookmarkStart w:id="2872" w:name="_Toc183738163"/>
      <w:bookmarkStart w:id="2873" w:name="_Toc183882332"/>
      <w:bookmarkStart w:id="2874" w:name="_Toc183888746"/>
      <w:bookmarkStart w:id="2875" w:name="_Toc183454503"/>
      <w:r>
        <w:rPr>
          <w:rFonts w:hint="eastAsia"/>
          <w:b/>
        </w:rPr>
        <w:t xml:space="preserve">17.3 </w:t>
      </w:r>
      <w:r>
        <w:rPr>
          <w:rFonts w:hint="eastAsia"/>
        </w:rPr>
        <w:t xml:space="preserve"> 公安通信系统</w:t>
      </w:r>
      <w:bookmarkEnd w:id="2866"/>
      <w:bookmarkEnd w:id="2867"/>
      <w:bookmarkEnd w:id="2868"/>
      <w:bookmarkEnd w:id="2869"/>
      <w:bookmarkEnd w:id="2870"/>
      <w:bookmarkEnd w:id="2871"/>
      <w:bookmarkEnd w:id="2872"/>
      <w:bookmarkEnd w:id="2873"/>
      <w:bookmarkEnd w:id="2874"/>
      <w:bookmarkEnd w:id="2875"/>
    </w:p>
    <w:p w14:paraId="10A8A037">
      <w:pPr>
        <w:pStyle w:val="2396"/>
      </w:pPr>
      <w:r>
        <w:rPr>
          <w:b/>
        </w:rPr>
        <w:t xml:space="preserve">17.3.4～17.3.5 </w:t>
      </w:r>
      <w:r>
        <w:t xml:space="preserve"> 公安视频监视系统宜与专用视频监视系统合设，主要功能在专用通信视频监视系统内描述；公安执法办案视频监视系统是单独建设的系统，单独设置服务器、存储、终端等设备，该系统视频信息目前主要承载公安数据网内。</w:t>
      </w:r>
    </w:p>
    <w:p w14:paraId="301721F1">
      <w:pPr>
        <w:pStyle w:val="2396"/>
      </w:pPr>
      <w:r>
        <w:rPr>
          <w:b/>
        </w:rPr>
        <w:t xml:space="preserve">17.3.10～17.3.15  </w:t>
      </w:r>
      <w:r>
        <w:t>北京市轨道交通近期开通线路以及三期规划线路的公安无线通信系统均采用数字调度通信系统，本标准对原标准中提及的350M模拟集群通信系统进行适应性调整。</w:t>
      </w:r>
    </w:p>
    <w:p w14:paraId="027DEABA">
      <w:pPr>
        <w:pStyle w:val="4"/>
        <w:numPr>
          <w:ilvl w:val="0"/>
          <w:numId w:val="0"/>
        </w:numPr>
      </w:pPr>
      <w:bookmarkStart w:id="2876" w:name="_Toc183454887"/>
      <w:bookmarkStart w:id="2877" w:name="_Toc183882695"/>
      <w:bookmarkStart w:id="2878" w:name="_Toc183738164"/>
      <w:bookmarkStart w:id="2879" w:name="_Toc183888747"/>
      <w:bookmarkStart w:id="2880" w:name="_Toc183454207"/>
      <w:bookmarkStart w:id="2881" w:name="_Toc183790772"/>
      <w:bookmarkStart w:id="2882" w:name="_Toc183882333"/>
      <w:bookmarkStart w:id="2883" w:name="_Toc183765342"/>
      <w:bookmarkStart w:id="2884" w:name="_Toc183888385"/>
      <w:bookmarkStart w:id="2885" w:name="_Toc183454504"/>
      <w:r>
        <w:rPr>
          <w:rFonts w:hint="eastAsia"/>
          <w:b/>
        </w:rPr>
        <w:t xml:space="preserve">17.4 </w:t>
      </w:r>
      <w:r>
        <w:rPr>
          <w:rFonts w:hint="eastAsia"/>
        </w:rPr>
        <w:t xml:space="preserve"> 政务通信系统</w:t>
      </w:r>
      <w:bookmarkEnd w:id="2876"/>
      <w:bookmarkEnd w:id="2877"/>
      <w:bookmarkEnd w:id="2878"/>
      <w:bookmarkEnd w:id="2879"/>
      <w:bookmarkEnd w:id="2880"/>
      <w:bookmarkEnd w:id="2881"/>
      <w:bookmarkEnd w:id="2882"/>
      <w:bookmarkEnd w:id="2883"/>
      <w:bookmarkEnd w:id="2884"/>
      <w:bookmarkEnd w:id="2885"/>
    </w:p>
    <w:p w14:paraId="33A2A2AF">
      <w:pPr>
        <w:ind w:firstLine="420"/>
        <w:rPr>
          <w:rFonts w:ascii="宋体" w:hAnsi="宋体"/>
          <w:bCs/>
        </w:rPr>
      </w:pPr>
      <w:r>
        <w:rPr>
          <w:rFonts w:ascii="宋体" w:hAnsi="宋体"/>
          <w:bCs/>
        </w:rPr>
        <w:t>北京市轨道交通政务通信系统是全市政务通信系统在轨道交通的延伸，只负责系统接入设备的建设。近期开通线路以及三期规划线路政务通信系统均采用IP化基站设备，本标准额适应性修改。并针对政务通信的组网进行规定。</w:t>
      </w:r>
    </w:p>
    <w:p w14:paraId="0147E780">
      <w:pPr>
        <w:pStyle w:val="4"/>
        <w:numPr>
          <w:ilvl w:val="0"/>
          <w:numId w:val="0"/>
        </w:numPr>
      </w:pPr>
      <w:bookmarkStart w:id="2886" w:name="_Toc183454208"/>
      <w:bookmarkStart w:id="2887" w:name="_Toc183882334"/>
      <w:bookmarkStart w:id="2888" w:name="_Toc183888748"/>
      <w:bookmarkStart w:id="2889" w:name="_Toc183790773"/>
      <w:bookmarkStart w:id="2890" w:name="_Toc183454505"/>
      <w:bookmarkStart w:id="2891" w:name="_Toc183738165"/>
      <w:bookmarkStart w:id="2892" w:name="_Toc183888386"/>
      <w:bookmarkStart w:id="2893" w:name="_Toc183454888"/>
      <w:bookmarkStart w:id="2894" w:name="_Toc183765343"/>
      <w:bookmarkStart w:id="2895" w:name="_Toc183882696"/>
      <w:r>
        <w:rPr>
          <w:rFonts w:hint="eastAsia"/>
          <w:b/>
        </w:rPr>
        <w:t xml:space="preserve">17.5 </w:t>
      </w:r>
      <w:r>
        <w:rPr>
          <w:rFonts w:hint="eastAsia"/>
        </w:rPr>
        <w:t xml:space="preserve"> 民用通信系统</w:t>
      </w:r>
      <w:bookmarkEnd w:id="2886"/>
      <w:bookmarkEnd w:id="2887"/>
      <w:bookmarkEnd w:id="2888"/>
      <w:bookmarkEnd w:id="2889"/>
      <w:bookmarkEnd w:id="2890"/>
      <w:bookmarkEnd w:id="2891"/>
      <w:bookmarkEnd w:id="2892"/>
      <w:bookmarkEnd w:id="2893"/>
      <w:bookmarkEnd w:id="2894"/>
      <w:bookmarkEnd w:id="2895"/>
    </w:p>
    <w:p w14:paraId="3E88CE66">
      <w:pPr>
        <w:ind w:firstLine="420"/>
        <w:rPr>
          <w:rFonts w:ascii="宋体" w:hAnsi="宋体"/>
          <w:bCs/>
        </w:rPr>
      </w:pPr>
      <w:r>
        <w:rPr>
          <w:rFonts w:ascii="宋体" w:hAnsi="宋体"/>
          <w:bCs/>
        </w:rPr>
        <w:t>北京轨道交通民用通信系统中，电源及传输系统由京投卓越投资建设，民用引入系统由铁塔公司投资建设。本标准对民用通信系统进行基础的规定，不再详细描述。</w:t>
      </w:r>
    </w:p>
    <w:p w14:paraId="2163020A">
      <w:pPr>
        <w:pStyle w:val="4"/>
        <w:numPr>
          <w:ilvl w:val="0"/>
          <w:numId w:val="0"/>
        </w:numPr>
      </w:pPr>
      <w:bookmarkStart w:id="2896" w:name="_Toc183454889"/>
      <w:bookmarkStart w:id="2897" w:name="_Toc183888749"/>
      <w:bookmarkStart w:id="2898" w:name="_Toc183882335"/>
      <w:bookmarkStart w:id="2899" w:name="_Toc183738166"/>
      <w:bookmarkStart w:id="2900" w:name="_Toc183454506"/>
      <w:bookmarkStart w:id="2901" w:name="_Toc183882697"/>
      <w:bookmarkStart w:id="2902" w:name="_Toc183454209"/>
      <w:bookmarkStart w:id="2903" w:name="_Toc183790774"/>
      <w:bookmarkStart w:id="2904" w:name="_Toc183888387"/>
      <w:bookmarkStart w:id="2905" w:name="_Toc183765344"/>
      <w:r>
        <w:rPr>
          <w:rFonts w:hint="eastAsia"/>
          <w:b/>
        </w:rPr>
        <w:t>1</w:t>
      </w:r>
      <w:r>
        <w:rPr>
          <w:b/>
        </w:rPr>
        <w:t>7.6</w:t>
      </w:r>
      <w:r>
        <w:rPr>
          <w:rFonts w:hint="eastAsia"/>
          <w:b/>
        </w:rPr>
        <w:t xml:space="preserve">  </w:t>
      </w:r>
      <w:r>
        <w:t>通信系统防雷要求</w:t>
      </w:r>
      <w:bookmarkEnd w:id="2896"/>
      <w:bookmarkEnd w:id="2897"/>
      <w:bookmarkEnd w:id="2898"/>
      <w:bookmarkEnd w:id="2899"/>
      <w:bookmarkEnd w:id="2900"/>
      <w:bookmarkEnd w:id="2901"/>
      <w:bookmarkEnd w:id="2902"/>
      <w:bookmarkEnd w:id="2903"/>
      <w:bookmarkEnd w:id="2904"/>
      <w:bookmarkEnd w:id="2905"/>
    </w:p>
    <w:p w14:paraId="6E51F68C">
      <w:pPr>
        <w:pStyle w:val="2396"/>
      </w:pPr>
      <w:r>
        <w:rPr>
          <w:b/>
        </w:rPr>
        <w:t xml:space="preserve">17.6.6 </w:t>
      </w:r>
      <w:r>
        <w:t xml:space="preserve"> 加装浪涌保护器可防止雷电感应过电压对广播设备的侵害。</w:t>
      </w:r>
    </w:p>
    <w:p w14:paraId="596C4C8C">
      <w:pPr>
        <w:pStyle w:val="2396"/>
      </w:pPr>
      <w:r>
        <w:rPr>
          <w:b/>
        </w:rPr>
        <w:t xml:space="preserve">17.6.1～17.6.9  </w:t>
      </w:r>
      <w:r>
        <w:t>轨道交通的通信系统防雷是非常重要的，防雷设计主要参照如下的技术标准及规范：</w:t>
      </w:r>
    </w:p>
    <w:p w14:paraId="2AC18215">
      <w:pPr>
        <w:ind w:firstLine="420"/>
      </w:pPr>
      <w:r>
        <w:t xml:space="preserve">（1）  </w:t>
      </w:r>
      <w:r>
        <w:rPr>
          <w:rFonts w:ascii="宋体" w:hAnsi="宋体"/>
          <w:bCs/>
        </w:rPr>
        <w:t>《建筑物电子信息系统防雷技术规范》</w:t>
      </w:r>
      <w:r>
        <w:t>GB 50343—2021；</w:t>
      </w:r>
    </w:p>
    <w:p w14:paraId="5CA836B2">
      <w:pPr>
        <w:ind w:firstLine="420"/>
      </w:pPr>
      <w:r>
        <w:t xml:space="preserve">（2）  </w:t>
      </w:r>
      <w:r>
        <w:rPr>
          <w:rFonts w:ascii="宋体" w:hAnsi="宋体"/>
          <w:bCs/>
        </w:rPr>
        <w:t>《通信局（站）防雷与接地工程设计规范》</w:t>
      </w:r>
      <w:r>
        <w:t>YD 5098—2005。</w:t>
      </w:r>
    </w:p>
    <w:p w14:paraId="3C47270D">
      <w:pPr>
        <w:ind w:firstLine="420"/>
      </w:pPr>
      <w:r>
        <w:t>通信系统防雷设计应</w:t>
      </w:r>
      <w:r>
        <w:rPr>
          <w:rFonts w:ascii="宋体" w:hAnsi="宋体"/>
          <w:bCs/>
        </w:rPr>
        <w:t>参照</w:t>
      </w:r>
      <w:r>
        <w:t>规范，并针对各系统的具体情况进行防雷设计。</w:t>
      </w:r>
    </w:p>
    <w:p w14:paraId="10B1F624">
      <w:pPr>
        <w:pStyle w:val="4"/>
        <w:numPr>
          <w:ilvl w:val="0"/>
          <w:numId w:val="0"/>
        </w:numPr>
      </w:pPr>
      <w:bookmarkStart w:id="2906" w:name="_Toc183765345"/>
      <w:bookmarkStart w:id="2907" w:name="_Toc183454210"/>
      <w:bookmarkStart w:id="2908" w:name="_Toc183882336"/>
      <w:bookmarkStart w:id="2909" w:name="_Toc183888388"/>
      <w:bookmarkStart w:id="2910" w:name="_Toc183454507"/>
      <w:bookmarkStart w:id="2911" w:name="_Toc183790775"/>
      <w:bookmarkStart w:id="2912" w:name="_Toc183738167"/>
      <w:bookmarkStart w:id="2913" w:name="_Toc183882698"/>
      <w:bookmarkStart w:id="2914" w:name="_Toc183888750"/>
      <w:bookmarkStart w:id="2915" w:name="_Toc183454890"/>
      <w:r>
        <w:rPr>
          <w:b/>
        </w:rPr>
        <w:t>17.7</w:t>
      </w:r>
      <w:r>
        <w:rPr>
          <w:rFonts w:hint="eastAsia"/>
        </w:rPr>
        <w:t xml:space="preserve">  </w:t>
      </w:r>
      <w:r>
        <w:t>通信用房要求</w:t>
      </w:r>
      <w:bookmarkEnd w:id="2906"/>
      <w:bookmarkEnd w:id="2907"/>
      <w:bookmarkEnd w:id="2908"/>
      <w:bookmarkEnd w:id="2909"/>
      <w:bookmarkEnd w:id="2910"/>
      <w:bookmarkEnd w:id="2911"/>
      <w:bookmarkEnd w:id="2912"/>
      <w:bookmarkEnd w:id="2913"/>
      <w:bookmarkEnd w:id="2914"/>
      <w:bookmarkEnd w:id="2915"/>
    </w:p>
    <w:p w14:paraId="163C8372">
      <w:pPr>
        <w:pStyle w:val="2396"/>
      </w:pPr>
      <w:r>
        <w:rPr>
          <w:b/>
        </w:rPr>
        <w:t xml:space="preserve">17.7.1  </w:t>
      </w:r>
      <w:r>
        <w:t>近年轨道交通线路建设考虑降本增效，专用通信系统与信号、综合监控等弱电设备系统设备室进行合设，可以节省车站建筑面积，亦满足防火规范相关要求。</w:t>
      </w:r>
    </w:p>
    <w:p w14:paraId="2A8B6104">
      <w:pPr>
        <w:pStyle w:val="2396"/>
      </w:pPr>
      <w:r>
        <w:rPr>
          <w:b/>
        </w:rPr>
        <w:t xml:space="preserve">17.7.2～17.7.8 </w:t>
      </w:r>
      <w:r>
        <w:t xml:space="preserve"> 通信机房的设置由通信设计单位向土建和环控专业提出用房工艺要求，在提出要求的时候，应特别注意工程中的一些实际问题，以确保本章中的要求得以保证，例如避免机房地面过低导致建设中进水，机房面积考虑远期预留，便于运营使用和后期设备改造的需要等。</w:t>
      </w:r>
    </w:p>
    <w:p w14:paraId="40159D8F">
      <w:pPr>
        <w:pStyle w:val="4"/>
        <w:numPr>
          <w:ilvl w:val="0"/>
          <w:numId w:val="0"/>
        </w:numPr>
      </w:pPr>
    </w:p>
    <w:p w14:paraId="184A5F41">
      <w:pPr>
        <w:pStyle w:val="2396"/>
      </w:pPr>
    </w:p>
    <w:p w14:paraId="7834EE17">
      <w:pPr>
        <w:widowControl/>
        <w:spacing w:line="240" w:lineRule="auto"/>
        <w:ind w:firstLine="420"/>
        <w:jc w:val="left"/>
        <w:rPr>
          <w:rFonts w:ascii="宋体" w:hAnsi="宋体"/>
          <w:bCs/>
        </w:rPr>
      </w:pPr>
      <w:r>
        <w:rPr>
          <w:rFonts w:ascii="宋体" w:hAnsi="宋体"/>
          <w:bCs/>
        </w:rPr>
        <w:br w:type="page"/>
      </w:r>
    </w:p>
    <w:p w14:paraId="219EF260">
      <w:pPr>
        <w:pStyle w:val="240"/>
      </w:pPr>
      <w:bookmarkStart w:id="2916" w:name="_Toc183454508"/>
      <w:bookmarkStart w:id="2917" w:name="_Toc183699905"/>
      <w:bookmarkStart w:id="2918" w:name="_Toc183790776"/>
      <w:bookmarkStart w:id="2919" w:name="_Toc183765346"/>
      <w:bookmarkStart w:id="2920" w:name="_Toc183882699"/>
      <w:bookmarkStart w:id="2921" w:name="_Toc183888389"/>
      <w:bookmarkStart w:id="2922" w:name="_Toc183888751"/>
      <w:bookmarkStart w:id="2923" w:name="_Toc183454891"/>
      <w:bookmarkStart w:id="2924" w:name="_Toc183882337"/>
      <w:bookmarkStart w:id="2925" w:name="_Toc183454211"/>
      <w:bookmarkStart w:id="2926" w:name="_Toc183738168"/>
      <w:bookmarkStart w:id="2927" w:name="_Toc183735449"/>
      <w:r>
        <w:rPr>
          <w:b/>
        </w:rPr>
        <w:t>18</w:t>
      </w:r>
      <w:r>
        <w:rPr>
          <w:rFonts w:hint="eastAsia"/>
        </w:rPr>
        <w:t xml:space="preserve">  信  号</w:t>
      </w:r>
      <w:bookmarkEnd w:id="2916"/>
      <w:bookmarkEnd w:id="2917"/>
      <w:bookmarkEnd w:id="2918"/>
      <w:bookmarkEnd w:id="2919"/>
      <w:bookmarkEnd w:id="2920"/>
      <w:bookmarkEnd w:id="2921"/>
      <w:bookmarkEnd w:id="2922"/>
      <w:bookmarkEnd w:id="2923"/>
      <w:bookmarkEnd w:id="2924"/>
      <w:bookmarkEnd w:id="2925"/>
      <w:bookmarkEnd w:id="2926"/>
      <w:bookmarkEnd w:id="2927"/>
    </w:p>
    <w:p w14:paraId="69C516D4">
      <w:pPr>
        <w:pStyle w:val="4"/>
        <w:numPr>
          <w:ilvl w:val="0"/>
          <w:numId w:val="0"/>
        </w:numPr>
      </w:pPr>
      <w:bookmarkStart w:id="2928" w:name="_Toc357929592"/>
      <w:bookmarkStart w:id="2929" w:name="_Toc183738169"/>
      <w:bookmarkStart w:id="2930" w:name="_Toc183790777"/>
      <w:bookmarkStart w:id="2931" w:name="_Toc183882700"/>
      <w:bookmarkStart w:id="2932" w:name="_Toc183454509"/>
      <w:bookmarkStart w:id="2933" w:name="_Toc183888752"/>
      <w:bookmarkStart w:id="2934" w:name="_Toc183882338"/>
      <w:bookmarkStart w:id="2935" w:name="_Toc183454892"/>
      <w:bookmarkStart w:id="2936" w:name="_Toc183888390"/>
      <w:bookmarkStart w:id="2937" w:name="_Toc183765347"/>
      <w:bookmarkStart w:id="2938" w:name="_Toc183454212"/>
      <w:r>
        <w:rPr>
          <w:b/>
        </w:rPr>
        <w:t>18.1</w:t>
      </w:r>
      <w:r>
        <w:rPr>
          <w:rFonts w:hint="eastAsia"/>
        </w:rPr>
        <w:t xml:space="preserve">  </w:t>
      </w:r>
      <w:bookmarkEnd w:id="2928"/>
      <w:r>
        <w:rPr>
          <w:rFonts w:hint="eastAsia"/>
        </w:rPr>
        <w:t>一般规定</w:t>
      </w:r>
      <w:bookmarkEnd w:id="2929"/>
      <w:bookmarkEnd w:id="2930"/>
      <w:bookmarkEnd w:id="2931"/>
      <w:bookmarkEnd w:id="2932"/>
      <w:bookmarkEnd w:id="2933"/>
      <w:bookmarkEnd w:id="2934"/>
      <w:bookmarkEnd w:id="2935"/>
      <w:bookmarkEnd w:id="2936"/>
      <w:bookmarkEnd w:id="2937"/>
      <w:bookmarkEnd w:id="2938"/>
    </w:p>
    <w:p w14:paraId="4909A792">
      <w:pPr>
        <w:pStyle w:val="2396"/>
        <w:rPr>
          <w:rFonts w:eastAsia="黑体"/>
        </w:rPr>
      </w:pPr>
      <w:r>
        <w:rPr>
          <w:rFonts w:eastAsia="黑体"/>
          <w:b/>
          <w:bCs/>
        </w:rPr>
        <w:t xml:space="preserve">18.1.2  </w:t>
      </w:r>
      <w:r>
        <w:rPr>
          <w:rFonts w:hint="eastAsia"/>
          <w:lang w:bidi="ar"/>
        </w:rPr>
        <w:t>随着北京城市轨道交通线网发展，网络化运营已是趋势，综合考虑新建线路、延伸线路、既有线路改造等多因素，信号系统宜根据行车组织要求及线路情况，满足同台换乘、跨线运行、互联互通、网络化运行等网络化运营要求</w:t>
      </w:r>
      <w:r>
        <w:rPr>
          <w:rFonts w:hint="eastAsia" w:ascii="宋体" w:hAnsi="宋体"/>
          <w:szCs w:val="21"/>
        </w:rPr>
        <w:t>。</w:t>
      </w:r>
    </w:p>
    <w:p w14:paraId="126E5CBD">
      <w:pPr>
        <w:pStyle w:val="2396"/>
      </w:pPr>
      <w:r>
        <w:rPr>
          <w:rFonts w:eastAsia="黑体"/>
          <w:b/>
          <w:bCs/>
        </w:rPr>
        <w:t xml:space="preserve">18.1.4  </w:t>
      </w:r>
      <w:r>
        <w:rPr>
          <w:rFonts w:hint="eastAsia"/>
        </w:rPr>
        <w:t>信号系统中计算机联锁子系统和ATP子系统是涉及行车安全的关键子系统，在子系统发生故障时也必须保证运行安全，其设备及电路必须符合故障-安全的原则，其子系统的研发、选型应遵循经安全检测、认证并批准后方可采用的原则。</w:t>
      </w:r>
    </w:p>
    <w:p w14:paraId="2EE88A30">
      <w:pPr>
        <w:pStyle w:val="2396"/>
      </w:pPr>
      <w:r>
        <w:rPr>
          <w:rFonts w:eastAsia="黑体"/>
          <w:b/>
          <w:bCs/>
        </w:rPr>
        <w:t xml:space="preserve">18.1.5  </w:t>
      </w:r>
      <w:r>
        <w:rPr>
          <w:rFonts w:hint="eastAsia"/>
        </w:rPr>
        <w:t>信号系统是与行车效率直接相关的系统，通常最大客运输送能力处于远期，但随着线网的形成，最大客流量也可能处于其他时期，需引起注意。此外，客流量大、突发客流强度大是其客运特点，根据不同运营阶段客流增长的需求，根据线路客流分布不均的特点，信号系统必然要适应大运量客流、高密度行车、灵活编组以及行车交路变化的要求。</w:t>
      </w:r>
    </w:p>
    <w:p w14:paraId="2A0A30E0">
      <w:pPr>
        <w:pStyle w:val="2396"/>
      </w:pPr>
      <w:r>
        <w:rPr>
          <w:rFonts w:eastAsia="黑体"/>
          <w:b/>
          <w:bCs/>
        </w:rPr>
        <w:t xml:space="preserve">18.1.7  </w:t>
      </w:r>
      <w:r>
        <w:rPr>
          <w:rFonts w:hint="eastAsia"/>
        </w:rPr>
        <w:t>城市轨道交通具有列车运行速度相对较高、站间距短、线路坡度与曲线变化大的特点，造成列车起停频繁，致使司机劳动强度高而极易疲劳，易出现行车安全问题；城市轨道交通客流量大、乘客拥挤度变化大，行车规律易于破坏，致使调度操作频繁，而陷入单一事务，难于从事较高级的调度业务。同时，考虑到城市轨道交通列车的节能运转、规范运行秩序、实现运行调整、提高运行效率、减少司机和调度员的劳动强度等的实际需求，城市轨道交通正线信号系统可由行车指挥控制子系统或具有行车指挥控制功能的设备、ATP子系统、ATO子系统、联锁子系统或具有联锁功能的设备、数据通信子系统、维护监测子系统和信号基础设备组成，解决了城市轨道交通列车运行中的实际问题，起到了提高行车效率、保证行车安全的作用。</w:t>
      </w:r>
    </w:p>
    <w:p w14:paraId="6401C841">
      <w:pPr>
        <w:pStyle w:val="2396"/>
      </w:pPr>
      <w:r>
        <w:rPr>
          <w:rFonts w:eastAsia="黑体"/>
          <w:b/>
          <w:bCs/>
        </w:rPr>
        <w:t xml:space="preserve">18.1.10  </w:t>
      </w:r>
      <w:r>
        <w:rPr>
          <w:rFonts w:hint="eastAsia"/>
        </w:rPr>
        <w:t>城市轨道交通具有客流量大、行车密度高的特点，移动闭塞式ATC系统已成为现在信号系统制式选择的主流制式，可实现较大的通过能力，对于客运量变化具有较强的适应性，可提高线路利用率，具有高效运行、节能等作用。</w:t>
      </w:r>
    </w:p>
    <w:p w14:paraId="336C5F5F">
      <w:pPr>
        <w:pStyle w:val="2396"/>
      </w:pPr>
      <w:r>
        <w:rPr>
          <w:rFonts w:eastAsia="黑体"/>
          <w:b/>
          <w:bCs/>
        </w:rPr>
        <w:t>18</w:t>
      </w:r>
      <w:r>
        <w:rPr>
          <w:rFonts w:eastAsia="黑体"/>
          <w:b/>
          <w:bCs/>
          <w:szCs w:val="21"/>
        </w:rPr>
        <w:t xml:space="preserve">.1.12 </w:t>
      </w:r>
      <w:r>
        <w:rPr>
          <w:rFonts w:eastAsia="黑体"/>
          <w:b/>
          <w:bCs/>
        </w:rPr>
        <w:t xml:space="preserve"> </w:t>
      </w:r>
      <w:r>
        <w:rPr>
          <w:rFonts w:hint="eastAsia"/>
        </w:rPr>
        <w:t>城市轨道交通信号系统必须采用连续式列车控制方式，是城市轨道交通高密度行车与安全运行的需求。信号系统正常运用模式应以系统规定的最高配置水平等级，即连续通信级。连续式列车控制方式属于实时控制系统，其可达行车间隔通常小于110s，满足城市轨道交通的客运量需求。而非连续式系统，如点式列控系统，其可保证的行车间隔，多大于180s。点式信息的获取方式与连续式信息获取方式相比具有很大不同，系统所需原始信息的自修正能力差异性很大。因此，大运量、高密度运行的城市轨道交通线路，均选用连续式列车控制系统。</w:t>
      </w:r>
    </w:p>
    <w:p w14:paraId="5F939FB8">
      <w:pPr>
        <w:pStyle w:val="2396"/>
      </w:pPr>
      <w:r>
        <w:rPr>
          <w:rFonts w:eastAsia="黑体"/>
          <w:b/>
          <w:bCs/>
        </w:rPr>
        <w:t xml:space="preserve">18.1.14 </w:t>
      </w:r>
      <w:r>
        <w:rPr>
          <w:rFonts w:hint="eastAsia"/>
        </w:rPr>
        <w:t xml:space="preserve"> 信号系统降级运用系指系统由自动控制降级为人工控制，由中心控制变为车站控制，由实现全部功能至仅完成部分功能等；对于ATC系统，可能存在系统设备故障导致较大运营混乱。在当前技术状态下，尤其是采用CBTC系统时，若系统无降级模式，将不利于系统故障时的安全行车和故障后运营的恢复，因此类似的系统可考虑多层次的系统后退运行方式。降级及其具体要求应根据用户需要，系统设备的可靠性、可用性和安全性等因素确定。降级模式的行车效率较低，根据降级模式水平等级的不同，行车间隔一般可达3min～6min。由于点式系统存在信息不连续的缺憾，不易实现列车连续实时控制，在行车组织与安全监督管理等方面更应予以强化。故障复原系指系统发生不同层次的故障，经修复后，系统能尽快恢复列车追踪及控制的能力，以提升系统全功能的利用率，并保证行车的安全。</w:t>
      </w:r>
    </w:p>
    <w:p w14:paraId="3D633860">
      <w:pPr>
        <w:pStyle w:val="2396"/>
      </w:pPr>
      <w:r>
        <w:rPr>
          <w:rFonts w:eastAsia="黑体"/>
          <w:b/>
          <w:bCs/>
        </w:rPr>
        <w:t xml:space="preserve">18.1.15  </w:t>
      </w:r>
      <w:r>
        <w:rPr>
          <w:rFonts w:hint="eastAsia"/>
        </w:rPr>
        <w:t>第3款：列车通过能力应依据客流按最大行车能力设计；信号系统除具有保证行车安全的重要作用外，也是与行车组织最相关的专业之一，是对行车效率影响最重要的专业，其设计需满足运营要求。为增强信号系统对于客流变化的适应性、增加列车运行的调整能力，信号系统应按最大行车能力设计，并核算相关能力。考虑到系统的扩展能力及实时响应能力，系统管理列车的数量，应留有充分余地。能力核算应包括系统降级运行模式下的能力。</w:t>
      </w:r>
    </w:p>
    <w:p w14:paraId="22768F3F">
      <w:pPr>
        <w:pStyle w:val="2396"/>
      </w:pPr>
      <w:r>
        <w:rPr>
          <w:rFonts w:eastAsia="黑体"/>
          <w:b/>
          <w:bCs/>
        </w:rPr>
        <w:t xml:space="preserve">18.1.19  </w:t>
      </w:r>
      <w:r>
        <w:rPr>
          <w:rFonts w:hint="eastAsia"/>
        </w:rPr>
        <w:t>信号系统的配置水平既要考虑建设成本，又要考虑系统故障后的影响范围和降级运营组织的实施。</w:t>
      </w:r>
    </w:p>
    <w:p w14:paraId="39622B98">
      <w:pPr>
        <w:ind w:firstLine="420"/>
        <w:rPr>
          <w:rFonts w:ascii="宋体" w:hAnsi="宋体"/>
          <w:szCs w:val="21"/>
        </w:rPr>
      </w:pPr>
      <w:r>
        <w:rPr>
          <w:rFonts w:hint="eastAsia" w:ascii="宋体" w:hAnsi="宋体"/>
          <w:szCs w:val="21"/>
        </w:rPr>
        <w:t>第3款：若ATP设备与联锁设备一体化设计，ATP控制区域所辖车站数目应按照第2款联锁控制区域所辖车站数目的规定实施。</w:t>
      </w:r>
    </w:p>
    <w:p w14:paraId="062F398B">
      <w:pPr>
        <w:pStyle w:val="2396"/>
      </w:pPr>
      <w:r>
        <w:rPr>
          <w:rFonts w:eastAsia="黑体"/>
          <w:b/>
          <w:bCs/>
        </w:rPr>
        <w:t>18</w:t>
      </w:r>
      <w:r>
        <w:rPr>
          <w:rFonts w:eastAsia="黑体"/>
          <w:b/>
          <w:bCs/>
          <w:szCs w:val="21"/>
        </w:rPr>
        <w:t xml:space="preserve">.1.21 </w:t>
      </w:r>
      <w:r>
        <w:rPr>
          <w:rFonts w:eastAsia="黑体"/>
          <w:b/>
          <w:bCs/>
        </w:rPr>
        <w:t xml:space="preserve"> </w:t>
      </w:r>
      <w:r>
        <w:rPr>
          <w:rFonts w:hint="eastAsia"/>
        </w:rPr>
        <w:t>为满足列车运行安全和运行设备安全的需要，信号系统的车载设备遵循车辆限界，信号系统的地面设备遵循设备限界。</w:t>
      </w:r>
    </w:p>
    <w:p w14:paraId="5CBF3C5F">
      <w:pPr>
        <w:pStyle w:val="2396"/>
      </w:pPr>
      <w:r>
        <w:rPr>
          <w:rFonts w:eastAsia="黑体"/>
          <w:b/>
          <w:bCs/>
        </w:rPr>
        <w:t xml:space="preserve">18.1.25 </w:t>
      </w:r>
      <w:r>
        <w:rPr>
          <w:rFonts w:hint="eastAsia"/>
        </w:rPr>
        <w:t xml:space="preserve"> 信号设备包括在高架线路上保证维护人员安全的防护设施，其设备、设施考虑与城市景观相协调。</w:t>
      </w:r>
    </w:p>
    <w:p w14:paraId="2F7BEF2A">
      <w:pPr>
        <w:pStyle w:val="4"/>
        <w:numPr>
          <w:ilvl w:val="0"/>
          <w:numId w:val="0"/>
        </w:numPr>
      </w:pPr>
      <w:bookmarkStart w:id="2939" w:name="_Toc183738170"/>
      <w:bookmarkStart w:id="2940" w:name="_Toc183888753"/>
      <w:bookmarkStart w:id="2941" w:name="_Toc183888391"/>
      <w:bookmarkStart w:id="2942" w:name="_Toc183882701"/>
      <w:bookmarkStart w:id="2943" w:name="_Toc357929593"/>
      <w:bookmarkStart w:id="2944" w:name="_Toc183454213"/>
      <w:bookmarkStart w:id="2945" w:name="_Toc183790778"/>
      <w:bookmarkStart w:id="2946" w:name="_Toc183882339"/>
      <w:bookmarkStart w:id="2947" w:name="_Toc183765348"/>
      <w:bookmarkStart w:id="2948" w:name="_Toc183454893"/>
      <w:bookmarkStart w:id="2949" w:name="_Toc183454510"/>
      <w:r>
        <w:rPr>
          <w:b/>
        </w:rPr>
        <w:t xml:space="preserve">18.2 </w:t>
      </w:r>
      <w:r>
        <w:t xml:space="preserve"> </w:t>
      </w:r>
      <w:r>
        <w:rPr>
          <w:rFonts w:hint="eastAsia"/>
        </w:rPr>
        <w:t>列车自动监控子系统</w:t>
      </w:r>
      <w:bookmarkEnd w:id="2939"/>
      <w:bookmarkEnd w:id="2940"/>
      <w:bookmarkEnd w:id="2941"/>
      <w:bookmarkEnd w:id="2942"/>
      <w:bookmarkEnd w:id="2943"/>
      <w:bookmarkEnd w:id="2944"/>
      <w:bookmarkEnd w:id="2945"/>
      <w:bookmarkEnd w:id="2946"/>
      <w:bookmarkEnd w:id="2947"/>
      <w:bookmarkEnd w:id="2948"/>
      <w:bookmarkEnd w:id="2949"/>
    </w:p>
    <w:p w14:paraId="4092F241">
      <w:pPr>
        <w:pStyle w:val="2396"/>
      </w:pPr>
      <w:r>
        <w:rPr>
          <w:rFonts w:eastAsia="黑体"/>
          <w:b/>
          <w:bCs/>
        </w:rPr>
        <w:t xml:space="preserve">18.2.1 </w:t>
      </w:r>
      <w:r>
        <w:rPr>
          <w:rFonts w:hint="eastAsia"/>
        </w:rPr>
        <w:t xml:space="preserve"> 第4款 </w:t>
      </w:r>
      <w:r>
        <w:rPr>
          <w:rFonts w:hint="eastAsia"/>
          <w:lang w:eastAsia="zh-Hans"/>
        </w:rPr>
        <w:t>第</w:t>
      </w:r>
      <w:r>
        <w:rPr>
          <w:rFonts w:hint="eastAsia"/>
        </w:rPr>
        <w:t>4</w:t>
      </w:r>
      <w:r>
        <w:rPr>
          <w:rFonts w:hint="eastAsia"/>
          <w:lang w:eastAsia="zh-Hans"/>
        </w:rPr>
        <w:t>条</w:t>
      </w:r>
      <w:r>
        <w:rPr>
          <w:rFonts w:hint="eastAsia"/>
        </w:rPr>
        <w:t>：ATS工作站与联锁系统工作站的合设不应影响联锁系统的安全性。</w:t>
      </w:r>
    </w:p>
    <w:p w14:paraId="606472D7">
      <w:pPr>
        <w:pStyle w:val="2396"/>
      </w:pPr>
      <w:r>
        <w:rPr>
          <w:rFonts w:eastAsia="黑体"/>
          <w:b/>
          <w:bCs/>
        </w:rPr>
        <w:t xml:space="preserve">18.2.4  </w:t>
      </w:r>
      <w:r>
        <w:rPr>
          <w:rFonts w:hint="eastAsia"/>
        </w:rPr>
        <w:t>第2款：随着计算机技术及控制技术的发展并考虑到不同城市轨道交通线路的同时建设或改造、扩建，ATS系统可多运营线路共用，实现相关线路的统一指挥，并且也有利于实现资源共享。</w:t>
      </w:r>
    </w:p>
    <w:p w14:paraId="08968A09">
      <w:pPr>
        <w:ind w:firstLine="420"/>
        <w:rPr>
          <w:rFonts w:ascii="宋体" w:hAnsi="宋体"/>
          <w:szCs w:val="21"/>
        </w:rPr>
      </w:pPr>
      <w:r>
        <w:rPr>
          <w:rFonts w:hint="eastAsia" w:ascii="宋体" w:hAnsi="宋体"/>
          <w:szCs w:val="21"/>
        </w:rPr>
        <w:t>第4款 具备折返条件的车站均应按具有折返作业处理。交路折返站具备全自动折返功能，其余车站应具备折返进路。</w:t>
      </w:r>
    </w:p>
    <w:p w14:paraId="123A2C47">
      <w:pPr>
        <w:ind w:firstLine="420"/>
        <w:rPr>
          <w:rFonts w:ascii="宋体" w:hAnsi="宋体"/>
          <w:szCs w:val="21"/>
        </w:rPr>
      </w:pPr>
      <w:r>
        <w:rPr>
          <w:rFonts w:hint="eastAsia" w:ascii="宋体" w:hAnsi="宋体"/>
          <w:szCs w:val="21"/>
        </w:rPr>
        <w:t>第6款：联锁表以进路为主体，表中列出与列车运行相关的全部进路及进路与进路、进路与道岔、信号机之间的关系。该表的生成应满足运营要求，也是联锁设备设计的依据。而运行时刻表和列车识别号是正确处理列车经路、实现正确列车进路控制的依据。</w:t>
      </w:r>
    </w:p>
    <w:p w14:paraId="5CC14B53">
      <w:pPr>
        <w:pStyle w:val="4"/>
        <w:numPr>
          <w:ilvl w:val="0"/>
          <w:numId w:val="0"/>
        </w:numPr>
      </w:pPr>
      <w:bookmarkStart w:id="2950" w:name="_Toc357929594"/>
      <w:bookmarkStart w:id="2951" w:name="_Toc183882702"/>
      <w:bookmarkStart w:id="2952" w:name="_Toc183454214"/>
      <w:bookmarkStart w:id="2953" w:name="_Toc183454894"/>
      <w:bookmarkStart w:id="2954" w:name="_Toc183738171"/>
      <w:bookmarkStart w:id="2955" w:name="_Toc183765349"/>
      <w:bookmarkStart w:id="2956" w:name="_Toc183882340"/>
      <w:bookmarkStart w:id="2957" w:name="_Toc183888392"/>
      <w:bookmarkStart w:id="2958" w:name="_Toc183888754"/>
      <w:bookmarkStart w:id="2959" w:name="_Toc183454511"/>
      <w:bookmarkStart w:id="2960" w:name="_Toc183790779"/>
      <w:r>
        <w:rPr>
          <w:b/>
        </w:rPr>
        <w:t xml:space="preserve">18.3 </w:t>
      </w:r>
      <w:r>
        <w:t xml:space="preserve"> </w:t>
      </w:r>
      <w:r>
        <w:rPr>
          <w:rFonts w:hint="eastAsia"/>
        </w:rPr>
        <w:t>列车自动防护子系统</w:t>
      </w:r>
      <w:bookmarkEnd w:id="2950"/>
      <w:bookmarkEnd w:id="2951"/>
      <w:bookmarkEnd w:id="2952"/>
      <w:bookmarkEnd w:id="2953"/>
      <w:bookmarkEnd w:id="2954"/>
      <w:bookmarkEnd w:id="2955"/>
      <w:bookmarkEnd w:id="2956"/>
      <w:bookmarkEnd w:id="2957"/>
      <w:bookmarkEnd w:id="2958"/>
      <w:bookmarkEnd w:id="2959"/>
      <w:bookmarkEnd w:id="2960"/>
    </w:p>
    <w:p w14:paraId="7E739D71">
      <w:pPr>
        <w:pStyle w:val="2396"/>
      </w:pPr>
      <w:r>
        <w:rPr>
          <w:rFonts w:eastAsia="黑体"/>
          <w:b/>
          <w:bCs/>
        </w:rPr>
        <w:t xml:space="preserve">18.3.6  </w:t>
      </w:r>
      <w:r>
        <w:rPr>
          <w:rFonts w:hint="eastAsia"/>
        </w:rPr>
        <w:t>列车两端车载设备自成系统应做到一端的车载终端设备控制不依赖于另一端的终端设备。当列车首尾两端各设置一套三取二或二乘二取二结构的车载ATP计算机设备时，列车首尾两端车载设备可不做冗余设置。当列车首尾两端设置的车载ATP计算机设备不是三取二或二乘二取二结构时，首尾两端车载设备须满足完全冗余的要求。</w:t>
      </w:r>
    </w:p>
    <w:p w14:paraId="346C06A4">
      <w:pPr>
        <w:pStyle w:val="2396"/>
      </w:pPr>
      <w:r>
        <w:rPr>
          <w:rFonts w:eastAsia="黑体"/>
          <w:b/>
          <w:bCs/>
        </w:rPr>
        <w:t xml:space="preserve">18.3.8 </w:t>
      </w:r>
      <w:r>
        <w:rPr>
          <w:rFonts w:hint="eastAsia"/>
        </w:rPr>
        <w:t xml:space="preserve"> 第4款：全自动运行发车安全防护功能还应包括对站台门控箱、间隙探测等的防护，清客站台应在清客完成门关闭后，按压站台门控箱的清客确认按钮，才允许列车移动；站台乘降作业后，应联动间隙探测设备检测，待间隙探测设备反馈一定时间的无障碍物信息后，才允许列车移动。</w:t>
      </w:r>
    </w:p>
    <w:p w14:paraId="2F478E88">
      <w:pPr>
        <w:pStyle w:val="2396"/>
      </w:pPr>
      <w:r>
        <w:rPr>
          <w:rFonts w:eastAsia="黑体"/>
          <w:b/>
          <w:bCs/>
        </w:rPr>
        <w:t xml:space="preserve">18.3.9 </w:t>
      </w:r>
      <w:r>
        <w:rPr>
          <w:rFonts w:hint="eastAsia"/>
        </w:rPr>
        <w:t xml:space="preserve"> 第1款：城市轨道交通运行速度高、间隔短，为保证乘客的人身安全，防止列车超速等各种危及行车安全事件的产生，必须配置ATP系统，以实现城市轨道交通的安全、高效的目标。ATP系统的安全完整性等级SIL4级按欧标定义取10</w:t>
      </w:r>
      <w:r>
        <w:rPr>
          <w:rFonts w:hint="eastAsia"/>
          <w:vertAlign w:val="superscript"/>
        </w:rPr>
        <w:t>8</w:t>
      </w:r>
      <w:r>
        <w:rPr>
          <w:rFonts w:hint="eastAsia"/>
        </w:rPr>
        <w:t>/h～10</w:t>
      </w:r>
      <w:r>
        <w:rPr>
          <w:rFonts w:hint="eastAsia"/>
          <w:vertAlign w:val="superscript"/>
        </w:rPr>
        <w:t>9</w:t>
      </w:r>
      <w:r>
        <w:rPr>
          <w:rFonts w:hint="eastAsia"/>
        </w:rPr>
        <w:t>/h。</w:t>
      </w:r>
    </w:p>
    <w:p w14:paraId="6733BFC9">
      <w:pPr>
        <w:ind w:firstLine="420"/>
        <w:rPr>
          <w:rFonts w:ascii="宋体" w:hAnsi="宋体"/>
          <w:szCs w:val="21"/>
        </w:rPr>
      </w:pPr>
      <w:r>
        <w:rPr>
          <w:rFonts w:hint="eastAsia" w:ascii="宋体" w:hAnsi="宋体"/>
          <w:szCs w:val="21"/>
        </w:rPr>
        <w:t>第2款：闭塞分区的划分或列车运行的安全间隔，应通过列车运行模拟确定，并经列车实际运行校验。安全防护距离涉及信号系统控制方式及其技术指标及列车速度、车辆性能和线路状态等多种因素。其主要取值是在一定的速度条件下，设定的紧急制动距离和有保证的（最不利的条件下）紧急制动距离之差。在列车跟踪运行的情况下，采用基于轨道电路的安全防护距离应增加车尾后部车轴可能不被检出的附加距离。</w:t>
      </w:r>
    </w:p>
    <w:p w14:paraId="47516DB1">
      <w:pPr>
        <w:pStyle w:val="2396"/>
      </w:pPr>
      <w:r>
        <w:rPr>
          <w:rFonts w:eastAsia="黑体"/>
          <w:b/>
          <w:bCs/>
        </w:rPr>
        <w:t xml:space="preserve">18.3.11 </w:t>
      </w:r>
      <w:r>
        <w:rPr>
          <w:rFonts w:hint="eastAsia"/>
        </w:rPr>
        <w:t xml:space="preserve"> 第1款：ATP系统的超速防护或ATP系统故障造成列车停车属安全行为。列车超速，车地连续通信中断、列车完整性电路断路、列车的非预期移动等故障是涉及行车安全的重要故障，通过强迫性制动实现停车，属行车过程的安全性措施，此项要求是为了保证乘客的人身安全，设计中必须严格执行。</w:t>
      </w:r>
    </w:p>
    <w:p w14:paraId="19E9F9D1">
      <w:pPr>
        <w:ind w:firstLine="420"/>
        <w:rPr>
          <w:rFonts w:ascii="宋体" w:hAnsi="宋体"/>
          <w:szCs w:val="21"/>
        </w:rPr>
      </w:pPr>
      <w:r>
        <w:rPr>
          <w:rFonts w:hint="eastAsia" w:ascii="宋体" w:hAnsi="宋体"/>
          <w:szCs w:val="21"/>
        </w:rPr>
        <w:t>第2款：城市轨道交通ATP系统是以设备为安全防护主体的控制系统，车载设备的车内信号是ATP车载设备的重要组成部分。ATP模式是司机操控下的运行安全防护模式，由于车内信号为司机提供准确无误，且符合故障导向安全的信息显示，而被定义为主体信号。</w:t>
      </w:r>
    </w:p>
    <w:p w14:paraId="40218A96">
      <w:pPr>
        <w:ind w:firstLine="420"/>
        <w:rPr>
          <w:rFonts w:ascii="宋体" w:hAnsi="宋体"/>
          <w:szCs w:val="21"/>
        </w:rPr>
      </w:pPr>
      <w:r>
        <w:rPr>
          <w:rFonts w:hint="eastAsia" w:ascii="宋体" w:hAnsi="宋体"/>
          <w:szCs w:val="21"/>
        </w:rPr>
        <w:t>第3款：ATP执行的强迫停车控制，包括全常用制动或紧急制动控制等不同方式，但最终控制模式应为紧急制动控制。考虑到行车安全，要求停车过程不得中途缓解。并应在列车停车后，司机履行一定的操作手续，列车方能缓解。</w:t>
      </w:r>
    </w:p>
    <w:p w14:paraId="61CE7727">
      <w:pPr>
        <w:ind w:firstLine="420"/>
        <w:rPr>
          <w:rFonts w:ascii="宋体" w:hAnsi="宋体"/>
          <w:szCs w:val="21"/>
        </w:rPr>
      </w:pPr>
      <w:r>
        <w:rPr>
          <w:rFonts w:hint="eastAsia" w:ascii="宋体" w:hAnsi="宋体"/>
          <w:szCs w:val="21"/>
        </w:rPr>
        <w:t>第5款：本款适用于列车于站间或站内停车的各种防护状态。</w:t>
      </w:r>
    </w:p>
    <w:p w14:paraId="48BE0B21">
      <w:pPr>
        <w:pStyle w:val="4"/>
        <w:numPr>
          <w:ilvl w:val="0"/>
          <w:numId w:val="0"/>
        </w:numPr>
      </w:pPr>
      <w:bookmarkStart w:id="2961" w:name="_Toc183765350"/>
      <w:bookmarkStart w:id="2962" w:name="_Toc183454215"/>
      <w:bookmarkStart w:id="2963" w:name="_Toc357929595"/>
      <w:bookmarkStart w:id="2964" w:name="_Toc183790780"/>
      <w:bookmarkStart w:id="2965" w:name="_Toc183888393"/>
      <w:bookmarkStart w:id="2966" w:name="_Toc183888755"/>
      <w:bookmarkStart w:id="2967" w:name="_Toc183454895"/>
      <w:bookmarkStart w:id="2968" w:name="_Toc183882341"/>
      <w:bookmarkStart w:id="2969" w:name="_Toc183738172"/>
      <w:bookmarkStart w:id="2970" w:name="_Toc183454512"/>
      <w:bookmarkStart w:id="2971" w:name="_Toc183882703"/>
      <w:r>
        <w:t xml:space="preserve">18.4  </w:t>
      </w:r>
      <w:r>
        <w:rPr>
          <w:rFonts w:hint="eastAsia"/>
        </w:rPr>
        <w:t>列车</w:t>
      </w:r>
      <w:r>
        <w:rPr>
          <w:rFonts w:hint="eastAsia"/>
          <w:lang w:bidi="ar"/>
        </w:rPr>
        <w:t>自动</w:t>
      </w:r>
      <w:r>
        <w:rPr>
          <w:rFonts w:hint="eastAsia"/>
        </w:rPr>
        <w:t>运行子系统</w:t>
      </w:r>
      <w:bookmarkEnd w:id="2961"/>
      <w:bookmarkEnd w:id="2962"/>
      <w:bookmarkEnd w:id="2963"/>
      <w:bookmarkEnd w:id="2964"/>
      <w:bookmarkEnd w:id="2965"/>
      <w:bookmarkEnd w:id="2966"/>
      <w:bookmarkEnd w:id="2967"/>
      <w:bookmarkEnd w:id="2968"/>
      <w:bookmarkEnd w:id="2969"/>
      <w:bookmarkEnd w:id="2970"/>
      <w:bookmarkEnd w:id="2971"/>
    </w:p>
    <w:p w14:paraId="3DBDC369">
      <w:pPr>
        <w:pStyle w:val="2396"/>
      </w:pPr>
      <w:r>
        <w:rPr>
          <w:rFonts w:eastAsia="黑体" w:cs="方正黑体_GBK"/>
          <w:b/>
          <w:bCs/>
          <w:lang w:bidi="ar"/>
        </w:rPr>
        <w:t>18.4.5</w:t>
      </w:r>
      <w:r>
        <w:rPr>
          <w:rFonts w:eastAsia="黑体" w:cs="方正黑体_GBK"/>
          <w:bCs/>
          <w:lang w:bidi="ar"/>
        </w:rPr>
        <w:t xml:space="preserve">  </w:t>
      </w:r>
      <w:r>
        <w:rPr>
          <w:rFonts w:hint="eastAsia"/>
          <w:lang w:bidi="ar"/>
        </w:rPr>
        <w:t>第6款：此条款调整指令包括跳停、扣车、下发运行等级或区间运行时分等；互联互通线路对于区间运行调整指令应统一等级定义，宜采用区间运行时分调整手段，以便同一调整指令实现相同或接近的调整效果。</w:t>
      </w:r>
    </w:p>
    <w:p w14:paraId="33FE657E">
      <w:pPr>
        <w:widowControl/>
        <w:ind w:firstLine="420"/>
        <w:jc w:val="left"/>
      </w:pPr>
      <w:r>
        <w:rPr>
          <w:rFonts w:hint="eastAsia" w:ascii="宋体" w:hAnsi="宋体" w:cs="宋体"/>
          <w:szCs w:val="21"/>
          <w:lang w:bidi="ar"/>
        </w:rPr>
        <w:t>第7款：ATO系统在ATP系统防护下控制列车按照节能运行曲线，完成列车的加速、巡航、惰行和制动的控制，实现列车节能控制功能。</w:t>
      </w:r>
      <w:r>
        <w:rPr>
          <w:rFonts w:hint="eastAsia" w:ascii="宋体" w:hAnsi="宋体" w:cs="宋体"/>
          <w:sz w:val="24"/>
          <w:lang w:bidi="ar"/>
        </w:rPr>
        <w:t xml:space="preserve"> </w:t>
      </w:r>
    </w:p>
    <w:p w14:paraId="41885E27">
      <w:pPr>
        <w:pStyle w:val="2396"/>
      </w:pPr>
      <w:r>
        <w:rPr>
          <w:rFonts w:eastAsia="黑体"/>
          <w:b/>
          <w:bCs/>
        </w:rPr>
        <w:t xml:space="preserve">18.4.8  </w:t>
      </w:r>
      <w:r>
        <w:rPr>
          <w:rFonts w:hint="eastAsia"/>
        </w:rPr>
        <w:t>第3款：在保证列车舒适度的要求，即列车纵向冲击率不大于0.75m/s</w:t>
      </w:r>
      <w:r>
        <w:rPr>
          <w:rFonts w:hint="eastAsia"/>
          <w:vertAlign w:val="superscript"/>
        </w:rPr>
        <w:t>3</w:t>
      </w:r>
      <w:r>
        <w:rPr>
          <w:rFonts w:hint="eastAsia"/>
        </w:rPr>
        <w:t>的前提下，列车在车站站台的停车精度为±0.3m时，列车停在该停车精度范围内的概率为99.99%。</w:t>
      </w:r>
    </w:p>
    <w:p w14:paraId="2790CDAB">
      <w:pPr>
        <w:ind w:firstLine="420"/>
        <w:rPr>
          <w:rFonts w:ascii="宋体" w:hAnsi="宋体"/>
          <w:szCs w:val="21"/>
        </w:rPr>
      </w:pPr>
      <w:r>
        <w:rPr>
          <w:rFonts w:hint="eastAsia" w:ascii="宋体" w:hAnsi="宋体"/>
          <w:szCs w:val="21"/>
        </w:rPr>
        <w:t>第4款：ATO控制过程满足舒适度的要求主要是指牵引、惰行和制动控制，以及各种工况之间的转换控制过程的加、减速度的变化率。快捷性主要是指控制过程的时间宜短，以减少对站间运行时分的影响和提高运行质量。</w:t>
      </w:r>
    </w:p>
    <w:p w14:paraId="792EE83E">
      <w:pPr>
        <w:ind w:firstLine="420"/>
        <w:rPr>
          <w:rFonts w:ascii="宋体" w:hAnsi="宋体"/>
          <w:szCs w:val="21"/>
        </w:rPr>
      </w:pPr>
    </w:p>
    <w:p w14:paraId="17908B89">
      <w:pPr>
        <w:ind w:firstLine="420"/>
        <w:rPr>
          <w:rFonts w:ascii="宋体" w:hAnsi="宋体"/>
          <w:szCs w:val="21"/>
        </w:rPr>
      </w:pPr>
    </w:p>
    <w:p w14:paraId="1F45C7BC">
      <w:pPr>
        <w:pStyle w:val="4"/>
        <w:numPr>
          <w:ilvl w:val="0"/>
          <w:numId w:val="0"/>
        </w:numPr>
      </w:pPr>
      <w:bookmarkStart w:id="2972" w:name="_Toc183888394"/>
      <w:bookmarkStart w:id="2973" w:name="_Toc183765351"/>
      <w:bookmarkStart w:id="2974" w:name="_Toc183738173"/>
      <w:bookmarkStart w:id="2975" w:name="_Toc183888756"/>
      <w:bookmarkStart w:id="2976" w:name="_Toc183454216"/>
      <w:bookmarkStart w:id="2977" w:name="_Toc357929596"/>
      <w:bookmarkStart w:id="2978" w:name="_Toc183454513"/>
      <w:bookmarkStart w:id="2979" w:name="_Toc183454896"/>
      <w:bookmarkStart w:id="2980" w:name="_Toc183790781"/>
      <w:bookmarkStart w:id="2981" w:name="_Toc183882342"/>
      <w:bookmarkStart w:id="2982" w:name="_Toc183882704"/>
      <w:r>
        <w:rPr>
          <w:b/>
        </w:rPr>
        <w:t xml:space="preserve">18.5 </w:t>
      </w:r>
      <w:r>
        <w:t xml:space="preserve"> </w:t>
      </w:r>
      <w:r>
        <w:rPr>
          <w:rFonts w:hint="eastAsia"/>
          <w:lang w:bidi="ar"/>
        </w:rPr>
        <w:t>计算机</w:t>
      </w:r>
      <w:r>
        <w:rPr>
          <w:rFonts w:hint="eastAsia"/>
        </w:rPr>
        <w:t>联锁子系统</w:t>
      </w:r>
      <w:bookmarkEnd w:id="2972"/>
      <w:bookmarkEnd w:id="2973"/>
      <w:bookmarkEnd w:id="2974"/>
      <w:bookmarkEnd w:id="2975"/>
      <w:bookmarkEnd w:id="2976"/>
      <w:bookmarkEnd w:id="2977"/>
      <w:bookmarkEnd w:id="2978"/>
      <w:bookmarkEnd w:id="2979"/>
      <w:bookmarkEnd w:id="2980"/>
      <w:bookmarkEnd w:id="2981"/>
      <w:bookmarkEnd w:id="2982"/>
    </w:p>
    <w:p w14:paraId="530C3D47">
      <w:pPr>
        <w:pStyle w:val="2396"/>
      </w:pPr>
      <w:r>
        <w:rPr>
          <w:rFonts w:eastAsia="黑体"/>
          <w:b/>
          <w:bCs/>
        </w:rPr>
        <w:t xml:space="preserve">18.5.1 </w:t>
      </w:r>
      <w:r>
        <w:rPr>
          <w:rFonts w:hint="eastAsia"/>
        </w:rPr>
        <w:t xml:space="preserve"> 为保证城市轨道交通的列车安全运行，计算机联锁子系统是最为基础、核心的设备，不可缺少，是涉及行车安全的系统设备，其产品应通过独立的安全认证机构的认证或认可，并经过安全检测、运用试验。</w:t>
      </w:r>
    </w:p>
    <w:p w14:paraId="1797BFA9">
      <w:pPr>
        <w:pStyle w:val="2396"/>
      </w:pPr>
      <w:r>
        <w:rPr>
          <w:rFonts w:eastAsia="黑体"/>
          <w:b/>
          <w:bCs/>
        </w:rPr>
        <w:t xml:space="preserve">18.5.3  </w:t>
      </w:r>
      <w:r>
        <w:rPr>
          <w:rFonts w:hint="eastAsia"/>
        </w:rPr>
        <w:t>计算机联锁设备为信号系统核心安全设备之一，为保证计算机联锁设备安全性及可靠性，考虑到二乘二取二的冗余结构较三取二的冗余结构具有更高的可靠性，因此计算机联锁设备采取二乘二取二的冗余结构。</w:t>
      </w:r>
    </w:p>
    <w:p w14:paraId="33A07B54">
      <w:pPr>
        <w:pStyle w:val="2396"/>
      </w:pPr>
      <w:r>
        <w:rPr>
          <w:rFonts w:eastAsia="黑体"/>
          <w:b/>
          <w:bCs/>
        </w:rPr>
        <w:t xml:space="preserve">18.5.5 </w:t>
      </w:r>
      <w:r>
        <w:rPr>
          <w:rFonts w:hint="eastAsia"/>
        </w:rPr>
        <w:t xml:space="preserve"> 第4款：引导信号属于利用信号显示，导引列车向信号显示方向移动的一种类似于手信号的行车信号，用于维系列车运行。</w:t>
      </w:r>
    </w:p>
    <w:p w14:paraId="2EA8238D">
      <w:pPr>
        <w:pStyle w:val="2396"/>
      </w:pPr>
      <w:r>
        <w:rPr>
          <w:rFonts w:hint="eastAsia"/>
        </w:rPr>
        <w:t>第5款：通过联锁地面设备检测闭塞分区空闲，进路闭塞的范围为两架顺向信号机之间，在规定的驾驶模式下列车根据信号指示行车。</w:t>
      </w:r>
      <w:r>
        <w:rPr>
          <w:rFonts w:hint="eastAsia" w:cs="宋体"/>
          <w:lang w:bidi="ar"/>
        </w:rPr>
        <w:t>站间闭塞是通过计算机联锁设备自动检查站间空闲，人工办理站间闭塞手续，在规定的人工驾驶模式下列车根据信号显示行车的方式。</w:t>
      </w:r>
    </w:p>
    <w:p w14:paraId="0368B07E">
      <w:pPr>
        <w:pStyle w:val="2396"/>
      </w:pPr>
      <w:r>
        <w:rPr>
          <w:rFonts w:eastAsia="黑体"/>
          <w:b/>
          <w:bCs/>
        </w:rPr>
        <w:t xml:space="preserve">18.5.6 </w:t>
      </w:r>
      <w:r>
        <w:rPr>
          <w:rFonts w:hint="eastAsia"/>
        </w:rPr>
        <w:t xml:space="preserve"> 第3款：进路解锁方式应分为一次解锁方式和分段解锁方式，为缩短列车追踪间隔，城市轨道交通信号系统宜采用分段解锁方式；进路的解锁除正常解锁外，根据列车是否在进路的接近区段上，也可通过办理取消进路和延时解锁方式解锁进路。</w:t>
      </w:r>
    </w:p>
    <w:p w14:paraId="62478433">
      <w:pPr>
        <w:ind w:firstLine="420"/>
        <w:rPr>
          <w:rFonts w:ascii="宋体" w:hAnsi="宋体"/>
          <w:szCs w:val="21"/>
        </w:rPr>
      </w:pPr>
      <w:r>
        <w:rPr>
          <w:rFonts w:hint="eastAsia" w:ascii="宋体" w:hAnsi="宋体"/>
          <w:szCs w:val="21"/>
        </w:rPr>
        <w:t>第5款：站台紧急关闭按钮是用于站内轨道及其上方出现影响行车安全或危及人员安全状况时需要操作的应急按钮，以尽可能的阻止列车进站</w:t>
      </w:r>
      <w:r>
        <w:rPr>
          <w:rFonts w:hint="eastAsia" w:ascii="宋体" w:hAnsi="宋体" w:cs="宋体"/>
          <w:szCs w:val="21"/>
          <w:lang w:bidi="ar"/>
        </w:rPr>
        <w:t>或出站</w:t>
      </w:r>
      <w:r>
        <w:rPr>
          <w:rFonts w:hint="eastAsia" w:ascii="宋体" w:hAnsi="宋体" w:cs="宋体"/>
          <w:sz w:val="24"/>
        </w:rPr>
        <w:t xml:space="preserve"> </w:t>
      </w:r>
      <w:r>
        <w:rPr>
          <w:rFonts w:hint="eastAsia" w:ascii="宋体" w:hAnsi="宋体"/>
          <w:szCs w:val="21"/>
        </w:rPr>
        <w:t>，防止危险事件发生，属安全概念与行为，其控制电路设计必须遵循故障-安全的原则。</w:t>
      </w:r>
    </w:p>
    <w:p w14:paraId="6CA77BBB">
      <w:pPr>
        <w:pStyle w:val="2396"/>
      </w:pPr>
      <w:r>
        <w:rPr>
          <w:rFonts w:eastAsia="黑体"/>
          <w:b/>
          <w:bCs/>
        </w:rPr>
        <w:t xml:space="preserve">18.5.8  </w:t>
      </w:r>
      <w:r>
        <w:rPr>
          <w:rFonts w:hint="eastAsia"/>
        </w:rPr>
        <w:t>第1款：城市轨道交通设有ATP系统，自动闭塞的通过信号机已失去主体信号的作用，所以一般可不设通过信号机。当 ATP车载设备故障时，为便于司机掌握列车运行位置，可结合系统特点设置必要的地点标志，根据需要也可设置通过信号机。</w:t>
      </w:r>
    </w:p>
    <w:p w14:paraId="7042A1A7">
      <w:pPr>
        <w:pStyle w:val="4"/>
        <w:numPr>
          <w:ilvl w:val="0"/>
          <w:numId w:val="0"/>
        </w:numPr>
      </w:pPr>
      <w:bookmarkStart w:id="2983" w:name="_Toc183454514"/>
      <w:bookmarkStart w:id="2984" w:name="_Toc183738174"/>
      <w:bookmarkStart w:id="2985" w:name="_Toc183888395"/>
      <w:bookmarkStart w:id="2986" w:name="_Toc183790782"/>
      <w:bookmarkStart w:id="2987" w:name="_Toc183765352"/>
      <w:bookmarkStart w:id="2988" w:name="_Toc183882705"/>
      <w:bookmarkStart w:id="2989" w:name="_Toc183888757"/>
      <w:bookmarkStart w:id="2990" w:name="_Toc183454897"/>
      <w:bookmarkStart w:id="2991" w:name="_Toc183454217"/>
      <w:bookmarkStart w:id="2992" w:name="_Toc183882343"/>
      <w:r>
        <w:rPr>
          <w:b/>
        </w:rPr>
        <w:t xml:space="preserve">18.6 </w:t>
      </w:r>
      <w:r>
        <w:t xml:space="preserve"> </w:t>
      </w:r>
      <w:r>
        <w:rPr>
          <w:rFonts w:hint="eastAsia"/>
          <w:lang w:bidi="ar"/>
        </w:rPr>
        <w:t>数据</w:t>
      </w:r>
      <w:r>
        <w:rPr>
          <w:rFonts w:hint="eastAsia"/>
        </w:rPr>
        <w:t>通信子系统</w:t>
      </w:r>
      <w:bookmarkEnd w:id="2983"/>
      <w:bookmarkEnd w:id="2984"/>
      <w:bookmarkEnd w:id="2985"/>
      <w:bookmarkEnd w:id="2986"/>
      <w:bookmarkEnd w:id="2987"/>
      <w:bookmarkEnd w:id="2988"/>
      <w:bookmarkEnd w:id="2989"/>
      <w:bookmarkEnd w:id="2990"/>
      <w:bookmarkEnd w:id="2991"/>
      <w:bookmarkEnd w:id="2992"/>
    </w:p>
    <w:p w14:paraId="47407316">
      <w:pPr>
        <w:pStyle w:val="2396"/>
      </w:pPr>
      <w:r>
        <w:rPr>
          <w:rFonts w:eastAsia="黑体" w:cs="方正黑体_GBK"/>
          <w:b/>
          <w:bCs/>
          <w:lang w:bidi="ar"/>
        </w:rPr>
        <w:t>18.6.6</w:t>
      </w:r>
      <w:r>
        <w:rPr>
          <w:rFonts w:hint="eastAsia"/>
        </w:rPr>
        <w:t xml:space="preserve">  数据通信子系统</w:t>
      </w:r>
      <w:r>
        <w:rPr>
          <w:rFonts w:hint="eastAsia"/>
          <w:bCs/>
          <w:szCs w:val="24"/>
          <w:lang w:bidi="ar"/>
        </w:rPr>
        <w:t>应在</w:t>
      </w:r>
      <w:r>
        <w:rPr>
          <w:rFonts w:hint="eastAsia"/>
        </w:rPr>
        <w:t>国家标准《城市轨道交通信号系统通用技术条件》GB/T12758中规定的</w:t>
      </w:r>
      <w:r>
        <w:rPr>
          <w:rFonts w:hint="eastAsia"/>
          <w:bCs/>
          <w:szCs w:val="24"/>
          <w:lang w:bidi="ar"/>
        </w:rPr>
        <w:t>工作环境和电磁环境下安全可靠工作</w:t>
      </w:r>
      <w:r>
        <w:rPr>
          <w:rFonts w:hint="eastAsia"/>
        </w:rPr>
        <w:t>。</w:t>
      </w:r>
    </w:p>
    <w:p w14:paraId="0E8BF0BB">
      <w:pPr>
        <w:pStyle w:val="2396"/>
      </w:pPr>
      <w:r>
        <w:rPr>
          <w:rFonts w:eastAsia="黑体" w:cs="方正黑体_GBK"/>
          <w:b/>
          <w:bCs/>
          <w:lang w:bidi="ar"/>
        </w:rPr>
        <w:t xml:space="preserve">18.6.9  </w:t>
      </w:r>
      <w:r>
        <w:rPr>
          <w:rFonts w:hint="eastAsia"/>
        </w:rPr>
        <w:t>第4款：道床电阻和分路电阻参数是参照国外和国内地铁线路有关数据制定，运用时可根据地铁的具体情况更改参数。</w:t>
      </w:r>
    </w:p>
    <w:p w14:paraId="299EF254">
      <w:pPr>
        <w:pStyle w:val="2396"/>
      </w:pPr>
      <w:r>
        <w:rPr>
          <w:rFonts w:eastAsia="黑体" w:cs="方正黑体_GBK"/>
          <w:b/>
          <w:bCs/>
          <w:lang w:bidi="ar"/>
        </w:rPr>
        <w:t xml:space="preserve">18.6.10  </w:t>
      </w:r>
      <w:r>
        <w:rPr>
          <w:rFonts w:hint="eastAsia"/>
        </w:rPr>
        <w:t xml:space="preserve">信号系统的车地无线通信子系统所处外界环境较为复杂、恶劣，包括各种干扰源、甚至恶意入侵、攻击。本条款约定了信号系统确保数据通信子系统信息安全防护的基本策略。 </w:t>
      </w:r>
    </w:p>
    <w:p w14:paraId="51C3436D">
      <w:pPr>
        <w:pStyle w:val="4"/>
        <w:numPr>
          <w:ilvl w:val="0"/>
          <w:numId w:val="0"/>
        </w:numPr>
      </w:pPr>
      <w:bookmarkStart w:id="2993" w:name="_Toc183888396"/>
      <w:bookmarkStart w:id="2994" w:name="_Toc183882344"/>
      <w:bookmarkStart w:id="2995" w:name="_Toc183454218"/>
      <w:bookmarkStart w:id="2996" w:name="_Toc183738175"/>
      <w:bookmarkStart w:id="2997" w:name="_Toc183765353"/>
      <w:bookmarkStart w:id="2998" w:name="_Toc183882706"/>
      <w:bookmarkStart w:id="2999" w:name="_Toc183454898"/>
      <w:bookmarkStart w:id="3000" w:name="_Toc183454515"/>
      <w:bookmarkStart w:id="3001" w:name="_Toc183888758"/>
      <w:bookmarkStart w:id="3002" w:name="_Toc183790783"/>
      <w:r>
        <w:rPr>
          <w:b/>
          <w:lang w:bidi="ar"/>
        </w:rPr>
        <w:t xml:space="preserve">18.7 </w:t>
      </w:r>
      <w:r>
        <w:rPr>
          <w:lang w:bidi="ar"/>
        </w:rPr>
        <w:t xml:space="preserve"> </w:t>
      </w:r>
      <w:r>
        <w:rPr>
          <w:rFonts w:hint="eastAsia" w:cs="宋体"/>
          <w:lang w:bidi="ar"/>
        </w:rPr>
        <w:t>维护监测子系统</w:t>
      </w:r>
      <w:bookmarkEnd w:id="2993"/>
      <w:bookmarkEnd w:id="2994"/>
      <w:bookmarkEnd w:id="2995"/>
      <w:bookmarkEnd w:id="2996"/>
      <w:bookmarkEnd w:id="2997"/>
      <w:bookmarkEnd w:id="2998"/>
      <w:bookmarkEnd w:id="2999"/>
      <w:bookmarkEnd w:id="3000"/>
      <w:bookmarkEnd w:id="3001"/>
      <w:bookmarkEnd w:id="3002"/>
    </w:p>
    <w:p w14:paraId="4AFE8E4E">
      <w:pPr>
        <w:pStyle w:val="2396"/>
      </w:pPr>
      <w:r>
        <w:rPr>
          <w:rFonts w:eastAsia="黑体" w:cs="方正黑体_GBK"/>
          <w:b/>
          <w:bCs/>
          <w:lang w:bidi="ar"/>
        </w:rPr>
        <w:t xml:space="preserve">18.7.1  </w:t>
      </w:r>
      <w:r>
        <w:rPr>
          <w:rFonts w:hint="eastAsia"/>
          <w:lang w:bidi="ar"/>
        </w:rPr>
        <w:t>第4款：对于无ATP防护的段场，为了实现每日上线的列车车载信号设备正常工作，特别是车地无线通信设备的正常工作，应在库内设置日检设备，实现列车出库前车载信号设备自检。对于有ATP防护的段/场以及全自动运行段/场，信号系统的配置本身具备车载信号设备自检功能，可不单独设置日检设备。</w:t>
      </w:r>
    </w:p>
    <w:p w14:paraId="22A61AC8">
      <w:pPr>
        <w:ind w:firstLine="420"/>
        <w:rPr>
          <w:rFonts w:ascii="宋体" w:hAnsi="宋体" w:cs="宋体"/>
          <w:szCs w:val="21"/>
        </w:rPr>
      </w:pPr>
      <w:r>
        <w:rPr>
          <w:rFonts w:hint="eastAsia" w:ascii="宋体" w:hAnsi="宋体" w:cs="宋体"/>
          <w:szCs w:val="21"/>
          <w:lang w:bidi="ar"/>
        </w:rPr>
        <w:t>第6款：在项目部、正线维护部、车辆基地维护部、车载维护部、维修中心及控制中心网管室设置的维护工作站，应能实现对全线信号系统的各子系统设备状态、报警信息等的维护监测功能。</w:t>
      </w:r>
    </w:p>
    <w:p w14:paraId="595E3954">
      <w:pPr>
        <w:pStyle w:val="2396"/>
        <w:rPr>
          <w:rFonts w:eastAsia="黑体" w:cs="方正黑体_GBK"/>
          <w:b/>
          <w:bCs/>
        </w:rPr>
      </w:pPr>
      <w:r>
        <w:rPr>
          <w:rFonts w:eastAsia="黑体" w:cs="方正黑体_GBK"/>
          <w:b/>
          <w:bCs/>
          <w:lang w:bidi="ar"/>
        </w:rPr>
        <w:t xml:space="preserve">18.7.4  </w:t>
      </w:r>
      <w:r>
        <w:rPr>
          <w:rFonts w:hint="eastAsia"/>
          <w:lang w:bidi="ar"/>
        </w:rPr>
        <w:t>信号维护监测子系统对信号基础设备状态监测应实现本条的要求，具体监测采集应参照《铁路信号集中监测系统技术条件》执行。</w:t>
      </w:r>
    </w:p>
    <w:p w14:paraId="0ECA4115">
      <w:pPr>
        <w:pStyle w:val="4"/>
        <w:numPr>
          <w:ilvl w:val="0"/>
          <w:numId w:val="0"/>
        </w:numPr>
      </w:pPr>
      <w:bookmarkStart w:id="3003" w:name="_Toc183888759"/>
      <w:bookmarkStart w:id="3004" w:name="_Toc183765354"/>
      <w:bookmarkStart w:id="3005" w:name="_Toc183882345"/>
      <w:bookmarkStart w:id="3006" w:name="_Toc183888397"/>
      <w:bookmarkStart w:id="3007" w:name="_Toc183454516"/>
      <w:bookmarkStart w:id="3008" w:name="_Toc183454219"/>
      <w:bookmarkStart w:id="3009" w:name="_Toc183454899"/>
      <w:bookmarkStart w:id="3010" w:name="_Toc183790784"/>
      <w:bookmarkStart w:id="3011" w:name="_Toc183882707"/>
      <w:bookmarkStart w:id="3012" w:name="_Toc183738176"/>
      <w:r>
        <w:rPr>
          <w:b/>
          <w:lang w:bidi="ar"/>
        </w:rPr>
        <w:t>18.8</w:t>
      </w:r>
      <w:r>
        <w:rPr>
          <w:lang w:bidi="ar"/>
        </w:rPr>
        <w:t xml:space="preserve">  </w:t>
      </w:r>
      <w:r>
        <w:rPr>
          <w:rFonts w:hint="eastAsia"/>
          <w:lang w:bidi="ar"/>
        </w:rPr>
        <w:t>车辆基地信号系统</w:t>
      </w:r>
      <w:bookmarkEnd w:id="3003"/>
      <w:bookmarkEnd w:id="3004"/>
      <w:bookmarkEnd w:id="3005"/>
      <w:bookmarkEnd w:id="3006"/>
      <w:bookmarkEnd w:id="3007"/>
      <w:bookmarkEnd w:id="3008"/>
      <w:bookmarkEnd w:id="3009"/>
      <w:bookmarkEnd w:id="3010"/>
      <w:bookmarkEnd w:id="3011"/>
      <w:bookmarkEnd w:id="3012"/>
    </w:p>
    <w:p w14:paraId="002F75E2">
      <w:pPr>
        <w:pStyle w:val="2396"/>
      </w:pPr>
      <w:r>
        <w:rPr>
          <w:rFonts w:eastAsia="黑体" w:cs="方正黑体_GBK"/>
          <w:b/>
          <w:bCs/>
          <w:lang w:bidi="ar"/>
        </w:rPr>
        <w:t xml:space="preserve">18.8.2  </w:t>
      </w:r>
      <w:r>
        <w:rPr>
          <w:rFonts w:hint="eastAsia"/>
          <w:lang w:bidi="ar"/>
        </w:rPr>
        <w:t>第4款：车辆段/停车场是部分或是全部纳入ATC控制范围，应根据车辆段/停车场的规模和作业性质而定，车辆段/停车场部分或全部纳入ATC控制范围，可提高列车出入段/场的运行能力，提升列车在段/场内运行的安全性。根据需要停车场也可仅纳入ATS系统的监控范围。</w:t>
      </w:r>
    </w:p>
    <w:p w14:paraId="37CA1BDF">
      <w:pPr>
        <w:pStyle w:val="2396"/>
        <w:rPr>
          <w:szCs w:val="21"/>
        </w:rPr>
      </w:pPr>
      <w:r>
        <w:rPr>
          <w:rFonts w:eastAsia="黑体" w:cs="方正黑体_GBK"/>
          <w:b/>
          <w:bCs/>
          <w:lang w:bidi="ar"/>
        </w:rPr>
        <w:t xml:space="preserve">18.8.5  </w:t>
      </w:r>
      <w:r>
        <w:rPr>
          <w:rFonts w:hint="eastAsia"/>
          <w:lang w:bidi="ar"/>
        </w:rPr>
        <w:t>为了减少对正线运营的影响，正线回段/场列车尽快入库，段/场咽喉区的列车兼调车进库信号机可具备引导信号功能。</w:t>
      </w:r>
    </w:p>
    <w:p w14:paraId="5F9BF967">
      <w:pPr>
        <w:pStyle w:val="2396"/>
      </w:pPr>
      <w:r>
        <w:rPr>
          <w:rFonts w:eastAsia="黑体" w:cs="方正黑体_GBK"/>
          <w:b/>
          <w:bCs/>
          <w:lang w:bidi="ar"/>
        </w:rPr>
        <w:t xml:space="preserve">18.8.6  </w:t>
      </w:r>
      <w:r>
        <w:rPr>
          <w:rFonts w:hint="eastAsia"/>
          <w:lang w:bidi="ar"/>
        </w:rPr>
        <w:t>对于无ATP防护的车辆段/停车场，进出库线的进路仅有调车一种进路方式，车辆段/停车场调车信号机采用矮柱红、白两灯位信号机。对于有ATP防护的车辆段/停车场和全自动车辆段/停车场，整个段/场（含自动化区域和非自动化区域）内的调车信号机均采用矮柱蓝、白两灯位信号机构。</w:t>
      </w:r>
    </w:p>
    <w:p w14:paraId="7DBBBFE7">
      <w:pPr>
        <w:pStyle w:val="4"/>
        <w:numPr>
          <w:ilvl w:val="0"/>
          <w:numId w:val="0"/>
        </w:numPr>
      </w:pPr>
      <w:bookmarkStart w:id="3013" w:name="_Toc183790785"/>
      <w:bookmarkStart w:id="3014" w:name="_Toc183454220"/>
      <w:bookmarkStart w:id="3015" w:name="_Toc183454900"/>
      <w:bookmarkStart w:id="3016" w:name="_Toc183738177"/>
      <w:bookmarkStart w:id="3017" w:name="_Toc183765355"/>
      <w:bookmarkStart w:id="3018" w:name="_Toc183888760"/>
      <w:bookmarkStart w:id="3019" w:name="_Toc183882346"/>
      <w:bookmarkStart w:id="3020" w:name="_Toc183882708"/>
      <w:bookmarkStart w:id="3021" w:name="_Toc183454517"/>
      <w:bookmarkStart w:id="3022" w:name="_Toc357929598"/>
      <w:bookmarkStart w:id="3023" w:name="_Toc183888398"/>
      <w:r>
        <w:rPr>
          <w:b/>
          <w:lang w:bidi="ar"/>
        </w:rPr>
        <w:t xml:space="preserve">18.9 </w:t>
      </w:r>
      <w:r>
        <w:rPr>
          <w:lang w:bidi="ar"/>
        </w:rPr>
        <w:t xml:space="preserve"> </w:t>
      </w:r>
      <w:r>
        <w:rPr>
          <w:rFonts w:hint="eastAsia" w:cs="宋体"/>
          <w:lang w:bidi="ar"/>
        </w:rPr>
        <w:t>其</w:t>
      </w:r>
      <w:r>
        <w:rPr>
          <w:lang w:bidi="ar"/>
        </w:rPr>
        <w:t xml:space="preserve">    </w:t>
      </w:r>
      <w:r>
        <w:rPr>
          <w:rFonts w:hint="eastAsia" w:cs="宋体"/>
          <w:lang w:bidi="ar"/>
        </w:rPr>
        <w:t>他</w:t>
      </w:r>
      <w:bookmarkEnd w:id="3013"/>
      <w:bookmarkEnd w:id="3014"/>
      <w:bookmarkEnd w:id="3015"/>
      <w:bookmarkEnd w:id="3016"/>
      <w:bookmarkEnd w:id="3017"/>
      <w:bookmarkEnd w:id="3018"/>
      <w:bookmarkEnd w:id="3019"/>
      <w:bookmarkEnd w:id="3020"/>
      <w:bookmarkEnd w:id="3021"/>
      <w:bookmarkEnd w:id="3022"/>
      <w:bookmarkEnd w:id="3023"/>
    </w:p>
    <w:p w14:paraId="26BDF8CE">
      <w:pPr>
        <w:pStyle w:val="2396"/>
      </w:pPr>
      <w:r>
        <w:rPr>
          <w:rFonts w:eastAsia="黑体" w:cs="方正黑体_GBK"/>
          <w:b/>
          <w:bCs/>
          <w:lang w:bidi="ar"/>
        </w:rPr>
        <w:t xml:space="preserve">18.9.2 </w:t>
      </w:r>
      <w:r>
        <w:rPr>
          <w:rFonts w:hint="eastAsia"/>
          <w:lang w:bidi="ar"/>
        </w:rPr>
        <w:t xml:space="preserve"> 第1款：信号系统是保证行车安全，提升运营效率，与行车指挥关系密切的系统。信号设备的供电应持续、稳定、可靠。</w:t>
      </w:r>
    </w:p>
    <w:p w14:paraId="60FEC249">
      <w:pPr>
        <w:ind w:firstLine="420"/>
        <w:rPr>
          <w:rFonts w:ascii="宋体" w:hAnsi="宋体" w:cs="宋体"/>
          <w:szCs w:val="21"/>
        </w:rPr>
      </w:pPr>
      <w:r>
        <w:rPr>
          <w:rFonts w:hint="eastAsia" w:ascii="宋体" w:hAnsi="宋体" w:cs="宋体"/>
          <w:szCs w:val="21"/>
          <w:lang w:bidi="ar"/>
        </w:rPr>
        <w:t>第4款：对于较长站间距的市域（郊）轨道交通工程，根据系统需要会在长大区间内设置无人值守的信号设备，交通不便利，为了保证外电源断电情况下信号系统可靠工作，该处的不间断电源供电时间宜按照2小时考虑。电源系统容量应考虑影响行车效率的进路上的多组道岔同时动作的需求。</w:t>
      </w:r>
    </w:p>
    <w:p w14:paraId="2870675A">
      <w:pPr>
        <w:ind w:firstLine="420"/>
        <w:rPr>
          <w:rFonts w:ascii="宋体" w:hAnsi="宋体" w:cs="宋体"/>
          <w:szCs w:val="21"/>
        </w:rPr>
      </w:pPr>
      <w:r>
        <w:rPr>
          <w:rFonts w:hint="eastAsia" w:ascii="宋体" w:hAnsi="宋体" w:cs="宋体"/>
          <w:szCs w:val="21"/>
          <w:lang w:bidi="ar"/>
        </w:rPr>
        <w:t>第5款：考虑到城市轨道交通工程智能运维对信号系统的作用日益凸显，因此本条款要求维修中心的信号电源系统应采用双UPS双母线设备。如果维修中心采用云平台部署方案，由云平台统一考虑电源系统的可靠性。</w:t>
      </w:r>
    </w:p>
    <w:p w14:paraId="7B39B2B2">
      <w:pPr>
        <w:pStyle w:val="2396"/>
      </w:pPr>
      <w:r>
        <w:rPr>
          <w:rFonts w:eastAsia="黑体" w:cs="方正黑体_GBK"/>
          <w:b/>
          <w:bCs/>
          <w:lang w:bidi="ar"/>
        </w:rPr>
        <w:t xml:space="preserve">18.9.8 </w:t>
      </w:r>
      <w:r>
        <w:rPr>
          <w:rFonts w:hint="eastAsia"/>
          <w:lang w:bidi="ar"/>
        </w:rPr>
        <w:t xml:space="preserve"> 第1款：基于电缆运用安全、人身安全及其可用性等要求，而规定的条款。</w:t>
      </w:r>
    </w:p>
    <w:p w14:paraId="6F89500C">
      <w:pPr>
        <w:ind w:firstLine="420"/>
        <w:rPr>
          <w:rFonts w:ascii="宋体" w:hAnsi="宋体" w:cs="宋体"/>
          <w:szCs w:val="21"/>
        </w:rPr>
      </w:pPr>
      <w:r>
        <w:rPr>
          <w:rFonts w:hint="eastAsia" w:ascii="宋体" w:hAnsi="宋体" w:cs="宋体"/>
          <w:szCs w:val="21"/>
          <w:lang w:bidi="ar"/>
        </w:rPr>
        <w:t>第3款：作为原则信号电线路应与电力线路分开敷设，但鉴于城市轨道交通的线路条件，信号电线路与电力线路无论是交叉敷设或是平行敷设，很难保证较大的间距；由于信号系统技术水平、安全防护技术的不断提高和强化，抗干扰能力也有大幅提升，信号电线路与电力线路分开敷设的间距可参照本规范通信章节的规定执行。</w:t>
      </w:r>
    </w:p>
    <w:p w14:paraId="01D0C018">
      <w:pPr>
        <w:pStyle w:val="2396"/>
      </w:pPr>
      <w:r>
        <w:rPr>
          <w:rFonts w:eastAsia="黑体" w:cs="方正黑体_GBK"/>
          <w:b/>
          <w:bCs/>
          <w:lang w:bidi="ar"/>
        </w:rPr>
        <w:t xml:space="preserve">18.9.9  </w:t>
      </w:r>
      <w:r>
        <w:rPr>
          <w:rFonts w:hint="eastAsia"/>
          <w:lang w:bidi="ar"/>
        </w:rPr>
        <w:t>第1款：信号设备室面积应留有适当余量，原则上成排机柜之间按照2m间距进行设计，以备设备增加、更新倒换；设备布置应尽量做到合理紧凑；当信号系统的电源系统未纳入UPS整合范围时，信号系统应单独设置电池间，与信号设备室相邻。</w:t>
      </w:r>
    </w:p>
    <w:p w14:paraId="40660334">
      <w:pPr>
        <w:pStyle w:val="2396"/>
      </w:pPr>
      <w:r>
        <w:rPr>
          <w:rFonts w:eastAsia="黑体" w:cs="方正黑体_GBK"/>
          <w:b/>
          <w:bCs/>
          <w:lang w:bidi="ar"/>
        </w:rPr>
        <w:t xml:space="preserve">18.9.10 </w:t>
      </w:r>
      <w:r>
        <w:rPr>
          <w:rFonts w:hint="eastAsia"/>
          <w:lang w:bidi="ar"/>
        </w:rPr>
        <w:t xml:space="preserve"> 第1款：信号设备原则上属非高频类设备，通常采用一点接地方式，设综合接地箱可保证多条接地线一点接地、接地线连接的强度及施工、维护的便利。为了防止高架、地面线路上雷电对信号设备室内设备的影响，本条款要求在高架、地面车站的信号设备室内设置单独的防雷综合接地箱，不与工作地、屏蔽地等地线共用接地箱，用于室内的所有防雷设备地线单独接地。</w:t>
      </w:r>
    </w:p>
    <w:p w14:paraId="2495BB5C">
      <w:pPr>
        <w:ind w:firstLine="420"/>
        <w:rPr>
          <w:rFonts w:ascii="宋体" w:hAnsi="宋体" w:cs="宋体"/>
          <w:szCs w:val="21"/>
        </w:rPr>
      </w:pPr>
      <w:r>
        <w:rPr>
          <w:rFonts w:hint="eastAsia" w:ascii="宋体" w:hAnsi="宋体" w:cs="宋体"/>
          <w:szCs w:val="21"/>
          <w:lang w:bidi="ar"/>
        </w:rPr>
        <w:t>第2款：室内单独设置的防雷综合接地箱应单独接入站台板下的弱电接地母排，其在弱电接地母排上的接地端子应与信号设备室内的工作地、屏蔽地等地线用的综合接地箱接入弱电接地母排的接地端子间隔5m以上。</w:t>
      </w:r>
    </w:p>
    <w:p w14:paraId="1F417E42">
      <w:pPr>
        <w:ind w:firstLine="420"/>
        <w:rPr>
          <w:rFonts w:ascii="宋体" w:hAnsi="宋体" w:cs="宋体"/>
          <w:szCs w:val="21"/>
        </w:rPr>
      </w:pPr>
      <w:r>
        <w:rPr>
          <w:rFonts w:hint="eastAsia" w:ascii="宋体" w:hAnsi="宋体" w:cs="宋体"/>
          <w:szCs w:val="21"/>
          <w:lang w:bidi="ar"/>
        </w:rPr>
        <w:t>第6款：若采用整根电缆在室内单端接地方式，室外多根电缆在室外箱盒合缆时，应在箱盒内确保多根电缆的分段电缆屏蔽层（含钢带铠装、铝护套）可靠接续。</w:t>
      </w:r>
    </w:p>
    <w:p w14:paraId="2E95688B">
      <w:pPr>
        <w:pStyle w:val="2396"/>
      </w:pPr>
      <w:r>
        <w:rPr>
          <w:rFonts w:eastAsia="黑体" w:cs="方正黑体_GBK"/>
          <w:b/>
          <w:bCs/>
          <w:lang w:bidi="ar"/>
        </w:rPr>
        <w:t xml:space="preserve">18.9.13 </w:t>
      </w:r>
      <w:r>
        <w:rPr>
          <w:rFonts w:hint="eastAsia"/>
          <w:lang w:bidi="ar"/>
        </w:rPr>
        <w:t xml:space="preserve"> 第2款：轨旁信号设备的安装设计应与声屏障、供电、轨道、疏散平台、区间人防、给排水等专业配合，在满足相关规范要求的前提下，应保证信号机显示不受遮挡、信号系统功能实现、满足信号设备安装条件等，还要利于相关专业设备的维修方便。</w:t>
      </w:r>
    </w:p>
    <w:p w14:paraId="34D869AC">
      <w:pPr>
        <w:ind w:firstLine="420"/>
        <w:rPr>
          <w:rFonts w:ascii="宋体" w:hAnsi="宋体" w:cs="宋体"/>
          <w:szCs w:val="21"/>
        </w:rPr>
      </w:pPr>
      <w:r>
        <w:rPr>
          <w:rFonts w:hint="eastAsia" w:ascii="宋体" w:hAnsi="宋体" w:cs="宋体"/>
          <w:szCs w:val="21"/>
          <w:lang w:bidi="ar"/>
        </w:rPr>
        <w:t>第5款：主要考虑侧式站台的站台屏蔽门可能对出站信号机显示造成遮挡，因此考虑侧式站台出站信号机设置在正常运行方向的左侧。</w:t>
      </w:r>
    </w:p>
    <w:p w14:paraId="6D5AC8C5">
      <w:pPr>
        <w:ind w:firstLine="420"/>
        <w:rPr>
          <w:rFonts w:ascii="宋体" w:hAnsi="宋体" w:cs="宋体"/>
          <w:szCs w:val="21"/>
        </w:rPr>
      </w:pPr>
      <w:r>
        <w:rPr>
          <w:rFonts w:hint="eastAsia" w:ascii="宋体" w:hAnsi="宋体" w:cs="宋体"/>
          <w:szCs w:val="21"/>
          <w:lang w:bidi="ar"/>
        </w:rPr>
        <w:t>第6款：由于城市轨道交通地下区间隧道断面和高架桥宽度有限，反向信号机设置在疏散平台侧后，疏散平台的有效疏散宽度基本不能满足规范要求，因此本条款要求设置在正常运行方向左侧的反向信号机宜安装在正常运行方向右侧。</w:t>
      </w:r>
    </w:p>
    <w:p w14:paraId="4ED50CE0">
      <w:pPr>
        <w:pStyle w:val="2396"/>
        <w:rPr>
          <w:lang w:bidi="ar"/>
        </w:rPr>
      </w:pPr>
      <w:r>
        <w:rPr>
          <w:rFonts w:eastAsia="黑体" w:cs="方正黑体_GBK"/>
          <w:b/>
          <w:bCs/>
          <w:lang w:bidi="ar"/>
        </w:rPr>
        <w:t xml:space="preserve">18.9.17 </w:t>
      </w:r>
      <w:r>
        <w:rPr>
          <w:rFonts w:hint="eastAsia"/>
          <w:lang w:bidi="ar"/>
        </w:rPr>
        <w:t xml:space="preserve"> 道岔在不同工况下，定位/反位的转换所需时间不同，若电动转辙机失去定/反位表示状态的允许时间小于13s，实际应用中将出现错误的“挤岔报警”现象，降低了系统的可用性。</w:t>
      </w:r>
    </w:p>
    <w:p w14:paraId="5E5BC903">
      <w:pPr>
        <w:pStyle w:val="2396"/>
        <w:rPr>
          <w:lang w:bidi="ar"/>
        </w:rPr>
      </w:pPr>
    </w:p>
    <w:p w14:paraId="023B578D">
      <w:pPr>
        <w:widowControl/>
        <w:spacing w:line="240" w:lineRule="auto"/>
        <w:jc w:val="left"/>
        <w:rPr>
          <w:lang w:bidi="ar"/>
        </w:rPr>
      </w:pPr>
      <w:r>
        <w:rPr>
          <w:lang w:bidi="ar"/>
        </w:rPr>
        <w:br w:type="page"/>
      </w:r>
    </w:p>
    <w:p w14:paraId="399A7F6F">
      <w:pPr>
        <w:pStyle w:val="240"/>
      </w:pPr>
      <w:bookmarkStart w:id="3024" w:name="_Toc183738178"/>
      <w:bookmarkStart w:id="3025" w:name="_Toc183790786"/>
      <w:bookmarkStart w:id="3026" w:name="_Toc183454221"/>
      <w:bookmarkStart w:id="3027" w:name="_Toc357929599"/>
      <w:bookmarkStart w:id="3028" w:name="_Toc183735450"/>
      <w:bookmarkStart w:id="3029" w:name="_Toc183454901"/>
      <w:bookmarkStart w:id="3030" w:name="_Toc183882347"/>
      <w:bookmarkStart w:id="3031" w:name="_Toc183765356"/>
      <w:bookmarkStart w:id="3032" w:name="_Toc183454518"/>
      <w:bookmarkStart w:id="3033" w:name="_Toc183882709"/>
      <w:bookmarkStart w:id="3034" w:name="_Toc183888761"/>
      <w:bookmarkStart w:id="3035" w:name="_Toc183699906"/>
      <w:bookmarkStart w:id="3036" w:name="_Toc183888399"/>
      <w:r>
        <w:rPr>
          <w:rFonts w:hint="eastAsia"/>
          <w:b/>
        </w:rPr>
        <w:t xml:space="preserve">19 </w:t>
      </w:r>
      <w:r>
        <w:rPr>
          <w:rFonts w:hint="eastAsia"/>
        </w:rPr>
        <w:t xml:space="preserve"> 车站运营设备</w:t>
      </w:r>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14:paraId="77179C8A">
      <w:pPr>
        <w:pStyle w:val="4"/>
        <w:numPr>
          <w:ilvl w:val="0"/>
          <w:numId w:val="0"/>
        </w:numPr>
        <w:rPr>
          <w:lang w:bidi="ar"/>
        </w:rPr>
      </w:pPr>
      <w:bookmarkStart w:id="3037" w:name="_Toc357929600"/>
      <w:bookmarkStart w:id="3038" w:name="_Toc183888400"/>
      <w:bookmarkStart w:id="3039" w:name="_Toc183882348"/>
      <w:bookmarkStart w:id="3040" w:name="_Toc183454222"/>
      <w:bookmarkStart w:id="3041" w:name="_Toc183888762"/>
      <w:bookmarkStart w:id="3042" w:name="_Toc183738179"/>
      <w:bookmarkStart w:id="3043" w:name="_Toc183882710"/>
      <w:bookmarkStart w:id="3044" w:name="_Toc183790787"/>
      <w:bookmarkStart w:id="3045" w:name="_Toc183454902"/>
      <w:bookmarkStart w:id="3046" w:name="_Toc183765357"/>
      <w:bookmarkStart w:id="3047" w:name="_Toc183454519"/>
      <w:r>
        <w:rPr>
          <w:rFonts w:hint="eastAsia"/>
          <w:b/>
          <w:lang w:bidi="ar"/>
        </w:rPr>
        <w:t>19.1</w:t>
      </w:r>
      <w:r>
        <w:rPr>
          <w:lang w:bidi="ar"/>
        </w:rPr>
        <w:t xml:space="preserve"> </w:t>
      </w:r>
      <w:r>
        <w:rPr>
          <w:rFonts w:hint="eastAsia"/>
          <w:lang w:bidi="ar"/>
        </w:rPr>
        <w:t xml:space="preserve"> 站台</w:t>
      </w:r>
      <w:bookmarkEnd w:id="3037"/>
      <w:r>
        <w:rPr>
          <w:rFonts w:hint="eastAsia"/>
          <w:lang w:bidi="ar"/>
        </w:rPr>
        <w:t>屏蔽门</w:t>
      </w:r>
      <w:bookmarkEnd w:id="3038"/>
      <w:bookmarkEnd w:id="3039"/>
      <w:bookmarkEnd w:id="3040"/>
      <w:bookmarkEnd w:id="3041"/>
      <w:bookmarkEnd w:id="3042"/>
      <w:bookmarkEnd w:id="3043"/>
      <w:bookmarkEnd w:id="3044"/>
      <w:bookmarkEnd w:id="3045"/>
      <w:bookmarkEnd w:id="3046"/>
      <w:bookmarkEnd w:id="3047"/>
    </w:p>
    <w:p w14:paraId="5FDD5B75">
      <w:pPr>
        <w:ind w:firstLine="420"/>
        <w:jc w:val="center"/>
        <w:rPr>
          <w:rFonts w:eastAsia="黑体"/>
        </w:rPr>
      </w:pPr>
      <w:r>
        <w:rPr>
          <w:rFonts w:eastAsia="黑体"/>
          <w:b/>
        </w:rPr>
        <w:t>I</w:t>
      </w:r>
      <w:r>
        <w:rPr>
          <w:rFonts w:eastAsia="黑体"/>
        </w:rPr>
        <w:t xml:space="preserve">  一般规定</w:t>
      </w:r>
    </w:p>
    <w:p w14:paraId="4A0A8520">
      <w:pPr>
        <w:rPr>
          <w:rFonts w:eastAsia="黑体" w:cs="方正黑体_GBK"/>
          <w:szCs w:val="21"/>
        </w:rPr>
      </w:pPr>
      <w:r>
        <w:rPr>
          <w:rFonts w:eastAsia="黑体" w:cs="方正黑体_GBK"/>
          <w:b/>
          <w:szCs w:val="21"/>
        </w:rPr>
        <w:t xml:space="preserve">19.1.1  </w:t>
      </w:r>
      <w:r>
        <w:rPr>
          <w:rFonts w:hint="eastAsia" w:ascii="宋体" w:hAnsi="宋体" w:cs="宋体"/>
        </w:rPr>
        <w:t>关于名称的说明，按照《城市轨道交通工程基本术语标准》GB/T 50833-2012的规定，结合《地铁设计标准》及相关行业标准修订情况，名称统一为“站台屏蔽门”，简称“屏蔽门”。</w:t>
      </w:r>
    </w:p>
    <w:p w14:paraId="10A1EC80">
      <w:pPr>
        <w:rPr>
          <w:rFonts w:ascii="宋体" w:hAnsi="宋体" w:cs="宋体"/>
          <w:szCs w:val="21"/>
        </w:rPr>
      </w:pPr>
      <w:r>
        <w:rPr>
          <w:rFonts w:eastAsia="黑体" w:cs="方正黑体_GBK"/>
          <w:szCs w:val="21"/>
        </w:rPr>
        <w:t>19.1.2</w:t>
      </w:r>
      <w:r>
        <w:rPr>
          <w:rFonts w:hint="eastAsia" w:ascii="Arial" w:hAnsi="Arial" w:cs="Arial"/>
          <w:szCs w:val="18"/>
        </w:rPr>
        <w:t xml:space="preserve"> </w:t>
      </w:r>
      <w:r>
        <w:rPr>
          <w:rFonts w:hint="eastAsia"/>
          <w:szCs w:val="18"/>
        </w:rPr>
        <w:t xml:space="preserve"> </w:t>
      </w:r>
      <w:r>
        <w:rPr>
          <w:rFonts w:hint="eastAsia" w:ascii="宋体" w:hAnsi="宋体" w:cs="宋体"/>
          <w:szCs w:val="21"/>
        </w:rPr>
        <w:t>有的线路既有地下车站又有少量地上车站或反之。从安全、美观等多方面考虑，地下车站宜设置全高站台屏蔽门，地上车站宜设置半高站台屏蔽门。但是由于两种站台屏蔽门结构型式的差异，在实际工程中需要进行两种门体的设计和生产，并制造两种样机，进行两种样机的相关测试，给实际工程的实施带来诸多不便，也增加了工程的投资和后期维护保养工作量。在这些线路可以结合所设置地上或地下车站的具体特点，在不影响通风空调系统设置的条件下，考虑全线采用相同的站台屏蔽门。</w:t>
      </w:r>
    </w:p>
    <w:p w14:paraId="2EFAB61B">
      <w:pPr>
        <w:rPr>
          <w:rFonts w:ascii="宋体" w:hAnsi="宋体" w:cs="宋体"/>
          <w:szCs w:val="21"/>
        </w:rPr>
      </w:pPr>
      <w:r>
        <w:rPr>
          <w:rFonts w:eastAsia="黑体" w:cs="方正黑体_GBK"/>
          <w:b/>
          <w:szCs w:val="21"/>
        </w:rPr>
        <w:t>19.1.5</w:t>
      </w:r>
      <w:r>
        <w:rPr>
          <w:rFonts w:hint="eastAsia" w:eastAsia="黑体" w:cs="方正黑体_GBK"/>
          <w:b/>
          <w:szCs w:val="21"/>
        </w:rPr>
        <w:t xml:space="preserve">  </w:t>
      </w:r>
      <w:r>
        <w:rPr>
          <w:rFonts w:hint="eastAsia" w:ascii="宋体" w:hAnsi="宋体" w:cs="宋体"/>
          <w:szCs w:val="21"/>
        </w:rPr>
        <w:t>当运行线路有互联互通、灵活编组需求时，每侧站台屏蔽门的总体布置、滑动门数量及门间距应满足所有跨线运行列车的运营乘降要求。</w:t>
      </w:r>
    </w:p>
    <w:p w14:paraId="6328E7D9">
      <w:pPr>
        <w:rPr>
          <w:szCs w:val="18"/>
        </w:rPr>
      </w:pPr>
      <w:r>
        <w:rPr>
          <w:rFonts w:eastAsia="黑体" w:cs="方正黑体_GBK"/>
          <w:b/>
          <w:szCs w:val="21"/>
        </w:rPr>
        <w:t>19.1.6</w:t>
      </w:r>
      <w:r>
        <w:rPr>
          <w:rFonts w:hint="eastAsia" w:eastAsia="黑体" w:cs="方正黑体_GBK"/>
          <w:b/>
          <w:szCs w:val="21"/>
        </w:rPr>
        <w:t xml:space="preserve">  </w:t>
      </w:r>
      <w:r>
        <w:rPr>
          <w:rFonts w:hint="eastAsia" w:ascii="宋体" w:hAnsi="宋体" w:cs="宋体"/>
          <w:szCs w:val="21"/>
        </w:rPr>
        <w:t>站台屏蔽门门体结构设计时应结合工程条件考虑各种可能的荷载，包括地下/地上车站（轨道封闭时）活塞风载荷和地上车站风载荷、人群挤压力、人群冲击力以及地震作用力等，具体见第</w:t>
      </w:r>
      <w:r>
        <w:rPr>
          <w:rFonts w:hint="eastAsia" w:eastAsia="黑体" w:cs="方正黑体_GBK"/>
          <w:b/>
          <w:szCs w:val="21"/>
        </w:rPr>
        <w:t xml:space="preserve">19.1.22  </w:t>
      </w:r>
      <w:r>
        <w:rPr>
          <w:rFonts w:hint="eastAsia" w:ascii="宋体" w:hAnsi="宋体" w:cs="宋体"/>
          <w:szCs w:val="21"/>
        </w:rPr>
        <w:t>条相关要求，门体结构应在上述各种载荷的最不利组合作用下变形后满足限界的要求。</w:t>
      </w:r>
    </w:p>
    <w:p w14:paraId="335358F5">
      <w:pPr>
        <w:ind w:firstLine="420"/>
        <w:rPr>
          <w:szCs w:val="18"/>
        </w:rPr>
      </w:pPr>
      <w:r>
        <w:rPr>
          <w:rFonts w:hint="eastAsia" w:ascii="宋体" w:hAnsi="宋体" w:cs="宋体"/>
          <w:szCs w:val="21"/>
        </w:rPr>
        <w:t>限界设置在保证行车安全基础上已尽量缩小站台屏蔽门与列车车体之间的间隙，以保证乘客上下车安全，因此原则上站台屏蔽门按照限界要求安装即可。但根据工程具体实施情况，必要时也可考虑采取安全防护措施，如在滑动门门槛设置防踏空装置、滑动门轨道侧安装防夹挡板（含横挡板），或在站台屏蔽门与列车车体之间设置间隙探测装置。</w:t>
      </w:r>
    </w:p>
    <w:p w14:paraId="1F8882C7">
      <w:pPr>
        <w:rPr>
          <w:szCs w:val="18"/>
        </w:rPr>
      </w:pPr>
      <w:r>
        <w:rPr>
          <w:rFonts w:eastAsia="黑体" w:cs="方正黑体_GBK"/>
          <w:b/>
          <w:szCs w:val="21"/>
        </w:rPr>
        <w:t>1</w:t>
      </w:r>
      <w:r>
        <w:rPr>
          <w:rFonts w:hint="eastAsia" w:eastAsia="黑体" w:cs="方正黑体_GBK"/>
          <w:b/>
          <w:szCs w:val="21"/>
        </w:rPr>
        <w:t>9</w:t>
      </w:r>
      <w:r>
        <w:rPr>
          <w:rFonts w:eastAsia="黑体" w:cs="方正黑体_GBK"/>
          <w:b/>
          <w:szCs w:val="21"/>
        </w:rPr>
        <w:t xml:space="preserve">.1.14 </w:t>
      </w:r>
      <w:r>
        <w:rPr>
          <w:rFonts w:hint="eastAsia"/>
          <w:b/>
          <w:szCs w:val="18"/>
        </w:rPr>
        <w:t xml:space="preserve"> </w:t>
      </w:r>
      <w:r>
        <w:rPr>
          <w:rFonts w:hint="eastAsia" w:ascii="宋体" w:hAnsi="宋体" w:cs="宋体"/>
          <w:szCs w:val="21"/>
        </w:rPr>
        <w:t>传统站台屏蔽门门体材质采用安全钢化玻璃和钢材制作，门扇采用隐框结构，并设置有橡胶和毛刷，故原则上站台屏蔽门不得作为防火分隔设施。根据某些特定工程的需要，如确实需要站台屏蔽门具有一定消防功能，则门体结构及相关材质包括玻璃、橡胶等必须进行相应调整，并不得影响站台屏蔽门的安全性。</w:t>
      </w:r>
    </w:p>
    <w:p w14:paraId="530DC29D">
      <w:pPr>
        <w:rPr>
          <w:rFonts w:ascii="宋体" w:hAnsi="宋体" w:cs="宋体"/>
          <w:szCs w:val="21"/>
        </w:rPr>
      </w:pPr>
      <w:r>
        <w:rPr>
          <w:rFonts w:eastAsia="黑体" w:cs="方正黑体_GBK"/>
          <w:szCs w:val="21"/>
        </w:rPr>
        <w:t>18.1.17</w:t>
      </w:r>
      <w:r>
        <w:rPr>
          <w:rFonts w:hint="eastAsia"/>
          <w:szCs w:val="18"/>
        </w:rPr>
        <w:t xml:space="preserve">  </w:t>
      </w:r>
      <w:r>
        <w:rPr>
          <w:rFonts w:hint="eastAsia" w:ascii="宋体" w:hAnsi="宋体" w:cs="宋体"/>
          <w:szCs w:val="21"/>
        </w:rPr>
        <w:t>站台屏蔽门系统的时钟信息原则通过站台屏蔽门系统与综合监控系统的接口实现。根据工程具体情况，如与综合监控系统的接口不能提供时钟信息，则站台屏蔽门系统考虑与时钟系统的接口。</w:t>
      </w:r>
    </w:p>
    <w:p w14:paraId="51EFF553">
      <w:pPr>
        <w:ind w:firstLine="420"/>
        <w:jc w:val="center"/>
        <w:rPr>
          <w:rFonts w:eastAsia="黑体" w:cs="方正黑体_GBK"/>
        </w:rPr>
      </w:pPr>
      <w:r>
        <w:rPr>
          <w:rFonts w:eastAsia="黑体" w:cs="方正黑体_GBK"/>
        </w:rPr>
        <w:t>II  主要技术参数</w:t>
      </w:r>
    </w:p>
    <w:p w14:paraId="7DA34764">
      <w:pPr>
        <w:rPr>
          <w:rFonts w:eastAsia="黑体" w:cs="方正黑体_GBK"/>
          <w:b/>
          <w:bCs/>
          <w:szCs w:val="21"/>
        </w:rPr>
      </w:pPr>
      <w:r>
        <w:rPr>
          <w:rFonts w:eastAsia="黑体" w:cs="方正黑体_GBK"/>
          <w:b/>
          <w:szCs w:val="21"/>
        </w:rPr>
        <w:t xml:space="preserve">19.1.28  </w:t>
      </w:r>
      <w:r>
        <w:rPr>
          <w:rFonts w:hint="eastAsia" w:ascii="宋体" w:hAnsi="宋体" w:cs="宋体"/>
        </w:rPr>
        <w:t>测试条件可按以下进行：离开站台屏蔽门门体1m，高度1.5m处，全高封闭型站台屏蔽门、全高非封闭型站台屏蔽门门体顶箱/半高屏蔽门固定侧盒盖板面板关闭情况下，在运行中测试的噪音峰值不应超过≤70dB（A）。</w:t>
      </w:r>
    </w:p>
    <w:p w14:paraId="7BF6CA26">
      <w:pPr>
        <w:ind w:firstLine="420"/>
        <w:jc w:val="center"/>
        <w:rPr>
          <w:rFonts w:eastAsia="黑体" w:cs="方正黑体_GBK"/>
        </w:rPr>
      </w:pPr>
      <w:r>
        <w:rPr>
          <w:rFonts w:eastAsia="黑体" w:cs="方正黑体_GBK"/>
        </w:rPr>
        <w:t>III  系统基本构成</w:t>
      </w:r>
    </w:p>
    <w:p w14:paraId="45B619B4">
      <w:pPr>
        <w:jc w:val="left"/>
        <w:rPr>
          <w:rFonts w:eastAsia="黑体" w:cs="方正黑体_GBK"/>
        </w:rPr>
      </w:pPr>
      <w:r>
        <w:rPr>
          <w:rFonts w:eastAsia="黑体" w:cs="方正黑体_GBK"/>
          <w:b/>
          <w:szCs w:val="21"/>
        </w:rPr>
        <w:t>19.1.33</w:t>
      </w:r>
      <w:r>
        <w:rPr>
          <w:rFonts w:hint="eastAsia" w:eastAsia="黑体" w:cs="方正黑体_GBK"/>
          <w:b/>
          <w:szCs w:val="21"/>
        </w:rPr>
        <w:t xml:space="preserve">  </w:t>
      </w:r>
      <w:r>
        <w:rPr>
          <w:rFonts w:ascii="宋体" w:hAnsi="宋体" w:cs="宋体"/>
        </w:rPr>
        <w:t>第1款</w:t>
      </w:r>
      <w:r>
        <w:rPr>
          <w:rFonts w:hint="eastAsia" w:ascii="宋体" w:hAnsi="宋体" w:cs="宋体"/>
        </w:rPr>
        <w:t xml:space="preserve">  考虑全自动</w:t>
      </w:r>
      <w:r>
        <w:rPr>
          <w:rFonts w:ascii="宋体" w:hAnsi="宋体" w:cs="宋体"/>
        </w:rPr>
        <w:t>运行线路车站布局特点，有可能在站台</w:t>
      </w:r>
      <w:r>
        <w:rPr>
          <w:rFonts w:hint="eastAsia" w:ascii="宋体" w:hAnsi="宋体" w:cs="宋体"/>
        </w:rPr>
        <w:t>屏蔽门端部</w:t>
      </w:r>
      <w:r>
        <w:rPr>
          <w:rFonts w:ascii="宋体" w:hAnsi="宋体" w:cs="宋体"/>
        </w:rPr>
        <w:t>不设置端门，具体需结合车站</w:t>
      </w:r>
      <w:r>
        <w:rPr>
          <w:rFonts w:hint="eastAsia" w:ascii="宋体" w:hAnsi="宋体" w:cs="宋体"/>
        </w:rPr>
        <w:t>建筑</w:t>
      </w:r>
      <w:r>
        <w:rPr>
          <w:rFonts w:ascii="宋体" w:hAnsi="宋体" w:cs="宋体"/>
        </w:rPr>
        <w:t>布置确定。不设置端门时，由车站建筑</w:t>
      </w:r>
      <w:r>
        <w:rPr>
          <w:rFonts w:hint="eastAsia" w:ascii="宋体" w:hAnsi="宋体" w:cs="宋体"/>
        </w:rPr>
        <w:t>另行</w:t>
      </w:r>
      <w:r>
        <w:rPr>
          <w:rFonts w:ascii="宋体" w:hAnsi="宋体" w:cs="宋体"/>
        </w:rPr>
        <w:t>考虑轨行区到设备区的疏散问题。</w:t>
      </w:r>
    </w:p>
    <w:p w14:paraId="7604D8A4">
      <w:pPr>
        <w:rPr>
          <w:rFonts w:ascii="宋体" w:hAnsi="宋体" w:cs="宋体"/>
          <w:szCs w:val="21"/>
        </w:rPr>
      </w:pPr>
      <w:r>
        <w:rPr>
          <w:rFonts w:eastAsia="黑体" w:cs="方正黑体_GBK"/>
          <w:b/>
          <w:szCs w:val="21"/>
        </w:rPr>
        <w:t>19.1.33</w:t>
      </w:r>
      <w:r>
        <w:rPr>
          <w:rFonts w:hint="eastAsia" w:eastAsia="黑体" w:cs="方正黑体_GBK"/>
          <w:b/>
          <w:szCs w:val="21"/>
        </w:rPr>
        <w:t xml:space="preserve">  </w:t>
      </w:r>
      <w:r>
        <w:rPr>
          <w:rFonts w:ascii="宋体" w:hAnsi="宋体" w:cs="宋体"/>
        </w:rPr>
        <w:t>第</w:t>
      </w:r>
      <w:r>
        <w:rPr>
          <w:rFonts w:hint="eastAsia" w:ascii="宋体" w:hAnsi="宋体"/>
        </w:rPr>
        <w:t>4款</w:t>
      </w:r>
      <w:r>
        <w:rPr>
          <w:rFonts w:hint="eastAsia" w:ascii="宋体" w:hAnsi="宋体" w:cs="宋体"/>
        </w:rPr>
        <w:t xml:space="preserve">  从安全性</w:t>
      </w:r>
      <w:r>
        <w:rPr>
          <w:rFonts w:hint="eastAsia" w:ascii="宋体" w:hAnsi="宋体" w:cs="宋体"/>
          <w:szCs w:val="21"/>
        </w:rPr>
        <w:t>和快速疏散角度考虑，应急门宜对应每辆车各设置一道，以便在发生灾情或事故需要时，可以减少乘客在车内行走的距离，以使乘客能尽快通过应急门走出车厢。但是应急门的设置位置又往往受到站台两端及楼扶梯区段疏散通道的影响。因此困难情况下或结合车型特点可适当减少应急门的设置数量，但最少不得少于远期列车编组数的二分之一。</w:t>
      </w:r>
    </w:p>
    <w:p w14:paraId="32F80C02">
      <w:pPr>
        <w:rPr>
          <w:rFonts w:ascii="宋体" w:hAnsi="宋体" w:cs="宋体"/>
          <w:szCs w:val="21"/>
        </w:rPr>
      </w:pPr>
      <w:r>
        <w:rPr>
          <w:rFonts w:eastAsia="黑体" w:cs="方正黑体_GBK"/>
          <w:b/>
          <w:szCs w:val="21"/>
        </w:rPr>
        <w:t>19.1.33</w:t>
      </w:r>
      <w:r>
        <w:rPr>
          <w:rFonts w:hint="eastAsia" w:eastAsia="黑体" w:cs="方正黑体_GBK"/>
          <w:b/>
          <w:szCs w:val="21"/>
        </w:rPr>
        <w:t xml:space="preserve">  </w:t>
      </w:r>
      <w:r>
        <w:rPr>
          <w:rFonts w:ascii="宋体" w:hAnsi="宋体" w:cs="宋体"/>
        </w:rPr>
        <w:t>第</w:t>
      </w:r>
      <w:r>
        <w:rPr>
          <w:rFonts w:hint="eastAsia" w:ascii="宋体" w:hAnsi="宋体"/>
        </w:rPr>
        <w:t>8款</w:t>
      </w:r>
      <w:r>
        <w:rPr>
          <w:rFonts w:hint="eastAsia" w:ascii="宋体" w:hAnsi="宋体" w:cs="宋体"/>
        </w:rPr>
        <w:t xml:space="preserve">  站台屏蔽门端门从满足人员通行和方便运营人员操作，开门净高度不应低于2000mm。如需按《建筑防火通用规范》GB 55037-2022 第7.1.5条的要求作为疏散通道出口，则端门的净高度不应小于2100mm，具体根据项目需求确定。</w:t>
      </w:r>
    </w:p>
    <w:p w14:paraId="70F16916">
      <w:pPr>
        <w:rPr>
          <w:szCs w:val="18"/>
        </w:rPr>
      </w:pPr>
      <w:r>
        <w:rPr>
          <w:rFonts w:eastAsia="黑体" w:cs="方正黑体_GBK"/>
          <w:b/>
          <w:szCs w:val="21"/>
        </w:rPr>
        <w:t>19.1.35</w:t>
      </w:r>
      <w:r>
        <w:rPr>
          <w:rFonts w:hint="eastAsia" w:eastAsia="黑体" w:cs="方正黑体_GBK"/>
          <w:b/>
          <w:szCs w:val="21"/>
        </w:rPr>
        <w:t xml:space="preserve">  </w:t>
      </w:r>
      <w:r>
        <w:rPr>
          <w:rFonts w:ascii="宋体" w:hAnsi="宋体" w:cs="宋体"/>
        </w:rPr>
        <w:t>第</w:t>
      </w:r>
      <w:r>
        <w:rPr>
          <w:rFonts w:hint="eastAsia" w:ascii="宋体" w:hAnsi="宋体"/>
        </w:rPr>
        <w:t>2款</w:t>
      </w:r>
      <w:r>
        <w:rPr>
          <w:rFonts w:hint="eastAsia" w:ascii="宋体" w:hAnsi="宋体" w:cs="宋体"/>
        </w:rPr>
        <w:t xml:space="preserve">  此条文对</w:t>
      </w:r>
      <w:r>
        <w:rPr>
          <w:rFonts w:hint="eastAsia" w:ascii="宋体" w:hAnsi="宋体" w:cs="宋体"/>
          <w:szCs w:val="21"/>
        </w:rPr>
        <w:t>应整列站台屏蔽门而不是每道滑动门的控制优先级。</w:t>
      </w:r>
    </w:p>
    <w:p w14:paraId="78597251">
      <w:pPr>
        <w:rPr>
          <w:rFonts w:ascii="宋体" w:hAnsi="宋体" w:cs="宋体"/>
          <w:szCs w:val="21"/>
        </w:rPr>
      </w:pPr>
      <w:r>
        <w:rPr>
          <w:rFonts w:eastAsia="黑体" w:cs="方正黑体_GBK"/>
          <w:b/>
          <w:szCs w:val="21"/>
        </w:rPr>
        <w:t>19.1.35</w:t>
      </w:r>
      <w:r>
        <w:rPr>
          <w:rFonts w:hint="eastAsia" w:eastAsia="黑体" w:cs="方正黑体_GBK"/>
          <w:b/>
          <w:szCs w:val="21"/>
        </w:rPr>
        <w:t xml:space="preserve">  </w:t>
      </w:r>
      <w:r>
        <w:rPr>
          <w:rFonts w:hint="eastAsia" w:ascii="宋体" w:hAnsi="宋体" w:cs="宋体"/>
        </w:rPr>
        <w:t>第</w:t>
      </w:r>
      <w:r>
        <w:rPr>
          <w:rFonts w:hint="eastAsia" w:ascii="宋体" w:hAnsi="宋体"/>
        </w:rPr>
        <w:t>4</w:t>
      </w:r>
      <w:r>
        <w:rPr>
          <w:rFonts w:ascii="宋体" w:hAnsi="宋体" w:cs="宋体"/>
        </w:rPr>
        <w:t>款</w:t>
      </w:r>
      <w:r>
        <w:rPr>
          <w:rFonts w:hint="eastAsia" w:ascii="宋体" w:hAnsi="宋体" w:cs="宋体"/>
          <w:szCs w:val="21"/>
        </w:rPr>
        <w:t xml:space="preserve">  当一座车站设置多侧站台时，站台屏蔽门监视系统宜以站台屏蔽门设备室为单位独立设置，并与综合监控系统进行接口。</w:t>
      </w:r>
    </w:p>
    <w:p w14:paraId="1A837B0C">
      <w:pPr>
        <w:rPr>
          <w:rFonts w:ascii="宋体" w:hAnsi="宋体" w:cs="宋体"/>
        </w:rPr>
      </w:pPr>
      <w:r>
        <w:rPr>
          <w:rFonts w:eastAsia="黑体" w:cs="方正黑体_GBK"/>
          <w:b/>
          <w:szCs w:val="21"/>
        </w:rPr>
        <w:t>19.1.35</w:t>
      </w:r>
      <w:r>
        <w:rPr>
          <w:rFonts w:hint="eastAsia" w:eastAsia="黑体" w:cs="方正黑体_GBK"/>
          <w:b/>
          <w:szCs w:val="21"/>
        </w:rPr>
        <w:t xml:space="preserve">  </w:t>
      </w:r>
      <w:r>
        <w:rPr>
          <w:rFonts w:hint="eastAsia" w:ascii="宋体" w:hAnsi="宋体" w:cs="宋体"/>
        </w:rPr>
        <w:t>第</w:t>
      </w:r>
      <w:r>
        <w:rPr>
          <w:rFonts w:ascii="宋体" w:hAnsi="宋体" w:cs="宋体"/>
        </w:rPr>
        <w:t>7</w:t>
      </w:r>
      <w:r>
        <w:rPr>
          <w:rFonts w:hint="eastAsia" w:ascii="宋体" w:hAnsi="宋体" w:cs="宋体"/>
        </w:rPr>
        <w:t>款 全自动运营线路越来越多，运营需求也将更加灵活，存在更多编组（三种及以上）列车共线运营情况，若继续采用硬线连接方式，系统将过于复杂，所需敷设线缆较多。同时随着技术的发展，网络连接方式的安全、可靠性进一步提高，且易于实现并可以满足工程需要，因此控制接口方式由“应”调整为“宜”采用硬线连接方式。为确保运营安全，采用网络连接方式时必须采用安全协议，并建议结合工程特点考虑至少对应主要车型在确保安全情况下保留硬线连接方式。</w:t>
      </w:r>
    </w:p>
    <w:p w14:paraId="41144B4F">
      <w:pPr>
        <w:rPr>
          <w:rFonts w:ascii="宋体" w:hAnsi="宋体" w:cs="宋体"/>
        </w:rPr>
      </w:pPr>
      <w:r>
        <w:rPr>
          <w:rFonts w:eastAsia="黑体" w:cs="方正黑体_GBK"/>
          <w:b/>
          <w:szCs w:val="21"/>
        </w:rPr>
        <w:t>19.1.35</w:t>
      </w:r>
      <w:r>
        <w:rPr>
          <w:rFonts w:hint="eastAsia" w:eastAsia="黑体" w:cs="方正黑体_GBK"/>
          <w:b/>
          <w:szCs w:val="21"/>
        </w:rPr>
        <w:t xml:space="preserve">  </w:t>
      </w:r>
      <w:r>
        <w:rPr>
          <w:rFonts w:ascii="宋体" w:hAnsi="宋体" w:cs="宋体"/>
        </w:rPr>
        <w:t>第</w:t>
      </w:r>
      <w:r>
        <w:rPr>
          <w:rFonts w:hint="eastAsia" w:ascii="宋体" w:hAnsi="宋体" w:cs="宋体"/>
        </w:rPr>
        <w:t>9</w:t>
      </w:r>
      <w:r>
        <w:rPr>
          <w:rFonts w:ascii="宋体" w:hAnsi="宋体" w:cs="宋体"/>
        </w:rPr>
        <w:t>款</w:t>
      </w:r>
      <w:r>
        <w:rPr>
          <w:rFonts w:hint="eastAsia" w:ascii="宋体" w:hAnsi="宋体" w:cs="宋体"/>
        </w:rPr>
        <w:t xml:space="preserve"> 本条针对间隙探测系统直接接入信号系统提出。当间隙探测系统接入站台屏蔽门系统时，接口方式保持不变。</w:t>
      </w:r>
    </w:p>
    <w:p w14:paraId="4299E845">
      <w:pPr>
        <w:rPr>
          <w:rFonts w:ascii="宋体" w:hAnsi="宋体" w:cs="宋体"/>
          <w:szCs w:val="21"/>
        </w:rPr>
      </w:pPr>
      <w:r>
        <w:rPr>
          <w:rFonts w:eastAsia="黑体" w:cs="方正黑体_GBK"/>
          <w:b/>
          <w:szCs w:val="21"/>
        </w:rPr>
        <w:t>19.1.36</w:t>
      </w:r>
      <w:r>
        <w:rPr>
          <w:rFonts w:hint="eastAsia" w:eastAsia="黑体" w:cs="方正黑体_GBK"/>
          <w:b/>
          <w:szCs w:val="21"/>
        </w:rPr>
        <w:t xml:space="preserve">  </w:t>
      </w:r>
      <w:r>
        <w:rPr>
          <w:rFonts w:ascii="宋体" w:hAnsi="宋体" w:cs="宋体"/>
        </w:rPr>
        <w:t>第8</w:t>
      </w:r>
      <w:r>
        <w:rPr>
          <w:rFonts w:hint="eastAsia" w:ascii="宋体" w:hAnsi="宋体" w:cs="宋体"/>
        </w:rPr>
        <w:t>款  根据既有工程实施情况，站台屏蔽门对地绝缘实施效果较难满足要求。而随着技术发展，目前门体表面绝缘（含独立绝缘门槛）技术已基本成熟，可以实现较为稳定的绝缘效果，因此可调整门体接地和绝缘措施，即在保证门体表面绝缘效果可有效避免站台屏蔽门与列车车体间存在的电位差给乘客带来的安全隐患时，门体可不与钢轨采用等电位连接，此时门体等电位连接后接车站综合接地网</w:t>
      </w:r>
      <w:r>
        <w:rPr>
          <w:rFonts w:hint="eastAsia" w:ascii="宋体" w:hAnsi="宋体" w:cs="宋体"/>
          <w:szCs w:val="21"/>
        </w:rPr>
        <w:t>。</w:t>
      </w:r>
    </w:p>
    <w:p w14:paraId="25707F5A">
      <w:pPr>
        <w:ind w:firstLine="420"/>
        <w:rPr>
          <w:rFonts w:ascii="宋体" w:hAnsi="宋体" w:cs="宋体"/>
        </w:rPr>
      </w:pPr>
      <w:r>
        <w:rPr>
          <w:rFonts w:hint="eastAsia" w:ascii="宋体" w:hAnsi="宋体" w:cs="宋体"/>
          <w:szCs w:val="21"/>
        </w:rPr>
        <w:t>为确保连接可靠，站台屏蔽门与钢轨或综合接地网的连接均应采用单点、双线连接方式。绝缘电阻测量表的选择应确保精度要求。</w:t>
      </w:r>
    </w:p>
    <w:p w14:paraId="67D262D4">
      <w:pPr>
        <w:rPr>
          <w:szCs w:val="18"/>
        </w:rPr>
      </w:pPr>
      <w:r>
        <w:rPr>
          <w:rFonts w:eastAsia="黑体" w:cs="方正黑体_GBK"/>
          <w:b/>
          <w:szCs w:val="21"/>
        </w:rPr>
        <w:t>19.1.36</w:t>
      </w:r>
      <w:r>
        <w:rPr>
          <w:rFonts w:hint="eastAsia" w:eastAsia="黑体" w:cs="方正黑体_GBK"/>
          <w:b/>
          <w:szCs w:val="21"/>
        </w:rPr>
        <w:t xml:space="preserve">  </w:t>
      </w:r>
      <w:r>
        <w:rPr>
          <w:rFonts w:hint="eastAsia" w:ascii="宋体" w:hAnsi="宋体" w:cs="宋体"/>
        </w:rPr>
        <w:t>第</w:t>
      </w:r>
      <w:r>
        <w:rPr>
          <w:rFonts w:ascii="宋体" w:hAnsi="宋体" w:cs="宋体"/>
        </w:rPr>
        <w:t>9</w:t>
      </w:r>
      <w:r>
        <w:rPr>
          <w:rFonts w:hint="eastAsia" w:ascii="宋体" w:hAnsi="宋体" w:cs="宋体"/>
        </w:rPr>
        <w:t>款  考虑不同轨道交通制式特点，有的轨道交通系统如采用交流供电或四轨回流的钢轮钢轨系统</w:t>
      </w:r>
      <w:r>
        <w:rPr>
          <w:rFonts w:hint="eastAsia" w:ascii="宋体" w:hAnsi="宋体" w:cs="宋体"/>
          <w:szCs w:val="21"/>
        </w:rPr>
        <w:t>，其站台门门体与列车车厢无等电位连接需求，即不需要与钢轨采用等电位连接，</w:t>
      </w:r>
      <w:r>
        <w:rPr>
          <w:rFonts w:hint="eastAsia" w:ascii="宋体" w:hAnsi="宋体" w:cs="宋体"/>
        </w:rPr>
        <w:t>门体等电位连接后接车站综合接地网</w:t>
      </w:r>
      <w:r>
        <w:rPr>
          <w:rFonts w:hint="eastAsia" w:ascii="宋体" w:hAnsi="宋体" w:cs="宋体"/>
          <w:szCs w:val="21"/>
        </w:rPr>
        <w:t>。</w:t>
      </w:r>
    </w:p>
    <w:p w14:paraId="0D2655A1">
      <w:pPr>
        <w:pStyle w:val="4"/>
        <w:numPr>
          <w:ilvl w:val="0"/>
          <w:numId w:val="0"/>
        </w:numPr>
      </w:pPr>
      <w:bookmarkStart w:id="3048" w:name="_Toc183882349"/>
      <w:bookmarkStart w:id="3049" w:name="_Toc183454520"/>
      <w:bookmarkStart w:id="3050" w:name="_Toc183790788"/>
      <w:bookmarkStart w:id="3051" w:name="_Toc183765358"/>
      <w:bookmarkStart w:id="3052" w:name="_Toc183888763"/>
      <w:bookmarkStart w:id="3053" w:name="_Toc183738180"/>
      <w:bookmarkStart w:id="3054" w:name="_Toc357929601"/>
      <w:bookmarkStart w:id="3055" w:name="_Toc183888401"/>
      <w:bookmarkStart w:id="3056" w:name="_Toc183454903"/>
      <w:bookmarkStart w:id="3057" w:name="_Toc183882711"/>
      <w:bookmarkStart w:id="3058" w:name="_Toc183454223"/>
      <w:r>
        <w:rPr>
          <w:rFonts w:hint="eastAsia"/>
          <w:b/>
        </w:rPr>
        <w:t xml:space="preserve">19.2 </w:t>
      </w:r>
      <w:r>
        <w:rPr>
          <w:rFonts w:hint="eastAsia"/>
        </w:rPr>
        <w:t xml:space="preserve"> 自动扶梯和自动人行道</w:t>
      </w:r>
      <w:bookmarkEnd w:id="3048"/>
      <w:bookmarkEnd w:id="3049"/>
      <w:bookmarkEnd w:id="3050"/>
      <w:bookmarkEnd w:id="3051"/>
      <w:bookmarkEnd w:id="3052"/>
      <w:bookmarkEnd w:id="3053"/>
      <w:bookmarkEnd w:id="3054"/>
      <w:bookmarkEnd w:id="3055"/>
      <w:bookmarkEnd w:id="3056"/>
      <w:bookmarkEnd w:id="3057"/>
      <w:bookmarkEnd w:id="3058"/>
    </w:p>
    <w:p w14:paraId="12AFC993">
      <w:pPr>
        <w:ind w:firstLine="420"/>
        <w:jc w:val="center"/>
        <w:rPr>
          <w:rFonts w:eastAsia="黑体" w:cs="方正黑体_GBK"/>
        </w:rPr>
      </w:pPr>
      <w:r>
        <w:rPr>
          <w:rFonts w:eastAsia="黑体" w:cs="方正黑体_GBK"/>
          <w:b/>
        </w:rPr>
        <w:t xml:space="preserve">I </w:t>
      </w:r>
      <w:r>
        <w:rPr>
          <w:rFonts w:eastAsia="黑体" w:cs="方正黑体_GBK"/>
        </w:rPr>
        <w:t xml:space="preserve"> 一般规定</w:t>
      </w:r>
    </w:p>
    <w:p w14:paraId="7CD4B5D6">
      <w:pPr>
        <w:rPr>
          <w:szCs w:val="18"/>
        </w:rPr>
      </w:pPr>
      <w:r>
        <w:rPr>
          <w:rFonts w:eastAsia="黑体" w:cs="方正黑体_GBK"/>
          <w:b/>
          <w:szCs w:val="21"/>
        </w:rPr>
        <w:t xml:space="preserve">19.2.3 </w:t>
      </w:r>
      <w:r>
        <w:rPr>
          <w:rFonts w:hint="eastAsia" w:eastAsia="黑体" w:cs="方正黑体_GBK"/>
          <w:b/>
          <w:szCs w:val="21"/>
        </w:rPr>
        <w:t xml:space="preserve"> </w:t>
      </w:r>
      <w:r>
        <w:rPr>
          <w:rFonts w:hint="eastAsia" w:ascii="宋体" w:hAnsi="宋体" w:cs="宋体"/>
          <w:szCs w:val="21"/>
        </w:rPr>
        <w:t>由于北京地区冬季室外环境平均气温在零度以下，为确保设备正常运行和乘客乘梯安全，建议在设备机仓、梳齿板等处配置加热装置；对于完全暴露在露天环境下的设备，建议增加扶手带、桁架内加热装置。</w:t>
      </w:r>
    </w:p>
    <w:p w14:paraId="0750BDBE">
      <w:pPr>
        <w:rPr>
          <w:szCs w:val="18"/>
        </w:rPr>
      </w:pPr>
      <w:r>
        <w:rPr>
          <w:rFonts w:eastAsia="黑体" w:cs="方正黑体_GBK"/>
          <w:b/>
          <w:szCs w:val="21"/>
        </w:rPr>
        <w:t xml:space="preserve">19.2.5  </w:t>
      </w:r>
      <w:r>
        <w:rPr>
          <w:rFonts w:hint="eastAsia" w:ascii="宋体" w:hAnsi="宋体" w:cs="宋体"/>
          <w:szCs w:val="21"/>
        </w:rPr>
        <w:t>对于自动扶梯和自动人行道的视频监视，应将梯路、急停按钮、钥匙开关等纳入监视范围。</w:t>
      </w:r>
    </w:p>
    <w:p w14:paraId="3F8BE42F">
      <w:pPr>
        <w:ind w:firstLine="420"/>
        <w:jc w:val="center"/>
        <w:rPr>
          <w:rFonts w:eastAsia="黑体" w:cs="方正黑体_GBK"/>
        </w:rPr>
      </w:pPr>
      <w:r>
        <w:rPr>
          <w:rFonts w:eastAsia="黑体" w:cs="方正黑体_GBK"/>
          <w:b/>
        </w:rPr>
        <w:t xml:space="preserve">III </w:t>
      </w:r>
      <w:r>
        <w:rPr>
          <w:rFonts w:eastAsia="黑体" w:cs="方正黑体_GBK"/>
        </w:rPr>
        <w:t xml:space="preserve"> 主要部件要求</w:t>
      </w:r>
    </w:p>
    <w:p w14:paraId="74BDC7D2">
      <w:pPr>
        <w:rPr>
          <w:rFonts w:eastAsia="黑体" w:cs="方正黑体_GBK"/>
          <w:szCs w:val="21"/>
        </w:rPr>
      </w:pPr>
      <w:r>
        <w:rPr>
          <w:rFonts w:eastAsia="黑体" w:cs="方正黑体_GBK"/>
          <w:b/>
          <w:szCs w:val="21"/>
        </w:rPr>
        <w:t xml:space="preserve">19.2.7 </w:t>
      </w:r>
      <w:r>
        <w:rPr>
          <w:rFonts w:hint="eastAsia" w:eastAsia="黑体" w:cs="方正黑体_GBK"/>
          <w:b/>
          <w:szCs w:val="21"/>
        </w:rPr>
        <w:t xml:space="preserve"> </w:t>
      </w:r>
      <w:r>
        <w:rPr>
          <w:rFonts w:hint="eastAsia" w:ascii="宋体" w:hAnsi="宋体" w:cs="宋体"/>
          <w:szCs w:val="21"/>
        </w:rPr>
        <w:t>在现行国家标准《自动扶梯和自动人行道的制造与安装安全规范》GB 16899—2011中规定了公共交通型自动扶梯（自动人行道）的定义：“a）是公共交通系统包括出口、入口处的组成部分，b）高强度地使用，每周运行不应少于140h，且在任何3h的间隔内，其荷载达100%制动载荷的持续时间不少于0.5h”。城市轨道交通属于公共交通系统，应采用公共交通型自动扶梯和自动人行道。根据城市轨道交通客流特点，车站自动扶梯和自动人行道设备基本处于持续重载的工况下，为确保自动扶梯和自动人行道设备在如此高强度的工况下的运行安全，在国家标准的基础上结合北京市地方标准《重型自动扶梯和重型自动人行道技术要求》DB/11T 705—2019相关规定，对设备的荷载条件提出更高的要求。</w:t>
      </w:r>
    </w:p>
    <w:p w14:paraId="2FA7C0F2">
      <w:pPr>
        <w:rPr>
          <w:rFonts w:eastAsia="黑体" w:cs="方正黑体_GBK"/>
          <w:b/>
          <w:bCs/>
          <w:szCs w:val="21"/>
        </w:rPr>
      </w:pPr>
      <w:r>
        <w:rPr>
          <w:rFonts w:eastAsia="黑体" w:cs="方正黑体_GBK"/>
          <w:b/>
          <w:szCs w:val="21"/>
        </w:rPr>
        <w:t xml:space="preserve">19.2.8 </w:t>
      </w:r>
      <w:r>
        <w:rPr>
          <w:rFonts w:hint="eastAsia" w:eastAsia="黑体" w:cs="方正黑体_GBK"/>
          <w:b/>
          <w:szCs w:val="21"/>
        </w:rPr>
        <w:t xml:space="preserve"> </w:t>
      </w:r>
      <w:r>
        <w:rPr>
          <w:rFonts w:ascii="宋体" w:hAnsi="宋体" w:cs="宋体"/>
        </w:rPr>
        <w:t>自动扶梯的运行速度</w:t>
      </w:r>
      <w:r>
        <w:rPr>
          <w:rFonts w:hint="eastAsia" w:ascii="宋体" w:hAnsi="宋体" w:cs="宋体"/>
        </w:rPr>
        <w:t>与车站安全疏散计算息息相关，当自动扶梯运行速度设置0.65m/s和0.5m/s两档可调时，应由建筑专业校核自动扶梯在0.5m/s运行时的疏散能力，只有在该速度下满足疏散要求时才能设置0.5m/s的运行速度。</w:t>
      </w:r>
    </w:p>
    <w:p w14:paraId="51A1CEEB">
      <w:pPr>
        <w:rPr>
          <w:szCs w:val="18"/>
        </w:rPr>
      </w:pPr>
      <w:r>
        <w:rPr>
          <w:rFonts w:eastAsia="黑体" w:cs="方正黑体_GBK"/>
          <w:b/>
          <w:szCs w:val="21"/>
        </w:rPr>
        <w:t xml:space="preserve">19.2.11 </w:t>
      </w:r>
      <w:r>
        <w:rPr>
          <w:rFonts w:hint="eastAsia"/>
          <w:szCs w:val="18"/>
        </w:rPr>
        <w:t xml:space="preserve"> </w:t>
      </w:r>
      <w:r>
        <w:rPr>
          <w:rFonts w:hint="eastAsia" w:ascii="宋体" w:hAnsi="宋体" w:cs="宋体"/>
          <w:szCs w:val="21"/>
        </w:rPr>
        <w:t>由于城市轨道交通客流特点，综合疏散能力、安全性、设备成本等方面考虑，自动扶梯应采用标准型，满足至少2人并排站立的需求，因此原则上自动扶梯梯级名义宽度不宜小于1m。</w:t>
      </w:r>
    </w:p>
    <w:p w14:paraId="478BE064">
      <w:pPr>
        <w:rPr>
          <w:szCs w:val="18"/>
        </w:rPr>
      </w:pPr>
      <w:r>
        <w:rPr>
          <w:rFonts w:eastAsia="黑体" w:cs="方正黑体_GBK"/>
          <w:b/>
          <w:szCs w:val="21"/>
        </w:rPr>
        <w:t xml:space="preserve">19.2.17 </w:t>
      </w:r>
      <w:r>
        <w:rPr>
          <w:rFonts w:hint="eastAsia" w:eastAsia="黑体" w:cs="方正黑体_GBK"/>
          <w:b/>
          <w:szCs w:val="21"/>
        </w:rPr>
        <w:t xml:space="preserve"> </w:t>
      </w:r>
      <w:r>
        <w:rPr>
          <w:rFonts w:hint="eastAsia" w:ascii="宋体" w:hAnsi="宋体" w:cs="宋体"/>
          <w:szCs w:val="21"/>
        </w:rPr>
        <w:t>为避免自动扶梯停止时发生梯级逆转或倒溜情况，要求其配置的附加制动器在安全回路断开、急停按钮动作、钥匙开关停梯后必需动作。</w:t>
      </w:r>
    </w:p>
    <w:p w14:paraId="5C2C400E">
      <w:pPr>
        <w:jc w:val="center"/>
        <w:rPr>
          <w:rFonts w:eastAsia="黑体" w:cs="方正黑体_GBK"/>
        </w:rPr>
      </w:pPr>
      <w:r>
        <w:rPr>
          <w:rFonts w:eastAsia="黑体" w:cs="方正黑体_GBK"/>
          <w:b/>
        </w:rPr>
        <w:t>IV</w:t>
      </w:r>
      <w:r>
        <w:rPr>
          <w:rFonts w:eastAsia="黑体" w:cs="方正黑体_GBK"/>
        </w:rPr>
        <w:t xml:space="preserve">  其 他 要 求</w:t>
      </w:r>
    </w:p>
    <w:p w14:paraId="28A25039">
      <w:pPr>
        <w:rPr>
          <w:szCs w:val="18"/>
        </w:rPr>
      </w:pPr>
      <w:r>
        <w:rPr>
          <w:rFonts w:eastAsia="黑体" w:cs="方正黑体_GBK"/>
          <w:b/>
          <w:szCs w:val="21"/>
        </w:rPr>
        <w:t xml:space="preserve">19.2.26 </w:t>
      </w:r>
      <w:r>
        <w:rPr>
          <w:rFonts w:hint="eastAsia"/>
          <w:szCs w:val="18"/>
        </w:rPr>
        <w:t xml:space="preserve"> 根据工程实际需要，</w:t>
      </w:r>
      <w:r>
        <w:rPr>
          <w:rFonts w:hint="eastAsia" w:ascii="宋体" w:hAnsi="宋体" w:cs="宋体"/>
          <w:szCs w:val="21"/>
        </w:rPr>
        <w:t>自动扶梯和自动人行道上传</w:t>
      </w:r>
      <w:r>
        <w:rPr>
          <w:rFonts w:hint="eastAsia"/>
          <w:bCs/>
          <w:szCs w:val="18"/>
        </w:rPr>
        <w:t>环境与设备监控系统的数据量较大时，可采用通讯接口连接方式</w:t>
      </w:r>
      <w:r>
        <w:rPr>
          <w:rFonts w:hint="eastAsia" w:ascii="宋体" w:hAnsi="宋体" w:cs="宋体"/>
          <w:szCs w:val="21"/>
        </w:rPr>
        <w:t>，但涉及设备的消防控制等接口应采用硬线接口方式。</w:t>
      </w:r>
    </w:p>
    <w:p w14:paraId="75EC6D33">
      <w:r>
        <w:rPr>
          <w:rFonts w:eastAsia="黑体" w:cs="方正黑体_GBK"/>
          <w:szCs w:val="21"/>
        </w:rPr>
        <w:t>19.2.27</w:t>
      </w:r>
      <w:r>
        <w:rPr>
          <w:rFonts w:ascii="方正黑体_GBK" w:hAnsi="方正黑体_GBK" w:eastAsia="黑体" w:cs="方正黑体_GBK"/>
          <w:szCs w:val="21"/>
        </w:rPr>
        <w:t xml:space="preserve"> </w:t>
      </w:r>
      <w:r>
        <w:rPr>
          <w:rFonts w:hint="eastAsia"/>
          <w:szCs w:val="18"/>
        </w:rPr>
        <w:t xml:space="preserve"> </w:t>
      </w:r>
      <w:r>
        <w:rPr>
          <w:rFonts w:hint="eastAsia" w:ascii="宋体" w:hAnsi="宋体" w:cs="宋体"/>
          <w:szCs w:val="21"/>
        </w:rPr>
        <w:t>在车站设备用房面积紧张时，可与其他机电系统的维修工区用房合并设置，但面积应满足运营部门要求。</w:t>
      </w:r>
    </w:p>
    <w:p w14:paraId="0A263D35">
      <w:pPr>
        <w:pStyle w:val="4"/>
        <w:numPr>
          <w:ilvl w:val="0"/>
          <w:numId w:val="0"/>
        </w:numPr>
      </w:pPr>
      <w:bookmarkStart w:id="3059" w:name="_Toc183765359"/>
      <w:bookmarkStart w:id="3060" w:name="_Toc183454224"/>
      <w:bookmarkStart w:id="3061" w:name="_Toc183790789"/>
      <w:bookmarkStart w:id="3062" w:name="_Toc183882712"/>
      <w:bookmarkStart w:id="3063" w:name="_Toc183888402"/>
      <w:bookmarkStart w:id="3064" w:name="_Toc183888764"/>
      <w:bookmarkStart w:id="3065" w:name="_Toc183454904"/>
      <w:bookmarkStart w:id="3066" w:name="_Toc183882350"/>
      <w:bookmarkStart w:id="3067" w:name="_Toc183738181"/>
      <w:bookmarkStart w:id="3068" w:name="_Toc183454521"/>
      <w:r>
        <w:rPr>
          <w:rFonts w:hint="eastAsia"/>
        </w:rPr>
        <w:t>19.3  电梯</w:t>
      </w:r>
      <w:bookmarkEnd w:id="3059"/>
      <w:bookmarkEnd w:id="3060"/>
      <w:bookmarkEnd w:id="3061"/>
      <w:bookmarkEnd w:id="3062"/>
      <w:bookmarkEnd w:id="3063"/>
      <w:bookmarkEnd w:id="3064"/>
      <w:bookmarkEnd w:id="3065"/>
      <w:bookmarkEnd w:id="3066"/>
      <w:bookmarkEnd w:id="3067"/>
      <w:bookmarkEnd w:id="3068"/>
    </w:p>
    <w:p w14:paraId="7806E182">
      <w:pPr>
        <w:rPr>
          <w:rFonts w:ascii="宋体" w:hAnsi="宋体" w:cs="宋体"/>
          <w:szCs w:val="21"/>
        </w:rPr>
      </w:pPr>
      <w:r>
        <w:rPr>
          <w:rFonts w:eastAsia="黑体" w:cs="方正黑体_GBK"/>
          <w:b/>
          <w:szCs w:val="21"/>
        </w:rPr>
        <w:t>19.3.1</w:t>
      </w:r>
      <w:r>
        <w:rPr>
          <w:rFonts w:hint="eastAsia" w:eastAsia="黑体" w:cs="方正黑体_GBK"/>
          <w:b/>
          <w:szCs w:val="21"/>
        </w:rPr>
        <w:t xml:space="preserve">  </w:t>
      </w:r>
      <w:r>
        <w:rPr>
          <w:rFonts w:hint="eastAsia" w:ascii="宋体" w:hAnsi="宋体" w:cs="宋体"/>
          <w:szCs w:val="21"/>
        </w:rPr>
        <w:t>由于车站土建条件的受限，车站采用无机房电梯。由于有机房电梯的动力系统、电力系统、控制系统等均设置在机房内，</w:t>
      </w:r>
      <w:r>
        <w:rPr>
          <w:rFonts w:ascii="宋体" w:hAnsi="宋体" w:cs="宋体"/>
          <w:szCs w:val="21"/>
        </w:rPr>
        <w:t>更方便</w:t>
      </w:r>
      <w:r>
        <w:rPr>
          <w:rFonts w:hint="eastAsia" w:ascii="宋体" w:hAnsi="宋体" w:cs="宋体"/>
          <w:szCs w:val="21"/>
        </w:rPr>
        <w:t>技术人员</w:t>
      </w:r>
      <w:r>
        <w:rPr>
          <w:rFonts w:ascii="宋体" w:hAnsi="宋体" w:cs="宋体"/>
          <w:szCs w:val="21"/>
        </w:rPr>
        <w:t>进行设备的检查、</w:t>
      </w:r>
      <w:r>
        <w:rPr>
          <w:rFonts w:hint="eastAsia" w:ascii="宋体" w:hAnsi="宋体" w:cs="宋体"/>
          <w:szCs w:val="21"/>
        </w:rPr>
        <w:t>维修以及故障时的救援，因此建议车辆基地、控制中心优先选用有机房电梯。</w:t>
      </w:r>
    </w:p>
    <w:p w14:paraId="3B062E77">
      <w:pPr>
        <w:rPr>
          <w:rFonts w:ascii="宋体" w:hAnsi="宋体" w:cs="宋体"/>
          <w:szCs w:val="21"/>
        </w:rPr>
      </w:pPr>
      <w:r>
        <w:rPr>
          <w:rFonts w:eastAsia="黑体" w:cs="方正黑体_GBK"/>
          <w:b/>
          <w:szCs w:val="21"/>
        </w:rPr>
        <w:t xml:space="preserve">19.3.14 </w:t>
      </w:r>
      <w:r>
        <w:rPr>
          <w:rFonts w:hint="eastAsia" w:eastAsia="黑体" w:cs="方正黑体_GBK"/>
          <w:b/>
          <w:szCs w:val="21"/>
        </w:rPr>
        <w:t xml:space="preserve"> </w:t>
      </w:r>
      <w:r>
        <w:rPr>
          <w:rFonts w:hint="eastAsia"/>
          <w:szCs w:val="18"/>
        </w:rPr>
        <w:t>根据</w:t>
      </w:r>
      <w:r>
        <w:rPr>
          <w:rFonts w:hint="eastAsia" w:ascii="宋体" w:hAnsi="宋体" w:cs="宋体"/>
          <w:szCs w:val="21"/>
        </w:rPr>
        <w:t>工程</w:t>
      </w:r>
      <w:r>
        <w:rPr>
          <w:rFonts w:hint="eastAsia"/>
          <w:szCs w:val="18"/>
        </w:rPr>
        <w:t>实际需要，</w:t>
      </w:r>
      <w:r>
        <w:rPr>
          <w:rFonts w:hint="eastAsia" w:ascii="宋体" w:hAnsi="宋体" w:cs="宋体"/>
          <w:szCs w:val="21"/>
        </w:rPr>
        <w:t>电梯上传</w:t>
      </w:r>
      <w:r>
        <w:rPr>
          <w:rFonts w:hint="eastAsia"/>
          <w:bCs/>
          <w:szCs w:val="18"/>
        </w:rPr>
        <w:t>环境与设备监控系统的数据量较大时，可采用通讯接口连接方式。</w:t>
      </w:r>
    </w:p>
    <w:p w14:paraId="773156FB">
      <w:pPr>
        <w:widowControl/>
        <w:spacing w:line="240" w:lineRule="auto"/>
        <w:ind w:firstLine="420"/>
        <w:jc w:val="left"/>
        <w:rPr>
          <w:rFonts w:ascii="宋体" w:hAnsi="宋体" w:cs="宋体"/>
          <w:szCs w:val="21"/>
        </w:rPr>
      </w:pPr>
      <w:r>
        <w:rPr>
          <w:rFonts w:ascii="宋体" w:hAnsi="宋体" w:cs="宋体"/>
          <w:szCs w:val="21"/>
        </w:rPr>
        <w:br w:type="page"/>
      </w:r>
    </w:p>
    <w:p w14:paraId="3AE2CD86">
      <w:pPr>
        <w:pStyle w:val="240"/>
      </w:pPr>
      <w:bookmarkStart w:id="3069" w:name="_Toc183735451"/>
      <w:bookmarkStart w:id="3070" w:name="_Toc183765360"/>
      <w:bookmarkStart w:id="3071" w:name="_Toc183738182"/>
      <w:bookmarkStart w:id="3072" w:name="_Toc183699907"/>
      <w:bookmarkStart w:id="3073" w:name="_Toc183888403"/>
      <w:bookmarkStart w:id="3074" w:name="_Toc183790790"/>
      <w:bookmarkStart w:id="3075" w:name="_Toc183882351"/>
      <w:bookmarkStart w:id="3076" w:name="_Toc183888765"/>
      <w:bookmarkStart w:id="3077" w:name="_Toc183882713"/>
      <w:bookmarkStart w:id="3078" w:name="_Toc357929604"/>
      <w:r>
        <w:rPr>
          <w:rFonts w:hint="eastAsia"/>
          <w:b/>
        </w:rPr>
        <w:t xml:space="preserve">20 </w:t>
      </w:r>
      <w:r>
        <w:rPr>
          <w:rFonts w:hint="eastAsia"/>
        </w:rPr>
        <w:t xml:space="preserve"> 综合监控系统</w:t>
      </w:r>
      <w:bookmarkEnd w:id="3069"/>
      <w:bookmarkEnd w:id="3070"/>
      <w:bookmarkEnd w:id="3071"/>
      <w:bookmarkEnd w:id="3072"/>
      <w:bookmarkEnd w:id="3073"/>
      <w:bookmarkEnd w:id="3074"/>
      <w:bookmarkEnd w:id="3075"/>
      <w:bookmarkEnd w:id="3076"/>
      <w:bookmarkEnd w:id="3077"/>
    </w:p>
    <w:p w14:paraId="29F36EB7">
      <w:pPr>
        <w:pStyle w:val="4"/>
        <w:numPr>
          <w:ilvl w:val="0"/>
          <w:numId w:val="0"/>
        </w:numPr>
      </w:pPr>
      <w:bookmarkStart w:id="3079" w:name="_Toc183888404"/>
      <w:bookmarkStart w:id="3080" w:name="_Toc183888766"/>
      <w:bookmarkStart w:id="3081" w:name="_Toc183882352"/>
      <w:bookmarkStart w:id="3082" w:name="_Toc183738183"/>
      <w:bookmarkStart w:id="3083" w:name="_Toc183882714"/>
      <w:bookmarkStart w:id="3084" w:name="_Toc183790791"/>
      <w:bookmarkStart w:id="3085" w:name="_Toc183765361"/>
      <w:r>
        <w:rPr>
          <w:b/>
        </w:rPr>
        <w:t>20.1</w:t>
      </w:r>
      <w:r>
        <w:t xml:space="preserve"> 一般规定</w:t>
      </w:r>
      <w:bookmarkEnd w:id="3079"/>
      <w:bookmarkEnd w:id="3080"/>
      <w:bookmarkEnd w:id="3081"/>
      <w:bookmarkEnd w:id="3082"/>
      <w:bookmarkEnd w:id="3083"/>
      <w:bookmarkEnd w:id="3084"/>
      <w:bookmarkEnd w:id="3085"/>
    </w:p>
    <w:p w14:paraId="7AEB1E92">
      <w:pPr>
        <w:autoSpaceDE w:val="0"/>
        <w:autoSpaceDN w:val="0"/>
        <w:jc w:val="left"/>
        <w:rPr>
          <w:rFonts w:ascii="宋体" w:hAnsi="宋体" w:cs="宋体"/>
        </w:rPr>
      </w:pPr>
      <w:r>
        <w:rPr>
          <w:rFonts w:eastAsia="黑体" w:cs="方正黑体_GBK"/>
          <w:b/>
          <w:bCs/>
        </w:rPr>
        <w:t xml:space="preserve">20.1.1 </w:t>
      </w:r>
      <w:r>
        <w:rPr>
          <w:rFonts w:hint="eastAsia" w:eastAsia="黑体" w:cs="方正黑体_GBK"/>
          <w:b/>
          <w:bCs/>
        </w:rPr>
        <w:t xml:space="preserve"> </w:t>
      </w:r>
      <w:r>
        <w:rPr>
          <w:rFonts w:hint="eastAsia" w:ascii="宋体" w:hAnsi="宋体" w:cs="宋体"/>
        </w:rPr>
        <w:t>综合监控系统应实现行车和行车指挥、机电设备监控、供电系统设备监控、乘客服务、系统维修和管理等功能，为以上各岗位服务；系统功能应与城市轨道交通现代运营管理模式相适应，主要应满</w:t>
      </w:r>
    </w:p>
    <w:p w14:paraId="2900BACE">
      <w:pPr>
        <w:autoSpaceDE w:val="0"/>
        <w:autoSpaceDN w:val="0"/>
        <w:jc w:val="left"/>
        <w:rPr>
          <w:rFonts w:eastAsia="黑体" w:cs="方正黑体_GBK"/>
          <w:b/>
          <w:bCs/>
          <w:szCs w:val="21"/>
        </w:rPr>
      </w:pPr>
      <w:r>
        <w:rPr>
          <w:rFonts w:hint="eastAsia" w:ascii="宋体" w:hAnsi="宋体" w:cs="宋体"/>
        </w:rPr>
        <w:t>足列车有效运行、设备良好运转、对乘客周到服务、能耗统计管理等运营监控管理整体功能的需求</w:t>
      </w:r>
      <w:r>
        <w:rPr>
          <w:rFonts w:eastAsia="黑体" w:cs="方正黑体_GBK"/>
          <w:b/>
          <w:bCs/>
          <w:szCs w:val="21"/>
        </w:rPr>
        <w:t>。</w:t>
      </w:r>
    </w:p>
    <w:p w14:paraId="1C0B3CBE">
      <w:pPr>
        <w:autoSpaceDE w:val="0"/>
        <w:autoSpaceDN w:val="0"/>
        <w:jc w:val="left"/>
        <w:rPr>
          <w:rFonts w:ascii="宋体" w:hAnsi="宋体" w:cs="宋体"/>
        </w:rPr>
      </w:pPr>
      <w:r>
        <w:rPr>
          <w:rFonts w:eastAsia="黑体" w:cs="方正黑体_GBK"/>
          <w:b/>
          <w:bCs/>
        </w:rPr>
        <w:t>20.1.3</w:t>
      </w:r>
      <w:r>
        <w:rPr>
          <w:rFonts w:ascii="ArialMT" w:hAnsi="ArialMT" w:eastAsia="等线" w:cs="ArialMT"/>
          <w:kern w:val="0"/>
          <w:szCs w:val="20"/>
        </w:rPr>
        <w:t xml:space="preserve"> </w:t>
      </w:r>
      <w:r>
        <w:rPr>
          <w:rFonts w:hint="eastAsia" w:ascii="ArialMT" w:hAnsi="ArialMT" w:eastAsia="等线" w:cs="ArialMT"/>
          <w:kern w:val="0"/>
          <w:szCs w:val="20"/>
        </w:rPr>
        <w:t xml:space="preserve"> </w:t>
      </w:r>
      <w:r>
        <w:rPr>
          <w:rFonts w:hint="eastAsia" w:ascii="宋体" w:hAnsi="宋体" w:cs="宋体"/>
        </w:rPr>
        <w:t>综合监控系统集成的电力监控系统和环境与设备监控系统是综合监控系统的主体。火灾自动报警系统是否集成到综合监控系统主要与北京消防管理部门协调沟通确定。将列车自动监控系统集成到综</w:t>
      </w:r>
    </w:p>
    <w:p w14:paraId="7625F892">
      <w:pPr>
        <w:autoSpaceDE w:val="0"/>
        <w:autoSpaceDN w:val="0"/>
        <w:jc w:val="left"/>
        <w:rPr>
          <w:rFonts w:ascii="宋体" w:hAnsi="ArialMT" w:cs="宋体"/>
          <w:kern w:val="0"/>
          <w:szCs w:val="20"/>
        </w:rPr>
      </w:pPr>
      <w:r>
        <w:rPr>
          <w:rFonts w:hint="eastAsia" w:ascii="宋体" w:hAnsi="宋体" w:cs="宋体"/>
        </w:rPr>
        <w:t>合监控系统是技术发展的趋势，但应视工程的客观条件是否成熟决定集成</w:t>
      </w:r>
      <w:r>
        <w:rPr>
          <w:rFonts w:hint="eastAsia" w:ascii="宋体" w:hAnsi="ArialMT" w:cs="宋体"/>
          <w:kern w:val="0"/>
          <w:szCs w:val="20"/>
        </w:rPr>
        <w:t>。</w:t>
      </w:r>
    </w:p>
    <w:p w14:paraId="29BDF80B">
      <w:pPr>
        <w:autoSpaceDE w:val="0"/>
        <w:autoSpaceDN w:val="0"/>
        <w:jc w:val="left"/>
        <w:rPr>
          <w:rFonts w:ascii="宋体" w:hAnsi="ArialMT" w:cs="宋体"/>
          <w:kern w:val="0"/>
          <w:szCs w:val="20"/>
        </w:rPr>
      </w:pPr>
      <w:r>
        <w:rPr>
          <w:rFonts w:eastAsia="黑体" w:cs="方正黑体_GBK"/>
          <w:b/>
          <w:bCs/>
        </w:rPr>
        <w:t xml:space="preserve">20.1.5 </w:t>
      </w:r>
      <w:r>
        <w:rPr>
          <w:rFonts w:hint="eastAsia" w:eastAsia="黑体" w:cs="方正黑体_GBK"/>
          <w:b/>
          <w:bCs/>
        </w:rPr>
        <w:t xml:space="preserve"> </w:t>
      </w:r>
      <w:r>
        <w:rPr>
          <w:rFonts w:hint="eastAsia" w:ascii="宋体" w:hAnsi="ArialMT" w:cs="宋体"/>
          <w:kern w:val="0"/>
          <w:szCs w:val="20"/>
        </w:rPr>
        <w:t>综合监控系统与北京轨道交通指挥中心的系统接口，应按照北京轨道交通指挥中心相关规定，设计与北京轨道交通指挥中心的系统接口。可上传线路供电系统、环境与设备监控系统、火灾自动报警系统等监控的相关系统信息。</w:t>
      </w:r>
    </w:p>
    <w:p w14:paraId="77E19356">
      <w:pPr>
        <w:pStyle w:val="4"/>
        <w:numPr>
          <w:ilvl w:val="0"/>
          <w:numId w:val="0"/>
        </w:numPr>
      </w:pPr>
      <w:bookmarkStart w:id="3086" w:name="_Toc183790792"/>
      <w:bookmarkStart w:id="3087" w:name="_Toc183765362"/>
      <w:bookmarkStart w:id="3088" w:name="_Toc183888405"/>
      <w:bookmarkStart w:id="3089" w:name="_Toc183882715"/>
      <w:bookmarkStart w:id="3090" w:name="_Toc183882353"/>
      <w:bookmarkStart w:id="3091" w:name="_Toc183738184"/>
      <w:bookmarkStart w:id="3092" w:name="_Toc183888767"/>
      <w:r>
        <w:t xml:space="preserve">20.2 </w:t>
      </w:r>
      <w:r>
        <w:rPr>
          <w:rFonts w:hint="eastAsia"/>
        </w:rPr>
        <w:t xml:space="preserve"> </w:t>
      </w:r>
      <w:r>
        <w:t>系统构成</w:t>
      </w:r>
      <w:bookmarkEnd w:id="3086"/>
      <w:bookmarkEnd w:id="3087"/>
      <w:bookmarkEnd w:id="3088"/>
      <w:bookmarkEnd w:id="3089"/>
      <w:bookmarkEnd w:id="3090"/>
      <w:bookmarkEnd w:id="3091"/>
      <w:bookmarkEnd w:id="3092"/>
    </w:p>
    <w:p w14:paraId="23DE462D">
      <w:pPr>
        <w:autoSpaceDE w:val="0"/>
        <w:autoSpaceDN w:val="0"/>
        <w:jc w:val="left"/>
        <w:rPr>
          <w:rFonts w:ascii="宋体" w:hAnsi="ArialMT" w:cs="宋体"/>
          <w:kern w:val="0"/>
          <w:szCs w:val="20"/>
        </w:rPr>
      </w:pPr>
      <w:r>
        <w:rPr>
          <w:rFonts w:eastAsia="黑体" w:cs="方正黑体_GBK"/>
          <w:b/>
          <w:bCs/>
        </w:rPr>
        <w:t>20.2.1</w:t>
      </w:r>
      <w:r>
        <w:rPr>
          <w:rFonts w:ascii="ArialMT" w:hAnsi="ArialMT" w:eastAsia="等线" w:cs="ArialMT"/>
          <w:kern w:val="0"/>
          <w:szCs w:val="20"/>
        </w:rPr>
        <w:t xml:space="preserve"> </w:t>
      </w:r>
      <w:r>
        <w:rPr>
          <w:rFonts w:hint="eastAsia" w:ascii="ArialMT" w:hAnsi="ArialMT" w:eastAsia="等线" w:cs="ArialMT"/>
          <w:kern w:val="0"/>
          <w:szCs w:val="20"/>
        </w:rPr>
        <w:t xml:space="preserve"> </w:t>
      </w:r>
      <w:r>
        <w:rPr>
          <w:rFonts w:hint="eastAsia" w:ascii="宋体" w:hAnsi="ArialMT" w:cs="宋体"/>
          <w:kern w:val="0"/>
          <w:szCs w:val="20"/>
        </w:rPr>
        <w:t>综合监控系统中的培训管理系统、设备维护管理系统是宜选系统，线路成网后可综合考虑设置整个线网的培训管理系统、设备维护管理系统，使资源的利用更趋向合理，以减少系统的投资。</w:t>
      </w:r>
    </w:p>
    <w:p w14:paraId="2136F09C">
      <w:pPr>
        <w:pStyle w:val="4"/>
        <w:numPr>
          <w:ilvl w:val="0"/>
          <w:numId w:val="0"/>
        </w:numPr>
      </w:pPr>
      <w:bookmarkStart w:id="3093" w:name="_Toc183882716"/>
      <w:bookmarkStart w:id="3094" w:name="_Toc183738185"/>
      <w:bookmarkStart w:id="3095" w:name="_Toc183790793"/>
      <w:bookmarkStart w:id="3096" w:name="_Toc183888768"/>
      <w:bookmarkStart w:id="3097" w:name="_Toc183888406"/>
      <w:bookmarkStart w:id="3098" w:name="_Toc183765363"/>
      <w:bookmarkStart w:id="3099" w:name="_Toc183882354"/>
      <w:r>
        <w:rPr>
          <w:b/>
        </w:rPr>
        <w:t>20.</w:t>
      </w:r>
      <w:r>
        <w:rPr>
          <w:rFonts w:hint="eastAsia"/>
          <w:b/>
        </w:rPr>
        <w:t>8</w:t>
      </w:r>
      <w:r>
        <w:rPr>
          <w:rFonts w:hint="eastAsia"/>
        </w:rPr>
        <w:t xml:space="preserve"> </w:t>
      </w:r>
      <w:r>
        <w:t xml:space="preserve"> 系统性能</w:t>
      </w:r>
      <w:bookmarkEnd w:id="3093"/>
      <w:bookmarkEnd w:id="3094"/>
      <w:bookmarkEnd w:id="3095"/>
      <w:bookmarkEnd w:id="3096"/>
      <w:bookmarkEnd w:id="3097"/>
      <w:bookmarkEnd w:id="3098"/>
      <w:bookmarkEnd w:id="3099"/>
    </w:p>
    <w:p w14:paraId="53B9565B">
      <w:pPr>
        <w:ind w:firstLine="420"/>
      </w:pPr>
      <w:r>
        <w:rPr>
          <w:rFonts w:hint="eastAsia"/>
        </w:rPr>
        <w:t>对于集成、互联系统，本条所规定时间是指</w:t>
      </w:r>
      <w:r>
        <w:rPr>
          <w:rFonts w:ascii="TimesNewRomanPSMT" w:hAnsi="TimesNewRomanPSMT" w:eastAsia="等线" w:cs="TimesNewRomanPSMT"/>
        </w:rPr>
        <w:t>FEP</w:t>
      </w:r>
      <w:r>
        <w:rPr>
          <w:rFonts w:hint="eastAsia"/>
        </w:rPr>
        <w:t>从与相关系统的接口接收到数据开始，到显示操作站屏幕更新为止的时间。控制信息是从操作员发出控制和指令操作传送</w:t>
      </w:r>
      <w:r>
        <w:t>FEP</w:t>
      </w:r>
      <w:r>
        <w:rPr>
          <w:rFonts w:hint="eastAsia"/>
        </w:rPr>
        <w:t>、进行处理和激活控制点或信息的时间。</w:t>
      </w:r>
    </w:p>
    <w:p w14:paraId="0832B80E">
      <w:pPr>
        <w:ind w:firstLine="420"/>
      </w:pPr>
      <w:r>
        <w:rPr>
          <w:rFonts w:hint="eastAsia"/>
        </w:rPr>
        <w:t>系统切换时间应从软件或硬件被检测出故障开始算起，到综合监控系统完全可用为止。</w:t>
      </w:r>
    </w:p>
    <w:p w14:paraId="1CCBA025">
      <w:pPr>
        <w:widowControl/>
        <w:spacing w:line="240" w:lineRule="auto"/>
        <w:jc w:val="left"/>
      </w:pPr>
      <w:r>
        <w:br w:type="page"/>
      </w:r>
    </w:p>
    <w:bookmarkEnd w:id="3078"/>
    <w:p w14:paraId="4ACB619D">
      <w:pPr>
        <w:pStyle w:val="240"/>
      </w:pPr>
      <w:bookmarkStart w:id="3100" w:name="_Toc183765364"/>
      <w:bookmarkStart w:id="3101" w:name="_Toc183790794"/>
      <w:bookmarkStart w:id="3102" w:name="_Toc183735452"/>
      <w:bookmarkStart w:id="3103" w:name="_Toc183882355"/>
      <w:bookmarkStart w:id="3104" w:name="_Toc183888769"/>
      <w:bookmarkStart w:id="3105" w:name="_Toc183699908"/>
      <w:bookmarkStart w:id="3106" w:name="_Toc183738186"/>
      <w:bookmarkStart w:id="3107" w:name="_Toc183888407"/>
      <w:bookmarkStart w:id="3108" w:name="_Toc183882717"/>
      <w:bookmarkStart w:id="3109" w:name="_Toc357929605"/>
      <w:r>
        <w:rPr>
          <w:rFonts w:hint="eastAsia"/>
          <w:b/>
        </w:rPr>
        <w:t xml:space="preserve">21 </w:t>
      </w:r>
      <w:r>
        <w:rPr>
          <w:rFonts w:hint="eastAsia"/>
        </w:rPr>
        <w:t xml:space="preserve"> 环境与设备监控系统</w:t>
      </w:r>
      <w:bookmarkEnd w:id="3100"/>
      <w:bookmarkEnd w:id="3101"/>
      <w:bookmarkEnd w:id="3102"/>
      <w:bookmarkEnd w:id="3103"/>
      <w:bookmarkEnd w:id="3104"/>
      <w:bookmarkEnd w:id="3105"/>
      <w:bookmarkEnd w:id="3106"/>
      <w:bookmarkEnd w:id="3107"/>
      <w:bookmarkEnd w:id="3108"/>
    </w:p>
    <w:p w14:paraId="776CAA62">
      <w:pPr>
        <w:pStyle w:val="4"/>
        <w:numPr>
          <w:ilvl w:val="0"/>
          <w:numId w:val="0"/>
        </w:numPr>
      </w:pPr>
      <w:bookmarkStart w:id="3110" w:name="_Toc183738187"/>
      <w:bookmarkStart w:id="3111" w:name="_Toc183790795"/>
      <w:bookmarkStart w:id="3112" w:name="_Toc183882718"/>
      <w:bookmarkStart w:id="3113" w:name="_Toc183765365"/>
      <w:bookmarkStart w:id="3114" w:name="_Toc183882356"/>
      <w:bookmarkStart w:id="3115" w:name="_Toc183888408"/>
      <w:bookmarkStart w:id="3116" w:name="_Toc183888770"/>
      <w:r>
        <w:rPr>
          <w:rFonts w:hint="eastAsia"/>
          <w:b/>
        </w:rPr>
        <w:t xml:space="preserve">21.1 </w:t>
      </w:r>
      <w:r>
        <w:rPr>
          <w:rFonts w:hint="eastAsia"/>
        </w:rPr>
        <w:t xml:space="preserve"> 一般规定</w:t>
      </w:r>
      <w:bookmarkEnd w:id="3110"/>
      <w:bookmarkEnd w:id="3111"/>
      <w:bookmarkEnd w:id="3112"/>
      <w:bookmarkEnd w:id="3113"/>
      <w:bookmarkEnd w:id="3114"/>
      <w:bookmarkEnd w:id="3115"/>
      <w:bookmarkEnd w:id="3116"/>
    </w:p>
    <w:p w14:paraId="1ED17674">
      <w:pPr>
        <w:rPr>
          <w:rFonts w:ascii="宋体" w:hAnsi="宋体" w:cs="宋体"/>
          <w:szCs w:val="21"/>
        </w:rPr>
      </w:pPr>
      <w:r>
        <w:rPr>
          <w:rFonts w:hint="eastAsia" w:eastAsia="黑体" w:cs="方正黑体_GBK"/>
          <w:b/>
          <w:bCs/>
        </w:rPr>
        <w:t xml:space="preserve">21.1.2  </w:t>
      </w:r>
      <w:r>
        <w:rPr>
          <w:rFonts w:hint="eastAsia" w:ascii="宋体" w:hAnsi="宋体" w:cs="宋体"/>
          <w:szCs w:val="21"/>
        </w:rPr>
        <w:t>对于轨道交通环境与设备监控系统，应采用集散型监控系统，它的控制功能尽可能分散，管理功能相对集中，提高了控制系统的可靠性，结构灵活、组态方便、布局合理，降低系统成本。</w:t>
      </w:r>
    </w:p>
    <w:p w14:paraId="64B9F590">
      <w:pPr>
        <w:rPr>
          <w:rFonts w:ascii="宋体" w:hAnsi="宋体" w:cs="宋体"/>
          <w:szCs w:val="21"/>
        </w:rPr>
      </w:pPr>
      <w:r>
        <w:rPr>
          <w:rFonts w:hint="eastAsia" w:eastAsia="黑体" w:cs="方正黑体_GBK"/>
          <w:b/>
          <w:bCs/>
        </w:rPr>
        <w:t xml:space="preserve">21.1.3  </w:t>
      </w:r>
      <w:r>
        <w:rPr>
          <w:rFonts w:hint="eastAsia" w:ascii="宋体" w:hAnsi="宋体" w:cs="宋体"/>
          <w:szCs w:val="21"/>
        </w:rPr>
        <w:t>针对轨道交通的特点，为确保车站、区间、车辆基地、控制中心大楼等场所安全运行，应设置环境与设备监控系统。鉴于北京市多年以来形成的车辆基地、控制中心大楼的环境与设备监控系统的物业管理、运维体制与正线系统的不同，可以考虑进行独立管理，不纳入正线环境与设备监控系统。</w:t>
      </w:r>
    </w:p>
    <w:p w14:paraId="4D0E82B5">
      <w:pPr>
        <w:pStyle w:val="4"/>
        <w:numPr>
          <w:ilvl w:val="0"/>
          <w:numId w:val="0"/>
        </w:numPr>
      </w:pPr>
      <w:bookmarkStart w:id="3117" w:name="_Toc183790796"/>
      <w:bookmarkStart w:id="3118" w:name="_Toc183738188"/>
      <w:bookmarkStart w:id="3119" w:name="_Toc183765366"/>
      <w:bookmarkStart w:id="3120" w:name="_Toc183882719"/>
      <w:bookmarkStart w:id="3121" w:name="_Toc183882357"/>
      <w:bookmarkStart w:id="3122" w:name="_Toc183888409"/>
      <w:bookmarkStart w:id="3123" w:name="_Toc183888771"/>
      <w:r>
        <w:rPr>
          <w:rFonts w:hint="eastAsia"/>
        </w:rPr>
        <w:t>21.7  布线</w:t>
      </w:r>
      <w:bookmarkEnd w:id="3117"/>
      <w:bookmarkEnd w:id="3118"/>
      <w:bookmarkEnd w:id="3119"/>
      <w:bookmarkEnd w:id="3120"/>
      <w:bookmarkEnd w:id="3121"/>
      <w:bookmarkEnd w:id="3122"/>
      <w:bookmarkEnd w:id="3123"/>
    </w:p>
    <w:p w14:paraId="40B93B16">
      <w:pPr>
        <w:rPr>
          <w:rFonts w:ascii="宋体" w:hAnsi="宋体" w:cs="宋体"/>
          <w:szCs w:val="21"/>
        </w:rPr>
      </w:pPr>
      <w:r>
        <w:rPr>
          <w:rFonts w:hint="eastAsia" w:eastAsia="黑体" w:cs="方正黑体_GBK"/>
          <w:b/>
          <w:bCs/>
        </w:rPr>
        <w:t xml:space="preserve">21.7.5  </w:t>
      </w:r>
      <w:r>
        <w:rPr>
          <w:rFonts w:hint="eastAsia" w:ascii="宋体" w:hAnsi="宋体" w:cs="宋体"/>
          <w:szCs w:val="21"/>
        </w:rPr>
        <w:t>环境与设备监控系统的各类线缆应结合本系统是否参与消防联动来确定线缆采用</w:t>
      </w:r>
      <w:r>
        <w:rPr>
          <w:rFonts w:ascii="宋体" w:hAnsi="宋体" w:cs="宋体"/>
          <w:szCs w:val="21"/>
        </w:rPr>
        <w:t>低烟、无卤、阻燃</w:t>
      </w:r>
      <w:r>
        <w:rPr>
          <w:rFonts w:hint="eastAsia" w:ascii="宋体" w:hAnsi="宋体" w:cs="宋体"/>
          <w:szCs w:val="21"/>
        </w:rPr>
        <w:t>还是</w:t>
      </w:r>
      <w:r>
        <w:rPr>
          <w:rFonts w:ascii="宋体" w:hAnsi="宋体" w:cs="宋体"/>
          <w:szCs w:val="21"/>
        </w:rPr>
        <w:t>低烟、无卤、阻燃耐火型</w:t>
      </w:r>
      <w:r>
        <w:rPr>
          <w:rFonts w:hint="eastAsia" w:ascii="宋体" w:hAnsi="宋体" w:cs="宋体"/>
          <w:szCs w:val="21"/>
        </w:rPr>
        <w:t>。在建及新线建设均采用系统参与消防联动的方案，因此系统的各类线缆应选择</w:t>
      </w:r>
      <w:r>
        <w:rPr>
          <w:rFonts w:ascii="宋体" w:hAnsi="宋体" w:cs="宋体"/>
          <w:szCs w:val="21"/>
        </w:rPr>
        <w:t>低烟、无卤、阻燃耐火型</w:t>
      </w:r>
      <w:r>
        <w:rPr>
          <w:rFonts w:hint="eastAsia" w:ascii="宋体" w:hAnsi="宋体" w:cs="宋体"/>
          <w:szCs w:val="21"/>
        </w:rPr>
        <w:t>；而既有线路陆续进入系统整体更新改造周期，在更新改造线路时，环境与设备监控系统在具备条件情况下在改造时宜采用参与消防联动的方案，便于火灾自动报警系统与环境与设备监控系统整体节约投资，在不具备调整消防联动的方案时，系统各类线缆可选择</w:t>
      </w:r>
      <w:r>
        <w:rPr>
          <w:rFonts w:ascii="宋体" w:hAnsi="宋体" w:cs="宋体"/>
          <w:szCs w:val="21"/>
        </w:rPr>
        <w:t>低烟、无卤、阻燃</w:t>
      </w:r>
      <w:r>
        <w:rPr>
          <w:rFonts w:hint="eastAsia" w:ascii="宋体" w:hAnsi="宋体" w:cs="宋体"/>
          <w:szCs w:val="21"/>
        </w:rPr>
        <w:t>型。</w:t>
      </w:r>
    </w:p>
    <w:p w14:paraId="1D1C92F6">
      <w:pPr>
        <w:rPr>
          <w:rFonts w:ascii="宋体" w:hAnsi="宋体" w:cs="宋体"/>
          <w:szCs w:val="21"/>
        </w:rPr>
      </w:pPr>
      <w:r>
        <w:rPr>
          <w:rFonts w:hint="eastAsia" w:eastAsia="黑体" w:cs="方正黑体_GBK"/>
          <w:b/>
          <w:bCs/>
        </w:rPr>
        <w:t xml:space="preserve">21.7.6  </w:t>
      </w:r>
      <w:r>
        <w:rPr>
          <w:rFonts w:hint="eastAsia" w:ascii="宋体" w:hAnsi="宋体" w:cs="宋体"/>
          <w:szCs w:val="21"/>
        </w:rPr>
        <w:t>环境与设备监控系统的各类线缆的燃烧性能的选择在满足B1级燃烧性能时，仍需确定线缆的烟气毒性等级、燃烧滴落物/微粒等级以及腐蚀性等级。结合《民用建筑电气设计标准》中长期有人滞留的地下建筑应选择烟气毒性为t0级、燃烧滴落物/微粒等级为d0级的要求的线缆，故设计中对于轨道交通地下车站应选用烟气毒性为t0级、燃烧滴落物/微粒等级为d0级的线缆，而对于地上车站、高架车站可选用烟气毒性为t1级、燃烧滴落物/微粒等级为d1级的线缆。</w:t>
      </w:r>
    </w:p>
    <w:bookmarkEnd w:id="3109"/>
    <w:p w14:paraId="6C3EA448">
      <w:pPr>
        <w:widowControl/>
        <w:spacing w:line="240" w:lineRule="auto"/>
        <w:jc w:val="left"/>
        <w:rPr>
          <w:rFonts w:eastAsia="黑体"/>
          <w:b/>
          <w:kern w:val="44"/>
          <w:sz w:val="28"/>
          <w:szCs w:val="28"/>
        </w:rPr>
      </w:pPr>
      <w:r>
        <w:rPr>
          <w:rFonts w:eastAsia="黑体"/>
          <w:b/>
          <w:kern w:val="44"/>
          <w:sz w:val="28"/>
          <w:szCs w:val="28"/>
        </w:rPr>
        <w:br w:type="page"/>
      </w:r>
    </w:p>
    <w:p w14:paraId="3A3151D9">
      <w:pPr>
        <w:pStyle w:val="240"/>
      </w:pPr>
      <w:bookmarkStart w:id="3124" w:name="_Toc183790797"/>
      <w:bookmarkStart w:id="3125" w:name="_Toc183882720"/>
      <w:bookmarkStart w:id="3126" w:name="_Toc183765367"/>
      <w:bookmarkStart w:id="3127" w:name="_Toc183735453"/>
      <w:bookmarkStart w:id="3128" w:name="_Toc183738189"/>
      <w:bookmarkStart w:id="3129" w:name="_Toc183699909"/>
      <w:bookmarkStart w:id="3130" w:name="_Toc183882358"/>
      <w:bookmarkStart w:id="3131" w:name="_Toc183888410"/>
      <w:bookmarkStart w:id="3132" w:name="_Toc183888772"/>
      <w:r>
        <w:rPr>
          <w:rFonts w:hint="eastAsia"/>
          <w:b/>
        </w:rPr>
        <w:t xml:space="preserve">22 </w:t>
      </w:r>
      <w:r>
        <w:rPr>
          <w:rFonts w:hint="eastAsia"/>
        </w:rPr>
        <w:t xml:space="preserve"> 火灾自动报警系统</w:t>
      </w:r>
      <w:bookmarkEnd w:id="3124"/>
      <w:bookmarkEnd w:id="3125"/>
      <w:bookmarkEnd w:id="3126"/>
      <w:bookmarkEnd w:id="3127"/>
      <w:bookmarkEnd w:id="3128"/>
      <w:bookmarkEnd w:id="3129"/>
      <w:bookmarkEnd w:id="3130"/>
      <w:bookmarkEnd w:id="3131"/>
      <w:bookmarkEnd w:id="3132"/>
    </w:p>
    <w:p w14:paraId="111DB6B2">
      <w:pPr>
        <w:pStyle w:val="4"/>
        <w:numPr>
          <w:ilvl w:val="0"/>
          <w:numId w:val="0"/>
        </w:numPr>
      </w:pPr>
      <w:bookmarkStart w:id="3133" w:name="_Toc183882359"/>
      <w:bookmarkStart w:id="3134" w:name="_Toc183888773"/>
      <w:bookmarkStart w:id="3135" w:name="_Toc183882721"/>
      <w:bookmarkStart w:id="3136" w:name="_Toc183765368"/>
      <w:bookmarkStart w:id="3137" w:name="_Toc183888411"/>
      <w:bookmarkStart w:id="3138" w:name="_Toc183738190"/>
      <w:bookmarkStart w:id="3139" w:name="_Toc183790798"/>
      <w:r>
        <w:rPr>
          <w:rFonts w:hint="eastAsia"/>
          <w:b/>
        </w:rPr>
        <w:t xml:space="preserve">22.1 </w:t>
      </w:r>
      <w:r>
        <w:rPr>
          <w:rFonts w:hint="eastAsia"/>
        </w:rPr>
        <w:t xml:space="preserve"> 一般规定</w:t>
      </w:r>
      <w:bookmarkEnd w:id="3133"/>
      <w:bookmarkEnd w:id="3134"/>
      <w:bookmarkEnd w:id="3135"/>
      <w:bookmarkEnd w:id="3136"/>
      <w:bookmarkEnd w:id="3137"/>
      <w:bookmarkEnd w:id="3138"/>
      <w:bookmarkEnd w:id="3139"/>
    </w:p>
    <w:p w14:paraId="3BF67B5E">
      <w:pPr>
        <w:rPr>
          <w:rFonts w:ascii="宋体" w:hAnsi="宋体" w:cs="宋体"/>
          <w:szCs w:val="21"/>
        </w:rPr>
      </w:pPr>
      <w:r>
        <w:rPr>
          <w:rFonts w:hint="eastAsia" w:eastAsia="黑体" w:cs="方正黑体_GBK"/>
          <w:b/>
          <w:bCs/>
        </w:rPr>
        <w:t xml:space="preserve">22.1.2  </w:t>
      </w:r>
      <w:r>
        <w:rPr>
          <w:rFonts w:hint="eastAsia" w:ascii="宋体" w:hAnsi="宋体" w:cs="宋体"/>
          <w:szCs w:val="21"/>
        </w:rPr>
        <w:t>轨道交通是一个机电设备繁杂的建筑，同时轨道交通又是人员密集，火灾时扑救难度大，而轨道交通各系统都与轨道交通时钟校时。为了便于防灾事件的可追溯性，火灾自动报警系统设置与轨道交通时钟接口。</w:t>
      </w:r>
    </w:p>
    <w:p w14:paraId="79E7A188">
      <w:pPr>
        <w:rPr>
          <w:rFonts w:ascii="宋体" w:hAnsi="宋体" w:cs="宋体"/>
          <w:szCs w:val="21"/>
        </w:rPr>
      </w:pPr>
      <w:r>
        <w:rPr>
          <w:rFonts w:hint="eastAsia" w:eastAsia="黑体" w:cs="方正黑体_GBK"/>
          <w:b/>
          <w:bCs/>
        </w:rPr>
        <w:t xml:space="preserve">22.1.3  </w:t>
      </w:r>
      <w:r>
        <w:rPr>
          <w:rFonts w:hint="eastAsia" w:ascii="宋体" w:hAnsi="宋体" w:cs="宋体"/>
          <w:szCs w:val="21"/>
        </w:rPr>
        <w:t>随着北京轨道交通的建设发展，线路的增加，换乘站数量越来越多。为了方便管理并及时有效的救援，换乘站的系统宜按共享原则设置，但对于通道换乘的车站，火灾自动报警系统可独立设置，但需互通信息。</w:t>
      </w:r>
    </w:p>
    <w:p w14:paraId="462CDD2F">
      <w:pPr>
        <w:rPr>
          <w:rFonts w:ascii="宋体" w:hAnsi="宋体" w:cs="宋体"/>
          <w:szCs w:val="21"/>
        </w:rPr>
      </w:pPr>
      <w:r>
        <w:rPr>
          <w:rFonts w:hint="eastAsia" w:eastAsia="黑体" w:cs="方正黑体_GBK"/>
          <w:b/>
          <w:bCs/>
        </w:rPr>
        <w:t xml:space="preserve">22.1.5  </w:t>
      </w:r>
      <w:r>
        <w:rPr>
          <w:rFonts w:hint="eastAsia" w:ascii="宋体" w:hAnsi="宋体" w:cs="宋体"/>
          <w:szCs w:val="21"/>
        </w:rPr>
        <w:t>鉴于北京市多年以来形成的车辆基地、控制中心大楼的火灾自动报警系统的物业管理、运维体制与正线系统的不同，可以考虑进行独立管理，不纳入正线火灾自动报警系统监控管理，但需考虑与正线火灾自动报警系统的信息互通。</w:t>
      </w:r>
    </w:p>
    <w:p w14:paraId="422E3ACD">
      <w:pPr>
        <w:pStyle w:val="4"/>
        <w:numPr>
          <w:ilvl w:val="0"/>
          <w:numId w:val="0"/>
        </w:numPr>
      </w:pPr>
      <w:bookmarkStart w:id="3140" w:name="_Toc183790799"/>
      <w:bookmarkStart w:id="3141" w:name="_Toc183888774"/>
      <w:bookmarkStart w:id="3142" w:name="_Toc183882360"/>
      <w:bookmarkStart w:id="3143" w:name="_Toc183882722"/>
      <w:bookmarkStart w:id="3144" w:name="_Toc183738191"/>
      <w:bookmarkStart w:id="3145" w:name="_Toc183888412"/>
      <w:bookmarkStart w:id="3146" w:name="_Toc183765369"/>
      <w:r>
        <w:rPr>
          <w:rFonts w:hint="eastAsia"/>
          <w:b/>
        </w:rPr>
        <w:t xml:space="preserve">22.3 </w:t>
      </w:r>
      <w:r>
        <w:rPr>
          <w:rFonts w:hint="eastAsia"/>
        </w:rPr>
        <w:t xml:space="preserve"> 系统功能</w:t>
      </w:r>
      <w:bookmarkEnd w:id="3140"/>
      <w:bookmarkEnd w:id="3141"/>
      <w:bookmarkEnd w:id="3142"/>
      <w:bookmarkEnd w:id="3143"/>
      <w:bookmarkEnd w:id="3144"/>
      <w:bookmarkEnd w:id="3145"/>
      <w:bookmarkEnd w:id="3146"/>
    </w:p>
    <w:p w14:paraId="0292A571">
      <w:pPr>
        <w:autoSpaceDE w:val="0"/>
        <w:autoSpaceDN w:val="0"/>
        <w:jc w:val="left"/>
        <w:rPr>
          <w:rFonts w:ascii="宋体" w:hAnsi="宋体" w:cs="宋体"/>
          <w:szCs w:val="21"/>
        </w:rPr>
      </w:pPr>
      <w:r>
        <w:rPr>
          <w:rFonts w:hint="eastAsia" w:eastAsia="黑体" w:cs="方正黑体_GBK"/>
          <w:b/>
          <w:bCs/>
        </w:rPr>
        <w:t xml:space="preserve">22.3.4  </w:t>
      </w:r>
      <w:r>
        <w:rPr>
          <w:rFonts w:ascii="宋体" w:hAnsi="宋体" w:cs="宋体"/>
          <w:szCs w:val="21"/>
        </w:rPr>
        <w:t>北京新线建设多采用全自动运行技术，逐步取消司机或司机承担的工作会越来越少，因此控制中心调度人员对掌控列车的运行状态，火情信息的要求是非常必要的</w:t>
      </w:r>
      <w:r>
        <w:rPr>
          <w:rFonts w:hint="eastAsia" w:ascii="宋体" w:hAnsi="宋体" w:cs="宋体"/>
          <w:szCs w:val="21"/>
        </w:rPr>
        <w:t>。</w:t>
      </w:r>
    </w:p>
    <w:p w14:paraId="4EE180CB">
      <w:pPr>
        <w:pStyle w:val="4"/>
        <w:numPr>
          <w:ilvl w:val="0"/>
          <w:numId w:val="0"/>
        </w:numPr>
      </w:pPr>
      <w:bookmarkStart w:id="3147" w:name="_Toc183765370"/>
      <w:bookmarkStart w:id="3148" w:name="_Toc183882361"/>
      <w:bookmarkStart w:id="3149" w:name="_Toc183790800"/>
      <w:bookmarkStart w:id="3150" w:name="_Toc183738192"/>
      <w:bookmarkStart w:id="3151" w:name="_Toc183888413"/>
      <w:bookmarkStart w:id="3152" w:name="_Toc183882723"/>
      <w:bookmarkStart w:id="3153" w:name="_Toc183888775"/>
      <w:r>
        <w:rPr>
          <w:rFonts w:hint="eastAsia"/>
          <w:b/>
        </w:rPr>
        <w:t xml:space="preserve">22.6 </w:t>
      </w:r>
      <w:r>
        <w:rPr>
          <w:rFonts w:hint="eastAsia"/>
        </w:rPr>
        <w:t xml:space="preserve"> 消防控制室</w:t>
      </w:r>
      <w:bookmarkEnd w:id="3147"/>
      <w:bookmarkEnd w:id="3148"/>
      <w:bookmarkEnd w:id="3149"/>
      <w:bookmarkEnd w:id="3150"/>
      <w:bookmarkEnd w:id="3151"/>
      <w:bookmarkEnd w:id="3152"/>
      <w:bookmarkEnd w:id="3153"/>
    </w:p>
    <w:p w14:paraId="3C16D40D">
      <w:pPr>
        <w:rPr>
          <w:rFonts w:ascii="宋体" w:hAnsi="宋体" w:cs="宋体"/>
          <w:szCs w:val="21"/>
        </w:rPr>
      </w:pPr>
      <w:r>
        <w:rPr>
          <w:rFonts w:hint="eastAsia" w:eastAsia="黑体" w:cs="方正黑体_GBK"/>
          <w:b/>
          <w:bCs/>
        </w:rPr>
        <w:t xml:space="preserve">22.6.1  </w:t>
      </w:r>
      <w:r>
        <w:rPr>
          <w:rFonts w:hint="eastAsia" w:ascii="宋体" w:hAnsi="宋体" w:cs="宋体"/>
          <w:szCs w:val="21"/>
        </w:rPr>
        <w:t>车站消防控制室图形显示装置的设置结合22.2.3当设置综合监控系统时，由综合监控系统进行集成设置，综合监控系统工作站的软件功能应满足火灾自动报警系统的功能要求，另外该工作站的UPS电源也应满足3小时后备时间要求。</w:t>
      </w:r>
    </w:p>
    <w:p w14:paraId="52D1BB35">
      <w:pPr>
        <w:rPr>
          <w:rFonts w:ascii="宋体" w:hAnsi="宋体" w:cs="宋体"/>
          <w:szCs w:val="21"/>
        </w:rPr>
      </w:pPr>
    </w:p>
    <w:p w14:paraId="5307BAD7">
      <w:pPr>
        <w:pStyle w:val="4"/>
        <w:numPr>
          <w:ilvl w:val="0"/>
          <w:numId w:val="0"/>
        </w:numPr>
      </w:pPr>
      <w:bookmarkStart w:id="3154" w:name="_Toc183888414"/>
      <w:bookmarkStart w:id="3155" w:name="_Toc183738193"/>
      <w:bookmarkStart w:id="3156" w:name="_Toc183790801"/>
      <w:bookmarkStart w:id="3157" w:name="_Toc183882362"/>
      <w:bookmarkStart w:id="3158" w:name="_Toc183882724"/>
      <w:bookmarkStart w:id="3159" w:name="_Toc183765371"/>
      <w:bookmarkStart w:id="3160" w:name="_Toc183888776"/>
      <w:r>
        <w:rPr>
          <w:rFonts w:hint="eastAsia"/>
        </w:rPr>
        <w:t>22.9  布线</w:t>
      </w:r>
      <w:bookmarkEnd w:id="3154"/>
      <w:bookmarkEnd w:id="3155"/>
      <w:bookmarkEnd w:id="3156"/>
      <w:bookmarkEnd w:id="3157"/>
      <w:bookmarkEnd w:id="3158"/>
      <w:bookmarkEnd w:id="3159"/>
      <w:bookmarkEnd w:id="3160"/>
    </w:p>
    <w:p w14:paraId="6A97BB18">
      <w:pPr>
        <w:rPr>
          <w:rFonts w:ascii="宋体" w:hAnsi="宋体" w:cs="宋体"/>
          <w:szCs w:val="21"/>
        </w:rPr>
      </w:pPr>
      <w:r>
        <w:rPr>
          <w:rFonts w:hint="eastAsia" w:eastAsia="黑体" w:cs="方正黑体_GBK"/>
          <w:b/>
          <w:bCs/>
        </w:rPr>
        <w:t xml:space="preserve">22.9.6  </w:t>
      </w:r>
      <w:r>
        <w:rPr>
          <w:rFonts w:hint="eastAsia" w:ascii="宋体" w:hAnsi="宋体" w:cs="宋体"/>
          <w:szCs w:val="21"/>
        </w:rPr>
        <w:t>本条款对系统各类线缆燃烧性能中烟气毒性等级、燃烧滴落物/微粒等级的说明与21.7.6一致。</w:t>
      </w:r>
    </w:p>
    <w:p w14:paraId="59F1849F">
      <w:pPr>
        <w:widowControl/>
        <w:spacing w:line="240" w:lineRule="auto"/>
        <w:jc w:val="left"/>
        <w:rPr>
          <w:rFonts w:eastAsia="黑体"/>
          <w:b/>
          <w:kern w:val="44"/>
          <w:sz w:val="28"/>
          <w:szCs w:val="28"/>
        </w:rPr>
      </w:pPr>
      <w:r>
        <w:rPr>
          <w:rFonts w:eastAsia="黑体"/>
          <w:b/>
          <w:kern w:val="44"/>
          <w:sz w:val="28"/>
          <w:szCs w:val="28"/>
        </w:rPr>
        <w:br w:type="page"/>
      </w:r>
    </w:p>
    <w:p w14:paraId="2179C019">
      <w:pPr>
        <w:pStyle w:val="240"/>
      </w:pPr>
      <w:bookmarkStart w:id="3161" w:name="_Toc183765372"/>
      <w:bookmarkStart w:id="3162" w:name="_Toc183699910"/>
      <w:bookmarkStart w:id="3163" w:name="_Toc183888777"/>
      <w:bookmarkStart w:id="3164" w:name="_Toc183888415"/>
      <w:bookmarkStart w:id="3165" w:name="_Toc183790802"/>
      <w:bookmarkStart w:id="3166" w:name="_Toc183882363"/>
      <w:bookmarkStart w:id="3167" w:name="_Toc183735454"/>
      <w:bookmarkStart w:id="3168" w:name="_Toc183738194"/>
      <w:bookmarkStart w:id="3169" w:name="_Toc183882725"/>
      <w:r>
        <w:rPr>
          <w:b/>
        </w:rPr>
        <w:t>2</w:t>
      </w:r>
      <w:r>
        <w:rPr>
          <w:rFonts w:hint="eastAsia"/>
          <w:b/>
        </w:rPr>
        <w:t xml:space="preserve">3 </w:t>
      </w:r>
      <w:r>
        <w:rPr>
          <w:rFonts w:hint="eastAsia"/>
        </w:rPr>
        <w:t xml:space="preserve"> 乘客信息</w:t>
      </w:r>
      <w:bookmarkEnd w:id="3161"/>
      <w:bookmarkEnd w:id="3162"/>
      <w:bookmarkEnd w:id="3163"/>
      <w:bookmarkEnd w:id="3164"/>
      <w:bookmarkEnd w:id="3165"/>
      <w:bookmarkEnd w:id="3166"/>
      <w:bookmarkEnd w:id="3167"/>
      <w:bookmarkEnd w:id="3168"/>
      <w:bookmarkEnd w:id="3169"/>
    </w:p>
    <w:p w14:paraId="56CB4DFB">
      <w:pPr>
        <w:pStyle w:val="4"/>
        <w:numPr>
          <w:ilvl w:val="0"/>
          <w:numId w:val="0"/>
        </w:numPr>
        <w:rPr>
          <w:lang w:bidi="ar"/>
        </w:rPr>
      </w:pPr>
      <w:bookmarkStart w:id="3170" w:name="_Toc183882364"/>
      <w:bookmarkStart w:id="3171" w:name="_Toc183765373"/>
      <w:bookmarkStart w:id="3172" w:name="_Toc183790803"/>
      <w:bookmarkStart w:id="3173" w:name="_Toc183738195"/>
      <w:bookmarkStart w:id="3174" w:name="_Toc183888416"/>
      <w:bookmarkStart w:id="3175" w:name="_Toc183888778"/>
      <w:bookmarkStart w:id="3176" w:name="_Toc183882726"/>
      <w:r>
        <w:rPr>
          <w:rFonts w:hint="eastAsia"/>
          <w:b/>
          <w:lang w:bidi="ar"/>
        </w:rPr>
        <w:t>23.1</w:t>
      </w:r>
      <w:r>
        <w:rPr>
          <w:rFonts w:hint="eastAsia"/>
          <w:lang w:bidi="ar"/>
        </w:rPr>
        <w:t xml:space="preserve">  一般规定</w:t>
      </w:r>
      <w:bookmarkEnd w:id="3170"/>
      <w:bookmarkEnd w:id="3171"/>
      <w:bookmarkEnd w:id="3172"/>
      <w:bookmarkEnd w:id="3173"/>
      <w:bookmarkEnd w:id="3174"/>
      <w:bookmarkEnd w:id="3175"/>
      <w:bookmarkEnd w:id="3176"/>
    </w:p>
    <w:p w14:paraId="507B7A4A">
      <w:pPr>
        <w:rPr>
          <w:rFonts w:eastAsia="黑体" w:cs="方正黑体_GBK"/>
          <w:b/>
          <w:bCs/>
          <w:szCs w:val="21"/>
        </w:rPr>
      </w:pPr>
      <w:r>
        <w:rPr>
          <w:rFonts w:eastAsia="黑体" w:cs="方正黑体_GBK"/>
          <w:b/>
          <w:bCs/>
          <w:szCs w:val="21"/>
        </w:rPr>
        <w:t xml:space="preserve">23.1.1  </w:t>
      </w:r>
      <w:r>
        <w:rPr>
          <w:rFonts w:ascii="宋体" w:hAnsi="宋体" w:cs="方正黑体_GBK"/>
          <w:szCs w:val="21"/>
        </w:rPr>
        <w:t>乘客信息系统作为轨道交通运营的一个重要辅助系统，旨在通过提供列车到站预告、换乘信息及时间等乘车相关信息，以及播放重要新闻、天气预报、公益广告等资讯，增强乘客出行体验和信息服务水平。</w:t>
      </w:r>
    </w:p>
    <w:p w14:paraId="2C0F3623">
      <w:pPr>
        <w:rPr>
          <w:rFonts w:eastAsia="黑体" w:cs="方正黑体_GBK"/>
          <w:b/>
          <w:bCs/>
          <w:szCs w:val="21"/>
        </w:rPr>
      </w:pPr>
      <w:r>
        <w:rPr>
          <w:rFonts w:eastAsia="黑体" w:cs="方正黑体_GBK"/>
          <w:b/>
          <w:bCs/>
          <w:szCs w:val="21"/>
        </w:rPr>
        <w:t xml:space="preserve">23.1.2  </w:t>
      </w:r>
      <w:r>
        <w:rPr>
          <w:rFonts w:ascii="宋体" w:hAnsi="宋体" w:cs="方正黑体_GBK"/>
          <w:szCs w:val="21"/>
        </w:rPr>
        <w:t xml:space="preserve">乘客信息系统关键设备选择宜电信级设备，保证其设备的可靠性，系统在对外接口时宜配置网络安全设备，保证系统不受干扰，同时乘客信息系统软件应能具备信息过滤的安全性（如非法字段的限制等功能），同时系统应从使用权限上加以对使用用户的限制。 </w:t>
      </w:r>
    </w:p>
    <w:p w14:paraId="5E9C9A9B">
      <w:pPr>
        <w:rPr>
          <w:rFonts w:eastAsia="黑体" w:cs="方正黑体_GBK"/>
          <w:b/>
          <w:bCs/>
          <w:szCs w:val="21"/>
        </w:rPr>
      </w:pPr>
      <w:r>
        <w:rPr>
          <w:rFonts w:eastAsia="黑体" w:cs="方正黑体_GBK"/>
          <w:b/>
          <w:bCs/>
          <w:szCs w:val="21"/>
        </w:rPr>
        <w:t xml:space="preserve">23.1.4  </w:t>
      </w:r>
      <w:r>
        <w:rPr>
          <w:rFonts w:ascii="宋体" w:hAnsi="宋体" w:cs="方正黑体_GBK"/>
          <w:szCs w:val="21"/>
        </w:rPr>
        <w:t xml:space="preserve">乘客信息系统终端显示设备考虑系统设备发展情况，可选择技术先进、运行可靠、安全性高的设备，对于地上车站的设备要考虑高温散热、低温启动的相关技术措施。 </w:t>
      </w:r>
    </w:p>
    <w:p w14:paraId="38E4077F">
      <w:pPr>
        <w:rPr>
          <w:rFonts w:eastAsia="黑体" w:cs="方正黑体_GBK"/>
          <w:b/>
          <w:bCs/>
          <w:szCs w:val="21"/>
        </w:rPr>
      </w:pPr>
      <w:r>
        <w:rPr>
          <w:rFonts w:eastAsia="黑体" w:cs="方正黑体_GBK"/>
          <w:b/>
          <w:bCs/>
          <w:szCs w:val="21"/>
        </w:rPr>
        <w:t xml:space="preserve">23.1.6  </w:t>
      </w:r>
      <w:r>
        <w:rPr>
          <w:rFonts w:ascii="宋体" w:hAnsi="宋体" w:cs="方正黑体_GBK"/>
          <w:szCs w:val="21"/>
        </w:rPr>
        <w:t>乘客信息系统与北京轨道交通指挥中心系统接口，应按照北京轨道交通指挥中心相关规定，设计与北京轨道交通指挥中心的系统接口。可接收北京轨道交通指挥中心信息，在指定的时间、地点、显示区域将北京轨道交通指挥中心信息发布到乘客信息系统显示终端。</w:t>
      </w:r>
    </w:p>
    <w:p w14:paraId="1F006F27">
      <w:pPr>
        <w:pStyle w:val="4"/>
        <w:numPr>
          <w:ilvl w:val="0"/>
          <w:numId w:val="0"/>
        </w:numPr>
        <w:rPr>
          <w:lang w:bidi="ar"/>
        </w:rPr>
      </w:pPr>
      <w:bookmarkStart w:id="3177" w:name="_Toc183882727"/>
      <w:bookmarkStart w:id="3178" w:name="_Toc183738196"/>
      <w:bookmarkStart w:id="3179" w:name="_Toc183888779"/>
      <w:bookmarkStart w:id="3180" w:name="_Toc183888417"/>
      <w:bookmarkStart w:id="3181" w:name="_Toc183882365"/>
      <w:bookmarkStart w:id="3182" w:name="_Toc183765374"/>
      <w:bookmarkStart w:id="3183" w:name="_Toc183790804"/>
      <w:r>
        <w:rPr>
          <w:rFonts w:hint="eastAsia"/>
          <w:b/>
          <w:lang w:bidi="ar"/>
        </w:rPr>
        <w:t xml:space="preserve">20.2 </w:t>
      </w:r>
      <w:r>
        <w:rPr>
          <w:rFonts w:hint="eastAsia"/>
          <w:lang w:bidi="ar"/>
        </w:rPr>
        <w:t xml:space="preserve"> 系统构成</w:t>
      </w:r>
      <w:bookmarkEnd w:id="3177"/>
      <w:bookmarkEnd w:id="3178"/>
      <w:bookmarkEnd w:id="3179"/>
      <w:bookmarkEnd w:id="3180"/>
      <w:bookmarkEnd w:id="3181"/>
      <w:bookmarkEnd w:id="3182"/>
      <w:bookmarkEnd w:id="3183"/>
    </w:p>
    <w:p w14:paraId="6EB4E0BD">
      <w:pPr>
        <w:autoSpaceDE w:val="0"/>
        <w:autoSpaceDN w:val="0"/>
        <w:jc w:val="left"/>
        <w:rPr>
          <w:rFonts w:ascii="宋体" w:hAnsi="ArialMT" w:cs="宋体"/>
          <w:kern w:val="0"/>
          <w:szCs w:val="20"/>
        </w:rPr>
      </w:pPr>
      <w:r>
        <w:rPr>
          <w:rFonts w:eastAsia="黑体" w:cs="方正黑体_GBK"/>
          <w:b/>
          <w:bCs/>
          <w:szCs w:val="21"/>
        </w:rPr>
        <w:t xml:space="preserve">23.2.2  </w:t>
      </w:r>
      <w:r>
        <w:rPr>
          <w:rFonts w:hint="eastAsia" w:ascii="宋体" w:hAnsi="ArialMT" w:cs="宋体"/>
          <w:kern w:val="0"/>
          <w:szCs w:val="20"/>
        </w:rPr>
        <w:t xml:space="preserve">为了保证乘客使用方便，可考虑轨道交通车站的其他区域设备乘客信息系统终端显示设备，但均能纳入系统进行相关控制。 </w:t>
      </w:r>
    </w:p>
    <w:p w14:paraId="2C1EADFE">
      <w:pPr>
        <w:autoSpaceDE w:val="0"/>
        <w:autoSpaceDN w:val="0"/>
        <w:jc w:val="left"/>
        <w:rPr>
          <w:rFonts w:ascii="宋体" w:hAnsi="ArialMT" w:cs="宋体"/>
          <w:kern w:val="0"/>
          <w:szCs w:val="20"/>
        </w:rPr>
      </w:pPr>
      <w:r>
        <w:rPr>
          <w:rFonts w:eastAsia="黑体" w:cs="方正黑体_GBK"/>
          <w:b/>
          <w:bCs/>
          <w:szCs w:val="21"/>
        </w:rPr>
        <w:t xml:space="preserve">20.2.3  </w:t>
      </w:r>
      <w:r>
        <w:rPr>
          <w:rFonts w:ascii="宋体" w:hAnsi="宋体" w:cs="方正黑体_GBK"/>
          <w:szCs w:val="21"/>
        </w:rPr>
        <w:t>乘客信息系统车地通信资源要根据实际运营的需求，计算出车地通信所需的带宽，通过通信系统所设置的无线通信系统进行承载。</w:t>
      </w:r>
    </w:p>
    <w:p w14:paraId="3005C284">
      <w:pPr>
        <w:keepNext/>
        <w:keepLines/>
        <w:spacing w:before="156" w:after="156"/>
        <w:jc w:val="center"/>
        <w:outlineLvl w:val="1"/>
        <w:rPr>
          <w:rFonts w:eastAsia="黑体"/>
          <w:bCs/>
          <w:szCs w:val="32"/>
          <w:lang w:bidi="ar"/>
        </w:rPr>
      </w:pPr>
      <w:bookmarkStart w:id="3184" w:name="_Toc183790805"/>
      <w:bookmarkStart w:id="3185" w:name="_Toc183888780"/>
      <w:bookmarkStart w:id="3186" w:name="_Toc183738197"/>
      <w:bookmarkStart w:id="3187" w:name="_Toc183882728"/>
      <w:bookmarkStart w:id="3188" w:name="_Toc183882366"/>
      <w:bookmarkStart w:id="3189" w:name="_Toc183765375"/>
      <w:bookmarkStart w:id="3190" w:name="_Toc183888418"/>
      <w:r>
        <w:rPr>
          <w:rFonts w:eastAsia="黑体"/>
          <w:b/>
          <w:bCs/>
          <w:szCs w:val="32"/>
          <w:lang w:bidi="ar"/>
        </w:rPr>
        <w:t>20.3</w:t>
      </w:r>
      <w:r>
        <w:rPr>
          <w:rFonts w:eastAsia="黑体"/>
          <w:bCs/>
          <w:szCs w:val="32"/>
          <w:lang w:bidi="ar"/>
        </w:rPr>
        <w:t xml:space="preserve"> </w:t>
      </w:r>
      <w:r>
        <w:rPr>
          <w:rFonts w:hint="eastAsia" w:eastAsia="黑体"/>
          <w:bCs/>
          <w:szCs w:val="32"/>
          <w:lang w:bidi="ar"/>
        </w:rPr>
        <w:t xml:space="preserve"> 系统功能</w:t>
      </w:r>
      <w:bookmarkEnd w:id="3184"/>
      <w:bookmarkEnd w:id="3185"/>
      <w:bookmarkEnd w:id="3186"/>
      <w:bookmarkEnd w:id="3187"/>
      <w:bookmarkEnd w:id="3188"/>
      <w:bookmarkEnd w:id="3189"/>
      <w:bookmarkEnd w:id="3190"/>
      <w:r>
        <w:rPr>
          <w:rFonts w:hint="eastAsia" w:eastAsia="黑体"/>
          <w:bCs/>
          <w:szCs w:val="32"/>
          <w:lang w:bidi="ar"/>
        </w:rPr>
        <w:t xml:space="preserve"> </w:t>
      </w:r>
    </w:p>
    <w:p w14:paraId="6804023D">
      <w:pPr>
        <w:autoSpaceDE w:val="0"/>
        <w:autoSpaceDN w:val="0"/>
        <w:jc w:val="left"/>
        <w:rPr>
          <w:rFonts w:ascii="宋体" w:hAnsi="ArialMT" w:cs="宋体"/>
          <w:kern w:val="0"/>
          <w:szCs w:val="20"/>
        </w:rPr>
      </w:pPr>
      <w:r>
        <w:rPr>
          <w:rFonts w:eastAsia="黑体" w:cs="方正黑体_GBK"/>
          <w:b/>
          <w:bCs/>
          <w:szCs w:val="21"/>
        </w:rPr>
        <w:t xml:space="preserve">20.3.2  </w:t>
      </w:r>
      <w:r>
        <w:rPr>
          <w:rFonts w:hint="eastAsia" w:ascii="宋体" w:hAnsi="ArialMT" w:cs="宋体"/>
          <w:kern w:val="0"/>
          <w:szCs w:val="20"/>
        </w:rPr>
        <w:t>乘客信息系统应能具备处理多种类型媒体处理格式文件，做到媒体文件模式的兼容性，满足系统运营的不同需求。</w:t>
      </w:r>
    </w:p>
    <w:p w14:paraId="7CD6D884">
      <w:pPr>
        <w:autoSpaceDE w:val="0"/>
        <w:autoSpaceDN w:val="0"/>
        <w:jc w:val="left"/>
        <w:rPr>
          <w:rFonts w:ascii="宋体" w:hAnsi="ArialMT" w:cs="宋体"/>
          <w:kern w:val="0"/>
          <w:szCs w:val="20"/>
        </w:rPr>
      </w:pPr>
    </w:p>
    <w:p w14:paraId="593D318B">
      <w:pPr>
        <w:widowControl/>
        <w:spacing w:line="240" w:lineRule="auto"/>
        <w:jc w:val="left"/>
        <w:rPr>
          <w:rFonts w:eastAsia="黑体"/>
          <w:b/>
          <w:kern w:val="44"/>
          <w:sz w:val="28"/>
          <w:szCs w:val="28"/>
        </w:rPr>
      </w:pPr>
      <w:r>
        <w:rPr>
          <w:rFonts w:eastAsia="黑体"/>
          <w:b/>
          <w:kern w:val="44"/>
          <w:sz w:val="28"/>
          <w:szCs w:val="28"/>
        </w:rPr>
        <w:br w:type="page"/>
      </w:r>
    </w:p>
    <w:p w14:paraId="1BA2896D">
      <w:pPr>
        <w:pStyle w:val="240"/>
      </w:pPr>
      <w:bookmarkStart w:id="3191" w:name="_Toc183790806"/>
      <w:bookmarkStart w:id="3192" w:name="_Toc183888419"/>
      <w:bookmarkStart w:id="3193" w:name="_Toc183699911"/>
      <w:bookmarkStart w:id="3194" w:name="_Toc183738198"/>
      <w:bookmarkStart w:id="3195" w:name="_Toc183765376"/>
      <w:bookmarkStart w:id="3196" w:name="_Toc183735455"/>
      <w:bookmarkStart w:id="3197" w:name="_Toc183882367"/>
      <w:bookmarkStart w:id="3198" w:name="_Toc183888781"/>
      <w:bookmarkStart w:id="3199" w:name="_Toc183882729"/>
      <w:r>
        <w:rPr>
          <w:b/>
        </w:rPr>
        <w:t>2</w:t>
      </w:r>
      <w:r>
        <w:rPr>
          <w:rFonts w:hint="eastAsia"/>
          <w:b/>
        </w:rPr>
        <w:t xml:space="preserve">4 </w:t>
      </w:r>
      <w:r>
        <w:t xml:space="preserve"> </w:t>
      </w:r>
      <w:r>
        <w:rPr>
          <w:rFonts w:hint="eastAsia"/>
        </w:rPr>
        <w:t>自动售检票</w:t>
      </w:r>
      <w:bookmarkEnd w:id="3191"/>
      <w:bookmarkEnd w:id="3192"/>
      <w:bookmarkEnd w:id="3193"/>
      <w:bookmarkEnd w:id="3194"/>
      <w:bookmarkEnd w:id="3195"/>
      <w:bookmarkEnd w:id="3196"/>
      <w:bookmarkEnd w:id="3197"/>
      <w:bookmarkEnd w:id="3198"/>
      <w:bookmarkEnd w:id="3199"/>
    </w:p>
    <w:p w14:paraId="457ECB9A">
      <w:pPr>
        <w:pStyle w:val="4"/>
        <w:numPr>
          <w:ilvl w:val="0"/>
          <w:numId w:val="0"/>
        </w:numPr>
      </w:pPr>
      <w:bookmarkStart w:id="3200" w:name="_Toc183888420"/>
      <w:bookmarkStart w:id="3201" w:name="_Toc183738199"/>
      <w:bookmarkStart w:id="3202" w:name="_Toc183888782"/>
      <w:bookmarkStart w:id="3203" w:name="_Toc183790807"/>
      <w:bookmarkStart w:id="3204" w:name="_Toc183882730"/>
      <w:bookmarkStart w:id="3205" w:name="_Toc183765377"/>
      <w:bookmarkStart w:id="3206" w:name="_Toc183882368"/>
      <w:r>
        <w:rPr>
          <w:rFonts w:hint="eastAsia"/>
          <w:b/>
        </w:rPr>
        <w:t>24.1</w:t>
      </w:r>
      <w:r>
        <w:rPr>
          <w:rFonts w:hint="eastAsia"/>
        </w:rPr>
        <w:t xml:space="preserve">  一般规定</w:t>
      </w:r>
      <w:bookmarkEnd w:id="3200"/>
      <w:bookmarkEnd w:id="3201"/>
      <w:bookmarkEnd w:id="3202"/>
      <w:bookmarkEnd w:id="3203"/>
      <w:bookmarkEnd w:id="3204"/>
      <w:bookmarkEnd w:id="3205"/>
      <w:bookmarkEnd w:id="3206"/>
    </w:p>
    <w:p w14:paraId="2C55A4D8">
      <w:pPr>
        <w:autoSpaceDE w:val="0"/>
        <w:autoSpaceDN w:val="0"/>
        <w:jc w:val="left"/>
        <w:rPr>
          <w:rFonts w:ascii="宋体" w:hAnsi="宋体" w:cs="方正黑体_GBK"/>
          <w:bCs/>
          <w:szCs w:val="21"/>
        </w:rPr>
      </w:pPr>
      <w:r>
        <w:rPr>
          <w:rFonts w:hint="eastAsia" w:eastAsia="黑体" w:cs="方正黑体_GBK"/>
          <w:b/>
          <w:bCs/>
        </w:rPr>
        <w:t xml:space="preserve">24.1.5 </w:t>
      </w:r>
      <w:r>
        <w:rPr>
          <w:rFonts w:hint="eastAsia" w:ascii="宋体" w:hAnsi="宋体" w:cs="方正黑体_GBK"/>
          <w:bCs/>
          <w:szCs w:val="21"/>
        </w:rPr>
        <w:t xml:space="preserve"> 同站厅、同站台换乘站结合较为紧密，换乘距离较短，管理界面不易明确划分，为便于车站的统一管理和信息的统计，宜采用共享的方式设置车站计算机系统，车站终端设备亦需根据车站布局和客流组织进行统一布置。</w:t>
      </w:r>
    </w:p>
    <w:p w14:paraId="6CA1BA66">
      <w:pPr>
        <w:autoSpaceDE w:val="0"/>
        <w:autoSpaceDN w:val="0"/>
        <w:jc w:val="left"/>
        <w:rPr>
          <w:rFonts w:ascii="宋体" w:hAnsi="宋体" w:cs="方正黑体_GBK"/>
          <w:bCs/>
          <w:szCs w:val="21"/>
        </w:rPr>
      </w:pPr>
      <w:r>
        <w:rPr>
          <w:rFonts w:hint="eastAsia" w:eastAsia="黑体" w:cs="方正黑体_GBK"/>
          <w:b/>
          <w:bCs/>
        </w:rPr>
        <w:t xml:space="preserve">24.1.8  </w:t>
      </w:r>
      <w:r>
        <w:rPr>
          <w:rFonts w:hint="eastAsia" w:ascii="宋体" w:hAnsi="宋体" w:cs="方正黑体_GBK"/>
          <w:bCs/>
          <w:szCs w:val="21"/>
        </w:rPr>
        <w:t>在车站出现紧急情况时，自动检票机均应开放阻挡装置，使乘客可自由通行。此种情况的控制，由车站综合控制室的紧急按钮实现。同时考虑到火灾疏散的及时性，需与火灾自动报警系统实现联动，联动采取硬线连接方式，FAS向AFC发送经人工确认的联动信号。</w:t>
      </w:r>
    </w:p>
    <w:p w14:paraId="1378C348">
      <w:pPr>
        <w:autoSpaceDE w:val="0"/>
        <w:autoSpaceDN w:val="0"/>
        <w:jc w:val="left"/>
        <w:rPr>
          <w:rFonts w:ascii="宋体" w:hAnsi="宋体" w:cs="方正黑体_GBK"/>
          <w:bCs/>
          <w:szCs w:val="21"/>
        </w:rPr>
      </w:pPr>
      <w:r>
        <w:rPr>
          <w:rFonts w:hint="eastAsia" w:eastAsia="黑体" w:cs="方正黑体_GBK"/>
          <w:b/>
          <w:bCs/>
        </w:rPr>
        <w:t xml:space="preserve">24.1.10  </w:t>
      </w:r>
      <w:r>
        <w:rPr>
          <w:rFonts w:hint="eastAsia" w:ascii="宋体" w:hAnsi="宋体" w:cs="方正黑体_GBK"/>
          <w:bCs/>
          <w:szCs w:val="21"/>
        </w:rPr>
        <w:t>统一乘客服务界面是为了缩短新线开通时乘客熟悉设备使用的时间，进而体现城市轨道交通的服务水平。统一工作界面是为了缩短运营人员熟悉设备使用的时间，为减少培训成本、实现运营单位人力资源共享创造条件。</w:t>
      </w:r>
    </w:p>
    <w:p w14:paraId="1AE86E1C">
      <w:pPr>
        <w:autoSpaceDE w:val="0"/>
        <w:autoSpaceDN w:val="0"/>
        <w:jc w:val="left"/>
        <w:rPr>
          <w:rFonts w:ascii="宋体" w:hAnsi="宋体" w:cs="方正黑体_GBK"/>
          <w:bCs/>
          <w:szCs w:val="21"/>
        </w:rPr>
      </w:pPr>
      <w:r>
        <w:rPr>
          <w:rFonts w:hint="eastAsia" w:eastAsia="黑体" w:cs="方正黑体_GBK"/>
          <w:b/>
          <w:bCs/>
        </w:rPr>
        <w:t xml:space="preserve">21.1.13  </w:t>
      </w:r>
      <w:r>
        <w:rPr>
          <w:rFonts w:hint="eastAsia" w:ascii="宋体" w:hAnsi="宋体" w:cs="方正黑体_GBK"/>
          <w:bCs/>
          <w:szCs w:val="21"/>
        </w:rPr>
        <w:t>结合环境条件和目前设备的运行情况，应采取相关措施，避免设置于地上车站的售检票终端设备受到温度、直射的阳光和粉尘的影响，以提高设备运行的可靠性。这些措施包括设置加热装置、提高设备耐高低温等级、提高设备IP防护等级和与相关专业协调避免阳光直射设备。</w:t>
      </w:r>
    </w:p>
    <w:p w14:paraId="61D4F08D">
      <w:pPr>
        <w:pStyle w:val="4"/>
        <w:numPr>
          <w:ilvl w:val="0"/>
          <w:numId w:val="0"/>
        </w:numPr>
      </w:pPr>
      <w:bookmarkStart w:id="3207" w:name="_Toc183882731"/>
      <w:bookmarkStart w:id="3208" w:name="_Toc183882369"/>
      <w:bookmarkStart w:id="3209" w:name="_Toc183790808"/>
      <w:bookmarkStart w:id="3210" w:name="_Toc183888421"/>
      <w:bookmarkStart w:id="3211" w:name="_Toc183888783"/>
      <w:bookmarkStart w:id="3212" w:name="_Toc183765378"/>
      <w:bookmarkStart w:id="3213" w:name="_Toc183738200"/>
      <w:r>
        <w:rPr>
          <w:rFonts w:hint="eastAsia"/>
        </w:rPr>
        <w:t>24.3  系统构成</w:t>
      </w:r>
      <w:bookmarkEnd w:id="3207"/>
      <w:bookmarkEnd w:id="3208"/>
      <w:bookmarkEnd w:id="3209"/>
      <w:bookmarkEnd w:id="3210"/>
      <w:bookmarkEnd w:id="3211"/>
      <w:bookmarkEnd w:id="3212"/>
      <w:bookmarkEnd w:id="3213"/>
    </w:p>
    <w:p w14:paraId="411D3CE5">
      <w:pPr>
        <w:autoSpaceDE w:val="0"/>
        <w:autoSpaceDN w:val="0"/>
        <w:jc w:val="left"/>
        <w:rPr>
          <w:rFonts w:eastAsia="黑体" w:cs="方正黑体_GBK"/>
          <w:b/>
          <w:bCs/>
          <w:szCs w:val="21"/>
        </w:rPr>
      </w:pPr>
      <w:r>
        <w:rPr>
          <w:rFonts w:hint="eastAsia" w:eastAsia="黑体" w:cs="方正黑体_GBK"/>
          <w:b/>
          <w:bCs/>
          <w:szCs w:val="21"/>
        </w:rPr>
        <w:t xml:space="preserve">24.3.4  </w:t>
      </w:r>
      <w:r>
        <w:rPr>
          <w:rFonts w:hint="eastAsia" w:ascii="宋体" w:hAnsi="ArialMT" w:cs="宋体"/>
          <w:kern w:val="0"/>
          <w:szCs w:val="20"/>
        </w:rPr>
        <w:t>维修系统及培训系统宜整合设置。培训系统可结合运营公司需求接入AFC2.0中心测试系统进行模拟培训。</w:t>
      </w:r>
    </w:p>
    <w:p w14:paraId="19B5F7B5">
      <w:pPr>
        <w:ind w:firstLine="420"/>
      </w:pPr>
    </w:p>
    <w:p w14:paraId="74EC9E69">
      <w:pPr>
        <w:autoSpaceDE w:val="0"/>
        <w:autoSpaceDN w:val="0"/>
        <w:jc w:val="left"/>
        <w:rPr>
          <w:rFonts w:ascii="宋体" w:hAnsi="ArialMT" w:cs="宋体"/>
          <w:kern w:val="0"/>
          <w:szCs w:val="20"/>
        </w:rPr>
      </w:pPr>
    </w:p>
    <w:p w14:paraId="3486232C">
      <w:pPr>
        <w:pStyle w:val="240"/>
      </w:pPr>
      <w:bookmarkStart w:id="3214" w:name="_Toc183888422"/>
      <w:bookmarkStart w:id="3215" w:name="_Toc183699912"/>
      <w:bookmarkStart w:id="3216" w:name="_Toc183882370"/>
      <w:bookmarkStart w:id="3217" w:name="_Toc183790809"/>
      <w:bookmarkStart w:id="3218" w:name="_Toc183882732"/>
      <w:bookmarkStart w:id="3219" w:name="_Toc183888784"/>
      <w:bookmarkStart w:id="3220" w:name="_Toc183738201"/>
      <w:bookmarkStart w:id="3221" w:name="_Toc183735456"/>
      <w:bookmarkStart w:id="3222" w:name="_Toc183765379"/>
      <w:r>
        <w:rPr>
          <w:b/>
        </w:rPr>
        <w:t>2</w:t>
      </w:r>
      <w:r>
        <w:rPr>
          <w:rFonts w:hint="eastAsia"/>
          <w:b/>
        </w:rPr>
        <w:t>5</w:t>
      </w:r>
      <w:r>
        <w:rPr>
          <w:rFonts w:hint="eastAsia"/>
        </w:rPr>
        <w:t xml:space="preserve">  安全防范</w:t>
      </w:r>
      <w:bookmarkEnd w:id="3214"/>
      <w:bookmarkEnd w:id="3215"/>
      <w:bookmarkEnd w:id="3216"/>
      <w:bookmarkEnd w:id="3217"/>
      <w:bookmarkEnd w:id="3218"/>
      <w:bookmarkEnd w:id="3219"/>
      <w:bookmarkEnd w:id="3220"/>
      <w:bookmarkEnd w:id="3221"/>
      <w:bookmarkEnd w:id="3222"/>
    </w:p>
    <w:p w14:paraId="190020BC">
      <w:pPr>
        <w:pStyle w:val="4"/>
        <w:numPr>
          <w:ilvl w:val="0"/>
          <w:numId w:val="0"/>
        </w:numPr>
        <w:rPr>
          <w:lang w:bidi="ar"/>
        </w:rPr>
      </w:pPr>
      <w:bookmarkStart w:id="3223" w:name="_Toc183882371"/>
      <w:bookmarkStart w:id="3224" w:name="_Toc183790810"/>
      <w:bookmarkStart w:id="3225" w:name="_Toc183888423"/>
      <w:bookmarkStart w:id="3226" w:name="_Toc183765380"/>
      <w:bookmarkStart w:id="3227" w:name="_Toc183738202"/>
      <w:bookmarkStart w:id="3228" w:name="_Toc183882733"/>
      <w:bookmarkStart w:id="3229" w:name="_Toc183888785"/>
      <w:r>
        <w:rPr>
          <w:rFonts w:hint="eastAsia"/>
          <w:lang w:bidi="ar"/>
        </w:rPr>
        <w:t>25.1  一般规定</w:t>
      </w:r>
      <w:bookmarkEnd w:id="3223"/>
      <w:bookmarkEnd w:id="3224"/>
      <w:bookmarkEnd w:id="3225"/>
      <w:bookmarkEnd w:id="3226"/>
      <w:bookmarkEnd w:id="3227"/>
      <w:bookmarkEnd w:id="3228"/>
      <w:bookmarkEnd w:id="3229"/>
    </w:p>
    <w:p w14:paraId="34F4864B">
      <w:pPr>
        <w:autoSpaceDE w:val="0"/>
        <w:autoSpaceDN w:val="0"/>
        <w:jc w:val="left"/>
        <w:rPr>
          <w:lang w:bidi="ar"/>
        </w:rPr>
      </w:pPr>
      <w:r>
        <w:rPr>
          <w:rFonts w:eastAsia="黑体" w:cs="方正黑体_GBK"/>
          <w:b/>
          <w:bCs/>
          <w:szCs w:val="21"/>
        </w:rPr>
        <w:t xml:space="preserve">25.1.1  </w:t>
      </w:r>
      <w:r>
        <w:rPr>
          <w:rFonts w:ascii="宋体" w:hAnsi="ArialMT" w:cs="宋体"/>
          <w:kern w:val="0"/>
          <w:szCs w:val="20"/>
        </w:rPr>
        <w:t>安全防范设计包括人力防范、物理防范和技术防范等多个层面。其中，人力防范应结合运营实际需求，确保在紧急情况下能够迅速有效地响应。物理防范则需要根据运营环境的具体特点</w:t>
      </w:r>
      <w:r>
        <w:rPr>
          <w:rFonts w:hint="eastAsia" w:ascii="宋体" w:hAnsi="ArialMT" w:cs="宋体"/>
          <w:kern w:val="0"/>
          <w:szCs w:val="20"/>
        </w:rPr>
        <w:t>进行设置</w:t>
      </w:r>
      <w:r>
        <w:rPr>
          <w:rFonts w:ascii="宋体" w:hAnsi="ArialMT" w:cs="宋体"/>
          <w:kern w:val="0"/>
          <w:szCs w:val="20"/>
        </w:rPr>
        <w:t>。技术防范利用现代科技手段</w:t>
      </w:r>
      <w:r>
        <w:rPr>
          <w:rFonts w:hint="eastAsia" w:ascii="宋体" w:hAnsi="ArialMT" w:cs="宋体"/>
          <w:kern w:val="0"/>
          <w:szCs w:val="20"/>
        </w:rPr>
        <w:t>，</w:t>
      </w:r>
      <w:r>
        <w:rPr>
          <w:rFonts w:ascii="宋体" w:hAnsi="ArialMT" w:cs="宋体"/>
          <w:kern w:val="0"/>
          <w:szCs w:val="20"/>
        </w:rPr>
        <w:t>实现对轨道交通系统</w:t>
      </w:r>
      <w:r>
        <w:rPr>
          <w:rFonts w:hint="eastAsia" w:ascii="宋体" w:hAnsi="ArialMT" w:cs="宋体"/>
          <w:kern w:val="0"/>
          <w:szCs w:val="20"/>
        </w:rPr>
        <w:t>重点区域的</w:t>
      </w:r>
      <w:r>
        <w:rPr>
          <w:rFonts w:ascii="宋体" w:hAnsi="ArialMT" w:cs="宋体"/>
          <w:kern w:val="0"/>
          <w:szCs w:val="20"/>
        </w:rPr>
        <w:t>全方位监控和预警</w:t>
      </w:r>
      <w:r>
        <w:rPr>
          <w:rFonts w:hint="eastAsia" w:ascii="宋体" w:hAnsi="ArialMT" w:cs="宋体"/>
          <w:kern w:val="0"/>
          <w:szCs w:val="20"/>
        </w:rPr>
        <w:t>，</w:t>
      </w:r>
      <w:r>
        <w:rPr>
          <w:rFonts w:ascii="宋体" w:hAnsi="ArialMT" w:cs="宋体"/>
          <w:kern w:val="0"/>
          <w:szCs w:val="20"/>
        </w:rPr>
        <w:t>这三个方面的防范措施应相互补充、协同作用，共同构建一个多层次、全方位的安全防护体系。</w:t>
      </w:r>
    </w:p>
    <w:p w14:paraId="23D0B55A">
      <w:pPr>
        <w:autoSpaceDE w:val="0"/>
        <w:autoSpaceDN w:val="0"/>
        <w:jc w:val="left"/>
        <w:rPr>
          <w:rFonts w:ascii="宋体" w:hAnsi="ArialMT" w:cs="宋体"/>
          <w:kern w:val="0"/>
          <w:szCs w:val="20"/>
        </w:rPr>
      </w:pPr>
      <w:r>
        <w:rPr>
          <w:rFonts w:eastAsia="黑体" w:cs="方正黑体_GBK"/>
          <w:b/>
          <w:bCs/>
          <w:szCs w:val="21"/>
        </w:rPr>
        <w:t xml:space="preserve">25.1.3  </w:t>
      </w:r>
      <w:r>
        <w:rPr>
          <w:rFonts w:hint="eastAsia" w:ascii="宋体" w:hAnsi="ArialMT" w:cs="宋体"/>
          <w:kern w:val="0"/>
          <w:szCs w:val="20"/>
        </w:rPr>
        <w:t>安防防范的</w:t>
      </w:r>
      <w:r>
        <w:rPr>
          <w:rFonts w:ascii="宋体" w:hAnsi="ArialMT" w:cs="宋体"/>
          <w:kern w:val="0"/>
          <w:szCs w:val="20"/>
        </w:rPr>
        <w:t>设计需紧密结合用户管理安全要求，通过合理配置和设置技术防护措施，构建一个完整的技术防范体系。在设计中，技术防范设计还应灵活扩展，自行考虑其他必要的技术防护措施。以确保技术防范体系能够全面覆盖业务安全需求，提升整体安全防护能力。</w:t>
      </w:r>
    </w:p>
    <w:p w14:paraId="18CA09D3">
      <w:pPr>
        <w:pStyle w:val="4"/>
        <w:numPr>
          <w:ilvl w:val="0"/>
          <w:numId w:val="0"/>
        </w:numPr>
        <w:rPr>
          <w:lang w:bidi="ar"/>
        </w:rPr>
      </w:pPr>
      <w:bookmarkStart w:id="3230" w:name="_Toc183888424"/>
      <w:bookmarkStart w:id="3231" w:name="_Toc183765381"/>
      <w:bookmarkStart w:id="3232" w:name="_Toc183790811"/>
      <w:bookmarkStart w:id="3233" w:name="_Toc183738203"/>
      <w:bookmarkStart w:id="3234" w:name="_Toc183882372"/>
      <w:bookmarkStart w:id="3235" w:name="_Toc183888786"/>
      <w:bookmarkStart w:id="3236" w:name="_Toc183882734"/>
      <w:r>
        <w:rPr>
          <w:b/>
          <w:lang w:bidi="ar"/>
        </w:rPr>
        <w:t>25.2</w:t>
      </w:r>
      <w:r>
        <w:rPr>
          <w:rFonts w:hint="eastAsia"/>
          <w:b/>
          <w:lang w:bidi="ar"/>
        </w:rPr>
        <w:t xml:space="preserve"> </w:t>
      </w:r>
      <w:r>
        <w:rPr>
          <w:rFonts w:hint="eastAsia"/>
          <w:lang w:bidi="ar"/>
        </w:rPr>
        <w:t xml:space="preserve"> 门禁系统</w:t>
      </w:r>
      <w:bookmarkEnd w:id="3230"/>
      <w:bookmarkEnd w:id="3231"/>
      <w:bookmarkEnd w:id="3232"/>
      <w:bookmarkEnd w:id="3233"/>
      <w:bookmarkEnd w:id="3234"/>
      <w:bookmarkEnd w:id="3235"/>
      <w:bookmarkEnd w:id="3236"/>
    </w:p>
    <w:p w14:paraId="19E7AC1C">
      <w:pPr>
        <w:autoSpaceDE w:val="0"/>
        <w:autoSpaceDN w:val="0"/>
        <w:jc w:val="left"/>
        <w:rPr>
          <w:rFonts w:ascii="宋体" w:hAnsi="宋体" w:cs="方正黑体_GBK"/>
          <w:b/>
          <w:bCs/>
          <w:szCs w:val="21"/>
        </w:rPr>
      </w:pPr>
      <w:r>
        <w:rPr>
          <w:rFonts w:eastAsia="黑体" w:cs="方正黑体_GBK"/>
          <w:b/>
          <w:bCs/>
          <w:szCs w:val="21"/>
        </w:rPr>
        <w:t xml:space="preserve">25.2.5  </w:t>
      </w:r>
      <w:r>
        <w:rPr>
          <w:rFonts w:ascii="宋体" w:hAnsi="宋体" w:cs="方正黑体_GBK"/>
          <w:szCs w:val="21"/>
        </w:rPr>
        <w:t>火灾时，可手动开门，保证火灾情况下，人员疏散顺利。</w:t>
      </w:r>
    </w:p>
    <w:p w14:paraId="67C27A72">
      <w:pPr>
        <w:autoSpaceDE w:val="0"/>
        <w:autoSpaceDN w:val="0"/>
        <w:jc w:val="left"/>
        <w:rPr>
          <w:rFonts w:eastAsia="黑体" w:cs="方正黑体_GBK"/>
          <w:b/>
          <w:bCs/>
          <w:szCs w:val="21"/>
        </w:rPr>
      </w:pPr>
      <w:r>
        <w:rPr>
          <w:rFonts w:eastAsia="黑体" w:cs="方正黑体_GBK"/>
          <w:b/>
          <w:bCs/>
          <w:szCs w:val="21"/>
        </w:rPr>
        <w:t xml:space="preserve">21.2.15  </w:t>
      </w:r>
      <w:r>
        <w:rPr>
          <w:rFonts w:ascii="宋体" w:hAnsi="宋体" w:cs="方正黑体_GBK"/>
          <w:szCs w:val="21"/>
        </w:rPr>
        <w:t>轨道交通地下空间狭小，人员密集，一旦发生火灾，极易发生严重后果，而电子锁具有断电释放的功能，使人员疏散顺利。</w:t>
      </w:r>
    </w:p>
    <w:p w14:paraId="2AE0642C">
      <w:pPr>
        <w:pStyle w:val="4"/>
        <w:numPr>
          <w:ilvl w:val="0"/>
          <w:numId w:val="0"/>
        </w:numPr>
        <w:rPr>
          <w:lang w:bidi="ar"/>
        </w:rPr>
      </w:pPr>
      <w:bookmarkStart w:id="3237" w:name="_Toc183882735"/>
      <w:bookmarkStart w:id="3238" w:name="_Toc183765382"/>
      <w:bookmarkStart w:id="3239" w:name="_Toc183790812"/>
      <w:bookmarkStart w:id="3240" w:name="_Toc183738204"/>
      <w:bookmarkStart w:id="3241" w:name="_Toc183882373"/>
      <w:bookmarkStart w:id="3242" w:name="_Toc183888787"/>
      <w:bookmarkStart w:id="3243" w:name="_Toc183888425"/>
      <w:r>
        <w:rPr>
          <w:b/>
          <w:lang w:bidi="ar"/>
        </w:rPr>
        <w:t>25.</w:t>
      </w:r>
      <w:r>
        <w:rPr>
          <w:rFonts w:hint="eastAsia"/>
          <w:b/>
          <w:lang w:bidi="ar"/>
        </w:rPr>
        <w:t xml:space="preserve">3 </w:t>
      </w:r>
      <w:r>
        <w:rPr>
          <w:rFonts w:hint="eastAsia"/>
          <w:lang w:bidi="ar"/>
        </w:rPr>
        <w:t xml:space="preserve"> 周界防范</w:t>
      </w:r>
      <w:bookmarkEnd w:id="3237"/>
      <w:bookmarkEnd w:id="3238"/>
      <w:bookmarkEnd w:id="3239"/>
      <w:bookmarkEnd w:id="3240"/>
      <w:bookmarkEnd w:id="3241"/>
      <w:bookmarkEnd w:id="3242"/>
      <w:bookmarkEnd w:id="3243"/>
    </w:p>
    <w:p w14:paraId="7D6FB004">
      <w:pPr>
        <w:autoSpaceDE w:val="0"/>
        <w:autoSpaceDN w:val="0"/>
        <w:jc w:val="left"/>
        <w:rPr>
          <w:rFonts w:eastAsia="黑体" w:cs="方正黑体_GBK"/>
          <w:b/>
          <w:bCs/>
          <w:szCs w:val="21"/>
        </w:rPr>
      </w:pPr>
      <w:r>
        <w:rPr>
          <w:rFonts w:eastAsia="黑体" w:cs="方正黑体_GBK"/>
          <w:b/>
          <w:bCs/>
          <w:szCs w:val="21"/>
        </w:rPr>
        <w:t xml:space="preserve">25.2.2  </w:t>
      </w:r>
      <w:r>
        <w:rPr>
          <w:rFonts w:ascii="宋体" w:hAnsi="宋体" w:cs="方正黑体_GBK"/>
          <w:szCs w:val="21"/>
        </w:rPr>
        <w:t>周界防范中的场段安防监控系统主要服务于安全防护需求，其目的是监测和记录可能的外部入侵行为，保障场段的安全边界，服务对象为场段安保人员。而通信系统中的视频监控系统则主要服务于运营管理需求，其重点在于监控场段内的运营状态和作业流程，确保运营效率和服务质量，使用方通常为运营管理部门和一线操作人员。由于两者的服务对象和使用方不同，其系统设计、功能要求、监控范围和响应机制等也存在差异，因此需要独立设置，以保障各自系统的专业性和效能。</w:t>
      </w:r>
    </w:p>
    <w:p w14:paraId="40C086F5">
      <w:pPr>
        <w:pStyle w:val="4"/>
        <w:numPr>
          <w:ilvl w:val="0"/>
          <w:numId w:val="0"/>
        </w:numPr>
        <w:rPr>
          <w:lang w:bidi="ar"/>
        </w:rPr>
      </w:pPr>
      <w:bookmarkStart w:id="3244" w:name="_Toc183738205"/>
      <w:bookmarkStart w:id="3245" w:name="_Toc183882736"/>
      <w:bookmarkStart w:id="3246" w:name="_Toc183790813"/>
      <w:bookmarkStart w:id="3247" w:name="_Toc183888426"/>
      <w:bookmarkStart w:id="3248" w:name="_Toc183765383"/>
      <w:bookmarkStart w:id="3249" w:name="_Toc183882374"/>
      <w:bookmarkStart w:id="3250" w:name="_Toc183888788"/>
      <w:r>
        <w:rPr>
          <w:b/>
          <w:lang w:bidi="ar"/>
        </w:rPr>
        <w:t>25.</w:t>
      </w:r>
      <w:r>
        <w:rPr>
          <w:rFonts w:hint="eastAsia"/>
          <w:b/>
          <w:lang w:bidi="ar"/>
        </w:rPr>
        <w:t xml:space="preserve">4 </w:t>
      </w:r>
      <w:r>
        <w:rPr>
          <w:rFonts w:hint="eastAsia"/>
          <w:lang w:bidi="ar"/>
        </w:rPr>
        <w:t xml:space="preserve"> 安全检查及探测系统</w:t>
      </w:r>
      <w:bookmarkEnd w:id="3244"/>
      <w:bookmarkEnd w:id="3245"/>
      <w:bookmarkEnd w:id="3246"/>
      <w:bookmarkEnd w:id="3247"/>
      <w:bookmarkEnd w:id="3248"/>
      <w:bookmarkEnd w:id="3249"/>
      <w:bookmarkEnd w:id="3250"/>
    </w:p>
    <w:p w14:paraId="3506486F">
      <w:pPr>
        <w:rPr>
          <w:rFonts w:ascii="宋体" w:hAnsi="宋体" w:cs="方正黑体_GBK"/>
          <w:szCs w:val="21"/>
        </w:rPr>
      </w:pPr>
      <w:r>
        <w:rPr>
          <w:rFonts w:eastAsia="黑体" w:cs="方正黑体_GBK"/>
          <w:b/>
          <w:bCs/>
          <w:szCs w:val="21"/>
        </w:rPr>
        <w:t>25.3.10</w:t>
      </w:r>
      <w:r>
        <w:rPr>
          <w:rFonts w:ascii="宋体" w:hAnsi="宋体" w:cs="方正黑体_GBK"/>
          <w:szCs w:val="21"/>
        </w:rPr>
        <w:t xml:space="preserve"> 当设置安防管理平台时,为实现信息共享、方便运营使用、避免重复建设，安检信息化系统的相关功能宜由安防管理平台实现。</w:t>
      </w:r>
    </w:p>
    <w:p w14:paraId="4D15A596">
      <w:pPr>
        <w:pStyle w:val="240"/>
        <w:ind w:left="361"/>
      </w:pPr>
      <w:r>
        <w:rPr>
          <w:rFonts w:eastAsia="宋体"/>
          <w:sz w:val="21"/>
        </w:rPr>
        <w:br w:type="page"/>
      </w:r>
      <w:bookmarkStart w:id="3251" w:name="_Toc183882737"/>
      <w:bookmarkStart w:id="3252" w:name="_Toc183765384"/>
      <w:bookmarkStart w:id="3253" w:name="_Toc183699913"/>
      <w:bookmarkStart w:id="3254" w:name="_Toc183790814"/>
      <w:bookmarkStart w:id="3255" w:name="_Toc183882375"/>
      <w:bookmarkStart w:id="3256" w:name="_Toc183735457"/>
      <w:bookmarkStart w:id="3257" w:name="_Toc183888789"/>
      <w:bookmarkStart w:id="3258" w:name="_Toc183888427"/>
      <w:bookmarkStart w:id="3259" w:name="_Toc183738206"/>
      <w:r>
        <w:rPr>
          <w:b/>
        </w:rPr>
        <w:t>2</w:t>
      </w:r>
      <w:r>
        <w:rPr>
          <w:rFonts w:hint="eastAsia"/>
          <w:b/>
        </w:rPr>
        <w:t xml:space="preserve">6 </w:t>
      </w:r>
      <w:r>
        <w:rPr>
          <w:rFonts w:hint="eastAsia"/>
        </w:rPr>
        <w:t xml:space="preserve"> 云平台</w:t>
      </w:r>
      <w:bookmarkEnd w:id="3251"/>
      <w:bookmarkEnd w:id="3252"/>
      <w:bookmarkEnd w:id="3253"/>
      <w:bookmarkEnd w:id="3254"/>
      <w:bookmarkEnd w:id="3255"/>
      <w:bookmarkEnd w:id="3256"/>
      <w:bookmarkEnd w:id="3257"/>
      <w:bookmarkEnd w:id="3258"/>
      <w:bookmarkEnd w:id="3259"/>
    </w:p>
    <w:p w14:paraId="527E4E79">
      <w:pPr>
        <w:pStyle w:val="4"/>
        <w:numPr>
          <w:ilvl w:val="0"/>
          <w:numId w:val="0"/>
        </w:numPr>
        <w:rPr>
          <w:lang w:bidi="ar"/>
        </w:rPr>
      </w:pPr>
      <w:bookmarkStart w:id="3260" w:name="_Toc63441766"/>
      <w:bookmarkStart w:id="3261" w:name="_Toc160720875"/>
      <w:bookmarkStart w:id="3262" w:name="_Toc183882376"/>
      <w:bookmarkStart w:id="3263" w:name="_Toc183790815"/>
      <w:bookmarkStart w:id="3264" w:name="_Toc183765385"/>
      <w:bookmarkStart w:id="3265" w:name="_Toc183888428"/>
      <w:bookmarkStart w:id="3266" w:name="_Toc183888790"/>
      <w:bookmarkStart w:id="3267" w:name="_Toc183738207"/>
      <w:bookmarkStart w:id="3268" w:name="_Toc183882738"/>
      <w:r>
        <w:rPr>
          <w:rFonts w:hint="eastAsia"/>
          <w:b/>
          <w:lang w:bidi="ar"/>
        </w:rPr>
        <w:t>2</w:t>
      </w:r>
      <w:r>
        <w:rPr>
          <w:b/>
          <w:lang w:bidi="ar"/>
        </w:rPr>
        <w:t>6.1</w:t>
      </w:r>
      <w:r>
        <w:rPr>
          <w:rFonts w:hint="eastAsia"/>
          <w:lang w:bidi="ar"/>
        </w:rPr>
        <w:t xml:space="preserve">  </w:t>
      </w:r>
      <w:r>
        <w:rPr>
          <w:lang w:bidi="ar"/>
        </w:rPr>
        <w:t>一般规定</w:t>
      </w:r>
      <w:bookmarkEnd w:id="3260"/>
      <w:bookmarkEnd w:id="3261"/>
      <w:bookmarkEnd w:id="3262"/>
      <w:bookmarkEnd w:id="3263"/>
      <w:bookmarkEnd w:id="3264"/>
      <w:bookmarkEnd w:id="3265"/>
      <w:bookmarkEnd w:id="3266"/>
      <w:bookmarkEnd w:id="3267"/>
      <w:bookmarkEnd w:id="3268"/>
    </w:p>
    <w:p w14:paraId="52954FC6">
      <w:pPr>
        <w:autoSpaceDE w:val="0"/>
        <w:autoSpaceDN w:val="0"/>
        <w:jc w:val="left"/>
        <w:rPr>
          <w:rFonts w:eastAsia="黑体" w:cs="方正黑体_GBK"/>
          <w:b/>
          <w:bCs/>
          <w:szCs w:val="21"/>
        </w:rPr>
      </w:pPr>
      <w:r>
        <w:rPr>
          <w:rFonts w:eastAsia="黑体" w:cs="方正黑体_GBK"/>
          <w:b/>
          <w:bCs/>
          <w:szCs w:val="21"/>
        </w:rPr>
        <w:t xml:space="preserve">26.1.3  </w:t>
      </w:r>
      <w:r>
        <w:rPr>
          <w:rFonts w:ascii="宋体" w:hAnsi="宋体" w:cs="方正黑体_GBK"/>
          <w:szCs w:val="21"/>
        </w:rPr>
        <w:t>云平台是随着轨道交通项目建设、管理需求的增加逐步完善的，需要有明确的功能需求。云平台需要有明确的整体规划，方可在线网指挥中心或各线路建设中进行落实。</w:t>
      </w:r>
    </w:p>
    <w:p w14:paraId="45223446">
      <w:pPr>
        <w:autoSpaceDE w:val="0"/>
        <w:autoSpaceDN w:val="0"/>
        <w:jc w:val="left"/>
        <w:rPr>
          <w:rFonts w:eastAsia="黑体" w:cs="方正黑体_GBK"/>
          <w:b/>
          <w:bCs/>
          <w:szCs w:val="21"/>
        </w:rPr>
      </w:pPr>
      <w:r>
        <w:rPr>
          <w:rFonts w:eastAsia="黑体" w:cs="方正黑体_GBK"/>
          <w:b/>
          <w:bCs/>
          <w:szCs w:val="21"/>
        </w:rPr>
        <w:t xml:space="preserve">26.1.4  </w:t>
      </w:r>
      <w:r>
        <w:rPr>
          <w:rFonts w:ascii="宋体" w:hAnsi="宋体" w:cs="方正黑体_GBK"/>
          <w:szCs w:val="21"/>
        </w:rPr>
        <w:t>云平台设计宜对技术方案选择进行比选，系统构建应按照整体规划的内容进行分布实施，选用的技术路线应为主流的、多供货商的，采用标准、开放的架构设计及接口设计。系统构建应充分调研既有系统的建设现状，并分析到未来技术的发展方向，预留未来系统的升级扩展条件。</w:t>
      </w:r>
    </w:p>
    <w:p w14:paraId="4C3C36FF">
      <w:pPr>
        <w:pStyle w:val="4"/>
        <w:numPr>
          <w:ilvl w:val="0"/>
          <w:numId w:val="0"/>
        </w:numPr>
        <w:rPr>
          <w:lang w:bidi="ar"/>
        </w:rPr>
      </w:pPr>
      <w:bookmarkStart w:id="3269" w:name="_Toc63441767"/>
      <w:bookmarkStart w:id="3270" w:name="_Toc160720876"/>
      <w:bookmarkStart w:id="3271" w:name="_Toc183738208"/>
      <w:bookmarkStart w:id="3272" w:name="_Toc183888791"/>
      <w:bookmarkStart w:id="3273" w:name="_Toc183790816"/>
      <w:bookmarkStart w:id="3274" w:name="_Toc183882377"/>
      <w:bookmarkStart w:id="3275" w:name="_Toc183888429"/>
      <w:bookmarkStart w:id="3276" w:name="_Toc183765386"/>
      <w:bookmarkStart w:id="3277" w:name="_Toc183882739"/>
      <w:r>
        <w:rPr>
          <w:b/>
          <w:lang w:bidi="ar"/>
        </w:rPr>
        <w:t>26.2</w:t>
      </w:r>
      <w:bookmarkEnd w:id="3269"/>
      <w:bookmarkEnd w:id="3270"/>
      <w:r>
        <w:rPr>
          <w:rFonts w:hint="eastAsia"/>
          <w:b/>
          <w:lang w:bidi="ar"/>
        </w:rPr>
        <w:t xml:space="preserve"> </w:t>
      </w:r>
      <w:r>
        <w:rPr>
          <w:rFonts w:hint="eastAsia"/>
          <w:lang w:bidi="ar"/>
        </w:rPr>
        <w:t xml:space="preserve"> 系统架构及功能</w:t>
      </w:r>
      <w:bookmarkEnd w:id="3271"/>
      <w:bookmarkEnd w:id="3272"/>
      <w:bookmarkEnd w:id="3273"/>
      <w:bookmarkEnd w:id="3274"/>
      <w:bookmarkEnd w:id="3275"/>
      <w:bookmarkEnd w:id="3276"/>
      <w:bookmarkEnd w:id="3277"/>
    </w:p>
    <w:p w14:paraId="3D16BF1C">
      <w:pPr>
        <w:autoSpaceDE w:val="0"/>
        <w:autoSpaceDN w:val="0"/>
        <w:jc w:val="left"/>
        <w:rPr>
          <w:rFonts w:eastAsia="黑体" w:cs="方正黑体_GBK"/>
          <w:b/>
          <w:bCs/>
          <w:szCs w:val="21"/>
        </w:rPr>
      </w:pPr>
      <w:r>
        <w:rPr>
          <w:rFonts w:eastAsia="黑体" w:cs="方正黑体_GBK"/>
          <w:b/>
          <w:bCs/>
          <w:szCs w:val="21"/>
        </w:rPr>
        <w:t xml:space="preserve">26.2.2  </w:t>
      </w:r>
      <w:r>
        <w:rPr>
          <w:rFonts w:ascii="宋体" w:hAnsi="宋体" w:cs="方正黑体_GBK"/>
          <w:szCs w:val="21"/>
        </w:rPr>
        <w:t>云平台应与入云系统具有明确的边界，边界可以在车站、场段、运营控制中心等处，云平台及入云系统均需要设置安全边界。</w:t>
      </w:r>
    </w:p>
    <w:p w14:paraId="2CAE7349">
      <w:pPr>
        <w:autoSpaceDE w:val="0"/>
        <w:autoSpaceDN w:val="0"/>
        <w:jc w:val="left"/>
        <w:rPr>
          <w:rFonts w:ascii="宋体" w:hAnsi="宋体" w:cs="方正黑体_GBK"/>
          <w:szCs w:val="21"/>
        </w:rPr>
      </w:pPr>
      <w:r>
        <w:rPr>
          <w:rFonts w:eastAsia="黑体" w:cs="方正黑体_GBK"/>
          <w:b/>
          <w:bCs/>
          <w:szCs w:val="21"/>
        </w:rPr>
        <w:t xml:space="preserve">26.2.3  </w:t>
      </w:r>
      <w:r>
        <w:rPr>
          <w:rFonts w:ascii="宋体" w:hAnsi="宋体" w:cs="方正黑体_GBK"/>
          <w:szCs w:val="21"/>
        </w:rPr>
        <w:t>云平台宜设置统一的数据平台，宜包括数据采集、数据存储、数据应用支撑、数据应用等逻辑层次，实现面向应用系统的统一数据采集、数据共享以及数据服务支撑。数据平宜支持实时、准实时及离线的数据接入方式，并支持多种数据存储方式的混合型数据平台。</w:t>
      </w:r>
    </w:p>
    <w:p w14:paraId="3B897064">
      <w:pPr>
        <w:pStyle w:val="4"/>
        <w:numPr>
          <w:ilvl w:val="0"/>
          <w:numId w:val="0"/>
        </w:numPr>
        <w:rPr>
          <w:lang w:bidi="ar"/>
        </w:rPr>
      </w:pPr>
      <w:bookmarkStart w:id="3278" w:name="_Toc160720877"/>
      <w:bookmarkStart w:id="3279" w:name="_Toc63441768"/>
      <w:bookmarkStart w:id="3280" w:name="_Toc183882378"/>
      <w:bookmarkStart w:id="3281" w:name="_Toc183882740"/>
      <w:bookmarkStart w:id="3282" w:name="_Toc183765387"/>
      <w:bookmarkStart w:id="3283" w:name="_Toc183888430"/>
      <w:bookmarkStart w:id="3284" w:name="_Toc183790817"/>
      <w:bookmarkStart w:id="3285" w:name="_Toc183738209"/>
      <w:bookmarkStart w:id="3286" w:name="_Toc183888792"/>
      <w:r>
        <w:rPr>
          <w:b/>
          <w:lang w:bidi="ar"/>
        </w:rPr>
        <w:t>26.3</w:t>
      </w:r>
      <w:bookmarkEnd w:id="3278"/>
      <w:bookmarkEnd w:id="3279"/>
      <w:r>
        <w:rPr>
          <w:rFonts w:hint="eastAsia"/>
          <w:b/>
          <w:lang w:bidi="ar"/>
        </w:rPr>
        <w:t xml:space="preserve"> </w:t>
      </w:r>
      <w:r>
        <w:rPr>
          <w:rFonts w:hint="eastAsia"/>
          <w:lang w:bidi="ar"/>
        </w:rPr>
        <w:t xml:space="preserve"> 设备用房及环境要求</w:t>
      </w:r>
      <w:bookmarkEnd w:id="3280"/>
      <w:bookmarkEnd w:id="3281"/>
      <w:bookmarkEnd w:id="3282"/>
      <w:bookmarkEnd w:id="3283"/>
      <w:bookmarkEnd w:id="3284"/>
      <w:bookmarkEnd w:id="3285"/>
      <w:bookmarkEnd w:id="3286"/>
    </w:p>
    <w:p w14:paraId="22A98100">
      <w:pPr>
        <w:autoSpaceDE w:val="0"/>
        <w:autoSpaceDN w:val="0"/>
        <w:jc w:val="left"/>
        <w:rPr>
          <w:rFonts w:ascii="宋体" w:hAnsi="宋体" w:cs="方正黑体_GBK"/>
          <w:szCs w:val="21"/>
        </w:rPr>
        <w:sectPr>
          <w:pgSz w:w="7937" w:h="11509"/>
          <w:pgMar w:top="1247" w:right="907" w:bottom="1247" w:left="907" w:header="737" w:footer="737" w:gutter="0"/>
          <w:cols w:space="425" w:num="1"/>
          <w:docGrid w:type="lines" w:linePitch="312" w:charSpace="0"/>
        </w:sectPr>
      </w:pPr>
      <w:r>
        <w:rPr>
          <w:rFonts w:eastAsia="黑体" w:cs="方正黑体_GBK"/>
          <w:b/>
          <w:bCs/>
          <w:szCs w:val="21"/>
        </w:rPr>
        <w:t xml:space="preserve">26.3.3 </w:t>
      </w:r>
      <w:r>
        <w:rPr>
          <w:rFonts w:eastAsia="黑体" w:cs="方正黑体_GBK"/>
          <w:szCs w:val="21"/>
        </w:rPr>
        <w:t xml:space="preserve"> </w:t>
      </w:r>
      <w:r>
        <w:rPr>
          <w:rFonts w:ascii="宋体" w:hAnsi="宋体" w:cs="方正黑体_GBK"/>
          <w:szCs w:val="21"/>
        </w:rPr>
        <w:t>考虑到云平台的重要性，云平台机房的供电、消防及设备、设施的防雷接地要求应满足人身安全及电子信息系统正常，相关标准应参照《数据中心设计规范》GB 50174中信息系统划分的等级相对应的等级的技术要求执行。</w:t>
      </w:r>
    </w:p>
    <w:p w14:paraId="5BC69A37">
      <w:pPr>
        <w:pStyle w:val="240"/>
        <w:ind w:left="361"/>
      </w:pPr>
      <w:bookmarkStart w:id="3287" w:name="_Toc183735458"/>
      <w:bookmarkStart w:id="3288" w:name="_Toc183765388"/>
      <w:bookmarkStart w:id="3289" w:name="_Toc183888793"/>
      <w:bookmarkStart w:id="3290" w:name="_Toc183882379"/>
      <w:bookmarkStart w:id="3291" w:name="_Toc183738210"/>
      <w:bookmarkStart w:id="3292" w:name="_Toc183699914"/>
      <w:bookmarkStart w:id="3293" w:name="_Toc357929620"/>
      <w:bookmarkStart w:id="3294" w:name="_Toc183882741"/>
      <w:bookmarkStart w:id="3295" w:name="_Toc183790818"/>
      <w:bookmarkStart w:id="3296" w:name="_Toc183888431"/>
      <w:r>
        <w:rPr>
          <w:rFonts w:hint="eastAsia"/>
          <w:b/>
        </w:rPr>
        <w:t xml:space="preserve">27 </w:t>
      </w:r>
      <w:r>
        <w:rPr>
          <w:rFonts w:hint="eastAsia"/>
        </w:rPr>
        <w:t xml:space="preserve"> 控制中心</w:t>
      </w:r>
      <w:bookmarkEnd w:id="3287"/>
      <w:bookmarkEnd w:id="3288"/>
      <w:bookmarkEnd w:id="3289"/>
      <w:bookmarkEnd w:id="3290"/>
      <w:bookmarkEnd w:id="3291"/>
      <w:bookmarkEnd w:id="3292"/>
      <w:bookmarkEnd w:id="3293"/>
      <w:bookmarkEnd w:id="3294"/>
      <w:bookmarkEnd w:id="3295"/>
      <w:bookmarkEnd w:id="3296"/>
    </w:p>
    <w:p w14:paraId="6D17192D">
      <w:pPr>
        <w:pStyle w:val="4"/>
        <w:numPr>
          <w:ilvl w:val="0"/>
          <w:numId w:val="0"/>
        </w:numPr>
      </w:pPr>
      <w:bookmarkStart w:id="3297" w:name="_Toc183738211"/>
      <w:bookmarkStart w:id="3298" w:name="_Toc183888794"/>
      <w:bookmarkStart w:id="3299" w:name="_Toc357929621"/>
      <w:bookmarkStart w:id="3300" w:name="_Toc183790819"/>
      <w:bookmarkStart w:id="3301" w:name="_Toc183888432"/>
      <w:bookmarkStart w:id="3302" w:name="_Toc183765389"/>
      <w:bookmarkStart w:id="3303" w:name="_Toc183882380"/>
      <w:bookmarkStart w:id="3304" w:name="_Toc183882742"/>
      <w:r>
        <w:rPr>
          <w:b/>
        </w:rPr>
        <w:t>27.1</w:t>
      </w:r>
      <w:r>
        <w:t xml:space="preserve">  一般规定</w:t>
      </w:r>
      <w:bookmarkEnd w:id="3297"/>
      <w:bookmarkEnd w:id="3298"/>
      <w:bookmarkEnd w:id="3299"/>
      <w:bookmarkEnd w:id="3300"/>
      <w:bookmarkEnd w:id="3301"/>
      <w:bookmarkEnd w:id="3302"/>
      <w:bookmarkEnd w:id="3303"/>
      <w:bookmarkEnd w:id="3304"/>
    </w:p>
    <w:p w14:paraId="2A2DD473">
      <w:pPr>
        <w:autoSpaceDE w:val="0"/>
        <w:autoSpaceDN w:val="0"/>
        <w:jc w:val="left"/>
        <w:rPr>
          <w:rFonts w:ascii="宋体" w:hAnsi="宋体" w:cs="方正黑体_GBK"/>
          <w:szCs w:val="21"/>
        </w:rPr>
      </w:pPr>
      <w:r>
        <w:rPr>
          <w:rFonts w:hint="eastAsia" w:eastAsia="黑体" w:cs="方正黑体_GBK"/>
          <w:b/>
          <w:bCs/>
          <w:szCs w:val="21"/>
        </w:rPr>
        <w:t xml:space="preserve">27.1.1  </w:t>
      </w:r>
      <w:r>
        <w:rPr>
          <w:rFonts w:hint="eastAsia" w:ascii="宋体" w:hAnsi="宋体" w:cs="方正黑体_GBK"/>
          <w:szCs w:val="21"/>
        </w:rPr>
        <w:t>城市轨道交通普遍采用了现代化和自动化技术，各专业系统通过设置中央监控级实现其在运营过程中的监视、控制、操作和管理，各系统运营的安全性、可靠性越来越受到重视，为了确保轨道交通轨道交通安全、可靠和高效的运行，方便各系统操作人员对轨道交通运营过程实施全面的集中监控和管理，必须建立一个具有适当环境、条件及规模的运营调度、指挥和控制的运营控制中心（OCC），简称控制中心。</w:t>
      </w:r>
    </w:p>
    <w:p w14:paraId="3B3C186B">
      <w:pPr>
        <w:autoSpaceDE w:val="0"/>
        <w:autoSpaceDN w:val="0"/>
        <w:jc w:val="left"/>
        <w:rPr>
          <w:rFonts w:ascii="宋体" w:hAnsi="ArialMT" w:cs="宋体"/>
          <w:kern w:val="0"/>
          <w:szCs w:val="20"/>
        </w:rPr>
      </w:pPr>
      <w:r>
        <w:rPr>
          <w:rFonts w:hint="eastAsia" w:eastAsia="黑体" w:cs="方正黑体_GBK"/>
          <w:b/>
          <w:bCs/>
          <w:szCs w:val="21"/>
        </w:rPr>
        <w:t xml:space="preserve">27.1.11  </w:t>
      </w:r>
      <w:r>
        <w:rPr>
          <w:rFonts w:hint="eastAsia" w:ascii="宋体" w:hAnsi="ArialMT" w:cs="宋体"/>
          <w:kern w:val="0"/>
          <w:szCs w:val="20"/>
        </w:rPr>
        <w:t>北京轨道交通指挥运营控制体系已基本建立，在轨道交通线网层面建设有指挥中心，线路层面建设有控制中心；各线路应接受其控制中心的运营监管外，也应根据相关规定接受指挥中心的指挥、协调和管理，保证轨道交通线网运营的协调、顺畅和高效。</w:t>
      </w:r>
    </w:p>
    <w:p w14:paraId="0B819625">
      <w:pPr>
        <w:autoSpaceDE w:val="0"/>
        <w:autoSpaceDN w:val="0"/>
        <w:jc w:val="left"/>
        <w:rPr>
          <w:rFonts w:ascii="宋体" w:hAnsi="ArialMT" w:cs="宋体"/>
          <w:kern w:val="0"/>
          <w:szCs w:val="20"/>
        </w:rPr>
      </w:pPr>
      <w:r>
        <w:rPr>
          <w:rFonts w:hint="eastAsia" w:ascii="宋体" w:hAnsi="ArialMT" w:cs="宋体"/>
          <w:kern w:val="0"/>
          <w:szCs w:val="20"/>
        </w:rPr>
        <w:t>27.1.12  为统一协调轨道交通线网的运营管理，在紧急情况下的应急指挥和轨道交通线网的数据统计和分析，指挥中心需要采集各线路的相关数据，为此市相关部门编制了有关技术规定，各线路控制中心应根据规定在本线路各系统设计时与指挥中心进行沟通，为指挥中心提供所需要的线路信息、数据。</w:t>
      </w:r>
    </w:p>
    <w:p w14:paraId="0569B1AF">
      <w:pPr>
        <w:pStyle w:val="4"/>
        <w:numPr>
          <w:ilvl w:val="0"/>
          <w:numId w:val="0"/>
        </w:numPr>
      </w:pPr>
      <w:bookmarkStart w:id="3305" w:name="_Toc183765390"/>
      <w:bookmarkStart w:id="3306" w:name="_Toc183790820"/>
      <w:bookmarkStart w:id="3307" w:name="_Toc183882381"/>
      <w:bookmarkStart w:id="3308" w:name="_Toc357929622"/>
      <w:bookmarkStart w:id="3309" w:name="_Toc183888433"/>
      <w:bookmarkStart w:id="3310" w:name="_Toc183882743"/>
      <w:bookmarkStart w:id="3311" w:name="_Toc183888795"/>
      <w:bookmarkStart w:id="3312" w:name="_Toc183738212"/>
      <w:r>
        <w:rPr>
          <w:b/>
        </w:rPr>
        <w:t xml:space="preserve">27.2 </w:t>
      </w:r>
      <w:r>
        <w:t xml:space="preserve"> 控制中心设置</w:t>
      </w:r>
      <w:bookmarkEnd w:id="3305"/>
      <w:bookmarkEnd w:id="3306"/>
      <w:bookmarkEnd w:id="3307"/>
      <w:bookmarkEnd w:id="3308"/>
      <w:bookmarkEnd w:id="3309"/>
      <w:bookmarkEnd w:id="3310"/>
      <w:bookmarkEnd w:id="3311"/>
      <w:bookmarkEnd w:id="3312"/>
    </w:p>
    <w:p w14:paraId="42D22871">
      <w:pPr>
        <w:autoSpaceDE w:val="0"/>
        <w:autoSpaceDN w:val="0"/>
        <w:jc w:val="left"/>
        <w:rPr>
          <w:rFonts w:ascii="宋体" w:hAnsi="ArialMT" w:cs="宋体"/>
          <w:kern w:val="0"/>
          <w:szCs w:val="20"/>
        </w:rPr>
      </w:pPr>
      <w:r>
        <w:rPr>
          <w:rFonts w:hint="eastAsia" w:eastAsia="黑体" w:cs="方正黑体_GBK"/>
          <w:b/>
          <w:bCs/>
          <w:szCs w:val="21"/>
        </w:rPr>
        <w:t xml:space="preserve">27.2.2  </w:t>
      </w:r>
      <w:r>
        <w:rPr>
          <w:rFonts w:hint="eastAsia" w:ascii="宋体" w:hAnsi="ArialMT" w:cs="宋体"/>
          <w:kern w:val="0"/>
          <w:szCs w:val="20"/>
        </w:rPr>
        <w:t>控制中心是轨道交通运营管理的重要机构之一，同时又是各功能部门分工明确地设施组合建筑，应具有高度的安全性和可靠性。考虑到控制中心的整体安全，其他部门及设施不得影响控制中心日常的运营管理工作；因此本条款明确与控制中心运营、管理和安全无关的系统、设备不应纳入控制中心设施范围内或设施用房内。</w:t>
      </w:r>
    </w:p>
    <w:p w14:paraId="136654CA">
      <w:pPr>
        <w:autoSpaceDE w:val="0"/>
        <w:autoSpaceDN w:val="0"/>
        <w:jc w:val="left"/>
        <w:rPr>
          <w:rFonts w:ascii="宋体" w:hAnsi="ArialMT" w:cs="宋体"/>
          <w:kern w:val="0"/>
          <w:szCs w:val="20"/>
        </w:rPr>
      </w:pPr>
      <w:r>
        <w:rPr>
          <w:rFonts w:hint="eastAsia" w:eastAsia="黑体" w:cs="方正黑体_GBK"/>
          <w:b/>
          <w:bCs/>
          <w:szCs w:val="21"/>
        </w:rPr>
        <w:t xml:space="preserve">27.2.4  </w:t>
      </w:r>
      <w:r>
        <w:rPr>
          <w:rFonts w:hint="eastAsia" w:ascii="宋体" w:hAnsi="ArialMT" w:cs="宋体"/>
          <w:kern w:val="0"/>
          <w:szCs w:val="20"/>
        </w:rPr>
        <w:t>北京轨道交通控制中心采用全集中模式，所有控制中心统一设置在轨道交通指挥中心内。为实现资源共享、减少各线路接入其控制中心的复杂程度、减少线缆数量，指挥中心进行了接入指挥中心的骨干光缆环网的统一规划并予以了实施，各线路系统接入其控制中心时应遵循骨干光缆网的统一规划。同时，为保障各线路的接入安全，应根据骨干光缆环网的规划选择单点故障能够形成自愈的方式接入。</w:t>
      </w:r>
    </w:p>
    <w:p w14:paraId="57CF85C6">
      <w:pPr>
        <w:pStyle w:val="4"/>
        <w:numPr>
          <w:ilvl w:val="0"/>
          <w:numId w:val="0"/>
        </w:numPr>
      </w:pPr>
      <w:bookmarkStart w:id="3313" w:name="_Toc183888434"/>
      <w:bookmarkStart w:id="3314" w:name="_Toc183888796"/>
      <w:bookmarkStart w:id="3315" w:name="_Toc183882382"/>
      <w:bookmarkStart w:id="3316" w:name="_Toc183738213"/>
      <w:bookmarkStart w:id="3317" w:name="_Toc357929623"/>
      <w:bookmarkStart w:id="3318" w:name="_Toc183882744"/>
      <w:bookmarkStart w:id="3319" w:name="_Toc183765391"/>
      <w:bookmarkStart w:id="3320" w:name="_Toc183790821"/>
      <w:r>
        <w:rPr>
          <w:rFonts w:hint="eastAsia"/>
          <w:b/>
        </w:rPr>
        <w:t xml:space="preserve">27.5 </w:t>
      </w:r>
      <w:r>
        <w:rPr>
          <w:rFonts w:hint="eastAsia"/>
        </w:rPr>
        <w:t xml:space="preserve"> 建筑与结构</w:t>
      </w:r>
      <w:bookmarkEnd w:id="3313"/>
      <w:bookmarkEnd w:id="3314"/>
      <w:bookmarkEnd w:id="3315"/>
      <w:bookmarkEnd w:id="3316"/>
      <w:bookmarkEnd w:id="3317"/>
      <w:bookmarkEnd w:id="3318"/>
      <w:bookmarkEnd w:id="3319"/>
      <w:bookmarkEnd w:id="3320"/>
    </w:p>
    <w:p w14:paraId="4F4BE634">
      <w:pPr>
        <w:autoSpaceDE w:val="0"/>
        <w:autoSpaceDN w:val="0"/>
        <w:jc w:val="left"/>
        <w:rPr>
          <w:rFonts w:ascii="宋体" w:hAnsi="ArialMT" w:cs="宋体"/>
          <w:kern w:val="0"/>
          <w:szCs w:val="20"/>
        </w:rPr>
      </w:pPr>
      <w:r>
        <w:rPr>
          <w:rFonts w:hint="eastAsia" w:ascii="宋体" w:hAnsi="ArialMT" w:cs="宋体"/>
          <w:kern w:val="0"/>
          <w:szCs w:val="20"/>
        </w:rPr>
        <w:t>2</w:t>
      </w:r>
      <w:r>
        <w:rPr>
          <w:rFonts w:hint="eastAsia" w:eastAsia="黑体" w:cs="方正黑体_GBK"/>
          <w:b/>
          <w:bCs/>
          <w:szCs w:val="21"/>
        </w:rPr>
        <w:t xml:space="preserve">7.5.1  </w:t>
      </w:r>
      <w:r>
        <w:rPr>
          <w:rFonts w:hint="eastAsia" w:ascii="宋体" w:hAnsi="ArialMT" w:cs="宋体"/>
          <w:kern w:val="0"/>
          <w:szCs w:val="20"/>
        </w:rPr>
        <w:t>控制中心因其功能上的要求，在建筑用房、层高、线缆布线及安全管理上有一些特出要求。目前，轨道交通控制中心的设计在建筑上尚无相关的设计规范和标准，由于控制中心主要由电子信息设备及相关附属设施构成，因此本规范提出宜按现行国家标准《数据中心设计规范》GB 50174进行设计，除此之外，建筑的防火、节能、环保等重要方面还应符合国家规范和地方标准的有关规定。</w:t>
      </w:r>
    </w:p>
    <w:p w14:paraId="2DCB3A99">
      <w:pPr>
        <w:pStyle w:val="4"/>
        <w:numPr>
          <w:ilvl w:val="0"/>
          <w:numId w:val="0"/>
        </w:numPr>
      </w:pPr>
      <w:bookmarkStart w:id="3321" w:name="_Toc183888435"/>
      <w:bookmarkStart w:id="3322" w:name="_Toc183738214"/>
      <w:bookmarkStart w:id="3323" w:name="_Toc357929624"/>
      <w:bookmarkStart w:id="3324" w:name="_Toc183790822"/>
      <w:bookmarkStart w:id="3325" w:name="_Toc183765392"/>
      <w:bookmarkStart w:id="3326" w:name="_Toc183888797"/>
      <w:bookmarkStart w:id="3327" w:name="_Toc183882745"/>
      <w:bookmarkStart w:id="3328" w:name="_Toc183882383"/>
      <w:r>
        <w:rPr>
          <w:rFonts w:hint="eastAsia"/>
          <w:b/>
        </w:rPr>
        <w:t xml:space="preserve">27.6 </w:t>
      </w:r>
      <w:r>
        <w:rPr>
          <w:rFonts w:hint="eastAsia"/>
        </w:rPr>
        <w:t xml:space="preserve"> 附属设施</w:t>
      </w:r>
      <w:bookmarkEnd w:id="3321"/>
      <w:bookmarkEnd w:id="3322"/>
      <w:bookmarkEnd w:id="3323"/>
      <w:bookmarkEnd w:id="3324"/>
      <w:bookmarkEnd w:id="3325"/>
      <w:bookmarkEnd w:id="3326"/>
      <w:bookmarkEnd w:id="3327"/>
      <w:bookmarkEnd w:id="3328"/>
    </w:p>
    <w:p w14:paraId="6893D406">
      <w:pPr>
        <w:autoSpaceDE w:val="0"/>
        <w:autoSpaceDN w:val="0"/>
        <w:jc w:val="left"/>
        <w:rPr>
          <w:rFonts w:ascii="宋体" w:hAnsi="ArialMT" w:cs="宋体"/>
          <w:kern w:val="0"/>
          <w:szCs w:val="20"/>
        </w:rPr>
      </w:pPr>
      <w:r>
        <w:rPr>
          <w:rFonts w:hint="eastAsia" w:eastAsia="黑体" w:cs="方正黑体_GBK"/>
          <w:b/>
          <w:bCs/>
          <w:szCs w:val="21"/>
        </w:rPr>
        <w:t xml:space="preserve">27.6.1  </w:t>
      </w:r>
      <w:r>
        <w:rPr>
          <w:rFonts w:hint="eastAsia" w:ascii="宋体" w:hAnsi="ArialMT" w:cs="宋体"/>
          <w:kern w:val="0"/>
          <w:szCs w:val="20"/>
        </w:rPr>
        <w:t>因北京轨道交通各线路控制中心集中设置，从安全保障和管理的角度出发，各线路的机房设施应按照现行国家标准《数据中心设计规范》GB 50174中所规定的B级要求设计。</w:t>
      </w:r>
    </w:p>
    <w:p w14:paraId="0A39DF39">
      <w:pPr>
        <w:autoSpaceDE w:val="0"/>
        <w:autoSpaceDN w:val="0"/>
        <w:jc w:val="left"/>
        <w:rPr>
          <w:rFonts w:ascii="宋体" w:hAnsi="宋体" w:cs="方正黑体_GBK"/>
          <w:szCs w:val="21"/>
        </w:rPr>
      </w:pPr>
    </w:p>
    <w:p w14:paraId="6935368A">
      <w:pPr>
        <w:autoSpaceDE w:val="0"/>
        <w:autoSpaceDN w:val="0"/>
        <w:jc w:val="left"/>
        <w:rPr>
          <w:rFonts w:ascii="宋体" w:hAnsi="宋体" w:cs="方正黑体_GBK"/>
          <w:szCs w:val="21"/>
        </w:rPr>
      </w:pPr>
    </w:p>
    <w:p w14:paraId="397A4C1C">
      <w:pPr>
        <w:autoSpaceDE w:val="0"/>
        <w:autoSpaceDN w:val="0"/>
        <w:jc w:val="left"/>
        <w:rPr>
          <w:rFonts w:ascii="宋体" w:hAnsi="宋体" w:cs="方正黑体_GBK"/>
          <w:szCs w:val="21"/>
        </w:rPr>
      </w:pPr>
    </w:p>
    <w:p w14:paraId="23C6B14E">
      <w:pPr>
        <w:autoSpaceDE w:val="0"/>
        <w:autoSpaceDN w:val="0"/>
        <w:jc w:val="left"/>
        <w:rPr>
          <w:rFonts w:ascii="宋体" w:hAnsi="宋体" w:cs="方正黑体_GBK"/>
          <w:szCs w:val="21"/>
        </w:rPr>
        <w:sectPr>
          <w:pgSz w:w="7937" w:h="11509"/>
          <w:pgMar w:top="1247" w:right="907" w:bottom="1247" w:left="907" w:header="737" w:footer="737" w:gutter="0"/>
          <w:cols w:space="425" w:num="1"/>
          <w:docGrid w:type="lines" w:linePitch="312" w:charSpace="0"/>
        </w:sectPr>
      </w:pPr>
    </w:p>
    <w:p w14:paraId="188CBCBA">
      <w:pPr>
        <w:pStyle w:val="240"/>
      </w:pPr>
      <w:bookmarkStart w:id="3329" w:name="_Toc183882384"/>
      <w:bookmarkStart w:id="3330" w:name="_Toc183790823"/>
      <w:bookmarkStart w:id="3331" w:name="_Toc183454236"/>
      <w:bookmarkStart w:id="3332" w:name="_Toc183735459"/>
      <w:bookmarkStart w:id="3333" w:name="_Toc183765393"/>
      <w:bookmarkStart w:id="3334" w:name="_Toc183888436"/>
      <w:bookmarkStart w:id="3335" w:name="_Toc183738215"/>
      <w:bookmarkStart w:id="3336" w:name="_Toc183888798"/>
      <w:bookmarkStart w:id="3337" w:name="_Toc183454533"/>
      <w:bookmarkStart w:id="3338" w:name="_Toc183454916"/>
      <w:bookmarkStart w:id="3339" w:name="_Toc183699915"/>
      <w:bookmarkStart w:id="3340" w:name="_Toc183882746"/>
      <w:r>
        <w:rPr>
          <w:b/>
        </w:rPr>
        <w:t>28</w:t>
      </w:r>
      <w:r>
        <w:rPr>
          <w:rFonts w:hint="eastAsia"/>
        </w:rPr>
        <w:t xml:space="preserve">  车辆基地</w:t>
      </w:r>
      <w:bookmarkEnd w:id="3329"/>
      <w:bookmarkEnd w:id="3330"/>
      <w:bookmarkEnd w:id="3331"/>
      <w:bookmarkEnd w:id="3332"/>
      <w:bookmarkEnd w:id="3333"/>
      <w:bookmarkEnd w:id="3334"/>
      <w:bookmarkEnd w:id="3335"/>
      <w:bookmarkEnd w:id="3336"/>
      <w:bookmarkEnd w:id="3337"/>
      <w:bookmarkEnd w:id="3338"/>
      <w:bookmarkEnd w:id="3339"/>
      <w:bookmarkEnd w:id="3340"/>
    </w:p>
    <w:p w14:paraId="6A30F8AB">
      <w:pPr>
        <w:rPr>
          <w:rFonts w:ascii="宋体" w:hAnsi="宋体" w:cs="方正黑体_GBK"/>
          <w:szCs w:val="21"/>
        </w:rPr>
      </w:pPr>
      <w:r>
        <w:rPr>
          <w:rFonts w:eastAsia="黑体" w:cs="方正黑体_GBK"/>
          <w:b/>
          <w:bCs/>
          <w:szCs w:val="21"/>
        </w:rPr>
        <w:t xml:space="preserve">28.1.1  </w:t>
      </w:r>
      <w:r>
        <w:rPr>
          <w:rFonts w:ascii="宋体" w:hAnsi="宋体" w:cs="方正黑体_GBK"/>
          <w:szCs w:val="21"/>
        </w:rPr>
        <w:t>本条规定了车辆基地的设计范围，明确了“车辆基地”的定义。车辆基地是保证城市轨道交通正常运营的后勤基地，包括车辆段（停车场）、综合维修、物资总库和培训中心以及必要的生活设施等，为满足城市轨道交通运营的需要，确保行车安全，轨道交通应设车辆基地。</w:t>
      </w:r>
    </w:p>
    <w:p w14:paraId="73C0B4CD">
      <w:pPr>
        <w:rPr>
          <w:rFonts w:ascii="宋体" w:hAnsi="宋体" w:cs="方正黑体_GBK"/>
          <w:szCs w:val="21"/>
        </w:rPr>
      </w:pPr>
      <w:r>
        <w:rPr>
          <w:rFonts w:eastAsia="黑体" w:cs="方正黑体_GBK"/>
          <w:b/>
          <w:bCs/>
          <w:szCs w:val="21"/>
        </w:rPr>
        <w:t>28.1.2</w:t>
      </w:r>
      <w:r>
        <w:rPr>
          <w:rFonts w:ascii="宋体" w:hAnsi="宋体" w:cs="方正黑体_GBK"/>
          <w:szCs w:val="21"/>
        </w:rPr>
        <w:t>本条结合北京城市轨道交通步入网络化运营的特点做出相关规定，目的是在线网研究的基础上充分考虑资源共享，避免功能过剩或不足，力求布局和设施的合理配置，避免重复建设造成浪费。</w:t>
      </w:r>
    </w:p>
    <w:p w14:paraId="42E4FFE7">
      <w:pPr>
        <w:rPr>
          <w:rFonts w:ascii="宋体" w:hAnsi="宋体" w:cs="方正黑体_GBK"/>
          <w:szCs w:val="21"/>
        </w:rPr>
      </w:pPr>
      <w:r>
        <w:rPr>
          <w:rFonts w:eastAsia="黑体" w:cs="方正黑体_GBK"/>
          <w:b/>
          <w:bCs/>
          <w:szCs w:val="21"/>
        </w:rPr>
        <w:t>28.1.3</w:t>
      </w:r>
      <w:r>
        <w:rPr>
          <w:rFonts w:ascii="宋体" w:hAnsi="宋体" w:cs="方正黑体_GBK"/>
          <w:szCs w:val="21"/>
        </w:rPr>
        <w:t xml:space="preserve"> 根据北京城市轨道交通车辆检修采用厂、架修分修制的检修模式，本条规定了车辆基地按车辆厂、车辆段、停车场三类进行功能定位和任务划分。</w:t>
      </w:r>
    </w:p>
    <w:p w14:paraId="663A1C41">
      <w:pPr>
        <w:rPr>
          <w:rFonts w:ascii="宋体" w:hAnsi="宋体" w:cs="方正黑体_GBK"/>
          <w:szCs w:val="21"/>
        </w:rPr>
      </w:pPr>
      <w:r>
        <w:rPr>
          <w:rFonts w:eastAsia="黑体" w:cs="方正黑体_GBK"/>
          <w:b/>
          <w:bCs/>
          <w:szCs w:val="21"/>
        </w:rPr>
        <w:t xml:space="preserve">28.1.4 </w:t>
      </w:r>
      <w:r>
        <w:rPr>
          <w:rFonts w:ascii="宋体" w:hAnsi="宋体" w:cs="方正黑体_GBK"/>
          <w:szCs w:val="21"/>
        </w:rPr>
        <w:t xml:space="preserve"> 车辆基地属大型建设工程，投资较大，且轨道交通工程的设计年限较长，因此某些设施和设备在今后扩建不影响正常生产和周围环境的情况下，应分期实施，以避免搁置多年不用而造成浪费。同时由于车辆基地近、远期工艺联系密切，故基地用地应按远期最大运营规模将其股道和主要房屋进行一次规划和布置，确保用地使用条件。</w:t>
      </w:r>
    </w:p>
    <w:p w14:paraId="5E5AD38F">
      <w:pPr>
        <w:rPr>
          <w:rFonts w:ascii="宋体" w:hAnsi="宋体" w:cs="方正黑体_GBK"/>
          <w:szCs w:val="21"/>
        </w:rPr>
      </w:pPr>
      <w:r>
        <w:rPr>
          <w:rFonts w:eastAsia="黑体" w:cs="方正黑体_GBK"/>
          <w:b/>
          <w:bCs/>
          <w:szCs w:val="21"/>
        </w:rPr>
        <w:t xml:space="preserve">28.2.3 </w:t>
      </w:r>
      <w:r>
        <w:rPr>
          <w:rFonts w:ascii="宋体" w:hAnsi="宋体" w:cs="方正黑体_GBK"/>
          <w:szCs w:val="21"/>
        </w:rPr>
        <w:t xml:space="preserve"> 根据北京城市轨道交通车辆检修采用厂、架修分修制的检修模式，车辆厂独立设置。本条规定了车辆厂的基本功能，重点强调其选址应具备各线车辆方便送修的联络条件。</w:t>
      </w:r>
    </w:p>
    <w:p w14:paraId="5D730F02">
      <w:pPr>
        <w:rPr>
          <w:rFonts w:ascii="宋体" w:hAnsi="宋体" w:cs="方正黑体_GBK"/>
          <w:szCs w:val="21"/>
        </w:rPr>
      </w:pPr>
      <w:r>
        <w:rPr>
          <w:rFonts w:eastAsia="黑体" w:cs="方正黑体_GBK"/>
          <w:b/>
          <w:bCs/>
          <w:szCs w:val="21"/>
        </w:rPr>
        <w:t xml:space="preserve">28.2.4  </w:t>
      </w:r>
      <w:r>
        <w:rPr>
          <w:rFonts w:ascii="宋体" w:hAnsi="宋体" w:cs="方正黑体_GBK"/>
          <w:szCs w:val="21"/>
        </w:rPr>
        <w:t>根据北京城市轨道交通网络化运营的特点，结合已建设车辆段和线网规划车辆段的功能定位，从节约占地，提高设备使用率，降低工程投资的角度出发，本条规定了车辆段应按资源共享合理布设。</w:t>
      </w:r>
    </w:p>
    <w:p w14:paraId="22139572">
      <w:pPr>
        <w:rPr>
          <w:rFonts w:ascii="宋体" w:hAnsi="宋体" w:cs="方正黑体_GBK"/>
          <w:szCs w:val="21"/>
        </w:rPr>
      </w:pPr>
      <w:r>
        <w:rPr>
          <w:rFonts w:eastAsia="黑体" w:cs="方正黑体_GBK"/>
          <w:b/>
          <w:bCs/>
          <w:szCs w:val="21"/>
        </w:rPr>
        <w:t xml:space="preserve">28.2.5 </w:t>
      </w:r>
      <w:r>
        <w:rPr>
          <w:rFonts w:ascii="宋体" w:hAnsi="宋体" w:cs="方正黑体_GBK"/>
          <w:szCs w:val="21"/>
        </w:rPr>
        <w:t xml:space="preserve"> 根据北京城市轨道交通线路分期建设和分段运营的特点，结合停车场规模和运营要求，本条规定了停车场可增加月检或临修及综合维修等作业内容，并增设相应配套设施。</w:t>
      </w:r>
    </w:p>
    <w:p w14:paraId="64590875">
      <w:pPr>
        <w:rPr>
          <w:rFonts w:ascii="宋体" w:hAnsi="宋体" w:cs="方正黑体_GBK"/>
          <w:szCs w:val="21"/>
        </w:rPr>
      </w:pPr>
      <w:r>
        <w:rPr>
          <w:rFonts w:eastAsia="黑体" w:cs="方正黑体_GBK"/>
          <w:b/>
          <w:bCs/>
          <w:szCs w:val="21"/>
        </w:rPr>
        <w:t xml:space="preserve">28.3.3  </w:t>
      </w:r>
      <w:r>
        <w:rPr>
          <w:rFonts w:ascii="宋体" w:hAnsi="宋体" w:cs="方正黑体_GBK"/>
          <w:szCs w:val="21"/>
        </w:rPr>
        <w:t>车辆检修修程和检修周期的确定，主要取决于车辆的结构性能和质量、运行线路的技术条件、车辆的使用环境条件、检修人员的技术素质和经验等。条文结合北京城市轨道交通的运营经验，根据实际情况进行分析、比较，确定了车辆检修周期的各项指标，供工程设计参考使用。</w:t>
      </w:r>
    </w:p>
    <w:p w14:paraId="46A66CBC">
      <w:pPr>
        <w:rPr>
          <w:rFonts w:ascii="宋体" w:hAnsi="宋体" w:cs="方正黑体_GBK"/>
          <w:szCs w:val="21"/>
        </w:rPr>
      </w:pPr>
      <w:r>
        <w:rPr>
          <w:rFonts w:eastAsia="黑体" w:cs="方正黑体_GBK"/>
          <w:b/>
          <w:bCs/>
          <w:szCs w:val="21"/>
        </w:rPr>
        <w:t xml:space="preserve">28.4.3  </w:t>
      </w:r>
      <w:r>
        <w:rPr>
          <w:rFonts w:ascii="宋体" w:hAnsi="宋体" w:cs="方正黑体_GBK"/>
          <w:szCs w:val="21"/>
        </w:rPr>
        <w:t>车辆基地属于工业企业单位，其总平面设计应执行现行国家标准《工业企业总平面设计规范》GB 50187的有关规定。根据轨道交通系统中车辆基地生产工艺的要求，本规范28.4.3～28.4.8条文分别对总平面设计、房屋和设备的布置做了原则性的规定。</w:t>
      </w:r>
    </w:p>
    <w:p w14:paraId="79A64847">
      <w:pPr>
        <w:rPr>
          <w:rFonts w:ascii="宋体" w:hAnsi="宋体" w:cs="方正黑体_GBK"/>
          <w:szCs w:val="21"/>
        </w:rPr>
      </w:pPr>
      <w:r>
        <w:rPr>
          <w:rFonts w:eastAsia="黑体" w:cs="方正黑体_GBK"/>
          <w:b/>
          <w:bCs/>
          <w:szCs w:val="21"/>
        </w:rPr>
        <w:t>28.4.3</w:t>
      </w:r>
      <w:r>
        <w:rPr>
          <w:rFonts w:ascii="宋体" w:hAnsi="宋体" w:cs="方正黑体_GBK"/>
          <w:szCs w:val="21"/>
        </w:rPr>
        <w:t>第1条款引自国家标准《地铁设计规范》GB 50157。</w:t>
      </w:r>
    </w:p>
    <w:p w14:paraId="7B2FBFC7">
      <w:pPr>
        <w:rPr>
          <w:rFonts w:ascii="宋体" w:hAnsi="宋体" w:eastAsia="方正黑体_GBK" w:cs="方正黑体_GBK"/>
          <w:szCs w:val="21"/>
        </w:rPr>
      </w:pPr>
      <w:r>
        <w:rPr>
          <w:rFonts w:eastAsia="黑体" w:cs="方正黑体_GBK"/>
          <w:b/>
          <w:bCs/>
          <w:szCs w:val="21"/>
        </w:rPr>
        <w:t>28.4.4</w:t>
      </w:r>
      <w:r>
        <w:rPr>
          <w:rFonts w:ascii="宋体" w:hAnsi="宋体" w:cs="方正黑体_GBK"/>
          <w:szCs w:val="21"/>
        </w:rPr>
        <w:t>第6条款根据北京市相关要求，确定车辆基地停车位数量。考虑车辆基地周边常设有地铁车站，根据地铁车站与车辆基地的距离停车位数量可适当折减。</w:t>
      </w:r>
    </w:p>
    <w:p w14:paraId="71DD3C63">
      <w:pPr>
        <w:rPr>
          <w:rFonts w:ascii="宋体" w:hAnsi="宋体" w:cs="方正黑体_GBK"/>
          <w:szCs w:val="21"/>
        </w:rPr>
      </w:pPr>
      <w:r>
        <w:rPr>
          <w:rFonts w:eastAsia="黑体" w:cs="方正黑体_GBK"/>
          <w:b/>
          <w:bCs/>
          <w:szCs w:val="21"/>
        </w:rPr>
        <w:t xml:space="preserve">28.6.13  </w:t>
      </w:r>
      <w:r>
        <w:rPr>
          <w:rFonts w:ascii="宋体" w:hAnsi="宋体" w:cs="方正黑体_GBK"/>
          <w:szCs w:val="21"/>
        </w:rPr>
        <w:t>车辆基地各车库有关部位最小尺寸（表28.6.13）是根据现有轨道交通车辆检修、整备作业所需的最小尺寸确定的，设计时不宜小于表中尺寸要求。如由于车辆构造或作业方式有较大变化时，可根据实际需要做适当调整。</w:t>
      </w:r>
    </w:p>
    <w:p w14:paraId="4F628EFC">
      <w:pPr>
        <w:rPr>
          <w:rFonts w:ascii="宋体" w:hAnsi="宋体" w:cs="方正黑体_GBK"/>
          <w:szCs w:val="21"/>
        </w:rPr>
      </w:pPr>
      <w:r>
        <w:rPr>
          <w:rFonts w:eastAsia="黑体" w:cs="方正黑体_GBK"/>
          <w:b/>
          <w:bCs/>
          <w:szCs w:val="21"/>
        </w:rPr>
        <w:t>28.6.14</w:t>
      </w:r>
      <w:r>
        <w:rPr>
          <w:rFonts w:ascii="宋体" w:hAnsi="宋体" w:cs="方正黑体_GBK"/>
          <w:szCs w:val="21"/>
        </w:rPr>
        <w:t>试车线为经定期检修后的列车和新购列车验收时进行全面动态性能检测而设置，其长度主要与列车的性能，包括运行速度、制动性能和参数以及试车综合作业要求有关，各参数应以车辆厂商提供的数据为依据。条件具备情况下，试车线长度应满足列车高速运行性能试验要求；在困难条件下，因段址用地长度不足，试车线长度可按中速运行试验要求设置。</w:t>
      </w:r>
    </w:p>
    <w:p w14:paraId="13143E7A">
      <w:pPr>
        <w:rPr>
          <w:szCs w:val="21"/>
        </w:rPr>
      </w:pPr>
      <w:r>
        <w:rPr>
          <w:rFonts w:eastAsia="黑体"/>
          <w:b/>
          <w:bCs/>
          <w:szCs w:val="21"/>
        </w:rPr>
        <w:t>28.7.7</w:t>
      </w:r>
      <w:r>
        <w:rPr>
          <w:szCs w:val="21"/>
        </w:rPr>
        <w:t>地铁国标以及地标路基章节中并未针对站场路基标准做出明确要求，如沿用正线路基标准，针对厂区内空载列车载重，会存在路基标准浪费的情况，因此站场章节中补充站场路基相关标准。车辆基地内试车线区域由于高速试车，有别于一般车场线路的运行工况，车辆基地内出入线路基段一般涉及整体道床与碎石道床区域的过渡。以上两处区域均按照正线路基标准执行。</w:t>
      </w:r>
    </w:p>
    <w:p w14:paraId="0AAD9B80">
      <w:pPr>
        <w:rPr>
          <w:szCs w:val="21"/>
        </w:rPr>
      </w:pPr>
      <w:r>
        <w:rPr>
          <w:rFonts w:eastAsia="黑体"/>
          <w:b/>
          <w:bCs/>
          <w:szCs w:val="21"/>
        </w:rPr>
        <w:t>28.12.1</w:t>
      </w:r>
      <w:r>
        <w:rPr>
          <w:szCs w:val="21"/>
        </w:rPr>
        <w:t>第3条款因国家标准《建筑与市政工程防水通用规范》GB55030要求建筑外墙设置防水，但上盖开发的车辆基地板下建筑不受雨水冲刷，从使用环境与减少投资角度，可不设外墙防水。</w:t>
      </w:r>
    </w:p>
    <w:p w14:paraId="4133346C">
      <w:pPr>
        <w:rPr>
          <w:szCs w:val="21"/>
        </w:rPr>
      </w:pPr>
      <w:r>
        <w:rPr>
          <w:rFonts w:eastAsia="黑体"/>
          <w:b/>
          <w:bCs/>
          <w:szCs w:val="21"/>
        </w:rPr>
        <w:t>28.12.2</w:t>
      </w:r>
      <w:r>
        <w:rPr>
          <w:szCs w:val="21"/>
        </w:rPr>
        <w:t>第8条款全自动大库地下检修通道应与大库划分为一个防火分区，补充地下通道设计要求。</w:t>
      </w:r>
    </w:p>
    <w:p w14:paraId="646EF28B">
      <w:pPr>
        <w:rPr>
          <w:szCs w:val="21"/>
        </w:rPr>
      </w:pPr>
      <w:r>
        <w:rPr>
          <w:rFonts w:eastAsia="黑体"/>
          <w:b/>
          <w:bCs/>
          <w:szCs w:val="21"/>
        </w:rPr>
        <w:t>28.12.5</w:t>
      </w:r>
      <w:r>
        <w:rPr>
          <w:szCs w:val="21"/>
        </w:rPr>
        <w:t>该指标针对不综合利用的车辆基地，结合《工业企业总平面设计规范》相关要求，工业企业绿地率宜控制在20%以内。</w:t>
      </w:r>
    </w:p>
    <w:p w14:paraId="0F5B9A23">
      <w:pPr>
        <w:widowControl/>
        <w:ind w:firstLine="420"/>
        <w:jc w:val="left"/>
        <w:rPr>
          <w:szCs w:val="21"/>
        </w:rPr>
      </w:pPr>
      <w:r>
        <w:rPr>
          <w:szCs w:val="21"/>
        </w:rPr>
        <w:br w:type="page"/>
      </w:r>
    </w:p>
    <w:p w14:paraId="4834E9CF">
      <w:pPr>
        <w:pStyle w:val="240"/>
      </w:pPr>
      <w:bookmarkStart w:id="3341" w:name="_Toc183882385"/>
      <w:bookmarkStart w:id="3342" w:name="_Toc183888437"/>
      <w:bookmarkStart w:id="3343" w:name="_Toc183888799"/>
      <w:bookmarkStart w:id="3344" w:name="_Toc183882747"/>
      <w:bookmarkStart w:id="3345" w:name="_Toc183790824"/>
      <w:bookmarkStart w:id="3346" w:name="_Toc183765394"/>
      <w:bookmarkStart w:id="3347" w:name="_Toc183699916"/>
      <w:bookmarkStart w:id="3348" w:name="_Toc183738216"/>
      <w:bookmarkStart w:id="3349" w:name="_Toc183735460"/>
      <w:bookmarkStart w:id="3350" w:name="_Toc183454535"/>
      <w:bookmarkStart w:id="3351" w:name="_Toc183454918"/>
      <w:bookmarkStart w:id="3352" w:name="_Toc183454238"/>
      <w:r>
        <w:rPr>
          <w:b/>
        </w:rPr>
        <w:t>29</w:t>
      </w:r>
      <w:r>
        <w:t xml:space="preserve"> </w:t>
      </w:r>
      <w:r>
        <w:rPr>
          <w:rFonts w:hint="eastAsia"/>
        </w:rPr>
        <w:t xml:space="preserve"> 交通接驳</w:t>
      </w:r>
      <w:bookmarkEnd w:id="3341"/>
      <w:bookmarkEnd w:id="3342"/>
      <w:bookmarkEnd w:id="3343"/>
      <w:bookmarkEnd w:id="3344"/>
      <w:bookmarkEnd w:id="3345"/>
      <w:bookmarkEnd w:id="3346"/>
      <w:bookmarkEnd w:id="3347"/>
      <w:bookmarkEnd w:id="3348"/>
      <w:bookmarkEnd w:id="3349"/>
    </w:p>
    <w:p w14:paraId="30FA93C6">
      <w:pPr>
        <w:ind w:firstLine="420"/>
        <w:jc w:val="left"/>
        <w:rPr>
          <w:rFonts w:ascii="宋体" w:hAnsi="ArialMT" w:cs="宋体"/>
          <w:kern w:val="0"/>
          <w:szCs w:val="20"/>
        </w:rPr>
      </w:pPr>
      <w:r>
        <w:rPr>
          <w:rFonts w:hint="eastAsia" w:ascii="宋体" w:hAnsi="ArialMT" w:cs="宋体"/>
          <w:kern w:val="0"/>
          <w:szCs w:val="20"/>
        </w:rPr>
        <w:t>本章为新增章节，各类交通方式与轨道交通的合理衔接，是强化服务品质、提升客运效率的重要保障。本章主要对城市轨道交通车站接驳设施的组成以及各类接驳设施的规模、布局等设计标准进行规定。</w:t>
      </w:r>
    </w:p>
    <w:p w14:paraId="1803EA26">
      <w:pPr>
        <w:jc w:val="left"/>
        <w:rPr>
          <w:rFonts w:ascii="宋体" w:hAnsi="ArialMT" w:cs="宋体"/>
          <w:kern w:val="0"/>
          <w:szCs w:val="20"/>
        </w:rPr>
      </w:pPr>
      <w:r>
        <w:rPr>
          <w:rFonts w:hint="eastAsia" w:eastAsia="黑体" w:cs="方正黑体_GBK"/>
          <w:b/>
          <w:bCs/>
        </w:rPr>
        <w:t>2</w:t>
      </w:r>
      <w:r>
        <w:rPr>
          <w:rFonts w:eastAsia="黑体" w:cs="方正黑体_GBK"/>
          <w:b/>
          <w:bCs/>
        </w:rPr>
        <w:t>9</w:t>
      </w:r>
      <w:r>
        <w:rPr>
          <w:rFonts w:hint="eastAsia" w:eastAsia="黑体" w:cs="方正黑体_GBK"/>
          <w:b/>
          <w:bCs/>
        </w:rPr>
        <w:t>.1.1</w:t>
      </w:r>
      <w:r>
        <w:rPr>
          <w:rFonts w:hint="eastAsia" w:ascii="宋体" w:hAnsi="ArialMT" w:cs="宋体"/>
          <w:kern w:val="0"/>
          <w:szCs w:val="20"/>
        </w:rPr>
        <w:t xml:space="preserve">  规定了各类接驳设施设计的优先级，强调城市轨道交通接驳中以慢行接驳为主，公交车、小汽车接驳为辅，其中又对小汽车的临停、长时停靠进行了细分，通过设施设计鼓励乘客采用慢行及公共交通方式接驳换乘。</w:t>
      </w:r>
    </w:p>
    <w:p w14:paraId="693A77C3">
      <w:pPr>
        <w:jc w:val="left"/>
        <w:rPr>
          <w:rFonts w:ascii="宋体" w:hAnsi="ArialMT" w:cs="宋体"/>
          <w:kern w:val="0"/>
          <w:szCs w:val="20"/>
        </w:rPr>
      </w:pPr>
      <w:r>
        <w:rPr>
          <w:rFonts w:hint="eastAsia" w:eastAsia="黑体" w:cs="方正黑体_GBK"/>
          <w:b/>
          <w:bCs/>
        </w:rPr>
        <w:t>2</w:t>
      </w:r>
      <w:r>
        <w:rPr>
          <w:rFonts w:eastAsia="黑体" w:cs="方正黑体_GBK"/>
          <w:b/>
          <w:bCs/>
        </w:rPr>
        <w:t>9</w:t>
      </w:r>
      <w:r>
        <w:rPr>
          <w:rFonts w:hint="eastAsia" w:eastAsia="黑体" w:cs="方正黑体_GBK"/>
          <w:b/>
          <w:bCs/>
        </w:rPr>
        <w:t>.1.3</w:t>
      </w:r>
      <w:r>
        <w:rPr>
          <w:rFonts w:hint="eastAsia" w:ascii="宋体" w:hAnsi="ArialMT" w:cs="宋体"/>
          <w:kern w:val="0"/>
          <w:szCs w:val="20"/>
        </w:rPr>
        <w:t xml:space="preserve">  规定各类交通方式的接驳比例趋势，经过对北京已运营的300多个轨道交通车站调查，总结出各类接驳设施的接驳比例与车站所处城市圈层、车站周边交通情况、用地情况关系巨大，通过调研，对各类交通接驳比例的变化趋势提出了建议。</w:t>
      </w:r>
    </w:p>
    <w:p w14:paraId="03116A61">
      <w:pPr>
        <w:jc w:val="left"/>
        <w:rPr>
          <w:rFonts w:ascii="宋体" w:hAnsi="ArialMT" w:cs="宋体"/>
          <w:kern w:val="0"/>
          <w:szCs w:val="20"/>
        </w:rPr>
        <w:sectPr>
          <w:pgSz w:w="7937" w:h="11509"/>
          <w:pgMar w:top="1247" w:right="907" w:bottom="1247" w:left="907" w:header="737" w:footer="737" w:gutter="0"/>
          <w:cols w:space="425" w:num="1"/>
          <w:docGrid w:type="lines" w:linePitch="312" w:charSpace="0"/>
        </w:sectPr>
      </w:pPr>
      <w:r>
        <w:rPr>
          <w:rFonts w:hint="eastAsia" w:eastAsia="黑体" w:cs="方正黑体_GBK"/>
          <w:b/>
          <w:bCs/>
        </w:rPr>
        <w:t>2</w:t>
      </w:r>
      <w:r>
        <w:rPr>
          <w:rFonts w:eastAsia="黑体" w:cs="方正黑体_GBK"/>
          <w:b/>
          <w:bCs/>
        </w:rPr>
        <w:t>9</w:t>
      </w:r>
      <w:r>
        <w:rPr>
          <w:rFonts w:hint="eastAsia" w:eastAsia="黑体" w:cs="方正黑体_GBK"/>
          <w:b/>
          <w:bCs/>
        </w:rPr>
        <w:t>.2.1~2</w:t>
      </w:r>
      <w:r>
        <w:rPr>
          <w:rFonts w:eastAsia="黑体" w:cs="方正黑体_GBK"/>
          <w:b/>
          <w:bCs/>
        </w:rPr>
        <w:t>9</w:t>
      </w:r>
      <w:r>
        <w:rPr>
          <w:rFonts w:hint="eastAsia" w:eastAsia="黑体" w:cs="方正黑体_GBK"/>
          <w:b/>
          <w:bCs/>
        </w:rPr>
        <w:t>.2.4</w:t>
      </w:r>
      <w:r>
        <w:rPr>
          <w:rFonts w:hint="eastAsia" w:ascii="宋体" w:hAnsi="ArialMT" w:cs="宋体"/>
          <w:kern w:val="0"/>
          <w:szCs w:val="20"/>
        </w:rPr>
        <w:t xml:space="preserve">  为各类接驳设施的设计要求，其中结合非机动车中共享单车的兴起，在28.2.2中提出了结合共享单车及私家非机动车的周转率，确定停放规模，以免造成资源的不足或浪费，同时，建议结合科学管控手段，加强对共享单车秩序的管治。</w:t>
      </w:r>
    </w:p>
    <w:bookmarkEnd w:id="3350"/>
    <w:bookmarkEnd w:id="3351"/>
    <w:bookmarkEnd w:id="3352"/>
    <w:p w14:paraId="4E2ACC5A">
      <w:pPr>
        <w:pStyle w:val="240"/>
      </w:pPr>
      <w:bookmarkStart w:id="3353" w:name="_Toc183738217"/>
      <w:bookmarkStart w:id="3354" w:name="_Toc183765395"/>
      <w:bookmarkStart w:id="3355" w:name="_Toc183882386"/>
      <w:bookmarkStart w:id="3356" w:name="_Toc183790825"/>
      <w:bookmarkStart w:id="3357" w:name="_Toc183888438"/>
      <w:bookmarkStart w:id="3358" w:name="_Toc183735461"/>
      <w:bookmarkStart w:id="3359" w:name="_Toc183699917"/>
      <w:bookmarkStart w:id="3360" w:name="_Toc183888800"/>
      <w:bookmarkStart w:id="3361" w:name="_Toc183882748"/>
      <w:r>
        <w:rPr>
          <w:b/>
        </w:rPr>
        <w:t xml:space="preserve">30 </w:t>
      </w:r>
      <w:r>
        <w:rPr>
          <w:rFonts w:hint="eastAsia"/>
        </w:rPr>
        <w:t xml:space="preserve"> 防</w:t>
      </w:r>
      <w:r>
        <w:t xml:space="preserve">    </w:t>
      </w:r>
      <w:r>
        <w:rPr>
          <w:rFonts w:hint="eastAsia"/>
        </w:rPr>
        <w:t>灾</w:t>
      </w:r>
      <w:bookmarkEnd w:id="3353"/>
      <w:bookmarkEnd w:id="3354"/>
      <w:bookmarkEnd w:id="3355"/>
      <w:bookmarkEnd w:id="3356"/>
      <w:bookmarkEnd w:id="3357"/>
      <w:bookmarkEnd w:id="3358"/>
      <w:bookmarkEnd w:id="3359"/>
      <w:bookmarkEnd w:id="3360"/>
      <w:bookmarkEnd w:id="3361"/>
    </w:p>
    <w:p w14:paraId="5AEE6C9E">
      <w:pPr>
        <w:pStyle w:val="4"/>
        <w:numPr>
          <w:ilvl w:val="0"/>
          <w:numId w:val="0"/>
        </w:numPr>
      </w:pPr>
      <w:bookmarkStart w:id="3362" w:name="_Toc183882749"/>
      <w:bookmarkStart w:id="3363" w:name="_Toc183888439"/>
      <w:bookmarkStart w:id="3364" w:name="_Toc183790826"/>
      <w:bookmarkStart w:id="3365" w:name="_Toc183882387"/>
      <w:bookmarkStart w:id="3366" w:name="_Toc183888801"/>
      <w:bookmarkStart w:id="3367" w:name="_Toc183765396"/>
      <w:bookmarkStart w:id="3368" w:name="_Toc183738218"/>
      <w:r>
        <w:rPr>
          <w:b/>
        </w:rPr>
        <w:t xml:space="preserve">30.1 </w:t>
      </w:r>
      <w:r>
        <w:t xml:space="preserve"> 一般规定</w:t>
      </w:r>
      <w:bookmarkEnd w:id="3362"/>
      <w:bookmarkEnd w:id="3363"/>
      <w:bookmarkEnd w:id="3364"/>
      <w:bookmarkEnd w:id="3365"/>
      <w:bookmarkEnd w:id="3366"/>
      <w:bookmarkEnd w:id="3367"/>
      <w:bookmarkEnd w:id="3368"/>
    </w:p>
    <w:p w14:paraId="07C9C4AA">
      <w:pPr>
        <w:rPr>
          <w:szCs w:val="21"/>
        </w:rPr>
      </w:pPr>
      <w:r>
        <w:rPr>
          <w:rFonts w:cs="方正黑体_GBK"/>
          <w:b/>
          <w:bCs/>
        </w:rPr>
        <w:t xml:space="preserve">30.1.1 </w:t>
      </w:r>
      <w:r>
        <w:rPr>
          <w:rFonts w:eastAsia="黑体"/>
        </w:rPr>
        <w:t xml:space="preserve"> </w:t>
      </w:r>
      <w:r>
        <w:rPr>
          <w:szCs w:val="21"/>
        </w:rPr>
        <w:t>根据国内外有关资料统计，地铁可能发生的灾害事故有火灾、水淹、地震、风暴、冰雪、雷击、停电、停车事故及人为事故等灾害，但发生火灾事故最多，而且人员伤亡和经济损失最严重。所以地铁防灾把防止火灾事故放在主要地位，采用比较全面、先进和可靠的防火灾设施。随着城市轨道交通的快速发展，车站和车辆基地越来越多，但是最近几年全国各地的暴雨洪水等灾害性天气的出现频次增多，给地铁带来了不同程度的人员伤亡或经济损失，地铁防水淹也成为防灾的重点之一。</w:t>
      </w:r>
    </w:p>
    <w:p w14:paraId="628A6A5F">
      <w:pPr>
        <w:rPr>
          <w:szCs w:val="21"/>
        </w:rPr>
      </w:pPr>
      <w:r>
        <w:rPr>
          <w:rFonts w:cs="方正黑体_GBK"/>
          <w:b/>
          <w:bCs/>
        </w:rPr>
        <w:t xml:space="preserve">30.1.2 </w:t>
      </w:r>
      <w:r>
        <w:rPr>
          <w:rFonts w:eastAsia="黑体"/>
          <w:szCs w:val="21"/>
        </w:rPr>
        <w:t xml:space="preserve"> </w:t>
      </w:r>
      <w:r>
        <w:rPr>
          <w:szCs w:val="21"/>
        </w:rPr>
        <w:t>对于火灾，本规范所述的保护方法前提是“单一火源”，其假设是参考美国NFPA130《固定式导轨传输和客运铁路系统标准》中“单一火源假设”的规定。即一条线路仅考虑同一时间内在某处发生一次火灾。也就是说，某区间火灾时，假设相邻车站和区间在同一时间不会发生火灾；站台公共区发生火灾时，假设站厅公共区不会同时发生火灾；车站公共区火灾时，假设设备管理区不会同时发生火灾；相反，设备管理区发生火灾时，假设公共区也不会同时发生火灾。换乘车站及相邻区间也只按同一时间发生一次火灾考虑。但“单一火源”的假设不适用车站内的商业开发和与车站相连的商业开发，因为两者分属完全独立的消防系统，因此不能与车站按同一时间发生一次火灾考虑。</w:t>
      </w:r>
    </w:p>
    <w:p w14:paraId="731FBCB0">
      <w:pPr>
        <w:ind w:firstLine="420"/>
        <w:rPr>
          <w:szCs w:val="21"/>
        </w:rPr>
      </w:pPr>
      <w:r>
        <w:rPr>
          <w:szCs w:val="21"/>
        </w:rPr>
        <w:t>地下车站配线上层等空间进行商业等物业开发时，商业区与站厅之间应划分成不同的防火分区，商业区的防火设计应符合现行国家标准《建筑设计防火规范》GB50016的有关规定。商业区与地铁车站接口的防火分隔应符合现行国家标准《地铁设计防火标准》GB51298的有关规定。</w:t>
      </w:r>
    </w:p>
    <w:p w14:paraId="2396A7A5">
      <w:pPr>
        <w:rPr>
          <w:szCs w:val="21"/>
        </w:rPr>
      </w:pPr>
      <w:r>
        <w:rPr>
          <w:rFonts w:cs="方正黑体_GBK"/>
          <w:b/>
          <w:bCs/>
        </w:rPr>
        <w:t xml:space="preserve">30.1.10  </w:t>
      </w:r>
      <w:r>
        <w:rPr>
          <w:szCs w:val="21"/>
        </w:rPr>
        <w:t>轨道交通工程防灾设计不仅应执行国家标准《建筑设计防火通用规范》、《建筑设计防火规范》GB 50016、《地铁设计防火标准》、《地铁设计规范》等的要求外，还应关注北京地方标准的相关规定，尤其是针对车站或场段开发的工程。</w:t>
      </w:r>
    </w:p>
    <w:p w14:paraId="65AA3A95">
      <w:pPr>
        <w:pStyle w:val="4"/>
        <w:numPr>
          <w:ilvl w:val="0"/>
          <w:numId w:val="0"/>
        </w:numPr>
      </w:pPr>
      <w:bookmarkStart w:id="3369" w:name="_Toc183882388"/>
      <w:bookmarkStart w:id="3370" w:name="_Toc183882750"/>
      <w:bookmarkStart w:id="3371" w:name="_Toc183888440"/>
      <w:bookmarkStart w:id="3372" w:name="_Toc183888802"/>
      <w:bookmarkStart w:id="3373" w:name="_Toc183738219"/>
      <w:bookmarkStart w:id="3374" w:name="_Toc183790827"/>
      <w:bookmarkStart w:id="3375" w:name="_Toc183765397"/>
      <w:r>
        <w:rPr>
          <w:b/>
        </w:rPr>
        <w:t>30.2</w:t>
      </w:r>
      <w:r>
        <w:t xml:space="preserve">  建筑防火</w:t>
      </w:r>
      <w:bookmarkEnd w:id="3369"/>
      <w:bookmarkEnd w:id="3370"/>
      <w:bookmarkEnd w:id="3371"/>
      <w:bookmarkEnd w:id="3372"/>
      <w:bookmarkEnd w:id="3373"/>
      <w:bookmarkEnd w:id="3374"/>
      <w:bookmarkEnd w:id="3375"/>
    </w:p>
    <w:p w14:paraId="4E965792">
      <w:pPr>
        <w:spacing w:before="72" w:after="72"/>
        <w:jc w:val="center"/>
        <w:outlineLvl w:val="3"/>
        <w:rPr>
          <w:rFonts w:eastAsia="黑体"/>
        </w:rPr>
      </w:pPr>
      <w:r>
        <w:rPr>
          <w:rFonts w:eastAsia="黑体"/>
        </w:rPr>
        <w:t>Ⅰ  总平面布局</w:t>
      </w:r>
    </w:p>
    <w:p w14:paraId="78AA5606">
      <w:pPr>
        <w:rPr>
          <w:szCs w:val="21"/>
        </w:rPr>
      </w:pPr>
      <w:r>
        <w:rPr>
          <w:rFonts w:cs="方正黑体_GBK"/>
          <w:b/>
          <w:bCs/>
        </w:rPr>
        <w:t xml:space="preserve">30.2.1  </w:t>
      </w:r>
      <w:r>
        <w:rPr>
          <w:szCs w:val="21"/>
        </w:rPr>
        <w:t>本条在2013版的基础上，参考《地铁设计防火标准》，取消了对冷却塔的防火间距限定，同时补充了电梯、采光窗井、安全疏散口等附属建筑类型。</w:t>
      </w:r>
    </w:p>
    <w:p w14:paraId="39B32A27">
      <w:pPr>
        <w:rPr>
          <w:szCs w:val="21"/>
        </w:rPr>
      </w:pPr>
      <w:r>
        <w:rPr>
          <w:rFonts w:cs="方正黑体_GBK"/>
          <w:b/>
          <w:bCs/>
        </w:rPr>
        <w:t xml:space="preserve">30.2.2 </w:t>
      </w:r>
      <w:r>
        <w:rPr>
          <w:rFonts w:eastAsia="黑体" w:cs="方正黑体_GBK"/>
          <w:b/>
          <w:bCs/>
        </w:rPr>
        <w:t xml:space="preserve"> </w:t>
      </w:r>
      <w:r>
        <w:rPr>
          <w:szCs w:val="21"/>
        </w:rPr>
        <w:t>本条对地上车站、车辆基地、主变电所和控制中心等建筑物的消防车道设置做了明确规定：</w:t>
      </w:r>
    </w:p>
    <w:p w14:paraId="2964EB51">
      <w:pPr>
        <w:ind w:firstLine="420"/>
        <w:rPr>
          <w:szCs w:val="21"/>
        </w:rPr>
      </w:pPr>
      <w:r>
        <w:rPr>
          <w:szCs w:val="21"/>
        </w:rPr>
        <w:t>第1款：地上车站长度与车型和编组长度有关，8节B型车和A型车的车站长度均超过150m，由于轨道交通车站的特殊性，很难满足现行国家标准《建筑设计防火规范》GB 50016中关于消防车道穿越车站的设置要求。考虑到地上车站建筑进深不大，当沿道路一侧用地内设站时，消防扑救难度相对较小，因此本规范对设于道路红线外的地上车站，只要求设置环形消防车道满足消防扑救要求，这也是参考《建筑设计防火规范》的相关规定，根据灭火救援实际，车站建筑的进深最好控制在50m以内。当平行铁路、河道或其它特殊环境设置的地上车站，不具备在车站的两侧均设置消防车道时，可沿车站建筑一长边方向设置消防车道；</w:t>
      </w:r>
    </w:p>
    <w:p w14:paraId="1FA45167">
      <w:pPr>
        <w:ind w:firstLine="420"/>
        <w:rPr>
          <w:szCs w:val="21"/>
        </w:rPr>
      </w:pPr>
      <w:r>
        <w:rPr>
          <w:szCs w:val="21"/>
        </w:rPr>
        <w:t>第2款：当高架车站设置在道路中央连续绿化隔离带上时，为方便消防救援组织，宜绿化隔离带上在紧邻站端的位置设置供消防车掉头的开口，当车站靠近路口时，可仅在另一端设置满足消防车掉头的开口。</w:t>
      </w:r>
    </w:p>
    <w:p w14:paraId="7DD3A120">
      <w:pPr>
        <w:ind w:firstLine="420"/>
        <w:rPr>
          <w:szCs w:val="21"/>
        </w:rPr>
      </w:pPr>
      <w:r>
        <w:rPr>
          <w:szCs w:val="21"/>
        </w:rPr>
        <w:t>第3款：车辆基地内的车辆运用、检修、综合维修等厂（库）房，一般长度和深度均大于150m，以往设计通常套用《建筑设计防火规范》GB 50016民用建筑部分的规定，要求在厂房内两列列车之间的通道处设置穿越车库的消防车道，由于上述厂房的火灾危险性分类为丁、戊类，火灾危险性很低，要求设置横穿建筑的消防车道势必会增加建筑长度和规模。为了便于消防扑救，本规范要求上述厂房设置围绕车库建筑物的环形消防车道，与现行国家规范《建筑设计防火规范》GB 50016关于工厂、仓库区设置消防车道的有关规定取得一致。</w:t>
      </w:r>
    </w:p>
    <w:p w14:paraId="3AD9381E">
      <w:pPr>
        <w:ind w:firstLine="420"/>
        <w:rPr>
          <w:szCs w:val="21"/>
        </w:rPr>
      </w:pPr>
      <w:r>
        <w:rPr>
          <w:szCs w:val="21"/>
        </w:rPr>
        <w:t>第4款：车辆综合基地内的线路咽喉区和出入线，列车进出频繁，消防车道与其平面相交干扰极大，因此要求消防车道尽量避开出入段线和咽喉区。对于受调件限制必须平交的消防车道，要求增设备用车道，并对两个车道的间距做了规定。</w:t>
      </w:r>
    </w:p>
    <w:p w14:paraId="3A4ABB87">
      <w:pPr>
        <w:rPr>
          <w:szCs w:val="21"/>
        </w:rPr>
      </w:pPr>
      <w:r>
        <w:rPr>
          <w:rFonts w:cs="方正黑体_GBK"/>
          <w:b/>
          <w:bCs/>
        </w:rPr>
        <w:t xml:space="preserve">30.2.4  </w:t>
      </w:r>
      <w:r>
        <w:rPr>
          <w:szCs w:val="21"/>
        </w:rPr>
        <w:t>控制中心是北京线网的行车、电力、环控、维修调度和防灾调度以及票务、电能质量、乘客动态、信息管理中心，其重要性是不言而喻的。因此，必须具有高度的安全性，保证相关用房和管理上的独立性，规定控制中心建筑宜独立修建，并应避开易燃、易爆场所，与运营、管理和安全无关的系统和部门不得纳入控制中心。控制中心建筑与其他建筑合建时，规定出入口不得合用，两者应各自设置独立的进出口；各层平面应划分独立的防火分区，防火墙上不得开设门窗洞口，其目的是为了确保控制中心的安全。控制中心和轨道交通办公楼合建，如两者确需局部水平或垂直连接时，不应在防火墙上直接开设防火门连通，而应采取防火间隔、避难走道或防烟楼梯间等措施满足消防要求。</w:t>
      </w:r>
    </w:p>
    <w:p w14:paraId="600901B5">
      <w:pPr>
        <w:spacing w:before="72" w:after="72"/>
        <w:jc w:val="center"/>
        <w:outlineLvl w:val="3"/>
        <w:rPr>
          <w:rFonts w:eastAsia="黑体"/>
        </w:rPr>
      </w:pPr>
      <w:r>
        <w:rPr>
          <w:rFonts w:eastAsia="黑体"/>
          <w:b/>
        </w:rPr>
        <w:t>Ⅱ</w:t>
      </w:r>
      <w:r>
        <w:rPr>
          <w:rFonts w:eastAsia="黑体"/>
        </w:rPr>
        <w:t xml:space="preserve">  平面布置与防火分隔</w:t>
      </w:r>
    </w:p>
    <w:p w14:paraId="54936A86">
      <w:pPr>
        <w:rPr>
          <w:szCs w:val="21"/>
        </w:rPr>
      </w:pPr>
      <w:r>
        <w:rPr>
          <w:rFonts w:cs="方正黑体_GBK"/>
          <w:b/>
          <w:bCs/>
        </w:rPr>
        <w:t xml:space="preserve">30.2.5  </w:t>
      </w:r>
      <w:r>
        <w:rPr>
          <w:szCs w:val="21"/>
        </w:rPr>
        <w:t>站厅公共区面积大于5000㎡的地下换乘车站，高峰小时客流量一般均较大，以及根据车站一体化的发展趋势，单体车站站厅层公共区规模也有加大趋势，并随着城市轨道交通与市域（郊）铁路与城际铁路等大编组线路的多线换乘，或“四网融合”后出现小型交通枢纽等工程案例逐步增多的情况下，一旦发生火灾，对乘客的安全疏散影响较大，为了确保乘客的安全，作出相关规定。</w:t>
      </w:r>
    </w:p>
    <w:p w14:paraId="366A747E">
      <w:pPr>
        <w:ind w:firstLine="420"/>
        <w:rPr>
          <w:szCs w:val="21"/>
        </w:rPr>
      </w:pPr>
      <w:r>
        <w:rPr>
          <w:szCs w:val="21"/>
        </w:rPr>
        <w:t>本次修编中，车站站台和站厅公共区防火分区的划分，在参考《建筑防火通用规范》GB 55037第4.1.2条的条文说明基础上，同时继续沿用《地铁设计规范》GB 50157-2013和现行国家标准《地铁设计防火标准》GB 51298的相关原则，参考北京现行地标《站城一体化工程消防安全技术标准》DB11/1889的规定和草桥站、东四十条站和西二旗站的性能化消防设计评估报告结论，对公共区大于5000m2的防火措施进行修改和完善。</w:t>
      </w:r>
    </w:p>
    <w:p w14:paraId="2D03C923">
      <w:pPr>
        <w:ind w:firstLine="420"/>
        <w:rPr>
          <w:szCs w:val="21"/>
        </w:rPr>
      </w:pPr>
      <w:r>
        <w:rPr>
          <w:szCs w:val="21"/>
        </w:rPr>
        <w:t>计算站厅公共区防火分区面积时，可不包含与站厅连接的出入口通道的面积。对于采用站厅通道换乘的车站，由于各线站厅在换乘通道内进行了防火分隔，因此可分别计算站厅面积，不再叠加。如：三线换乘的H型通道换乘车站，各线站厅面积不再叠加。</w:t>
      </w:r>
    </w:p>
    <w:p w14:paraId="05480282">
      <w:pPr>
        <w:ind w:firstLine="420"/>
        <w:rPr>
          <w:szCs w:val="21"/>
        </w:rPr>
      </w:pPr>
      <w:r>
        <w:rPr>
          <w:szCs w:val="21"/>
        </w:rPr>
        <w:t>第1款：将站厅公共区内不得设置商业改为不宜，对于车站结合客流情况确有配置便民服务用房建设需求的，提出应满足本规范30.2.20的相关要求予以限定其火灾危险性，保证公共区的安全。</w:t>
      </w:r>
    </w:p>
    <w:p w14:paraId="3694F0F2">
      <w:pPr>
        <w:ind w:firstLine="420"/>
        <w:rPr>
          <w:szCs w:val="21"/>
        </w:rPr>
      </w:pPr>
      <w:r>
        <w:rPr>
          <w:szCs w:val="21"/>
        </w:rPr>
        <w:t>第2款：对大于5000m2的地下共用站厅进行防火分隔，可以有效分隔空间，起到防止火势蔓延和阻止烟气扩散，提高楼扶梯口风速，有利乘客安全疏散。参考《轨道交通工程消防审查疑难问题专家研讨会会议纪要（2021年3月26日）的专家意见，将站厅进行防火分隔的防火隔墙耐火极限提高到不低于3.00h。考虑到共用站厅的视觉空间要求，防火卷帘和分隔墙的比例可不受限制，但对于防火分隔处有条件设置墙体的地方，设计应尽量采用实体墙分隔。为了确保火灾时能有效的起降，运营管理单位应对防火卷帘进行定期维修和保养。</w:t>
      </w:r>
    </w:p>
    <w:p w14:paraId="0AEC44D7">
      <w:pPr>
        <w:widowControl/>
        <w:ind w:firstLine="420"/>
        <w:jc w:val="left"/>
        <w:rPr>
          <w:szCs w:val="21"/>
        </w:rPr>
      </w:pPr>
      <w:r>
        <w:rPr>
          <w:szCs w:val="21"/>
        </w:rPr>
        <w:t>参考站城一体化工程消防设计标准的做法，车站中难以采用防火墙等进行分隔的乘客等候区和出站厅、换乘厅等公共区，均为高大空间场所。这些场所中的高火灾危险性部位均要求采取了防止火灾蔓延的措施，其他区域的均属于低火灾危险性区域，且空间内发生火灾后烟羽流升腾时间较长，空间上部具有良好的蓄烟条件。因此，此类区域的防火分隔主要用于防止火灾因延烧和热辐射作用而发生蔓延。采用防火隔离带分隔的区域在空间上是完全连通的，因此不是严格意义的防火分区，只作为防止火势在不同区域之间蔓延的火灾控制区，有关疏散、消防和非消防电源的控制等仍需按照一个区域来考虑。</w:t>
      </w:r>
    </w:p>
    <w:p w14:paraId="2519A62D">
      <w:pPr>
        <w:ind w:firstLine="420"/>
        <w:rPr>
          <w:szCs w:val="21"/>
        </w:rPr>
      </w:pPr>
      <w:r>
        <w:rPr>
          <w:szCs w:val="21"/>
        </w:rPr>
        <w:t>第3款：地下共用站厅采取防火分隔措施后，规定每个分隔区内直达地面的安全出口数量不得少于2个、任意一点到安全出口的距离不应大于60m，这对控制站厅面积无限制的扩大有一定的制约作用，也是确保乘客安全疏散需要。</w:t>
      </w:r>
    </w:p>
    <w:p w14:paraId="6408DD6B">
      <w:pPr>
        <w:ind w:firstLine="420"/>
        <w:rPr>
          <w:szCs w:val="21"/>
        </w:rPr>
      </w:pPr>
      <w:r>
        <w:rPr>
          <w:szCs w:val="21"/>
        </w:rPr>
        <w:t>第4款：站厅地饰面到结构顶板底的高度受地下空间限制，一般较低，采用平板封闭吊顶，烟气上升受吊顶限制，下降速度较快，对乘客疏散能见度影响较大。规定站厅应采用镂空率大于30%的吊顶，主要考虑烟气能较快地进入吊顶内，增加站厅层的蓄烟空间，对乘客疏散有利。</w:t>
      </w:r>
    </w:p>
    <w:p w14:paraId="4323403E">
      <w:pPr>
        <w:rPr>
          <w:szCs w:val="21"/>
        </w:rPr>
      </w:pPr>
      <w:r>
        <w:rPr>
          <w:rFonts w:eastAsia="黑体"/>
          <w:szCs w:val="21"/>
        </w:rPr>
        <w:t xml:space="preserve">30.2.7 </w:t>
      </w:r>
      <w:r>
        <w:rPr>
          <w:szCs w:val="18"/>
        </w:rPr>
        <w:t xml:space="preserve"> </w:t>
      </w:r>
      <w:r>
        <w:rPr>
          <w:szCs w:val="21"/>
        </w:rPr>
        <w:t>第1款：设于地上的单线车站或同站台换乘车站，当站台设于站厅上部时，站台和站厅的上下楼扶梯连通，且为敞开楼扶梯，故防火分区面积应按上下层连通的面积叠加计算，并应划分为一个防火分区。对于站台设在站厅下面的地上车站，只要在站台层敞开楼扶梯四周的开口部位进行防火分隔，站台、站厅可分隔成不同的防火分区。站台层是指站台公共区和轨道区。</w:t>
      </w:r>
    </w:p>
    <w:p w14:paraId="3A64535B">
      <w:pPr>
        <w:ind w:firstLine="420"/>
        <w:rPr>
          <w:szCs w:val="21"/>
        </w:rPr>
      </w:pPr>
      <w:r>
        <w:rPr>
          <w:szCs w:val="21"/>
        </w:rPr>
        <w:t>地上车站的站台层空间大，轨道区两端与室外贯通，站厅公共区和站台层外墙（屋顶）可开设较多面积的自然排烟口，火灾发生时能较快地将烟气排到室外，且公共区装修材料为不燃和耐燃材料，火灾危险性小。站厅公共区出入口及站台端门可直通室外，有利人员疏散。因此根据地上车站特点，采取相应的安全措施后，将站厅公共区或站台层的防火分区最大允许建筑面积做了适当调整。</w:t>
      </w:r>
    </w:p>
    <w:p w14:paraId="35DE92D1">
      <w:pPr>
        <w:rPr>
          <w:szCs w:val="21"/>
        </w:rPr>
      </w:pPr>
      <w:r>
        <w:rPr>
          <w:rFonts w:cs="方正黑体_GBK"/>
          <w:b/>
          <w:bCs/>
        </w:rPr>
        <w:t xml:space="preserve">30.2.8 </w:t>
      </w:r>
      <w:r>
        <w:rPr>
          <w:rFonts w:eastAsia="黑体" w:cs="方正黑体_GBK"/>
          <w:b/>
          <w:bCs/>
        </w:rPr>
        <w:t xml:space="preserve"> </w:t>
      </w:r>
      <w:r>
        <w:rPr>
          <w:szCs w:val="21"/>
        </w:rPr>
        <w:t>本条对地下、地上车站设备管理区的防火分区面积做了明确规定。</w:t>
      </w:r>
    </w:p>
    <w:p w14:paraId="36B31DB7">
      <w:pPr>
        <w:ind w:firstLine="420"/>
        <w:rPr>
          <w:szCs w:val="21"/>
        </w:rPr>
      </w:pPr>
      <w:r>
        <w:rPr>
          <w:szCs w:val="21"/>
        </w:rPr>
        <w:t>第1款：车站设备管理用房区是设备集中的区域，区域内有火灾时需运作的设备用房，因此应和公共区划分成不同的防火分区。其防火分区可以将不同楼层的设备用房划分为一个防火分区，但总面积不得超过本规范规定的限值，规范中指的地下车站建筑面积为扣除主体结构外墙厚度后的面积。</w:t>
      </w:r>
    </w:p>
    <w:p w14:paraId="1087BB64">
      <w:pPr>
        <w:ind w:firstLine="420"/>
        <w:rPr>
          <w:szCs w:val="21"/>
        </w:rPr>
      </w:pPr>
      <w:r>
        <w:rPr>
          <w:szCs w:val="21"/>
        </w:rPr>
        <w:t>第2款：地上车站设备管理用房防火分区面积为围护结构外墙包围的面积，指标取值和现行国家标准《建筑设计防火规范》GB 50016一致。</w:t>
      </w:r>
    </w:p>
    <w:p w14:paraId="422CB0DD">
      <w:pPr>
        <w:ind w:firstLine="420"/>
        <w:rPr>
          <w:szCs w:val="21"/>
        </w:rPr>
      </w:pPr>
      <w:r>
        <w:rPr>
          <w:szCs w:val="21"/>
        </w:rPr>
        <w:t>第3款：消防泵房、污水和废水泵房、厕所、盥洗、茶水、清扫等房间和风道可燃物甚少，不易产生火灾危险，在划分防火分区时，可将此类房间面积扣除，不计入防火分区面积之内。</w:t>
      </w:r>
    </w:p>
    <w:p w14:paraId="4789D757">
      <w:pPr>
        <w:rPr>
          <w:szCs w:val="21"/>
        </w:rPr>
      </w:pPr>
      <w:r>
        <w:rPr>
          <w:rFonts w:eastAsia="黑体" w:cs="方正黑体_GBK"/>
          <w:b/>
          <w:bCs/>
        </w:rPr>
        <w:t xml:space="preserve">30.2.12 </w:t>
      </w:r>
      <w:r>
        <w:rPr>
          <w:szCs w:val="21"/>
        </w:rPr>
        <w:t xml:space="preserve"> 第1款：上下重叠的地下车站是指一条线路上行和下行线分设在上、下层的平行侧式站台车站，以及两条线路上、下平行设置的岛式或侧式站台的换乘车站。无论哪种车站，下层站台穿越上层站台到站厅的楼扶梯，均需在穿被越层的楼扶梯四周开口部位用耐火极限不低于2.00h的实体墙与其他部位隔开，其目的是防止被穿越层发生火灾时，能确保下层站台乘客的疏散安全。至于上、下站台间设置的楼扶梯，只能作为平时功能需要相互联系，火灾工况下不允许互为安全出口，因此需在下层站台的楼扶梯四周的开口部位进行防火分隔。</w:t>
      </w:r>
    </w:p>
    <w:p w14:paraId="0E170245">
      <w:pPr>
        <w:ind w:firstLine="420"/>
        <w:rPr>
          <w:szCs w:val="21"/>
        </w:rPr>
      </w:pPr>
      <w:r>
        <w:rPr>
          <w:szCs w:val="21"/>
        </w:rPr>
        <w:t>第2款：对于站厅位于站台层下面的地下车站，站厅楼扶梯四周的开口部位应用耐火极限不低于2h的防火隔墙或防火卷帘与其他部位分隔，并在楼扶梯口的侧面设甲级防火门。当站厅发生火灾时，站厅楼扶梯开口部位的防火卷帘落下，可隔断站厅火势、防止烟气扩散和阻止火焰蔓延到上部站台层，站厅乘客可通过出入口疏散，滞留在站台乘客可乘车前往下一个车站疏散。当站台层发生火灾时，由于烟气向上扩散，下层站厅层为安全区，站台乘客可下到站厅从出入口疏散，个别滞留乘客可通过楼扶梯口侧面的防火门进入站厅安全区，但站台楼扶梯四周的开口部位应设档烟垂壁阻止烟气进入楼扶梯疏散区域。这与美国NFPA130《固定式导轨传输和客运铁路系统标准》中对设在站台下面的中央大厅（站厅）可作为安全区是一致的。</w:t>
      </w:r>
    </w:p>
    <w:p w14:paraId="23BEC67E">
      <w:pPr>
        <w:ind w:firstLine="420"/>
        <w:rPr>
          <w:szCs w:val="21"/>
        </w:rPr>
      </w:pPr>
      <w:r>
        <w:rPr>
          <w:szCs w:val="21"/>
        </w:rPr>
        <w:t>第3款：端头厅形式的地下车站，楼扶梯两侧的站厅与站台、站厅与轨道区的连通处应用耐火极限不低于2h的实体墙等分隔，其目的是防止站台火灾蔓延到站厅，并阻止烟气向站厅扩散，确保楼扶梯开口处的向下风速，对站台乘客疏散至站厅有利。</w:t>
      </w:r>
    </w:p>
    <w:p w14:paraId="68D196CE">
      <w:pPr>
        <w:ind w:firstLine="420"/>
        <w:rPr>
          <w:szCs w:val="21"/>
        </w:rPr>
      </w:pPr>
      <w:r>
        <w:rPr>
          <w:szCs w:val="21"/>
        </w:rPr>
        <w:t>第5款：对于站台位于站厅下面的地上车站，当站台层发生火灾时，站台至站厅的敞开楼扶梯口不具备阻止烟气向上蔓延措施，由于烟气上升速度较快，且烟气与乘客疏散方向一致，为了隔断站台火势、防止烟气扩散到上部站厅层，因此，站台层敞开楼扶梯四周的开口部位应进行防火分隔，乘客不得利用站台通向站厅的敞开楼扶梯进行疏散。</w:t>
      </w:r>
    </w:p>
    <w:p w14:paraId="4B933E2B">
      <w:pPr>
        <w:ind w:firstLine="420"/>
        <w:rPr>
          <w:szCs w:val="21"/>
        </w:rPr>
      </w:pPr>
      <w:r>
        <w:rPr>
          <w:szCs w:val="21"/>
        </w:rPr>
        <w:t>第6款：车站公共区内的楼扶梯是乘客紧急疏散的主要工具，对于设有中间设备层的地下三层车站，站台楼扶梯会穿越设备层的设备用房；对于出入口设在站厅主体结构内的地下车站，出入口楼扶梯往往会穿越设备管理区内的变配电室、消防泵房及环控电控室等重要设备用房。由于中间设备层、站厅设备管理用房区和车站公共区分为不同的防火分区，因此，楼扶梯四周的开口部位应与中间设备层、站厅设备用房用防火墙进行分隔。对于站台设在站厅上面的地上车站，站台至站厅的楼扶梯穿越设备管理用房时，也应和地下车站一样采取防火分隔。</w:t>
      </w:r>
    </w:p>
    <w:p w14:paraId="6AC4CF96">
      <w:pPr>
        <w:ind w:firstLine="420"/>
        <w:rPr>
          <w:szCs w:val="21"/>
        </w:rPr>
      </w:pPr>
      <w:r>
        <w:rPr>
          <w:szCs w:val="21"/>
        </w:rPr>
        <w:t>第7款：出入口设在站厅主体结构内或上下重叠平行站台等地下车站，自动扶梯的下底坑通常会穿透楼板，规定穿越楼板的自动扶梯下底坑以及外露的机械传动部分等与其他部位进行防火分隔，是为了发生火灾时确保乘客的疏散安全。当公共区自动扶梯下部空间设房间时，由于房间发生火灾时，不易被发现，因此规定自动扶梯下的房间隔墙和楼板应与其他部位分隔。</w:t>
      </w:r>
    </w:p>
    <w:p w14:paraId="1B5C90C6">
      <w:pPr>
        <w:ind w:firstLine="420"/>
        <w:rPr>
          <w:szCs w:val="21"/>
        </w:rPr>
      </w:pPr>
      <w:r>
        <w:rPr>
          <w:szCs w:val="21"/>
        </w:rPr>
        <w:t>第8款：地下车站站厅公共区内布置设备管理用房时，设备管理用房应用防火墙与公共区分隔，各房间的门不宜直接开向公共区，一般可设内部走道与站厅公共区连通，走道两端设甲级防火门，方便管理。</w:t>
      </w:r>
    </w:p>
    <w:p w14:paraId="492AC955">
      <w:pPr>
        <w:rPr>
          <w:szCs w:val="21"/>
        </w:rPr>
      </w:pPr>
      <w:r>
        <w:rPr>
          <w:rFonts w:cs="方正黑体_GBK"/>
          <w:b/>
          <w:bCs/>
        </w:rPr>
        <w:t xml:space="preserve">30.2.14 </w:t>
      </w:r>
      <w:r>
        <w:rPr>
          <w:rFonts w:eastAsia="黑体" w:cs="方正黑体_GBK"/>
          <w:b/>
          <w:bCs/>
        </w:rPr>
        <w:t xml:space="preserve"> </w:t>
      </w:r>
      <w:r>
        <w:rPr>
          <w:szCs w:val="21"/>
        </w:rPr>
        <w:t>地下车站位于车站主体结构内的风道，其楼板上设有风阀等孔洞与站台轨道区联通，因此，此部分需与设备用房用防火墙进行防火分隔。</w:t>
      </w:r>
    </w:p>
    <w:p w14:paraId="097A8DB6">
      <w:pPr>
        <w:rPr>
          <w:szCs w:val="21"/>
        </w:rPr>
      </w:pPr>
      <w:r>
        <w:rPr>
          <w:rFonts w:cs="方正黑体_GBK"/>
          <w:b/>
          <w:bCs/>
        </w:rPr>
        <w:t xml:space="preserve">30.2.15 </w:t>
      </w:r>
      <w:r>
        <w:rPr>
          <w:rFonts w:eastAsia="黑体" w:cs="方正黑体_GBK"/>
          <w:b/>
          <w:bCs/>
        </w:rPr>
        <w:t xml:space="preserve"> </w:t>
      </w:r>
      <w:r>
        <w:rPr>
          <w:szCs w:val="21"/>
        </w:rPr>
        <w:t>本条文主要对地下车站设在站台门端门外和配线区的设备用房以及外挂设备用房的防火分隔做了具体规定：</w:t>
      </w:r>
    </w:p>
    <w:p w14:paraId="3D9B2BB3">
      <w:pPr>
        <w:ind w:firstLine="420"/>
        <w:rPr>
          <w:szCs w:val="21"/>
        </w:rPr>
      </w:pPr>
      <w:r>
        <w:rPr>
          <w:szCs w:val="21"/>
        </w:rPr>
        <w:t>第1款：车站配线区和轨道区是行车的重要部分，对于设在站台门端门外的变电所等设备用房，用防火墙和轨道区隔开，可有效阻止火势蔓延，将火灾控制在一定空间内。因疏散需要，在防火墙上设置常闭的甲级防火门时，其门框和墙体应有可靠的链接，并能承受列车活塞风正负压力的作用下不会自动开启。由于设备运输需要，靠轨道区一侧的外墙上通常会采用防火卷帘门分隔，防火卷帘门虽能满足耐火极限要求，但因受列车活塞风正负压力的长期作用，门体极易受损、脱离滑轨。因此，无论是防火门还是防火卷帘，除门体强度需满足长期使用要求外，还应有可靠的构造和连接措施。为了克服防火卷帘长期受活塞风的影响破损而失去防火作用，设计采用易拆除的墙体材料进行封堵也是可行的。</w:t>
      </w:r>
    </w:p>
    <w:p w14:paraId="04E84ECB">
      <w:pPr>
        <w:ind w:firstLine="420"/>
        <w:rPr>
          <w:szCs w:val="21"/>
        </w:rPr>
      </w:pPr>
      <w:r>
        <w:rPr>
          <w:szCs w:val="21"/>
        </w:rPr>
        <w:t>对于设在站台门外的污水泵房、废水泵房，因房间内无可燃物，房门可采用内开的钢板隔声门。</w:t>
      </w:r>
    </w:p>
    <w:p w14:paraId="5F237046">
      <w:pPr>
        <w:ind w:firstLine="420"/>
        <w:rPr>
          <w:szCs w:val="21"/>
        </w:rPr>
      </w:pPr>
      <w:r>
        <w:rPr>
          <w:szCs w:val="21"/>
        </w:rPr>
        <w:t>第2款：地下车站配线区是列车行车的重要地区，利用配线区中的富裕空间设置火灾危险性为甲、乙、丙类的库房，以及商业、仓库和商业设备等用房，火灾危险性极大，一旦发生火灾，会直接影响车站运营。另外，在配线区中的富裕空间设置商业，很难满足现行国家标准《建筑设计防火规范》GB 50016关于安全疏散等要求。因此，车站配线区不允许设商业和仓库。有些车站，因条件所限，必须利用配线区富裕空间时，可将部分商业设备用房设置在配线区富裕空间内，但应用耐火极限不低于3.00h的防火墙与轨道区隔开，防火墙上不得开设门窗洞口，这是车站防火安全要求。需要注意的是，设在配线区内的部分商业设备用房还需满足安全疏散要求。</w:t>
      </w:r>
    </w:p>
    <w:p w14:paraId="6D9725E9">
      <w:pPr>
        <w:rPr>
          <w:szCs w:val="21"/>
        </w:rPr>
      </w:pPr>
      <w:r>
        <w:rPr>
          <w:rFonts w:eastAsia="黑体" w:cs="方正黑体_GBK"/>
          <w:b/>
          <w:bCs/>
        </w:rPr>
        <w:t xml:space="preserve">30.2.18  </w:t>
      </w:r>
      <w:r>
        <w:rPr>
          <w:szCs w:val="21"/>
        </w:rPr>
        <w:t>第3款：换乘通道连接两线站厅，为避免火灾时对两条线同时产生影响，加大火灾危险性，换乘通道必须至少在临近一侧站厅的位置设置防火分隔措施。为了方便乘客通行，一般会选用防火卷帘。但考虑到换乘通道内人员疏散的需求，需要在防火卷帘一侧增设甲级防火门，以免防火卷帘落下时，通道内的乘客受阻。因此防火卷帘一侧增设甲级防火门，受阻乘客可通过防火门疏散到另一个非火灾站厅。</w:t>
      </w:r>
    </w:p>
    <w:p w14:paraId="5A965ED8">
      <w:pPr>
        <w:rPr>
          <w:szCs w:val="21"/>
        </w:rPr>
      </w:pPr>
      <w:r>
        <w:rPr>
          <w:rFonts w:eastAsia="黑体" w:cs="方正黑体_GBK"/>
          <w:b/>
          <w:bCs/>
        </w:rPr>
        <w:t xml:space="preserve">30.2.19  </w:t>
      </w:r>
      <w:r>
        <w:rPr>
          <w:szCs w:val="21"/>
        </w:rPr>
        <w:t>本条文对车站内的商业开发以及与车站相联的商业等物业开发的防火分隔做了具体规定：</w:t>
      </w:r>
    </w:p>
    <w:p w14:paraId="55C16068">
      <w:pPr>
        <w:ind w:firstLine="420"/>
        <w:rPr>
          <w:szCs w:val="21"/>
        </w:rPr>
      </w:pPr>
      <w:r>
        <w:rPr>
          <w:szCs w:val="21"/>
        </w:rPr>
        <w:t>第1、2款：车站内的商业可以设在地下二层及以上楼层是指设在道路红外一般覆土深度较浅的地下车站，不适用埋置深度较深的地下车站和深埋车站。地下或地上车站与地块开发结合时，地块商业为了吸引顾客，要求车站非付费区和商业连接的墙体全部开通，形成开敞空间，这是不可取的。由于商业内的可燃物多，火灾危险性大，因此两者必须用防火墙分隔。根据近年来火灾案例，在防火墙上开设连续的防火卷帘是不可靠的，有群死、群伤在防火卷帘处的案例教训，因此商业可以采用通道和车站非付费区连通，或按现行国家标准的规定设置一定比例的防火卷帘。考虑到商业和车站的消防系统各自独立，为安全起见，要求各自设置防火卷帘，分别控制。</w:t>
      </w:r>
    </w:p>
    <w:p w14:paraId="769C4ABF">
      <w:pPr>
        <w:ind w:firstLine="420"/>
        <w:rPr>
          <w:szCs w:val="21"/>
        </w:rPr>
      </w:pPr>
      <w:r>
        <w:rPr>
          <w:szCs w:val="21"/>
        </w:rPr>
        <w:t>第3款：作为平时功能需要，商业等物业开发和车站站厅非付费区可采用楼扶梯连接，但在楼扶梯上、下层开口四周应设防火墙或防火卷帘分隔（梯洞口设防火卷帘），能有效防止火势蔓延、阻止烟气扩散。两者的联系楼扶梯宜设在车站主体建筑外或靠外墙设置，防火分隔较易处理，对车站站厅非付费区影响也较小。</w:t>
      </w:r>
    </w:p>
    <w:p w14:paraId="64EC80D6">
      <w:pPr>
        <w:ind w:firstLine="420"/>
        <w:rPr>
          <w:szCs w:val="21"/>
        </w:rPr>
      </w:pPr>
      <w:r>
        <w:rPr>
          <w:szCs w:val="21"/>
        </w:rPr>
        <w:t>第4款：车站公共区疏散楼扶梯穿越商业等物业开发层时。由于商业内可燃物多，火灾危险性大，商业发生火灾时，为了确保乘客疏散安全，因此规定穿越商业层的疏散楼扶梯应在商业层的楼扶梯四周开口部位用耐火极限不低于3h的防火墙分隔，防火墙上不得开设门窗洞口，也不得用防火卷帘分隔。</w:t>
      </w:r>
    </w:p>
    <w:p w14:paraId="601790E5">
      <w:pPr>
        <w:ind w:firstLine="420"/>
        <w:rPr>
          <w:szCs w:val="21"/>
        </w:rPr>
      </w:pPr>
      <w:r>
        <w:rPr>
          <w:szCs w:val="21"/>
        </w:rPr>
        <w:t>第5款：随着地下空间开发的需要，车站出入口和相邻的地下商业连通，对吸引客流和商业经营均有利，但地下开发面积超过20000m2时，连接口部应有可靠的防火分隔措施，如：设置下层广场、防火间隔、避难走道、防烟楼梯间等措施，并符合现行国家标准《人民防空工程设计防火规范》GB 50098的有关规定。</w:t>
      </w:r>
    </w:p>
    <w:p w14:paraId="031E8467">
      <w:pPr>
        <w:ind w:firstLine="420"/>
        <w:rPr>
          <w:szCs w:val="21"/>
        </w:rPr>
      </w:pPr>
      <w:r>
        <w:rPr>
          <w:szCs w:val="21"/>
        </w:rPr>
        <w:t>第6款：针对车站配线区空间进行商业开发利用时，受制于道路条件，无法像常规地下商业空间直接采用顶出的楼梯间形式，而经常会采用和地铁出入口模式一样的长通道加楼扶梯并列直出地面的型式，下穿市政道路到路侧人行道边，导致这种商业出入口规模很大，如果按照常规地下商业空间建筑面积的计算原则纳入商业防火分区范围计算的话，则对配线区商业开发的防火分区划分影响很大，会较大程度地增加商业区相关设备地配置和疏散需求，带来建设和运营成本地增加，更加不利于地铁配线区的商业开发利用。因此，针对这种具备较强轨道交通线路上方商业开发，提出采用楼扶梯并列直达地面的地铁出入口布局模式时，可不计入其所属防火分区的建筑面积。</w:t>
      </w:r>
    </w:p>
    <w:p w14:paraId="44CA036A">
      <w:pPr>
        <w:ind w:firstLine="420"/>
        <w:rPr>
          <w:szCs w:val="21"/>
        </w:rPr>
      </w:pPr>
      <w:r>
        <w:rPr>
          <w:szCs w:val="21"/>
        </w:rPr>
        <w:t>第7款：本条文是参考现行国家标准《建筑设计防火规范》GB 50016制定的，规定在车站配线上方和车站非付费区内的商业开发除了不得经营和储存火灾危险性为甲、乙类商品外，也不得经营丙类1项储存物品属性的商品，其要求比现行国家标准严。</w:t>
      </w:r>
    </w:p>
    <w:p w14:paraId="14F1C27E">
      <w:pPr>
        <w:ind w:firstLine="420"/>
        <w:rPr>
          <w:szCs w:val="21"/>
        </w:rPr>
      </w:pPr>
      <w:r>
        <w:rPr>
          <w:szCs w:val="21"/>
        </w:rPr>
        <w:t>第8款：地下车站配线上方商业开发区内设库房时，一旦发生火灾，室内气温高，烟气浓度高，毒性大，对商业和车站影响大。本条比现行国家标准《建筑设计防火规范》GB 50016要求严，其目的是限制车站配线上方商业库房的面积，减小火灾危险性。</w:t>
      </w:r>
    </w:p>
    <w:p w14:paraId="19BF231C">
      <w:pPr>
        <w:rPr>
          <w:szCs w:val="21"/>
        </w:rPr>
      </w:pPr>
      <w:r>
        <w:rPr>
          <w:rFonts w:eastAsia="黑体"/>
          <w:b/>
          <w:szCs w:val="21"/>
        </w:rPr>
        <w:t xml:space="preserve">30.2.20 </w:t>
      </w:r>
      <w:r>
        <w:rPr>
          <w:szCs w:val="18"/>
        </w:rPr>
        <w:t xml:space="preserve"> </w:t>
      </w:r>
      <w:r>
        <w:rPr>
          <w:szCs w:val="21"/>
        </w:rPr>
        <w:t>第1款：本条文是参考现行国家标准《建筑防火通用规范》，明确在车站站厅和换乘通道内的非乘客疏散区，设置一定面积的小商铺或商业设施，可方便乘客，但小商铺的位置不会影响乘客疏散。</w:t>
      </w:r>
    </w:p>
    <w:p w14:paraId="54B299A6">
      <w:pPr>
        <w:ind w:firstLine="420"/>
        <w:rPr>
          <w:szCs w:val="21"/>
        </w:rPr>
      </w:pPr>
      <w:r>
        <w:rPr>
          <w:szCs w:val="21"/>
        </w:rPr>
        <w:t>第2款：限制地下车站小商铺面积是为了控制商铺规模，减小公共区的火灾危险性。地上车站小商铺面积可适当增加，但防火设计应符合现行国家标准《建筑设计防火规范》GB 50016的有关规定。</w:t>
      </w:r>
    </w:p>
    <w:p w14:paraId="62BD6326">
      <w:pPr>
        <w:rPr>
          <w:szCs w:val="21"/>
        </w:rPr>
      </w:pPr>
      <w:r>
        <w:rPr>
          <w:rFonts w:eastAsia="黑体"/>
          <w:b/>
          <w:szCs w:val="21"/>
        </w:rPr>
        <w:t xml:space="preserve">30.2.21  30.2.22  </w:t>
      </w:r>
      <w:r>
        <w:rPr>
          <w:szCs w:val="21"/>
        </w:rPr>
        <w:t>针对轨道交通车站在站台与站厅之间设置连通上下楼层的中庭、尤其是形成了站台轨行区与站厅连通的地下中庭式轨道交通车站，提出了可执行现行地方标准《站城一体化工程消防安全技术标准》DB11/1889的有关规定。</w:t>
      </w:r>
    </w:p>
    <w:p w14:paraId="16918D96">
      <w:pPr>
        <w:rPr>
          <w:szCs w:val="21"/>
        </w:rPr>
      </w:pPr>
      <w:r>
        <w:rPr>
          <w:rFonts w:eastAsia="黑体"/>
          <w:b/>
          <w:szCs w:val="21"/>
        </w:rPr>
        <w:t xml:space="preserve">30.2.24  </w:t>
      </w:r>
      <w:r>
        <w:rPr>
          <w:szCs w:val="21"/>
        </w:rPr>
        <w:t>车辆基地内的物资总库会储存劳保用品等丙类物资，火灾危险性较大，如在物资总库内设置办公室和休息室，车辆运用、检修、综合维修等厂（库）房内设置办公室、休息室和材料库，一旦发生火灾，会殃及整个仓库和厂房，伤害员工生命，因此依据现行国家标准《建筑设计防火规范》GB 50016的有关规定作此规定。要注意的是，上述厂（库）房内严禁设置员工宿舍。</w:t>
      </w:r>
    </w:p>
    <w:p w14:paraId="68F172BB">
      <w:pPr>
        <w:rPr>
          <w:szCs w:val="21"/>
        </w:rPr>
      </w:pPr>
      <w:r>
        <w:rPr>
          <w:rFonts w:eastAsia="黑体"/>
          <w:b/>
          <w:szCs w:val="21"/>
        </w:rPr>
        <w:t xml:space="preserve">30.2.28  </w:t>
      </w:r>
      <w:r>
        <w:rPr>
          <w:szCs w:val="21"/>
        </w:rPr>
        <w:t>随着北京市轨道交通的飞速发展，以及城市化的进展，车辆综合基地的用地条件越来越困难，充分利用地下空间、在车辆综合基地内的车辆运用整备设施（停车库、列检库、月检库、洗车库和辅助用房）厂房上部进行物业开发是节约土地资源的一种有效方法。如：6号线和10号线在五路共建车辆综合基地，6号线的停车列检库设在地下一层，10号线停车列检库、月修库、临修库等工艺用房和部分管理用房设在地上一层，上盖修建住宅；焦化厂车辆综合基地利用环保换土挖方空间和地形高差，也将车辆运用整备设施厂房设在地下；郭公庄车辆综合基地受地区开发和出入段线的条件限制，厂房处于半地下。</w:t>
      </w:r>
    </w:p>
    <w:p w14:paraId="11CB5577">
      <w:pPr>
        <w:ind w:firstLine="420"/>
        <w:rPr>
          <w:szCs w:val="21"/>
        </w:rPr>
      </w:pPr>
      <w:r>
        <w:rPr>
          <w:szCs w:val="21"/>
        </w:rPr>
        <w:t>停车库、列检库、月检库和洗车库火灾危险性分类属于戊类，火灾危险性小，但存在面积超大、受工艺制约和车辆上部有接触网等条件限制、划分防火分区困难，以及工作人员受列车阻隔的安全疏散等问题。地上车辆综合基地上盖开发的厂房虽与大气相通，但平台下覆盖面积超大、超长，其内部环境较差。因此，本规范针对设在地下的车辆运用整备设施厂房的防火设计作了具体规定。</w:t>
      </w:r>
    </w:p>
    <w:p w14:paraId="409A6E6D">
      <w:pPr>
        <w:ind w:firstLine="420"/>
        <w:rPr>
          <w:szCs w:val="21"/>
        </w:rPr>
      </w:pPr>
      <w:r>
        <w:rPr>
          <w:szCs w:val="21"/>
        </w:rPr>
        <w:t>第1款：消防车道是消防车进入车库进行消防扑救的通道，因此要求地下、半地下车库内的消防车道应设置火灾自动报警系统和防烟、排烟系统，并与车库进行防火分隔。当地下车库消防车道上部顶盖或者侧墙上部有条件开窗时，消防车道宜采用自然排烟。</w:t>
      </w:r>
    </w:p>
    <w:p w14:paraId="7F8B2E46">
      <w:pPr>
        <w:spacing w:before="72" w:after="72"/>
        <w:jc w:val="center"/>
        <w:outlineLvl w:val="3"/>
        <w:rPr>
          <w:rFonts w:eastAsia="黑体"/>
        </w:rPr>
      </w:pPr>
      <w:r>
        <w:rPr>
          <w:rFonts w:eastAsia="黑体"/>
          <w:b/>
        </w:rPr>
        <w:t xml:space="preserve">Ⅲ </w:t>
      </w:r>
      <w:r>
        <w:rPr>
          <w:rFonts w:hint="eastAsia" w:eastAsia="黑体"/>
        </w:rPr>
        <w:t xml:space="preserve"> </w:t>
      </w:r>
      <w:r>
        <w:rPr>
          <w:rFonts w:eastAsia="黑体"/>
        </w:rPr>
        <w:t>安 全 疏 散</w:t>
      </w:r>
    </w:p>
    <w:p w14:paraId="197B3C1A">
      <w:pPr>
        <w:rPr>
          <w:szCs w:val="21"/>
        </w:rPr>
      </w:pPr>
      <w:r>
        <w:rPr>
          <w:rFonts w:cs="方正黑体_GBK"/>
          <w:b/>
          <w:bCs/>
        </w:rPr>
        <w:t xml:space="preserve">30.2.29、30.2.30 </w:t>
      </w:r>
      <w:r>
        <w:rPr>
          <w:rFonts w:eastAsia="黑体" w:cs="方正黑体_GBK"/>
          <w:b/>
          <w:bCs/>
        </w:rPr>
        <w:t xml:space="preserve"> </w:t>
      </w:r>
      <w:r>
        <w:rPr>
          <w:szCs w:val="21"/>
        </w:rPr>
        <w:t>美国《固定式导轨传输和客运铁路系统标准》NFPA130对站台疏散时间、安全区、站台疏散人数和用于疏散的自动扶梯做了如下规定：</w:t>
      </w:r>
    </w:p>
    <w:p w14:paraId="27BD70E9">
      <w:pPr>
        <w:ind w:firstLine="420"/>
        <w:rPr>
          <w:szCs w:val="21"/>
        </w:rPr>
      </w:pPr>
      <w:r>
        <w:rPr>
          <w:b/>
          <w:szCs w:val="21"/>
        </w:rPr>
        <w:t xml:space="preserve">1 </w:t>
      </w:r>
      <w:r>
        <w:rPr>
          <w:szCs w:val="21"/>
        </w:rPr>
        <w:t xml:space="preserve"> 规定站台上的疏散设施能力应满足乘客从站台撤离时间不大于4min，即高峰时段该站台上的候车乘客和进站列车所载乘客通过楼扶梯、疏散通道等安全出口的时间不得超过4min，这是考核站台上所有安全出口通行设施能力的规定。并规定离站台疏散设施最不利点的乘客撤离到安全区时间不应大于6min（包括从站台最远点到最近的楼扶梯或通道口的行走时间，以及在站台楼扶梯前或通道口的等待时间和楼扶梯提升所需时间总和），疏散总时间不考虑乘客反映时间。</w:t>
      </w:r>
    </w:p>
    <w:p w14:paraId="29A16EB7">
      <w:pPr>
        <w:ind w:firstLine="420"/>
        <w:rPr>
          <w:szCs w:val="21"/>
        </w:rPr>
      </w:pPr>
      <w:r>
        <w:rPr>
          <w:b/>
          <w:szCs w:val="21"/>
        </w:rPr>
        <w:t xml:space="preserve">2 </w:t>
      </w:r>
      <w:r>
        <w:rPr>
          <w:szCs w:val="21"/>
        </w:rPr>
        <w:t xml:space="preserve"> 安全区是指：封闭车站配备了事故通风系统的中央大厅以及能为站台乘客疏散提供保护的场所。如果地下车站站厅配备了事故通风系统，站厅可作为安全区。</w:t>
      </w:r>
    </w:p>
    <w:p w14:paraId="312134AE">
      <w:pPr>
        <w:ind w:firstLine="420"/>
        <w:rPr>
          <w:szCs w:val="21"/>
        </w:rPr>
      </w:pPr>
      <w:r>
        <w:rPr>
          <w:b/>
          <w:szCs w:val="21"/>
        </w:rPr>
        <w:t xml:space="preserve">3 </w:t>
      </w:r>
      <w:r>
        <w:rPr>
          <w:szCs w:val="21"/>
        </w:rPr>
        <w:t xml:space="preserve"> 站台疏散乘客包括高峰时段列车间隔内在站台两侧的候车乘客和站台两侧进站列车载客量总和。</w:t>
      </w:r>
    </w:p>
    <w:p w14:paraId="61EEB4A7">
      <w:pPr>
        <w:ind w:firstLine="420"/>
        <w:rPr>
          <w:szCs w:val="21"/>
        </w:rPr>
      </w:pPr>
      <w:r>
        <w:rPr>
          <w:b/>
          <w:szCs w:val="21"/>
        </w:rPr>
        <w:t>4</w:t>
      </w:r>
      <w:r>
        <w:rPr>
          <w:szCs w:val="21"/>
        </w:rPr>
        <w:t xml:space="preserve">  具备一定条件的自动扶梯可以作为疏散用，其中一部扶梯检修停运不参加疏散。</w:t>
      </w:r>
    </w:p>
    <w:p w14:paraId="1D954269">
      <w:pPr>
        <w:ind w:firstLine="420"/>
        <w:rPr>
          <w:szCs w:val="21"/>
        </w:rPr>
      </w:pPr>
      <w:r>
        <w:rPr>
          <w:szCs w:val="21"/>
        </w:rPr>
        <w:t>鉴于2003年2月韩国大邱市地铁火灾事故以及大深度地铁车站的出现，日本国土交通省在2004年12月27日发布的“国铁技第124号”省令中就“铁道技术标准省令条文的部分修正”对第二十九条（地铁车站等设备）、即《地铁火灾对策标准》做了修改，并由“地铁火灾对策工作组”编制了条文解释。在计算列车发生火灾工况时，要求按大火源火灾情况下进行站台层烟气浓度疏散安全性检查，烟气浓度不得大于允许烟浓度，逃生时间不得大于影响乘客安全疏散的烟气下降时间。即通过烟气扩散模型计算一般火灾下的站台烟气浓度（减光系数）或根据烟气扩散容积进行疏散安全性检查，以及计算大火源火灾下的烟气下沉高度对疏散影响。这是一种性能化设计的方法，比较接近实际，但计算过程较为繁琐。其总体思路是：</w:t>
      </w:r>
      <w:r>
        <w:rPr>
          <w:rFonts w:hint="eastAsia" w:ascii="宋体" w:hAnsi="宋体" w:cs="宋体"/>
          <w:szCs w:val="21"/>
        </w:rPr>
        <w:t>①</w:t>
      </w:r>
      <w:r>
        <w:rPr>
          <w:szCs w:val="21"/>
        </w:rPr>
        <w:t>分析不同工况下每个车站疏散路径组成部分，通过计算，确定逃生路径上所需的步行时间和楼扶梯口、检票机等处的滞留所需时间。</w:t>
      </w:r>
      <w:r>
        <w:rPr>
          <w:rFonts w:hint="eastAsia" w:ascii="宋体" w:hAnsi="宋体" w:cs="宋体"/>
          <w:szCs w:val="21"/>
        </w:rPr>
        <w:t>②</w:t>
      </w:r>
      <w:r>
        <w:rPr>
          <w:szCs w:val="21"/>
        </w:rPr>
        <w:t>通过地铁车站高峰时段列车的乘车率和站台上乘客数量的实地调查，规定了三大都市圈以内的车站“乘车率”按200%、三大都市圈以外的车站按150%作为疏散总人数。但采用的列车定员数较低（10节车厢列车定员数为1500人，每节车厢约150人）。</w:t>
      </w:r>
      <w:r>
        <w:rPr>
          <w:rFonts w:hint="eastAsia" w:ascii="宋体" w:hAnsi="宋体" w:cs="宋体"/>
          <w:szCs w:val="21"/>
        </w:rPr>
        <w:t>③</w:t>
      </w:r>
      <w:r>
        <w:rPr>
          <w:szCs w:val="21"/>
        </w:rPr>
        <w:t>规定一侧线路列车火灾时，站台另一侧的列车不允许停站，按继续开行到下一个车站再疏散乘客。</w:t>
      </w:r>
      <w:r>
        <w:rPr>
          <w:rFonts w:hint="eastAsia" w:ascii="宋体" w:hAnsi="宋体" w:cs="宋体"/>
          <w:szCs w:val="21"/>
        </w:rPr>
        <w:t>④</w:t>
      </w:r>
      <w:r>
        <w:rPr>
          <w:szCs w:val="21"/>
        </w:rPr>
        <w:t>规定站台楼梯下设置了防火卷帘门的上部站厅可作为疏散场所。</w:t>
      </w:r>
      <w:r>
        <w:rPr>
          <w:rFonts w:hint="eastAsia" w:ascii="宋体" w:hAnsi="宋体" w:cs="宋体"/>
          <w:szCs w:val="21"/>
        </w:rPr>
        <w:t>⑤</w:t>
      </w:r>
      <w:r>
        <w:rPr>
          <w:szCs w:val="21"/>
        </w:rPr>
        <w:t>当自动扶梯装有防止踏板下落装置时向着疏散方向移动或静止的自动扶梯可作为疏散用。上述规定与美国规范有一定的相似之处，但更注重细节计算。</w:t>
      </w:r>
    </w:p>
    <w:p w14:paraId="02218486">
      <w:pPr>
        <w:ind w:firstLine="420"/>
        <w:rPr>
          <w:szCs w:val="21"/>
        </w:rPr>
      </w:pPr>
      <w:r>
        <w:rPr>
          <w:szCs w:val="21"/>
        </w:rPr>
        <w:t>本条文参考了美国消防协会《轨道交通运输和客运铁路系统防火标准》NFPA130以及日本《地铁火灾对策标准》对站台疏散时间、站台疏散人数、安全区和用于疏散的自动扶梯等规定基础上，并结合对地铁设计防火标准及用于疏散的自动扶梯的运营时的实际使用工况和相关专业的安全考虑后，对原2013版规范中的疏散时间计算公式做了如下修改。</w:t>
      </w:r>
    </w:p>
    <w:p w14:paraId="5AE5BC01">
      <w:pPr>
        <w:ind w:firstLine="420"/>
        <w:rPr>
          <w:szCs w:val="21"/>
        </w:rPr>
      </w:pPr>
      <w:r>
        <w:rPr>
          <w:szCs w:val="21"/>
        </w:rPr>
        <w:t>与2013版规范相比，本次修编取消了与疏散方向相反的自动扶梯停运作为疏散楼梯使用的要求，经与相关专业核实并调研，在现行国家标准《自动扶梯和自动人行道安装安全规范》GB 16899中规定：“自动扶梯是机器，即使在停运状态也不能作为楼梯使用”，经过实际调研，虽然设计单位在提出自动扶梯生产要求时，考虑了自动扶梯停运后作为楼梯使用的相关要求，但在实际使用时，考虑较多城市设计中，自动扶梯在火灾工况下不具备火灾联动停梯功能，需由工作人员现场确认自动扶梯无乘客时人工停梯。而在火灾工况时，人工确认受现场烟气和疏散人流影响很难立即确认，因此自动扶梯停运作为楼梯供疏散使用存在较大的不确定因素，因此暂不推荐自动扶梯停运状态下在疏散时作为楼梯使用。</w:t>
      </w:r>
    </w:p>
    <w:p w14:paraId="3A6A5C77">
      <w:pPr>
        <w:ind w:firstLine="420"/>
        <w:rPr>
          <w:szCs w:val="21"/>
        </w:rPr>
      </w:pPr>
      <w:r>
        <w:rPr>
          <w:szCs w:val="21"/>
        </w:rPr>
        <w:t>车站紧急疏散人数考虑了高峰时段的超高峰客流，即在远期或客流控制期高峰小时一列进站列车的客流断面流量乘以不均匀系数和站台两侧候车乘客乘以超高峰系数的取值数量总和。客流预测提供的针对每个站点的超高峰系数体现的是站点周边用地性质对车站进出站客流在高峰时段最大客流量的影响程度，而线路断面受各站高峰时段的影响如需考虑不均匀性变化，则应考虑线路的不均匀系数，而不是利用车站的超高峰系数，这样更有针对性，也更准确。如果客流预测未提供线路的不均匀系数，则说明从线路层面不需要对断面客流量的不均匀性另行考虑。</w:t>
      </w:r>
    </w:p>
    <w:p w14:paraId="1D6A1381">
      <w:pPr>
        <w:ind w:firstLine="420"/>
        <w:rPr>
          <w:szCs w:val="21"/>
        </w:rPr>
      </w:pPr>
      <w:r>
        <w:rPr>
          <w:szCs w:val="21"/>
        </w:rPr>
        <w:t>配合根据现行国家标准《自动扶梯和自动人行道安装安全规范》GB 16899所做的自动扶梯通过能力取值修改，取消了公式中0.9的折减系数。</w:t>
      </w:r>
    </w:p>
    <w:p w14:paraId="097B0047">
      <w:pPr>
        <w:ind w:firstLine="420"/>
        <w:rPr>
          <w:szCs w:val="21"/>
        </w:rPr>
      </w:pPr>
      <w:r>
        <w:rPr>
          <w:szCs w:val="21"/>
        </w:rPr>
        <w:t>疏散楼梯已经按0.55倍数折减宽度，故通过能力也不再乘以0.9的折减系数。</w:t>
      </w:r>
    </w:p>
    <w:p w14:paraId="4EC6510D">
      <w:pPr>
        <w:ind w:firstLine="420"/>
        <w:rPr>
          <w:szCs w:val="21"/>
        </w:rPr>
      </w:pPr>
      <w:r>
        <w:rPr>
          <w:szCs w:val="21"/>
        </w:rPr>
        <w:t>疏散方向运行的自动扶梯数量在事故状态下是否折减一直是争议比较大的问题，根据自动扶梯的可靠度要求，事故状态时自动扶梯处于大修或故障状态是概率较大的，因此应对疏散时使用的扶梯数量进行折减，可按一台考虑。这与NFPA130在事故状态下折减一台通过能力最大的自动扶梯的要求是一致的，与地铁设计防火标准也是一致的。</w:t>
      </w:r>
    </w:p>
    <w:p w14:paraId="29202E79">
      <w:pPr>
        <w:ind w:firstLine="420"/>
        <w:rPr>
          <w:szCs w:val="21"/>
        </w:rPr>
      </w:pPr>
      <w:r>
        <w:rPr>
          <w:szCs w:val="21"/>
        </w:rPr>
        <w:t>厅台同层的地下侧式站台车站，其疏散要求应符合现行国家标准《地铁设计防火标准》GB 51298第5.2.2条的规定，当站台与站厅公共区之间设置防火隔墙时，可采用水平通道的疏散能力，参照本公式进行核算，保证站台公共区乘客全部通过防火隔墙上的门洞口、通道口或安全出口的时间Tdx≤4min。鉴于火灾时厅台同层地下侧式车站公共区的烟气蔓延较快，列车火灾或站台失火对站厅公共区影响较大，所以站厅公共区直通室外或其他室外安全空间的自动扶梯宜参与疏散，采用一级负荷供电。</w:t>
      </w:r>
    </w:p>
    <w:p w14:paraId="52A3AE20">
      <w:pPr>
        <w:ind w:firstLine="420"/>
        <w:rPr>
          <w:szCs w:val="21"/>
        </w:rPr>
      </w:pPr>
      <w:r>
        <w:rPr>
          <w:szCs w:val="21"/>
        </w:rPr>
        <w:t>规定列车火灾时，站台另一侧的列车不允许停站，按继续行走到下一个车站再疏散乘客，与日本《地铁火灾对策标准》和《地铁设计规范》GB 50157规定一致。</w:t>
      </w:r>
    </w:p>
    <w:p w14:paraId="6C5BD71E">
      <w:pPr>
        <w:rPr>
          <w:szCs w:val="21"/>
        </w:rPr>
      </w:pPr>
      <w:r>
        <w:rPr>
          <w:rFonts w:eastAsia="黑体"/>
          <w:b/>
        </w:rPr>
        <w:t xml:space="preserve">30.2.31 </w:t>
      </w:r>
      <w:r>
        <w:rPr>
          <w:b/>
          <w:szCs w:val="21"/>
        </w:rPr>
        <w:t xml:space="preserve"> </w:t>
      </w:r>
      <w:r>
        <w:rPr>
          <w:szCs w:val="21"/>
        </w:rPr>
        <w:t>作为站台位于站厅上方的地上车站，在计算自动扶梯通过能力时，下行扶梯作为疏散使用时，乘客会下意识的降低通行速度，故对自动扶梯的通过能力通过乘以0.9的系数进行了适当折减。</w:t>
      </w:r>
    </w:p>
    <w:p w14:paraId="1A587D68">
      <w:pPr>
        <w:ind w:firstLine="420"/>
        <w:rPr>
          <w:szCs w:val="21"/>
        </w:rPr>
      </w:pPr>
      <w:r>
        <w:rPr>
          <w:szCs w:val="21"/>
        </w:rPr>
        <w:t>在事故状态参与疏散时，下行扶梯仍处于运转状态，由于在事故状态时乘客疏散存在一定的慌乱无序情况，当提升高度过大时，易造成踩踏下滑等此生灾害，故存在一定的风险，故限制了可参与疏散的下行自动扶梯的提升高度。</w:t>
      </w:r>
    </w:p>
    <w:p w14:paraId="4FCFBAA6">
      <w:pPr>
        <w:ind w:firstLine="420"/>
        <w:rPr>
          <w:szCs w:val="21"/>
        </w:rPr>
      </w:pPr>
      <w:r>
        <w:rPr>
          <w:szCs w:val="21"/>
        </w:rPr>
        <w:t>地上车站站台发生火灾时，一部分乘客可以通过站台端门通过疏散平台或连接站台的楼梯疏散到车站外部的轨道区，由于轨道区是敞开空间，烟气不会对乘客造成危害，因此端门可作为安全出口。鉴于端门外通向的高架区间虽属于室外、但非地面，且区间的疏散空间和能力也有一定限制，故对站台端门的疏散能力应有所控制，地上车站公共区站台至站厅公共区的交通设施的疏散能力之和不应低于站台疏散设施总能力的60~80%。</w:t>
      </w:r>
    </w:p>
    <w:p w14:paraId="6F385129">
      <w:pPr>
        <w:ind w:firstLine="420"/>
        <w:rPr>
          <w:szCs w:val="21"/>
        </w:rPr>
      </w:pPr>
      <w:r>
        <w:rPr>
          <w:szCs w:val="21"/>
        </w:rPr>
        <w:t>再者，当站台端部楼梯的疏散能力之和小于站台屏蔽门端门的疏散能力之和时，应以设置的供乘客使用的楼梯实际通向能力参与计算。</w:t>
      </w:r>
    </w:p>
    <w:p w14:paraId="5E8E9072">
      <w:pPr>
        <w:ind w:firstLine="420"/>
        <w:rPr>
          <w:szCs w:val="21"/>
        </w:rPr>
      </w:pPr>
      <w:r>
        <w:rPr>
          <w:szCs w:val="21"/>
        </w:rPr>
        <w:t>当线路区间采用三轨授电时，三轨设置应考虑疏散要求，建议设置在乘客疏散设施的对侧，并加防护罩保护；相邻区间应具备事故状态停电功能，三轨应设防护罩，确保乘客安全。当站台屏蔽门端门可双向开启时，可不单独设置开向轨行区的门。</w:t>
      </w:r>
    </w:p>
    <w:p w14:paraId="1E485DAD">
      <w:pPr>
        <w:ind w:firstLine="420"/>
        <w:rPr>
          <w:szCs w:val="21"/>
        </w:rPr>
      </w:pPr>
      <w:r>
        <w:rPr>
          <w:szCs w:val="21"/>
        </w:rPr>
        <w:t>另根据车站的设计标准和技术要求，车站公共区设置3组交通设施，左端设置1部下行自动扶梯和1部净宽2.0m的单向楼梯，中部设置1部垂直电梯，右端设置1部下行自动扶梯和1部上行扶梯；站台屏蔽门端门净宽1.2m，通行宽度按1.1m计，共计4个，在站台两端站台屏蔽门端门外侧各设置1部净宽1.1m楼梯，通向具有自然通风和自然排烟条件的高架区间。</w:t>
      </w:r>
    </w:p>
    <w:p w14:paraId="593E7DC7">
      <w:pPr>
        <w:ind w:firstLine="420"/>
        <w:rPr>
          <w:szCs w:val="21"/>
        </w:rPr>
      </w:pPr>
      <w:r>
        <w:rPr>
          <w:szCs w:val="21"/>
        </w:rPr>
        <w:t>供乘客疏散使用的站端疏散楼梯，踏步高宽标准应符合本标准第10.2节相关规定。</w:t>
      </w:r>
    </w:p>
    <w:p w14:paraId="4D6C2385">
      <w:pPr>
        <w:rPr>
          <w:szCs w:val="21"/>
        </w:rPr>
      </w:pPr>
      <w:r>
        <w:rPr>
          <w:rFonts w:eastAsia="黑体"/>
          <w:b/>
        </w:rPr>
        <w:t xml:space="preserve">30.2.32 </w:t>
      </w:r>
      <w:r>
        <w:rPr>
          <w:b/>
          <w:szCs w:val="18"/>
        </w:rPr>
        <w:t xml:space="preserve"> </w:t>
      </w:r>
      <w:r>
        <w:rPr>
          <w:szCs w:val="21"/>
        </w:rPr>
        <w:t>根据本标准第30.2.29条规定，火灾状态时车站站台公共区乘客全部疏散至站厅公共区或其他安全区域的时间控制在6min以内，但是《地铁设计规范》GB 50157 -2013和《地铁设计防火标准》GB 51988-2018没有明确具体计算公式；对于分离厅、枢纽站等复杂型车站，现行规范缺乏相应的疏散计算公式。</w:t>
      </w:r>
    </w:p>
    <w:p w14:paraId="489B7231">
      <w:pPr>
        <w:ind w:firstLine="420"/>
        <w:rPr>
          <w:szCs w:val="21"/>
        </w:rPr>
      </w:pPr>
      <w:r>
        <w:rPr>
          <w:szCs w:val="21"/>
        </w:rPr>
        <w:t>根据一般车站的常规疏散模式，其疏散时间的构成主要包含以下几部分：</w:t>
      </w:r>
    </w:p>
    <w:p w14:paraId="0E78A994">
      <w:pPr>
        <w:ind w:firstLine="420"/>
        <w:rPr>
          <w:szCs w:val="21"/>
        </w:rPr>
      </w:pPr>
      <w:r>
        <w:rPr>
          <w:rFonts w:hint="eastAsia" w:ascii="宋体" w:hAnsi="宋体" w:cs="宋体"/>
          <w:szCs w:val="21"/>
        </w:rPr>
        <w:t>①</w:t>
      </w:r>
      <m:oMath>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ctrlPr>
              <w:rPr>
                <w:rFonts w:ascii="Cambria Math" w:hAnsi="Cambria Math"/>
                <w:szCs w:val="21"/>
              </w:rPr>
            </m:ctrlPr>
          </m:sub>
        </m:sSub>
      </m:oMath>
      <w:r>
        <w:rPr>
          <w:szCs w:val="21"/>
        </w:rPr>
        <w:t>：乘客自距离站台公共区安全出口最近的车门步行至此安全出口的走行时间。</w:t>
      </w:r>
    </w:p>
    <w:p w14:paraId="460E5C32">
      <w:pPr>
        <w:ind w:firstLine="420"/>
        <w:rPr>
          <w:szCs w:val="21"/>
        </w:rPr>
      </w:pPr>
      <w:r>
        <w:rPr>
          <w:szCs w:val="21"/>
        </w:rPr>
        <w:t>根据多数标准站的实际情况，站台轨行区列车火灾时，列车车门开启后，乘客自距离站台公共区安全出口最近的车门步行至此安全出口，一般其走行时间</w:t>
      </w:r>
      <m:oMath>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ctrlPr>
              <w:rPr>
                <w:rFonts w:ascii="Cambria Math" w:hAnsi="Cambria Math"/>
                <w:szCs w:val="21"/>
              </w:rPr>
            </m:ctrlPr>
          </m:sub>
        </m:sSub>
      </m:oMath>
      <w:r>
        <w:rPr>
          <w:szCs w:val="21"/>
        </w:rPr>
        <w:t>很短，可忽略不计。但是，当距离安全出口最近的车门到安全出口存在一定距离时，</w:t>
      </w:r>
      <m:oMath>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ctrlPr>
              <w:rPr>
                <w:rFonts w:ascii="Cambria Math" w:hAnsi="Cambria Math"/>
                <w:szCs w:val="21"/>
              </w:rPr>
            </m:ctrlPr>
          </m:sub>
        </m:sSub>
      </m:oMath>
      <w:r>
        <w:rPr>
          <w:szCs w:val="21"/>
        </w:rPr>
        <w:t>不应被忽略；步行速度按平均60m/min计。</w:t>
      </w:r>
    </w:p>
    <w:p w14:paraId="2FF3C44E">
      <w:pPr>
        <w:ind w:firstLine="420"/>
        <w:rPr>
          <w:szCs w:val="21"/>
        </w:rPr>
      </w:pPr>
      <w:r>
        <w:rPr>
          <w:szCs w:val="21"/>
        </w:rPr>
        <w:fldChar w:fldCharType="begin"/>
      </w:r>
      <w:r>
        <w:rPr>
          <w:szCs w:val="21"/>
        </w:rPr>
        <w:instrText xml:space="preserve"> = 2 \* GB3 </w:instrText>
      </w:r>
      <w:r>
        <w:rPr>
          <w:szCs w:val="21"/>
        </w:rPr>
        <w:fldChar w:fldCharType="separate"/>
      </w:r>
      <w:r>
        <w:rPr>
          <w:rFonts w:hint="eastAsia" w:ascii="宋体" w:hAnsi="宋体" w:cs="宋体"/>
          <w:szCs w:val="21"/>
        </w:rPr>
        <w:t>②</w:t>
      </w:r>
      <w:r>
        <w:rPr>
          <w:szCs w:val="21"/>
        </w:rPr>
        <w:fldChar w:fldCharType="end"/>
      </w:r>
      <m:oMath>
        <m:r>
          <m:rPr>
            <m:sty m:val="p"/>
          </m:rPr>
          <w:rPr>
            <w:rFonts w:ascii="Cambria Math" w:hAnsi="Cambria Math"/>
            <w:szCs w:val="21"/>
          </w:rPr>
          <m:t>T</m:t>
        </m:r>
      </m:oMath>
      <w:r>
        <w:rPr>
          <w:szCs w:val="21"/>
        </w:rPr>
        <w:t>：站台公共区乘客全部撤离站台的时间。</w:t>
      </w:r>
    </w:p>
    <w:p w14:paraId="35BEAB85">
      <w:pPr>
        <w:ind w:firstLine="420"/>
        <w:rPr>
          <w:szCs w:val="21"/>
        </w:rPr>
      </w:pPr>
      <w:r>
        <w:rPr>
          <w:szCs w:val="21"/>
        </w:rPr>
        <w:t>根据车站型式，地下站按照本标准30.2.30的TDX计算结果取值，高架站按照本标准30.2.31的TDS计算结果取值。</w:t>
      </w:r>
    </w:p>
    <w:p w14:paraId="6EC6D638">
      <w:pPr>
        <w:ind w:firstLine="420"/>
        <w:rPr>
          <w:szCs w:val="21"/>
        </w:rPr>
      </w:pPr>
      <w:r>
        <w:rPr>
          <w:szCs w:val="21"/>
        </w:rPr>
        <w:fldChar w:fldCharType="begin"/>
      </w:r>
      <w:r>
        <w:rPr>
          <w:szCs w:val="21"/>
        </w:rPr>
        <w:instrText xml:space="preserve"> = 3 \* GB3 </w:instrText>
      </w:r>
      <w:r>
        <w:rPr>
          <w:szCs w:val="21"/>
        </w:rPr>
        <w:fldChar w:fldCharType="separate"/>
      </w:r>
      <w:r>
        <w:rPr>
          <w:rFonts w:hint="eastAsia" w:ascii="宋体" w:hAnsi="宋体" w:cs="宋体"/>
          <w:szCs w:val="21"/>
        </w:rPr>
        <w:t>③</w:t>
      </w:r>
      <w:r>
        <w:rPr>
          <w:szCs w:val="21"/>
        </w:rPr>
        <w:fldChar w:fldCharType="end"/>
      </w:r>
      <m:oMath>
        <m:r>
          <m:rPr>
            <m:sty m:val="p"/>
          </m:rPr>
          <w:rPr>
            <w:rFonts w:ascii="Cambria Math" w:hAnsi="Cambria Math"/>
            <w:szCs w:val="21"/>
          </w:rPr>
          <m:t>∆T</m:t>
        </m:r>
      </m:oMath>
      <w:r>
        <w:rPr>
          <w:szCs w:val="21"/>
        </w:rPr>
        <w:t>：任一名乘客通过站台公共区安全出口到达站厅公共区或其他安全区域时的通行时间。</w:t>
      </w:r>
    </w:p>
    <w:p w14:paraId="5D15186E">
      <w:pPr>
        <w:ind w:firstLine="420"/>
        <w:rPr>
          <w:szCs w:val="21"/>
        </w:rPr>
      </w:pPr>
      <m:oMath>
        <m:r>
          <m:rPr>
            <m:sty m:val="p"/>
          </m:rPr>
          <w:rPr>
            <w:rFonts w:ascii="Cambria Math" w:hAnsi="Cambria Math" w:eastAsia="MS Gothic"/>
            <w:szCs w:val="21"/>
          </w:rPr>
          <m:t>∆</m:t>
        </m:r>
        <m:r>
          <m:rPr>
            <m:sty m:val="p"/>
          </m:rPr>
          <w:rPr>
            <w:rFonts w:ascii="Cambria Math" w:hAnsi="Cambria Math"/>
            <w:szCs w:val="21"/>
          </w:rPr>
          <m:t>T</m:t>
        </m:r>
      </m:oMath>
      <w:r>
        <w:rPr>
          <w:szCs w:val="21"/>
        </w:rPr>
        <w:t>一般按照两种情况考虑，一是常规的多层车站，二是带有不符合准安全区条件的分离厅或转换厅的车站。</w:t>
      </w:r>
    </w:p>
    <w:p w14:paraId="0D5717FE">
      <w:pPr>
        <w:ind w:firstLine="420"/>
        <w:rPr>
          <w:szCs w:val="21"/>
        </w:rPr>
      </w:pPr>
      <w:r>
        <w:rPr>
          <w:szCs w:val="21"/>
        </w:rPr>
        <w:t>如果车站是常规的多层车站，</w:t>
      </w:r>
      <m:oMath>
        <m:r>
          <m:rPr>
            <m:sty m:val="p"/>
          </m:rPr>
          <w:rPr>
            <w:rFonts w:ascii="Cambria Math" w:hAnsi="Cambria Math" w:eastAsia="MS Gothic"/>
            <w:szCs w:val="21"/>
          </w:rPr>
          <m:t>∆</m:t>
        </m:r>
        <m:r>
          <m:rPr>
            <m:sty m:val="p"/>
          </m:rPr>
          <w:rPr>
            <w:rFonts w:ascii="Cambria Math" w:hAnsi="Cambria Math"/>
            <w:szCs w:val="21"/>
          </w:rPr>
          <m:t>T</m:t>
        </m:r>
      </m:oMath>
      <w:r>
        <w:rPr>
          <w:szCs w:val="21"/>
        </w:rPr>
        <w:t xml:space="preserve">是乘客在乘用参与疏散的自动扶梯、或通过楼梯或安全通道疏散至站厅公共区或其他安全区域的过程中，需要的时间。如果车站是分离厅车站、或车站存在转换厅时， </w:t>
      </w:r>
      <m:oMath>
        <m:r>
          <m:rPr>
            <m:sty m:val="p"/>
          </m:rPr>
          <w:rPr>
            <w:rFonts w:ascii="Cambria Math" w:hAnsi="Cambria Math" w:eastAsia="MS Gothic"/>
            <w:szCs w:val="21"/>
          </w:rPr>
          <m:t>∆</m:t>
        </m:r>
        <m:r>
          <m:rPr>
            <m:sty m:val="p"/>
          </m:rPr>
          <w:rPr>
            <w:rFonts w:ascii="Cambria Math" w:hAnsi="Cambria Math"/>
            <w:szCs w:val="21"/>
          </w:rPr>
          <m:t>T</m:t>
        </m:r>
      </m:oMath>
      <w:r>
        <w:rPr>
          <w:szCs w:val="21"/>
        </w:rPr>
        <w:t>除了包含乘客乘坐疏散设施的时间外，还包括乘客在疏散过程中途径转换厅的步行时间。</w:t>
      </w:r>
    </w:p>
    <w:p w14:paraId="6140318E">
      <w:pPr>
        <w:ind w:firstLine="420"/>
        <w:rPr>
          <w:szCs w:val="21"/>
        </w:rPr>
      </w:pPr>
      <w:r>
        <w:rPr>
          <w:szCs w:val="21"/>
        </w:rPr>
        <w:t>当车站不存在转换厅时，则</w:t>
      </w:r>
      <m:oMath>
        <m:r>
          <m:rPr>
            <m:sty m:val="p"/>
          </m:rPr>
          <w:rPr>
            <w:rFonts w:ascii="Cambria Math" w:hAnsi="Cambria Math" w:eastAsia="MS Gothic"/>
            <w:szCs w:val="21"/>
          </w:rPr>
          <m:t>∆</m:t>
        </m:r>
        <m:r>
          <m:rPr>
            <m:sty m:val="p"/>
          </m:rPr>
          <w:rPr>
            <w:rFonts w:ascii="Cambria Math" w:hAnsi="Cambria Math"/>
            <w:szCs w:val="21"/>
          </w:rPr>
          <m:t>T</m:t>
        </m:r>
      </m:oMath>
      <w:r>
        <w:rPr>
          <w:szCs w:val="21"/>
        </w:rPr>
        <w:t xml:space="preserve">主要是乘客通过参与疏散的自动扶梯、楼梯、安全通道等时间，按照公式 </w:t>
      </w:r>
      <m:oMath>
        <m:f>
          <m:fPr>
            <m:ctrlPr>
              <w:rPr>
                <w:rFonts w:ascii="Cambria Math" w:hAnsi="Cambria Math"/>
                <w:szCs w:val="21"/>
              </w:rPr>
            </m:ctrlPr>
          </m:fPr>
          <m:num>
            <m:r>
              <m:rPr>
                <m:sty m:val="p"/>
              </m:rPr>
              <w:rPr>
                <w:rFonts w:ascii="Cambria Math" w:hAnsi="Cambria Math"/>
                <w:szCs w:val="21"/>
              </w:rPr>
              <m:t>L</m:t>
            </m:r>
            <m:ctrlPr>
              <w:rPr>
                <w:rFonts w:ascii="Cambria Math" w:hAnsi="Cambria Math"/>
                <w:szCs w:val="21"/>
              </w:rPr>
            </m:ctrlPr>
          </m:num>
          <m:den>
            <m:r>
              <m:rPr>
                <m:sty m:val="p"/>
              </m:rPr>
              <w:rPr>
                <w:rFonts w:ascii="Cambria Math" w:hAnsi="Cambria Math"/>
                <w:szCs w:val="21"/>
              </w:rPr>
              <m:t>V</m:t>
            </m:r>
            <m:ctrlPr>
              <w:rPr>
                <w:rFonts w:ascii="Cambria Math" w:hAnsi="Cambria Math"/>
                <w:szCs w:val="21"/>
              </w:rPr>
            </m:ctrlPr>
          </m:den>
        </m:f>
      </m:oMath>
      <w:r>
        <w:rPr>
          <w:szCs w:val="21"/>
        </w:rPr>
        <w:t xml:space="preserve"> 计算。</w:t>
      </w:r>
    </w:p>
    <w:p w14:paraId="76B9FCF5">
      <w:pPr>
        <w:ind w:firstLine="420"/>
        <w:rPr>
          <w:szCs w:val="21"/>
        </w:rPr>
      </w:pPr>
      <w:r>
        <w:rPr>
          <w:szCs w:val="21"/>
        </w:rPr>
        <w:t>自动扶梯的通过时间按照自动扶梯上下基点的斜线距离</w:t>
      </w:r>
      <m:oMath>
        <m:r>
          <m:rPr>
            <m:sty m:val="p"/>
          </m:rPr>
          <w:rPr>
            <w:rFonts w:ascii="Cambria Math" w:hAnsi="Cambria Math"/>
            <w:szCs w:val="21"/>
          </w:rPr>
          <m:t>L</m:t>
        </m:r>
      </m:oMath>
      <w:r>
        <w:rPr>
          <w:szCs w:val="21"/>
        </w:rPr>
        <w:t xml:space="preserve">、名义速度 </w:t>
      </w:r>
      <m:oMath>
        <m:r>
          <m:rPr>
            <m:sty m:val="p"/>
          </m:rPr>
          <w:rPr>
            <w:rFonts w:ascii="Cambria Math" w:hAnsi="Cambria Math"/>
            <w:szCs w:val="21"/>
          </w:rPr>
          <m:t>V</m:t>
        </m:r>
      </m:oMath>
      <w:r>
        <w:rPr>
          <w:szCs w:val="21"/>
        </w:rPr>
        <w:t>进行核算，自动扶梯的名义速度根据具体的设备选型，可选用0.65m/s或0.50m/s。</w:t>
      </w:r>
    </w:p>
    <w:p w14:paraId="582A442E">
      <w:pPr>
        <w:ind w:firstLine="420"/>
        <w:rPr>
          <w:szCs w:val="21"/>
        </w:rPr>
      </w:pPr>
      <w:r>
        <w:rPr>
          <w:szCs w:val="21"/>
        </w:rPr>
        <w:t>楼梯的通过时间按照楼梯梯段起始踏步的斜线距离</w:t>
      </w:r>
      <m:oMath>
        <m:r>
          <m:rPr>
            <m:sty m:val="p"/>
          </m:rPr>
          <w:rPr>
            <w:rFonts w:ascii="Cambria Math" w:hAnsi="Cambria Math"/>
            <w:szCs w:val="21"/>
          </w:rPr>
          <m:t>L</m:t>
        </m:r>
      </m:oMath>
      <w:r>
        <w:rPr>
          <w:szCs w:val="21"/>
        </w:rPr>
        <w:t xml:space="preserve">、上/下楼梯的速度 </w:t>
      </w:r>
      <m:oMath>
        <m:r>
          <m:rPr>
            <m:sty m:val="p"/>
          </m:rPr>
          <w:rPr>
            <w:rFonts w:ascii="Cambria Math" w:hAnsi="Cambria Math"/>
            <w:szCs w:val="21"/>
          </w:rPr>
          <m:t>V</m:t>
        </m:r>
      </m:oMath>
      <w:r>
        <w:rPr>
          <w:szCs w:val="21"/>
        </w:rPr>
        <w:t>进行核算。参照美国消防工程师学会（SFPE）《消防安全工程手册》中有关人员疏散参数（疏散速度、人流量、有效疏散宽度）的论述（表26），以及加拿大的Pauls 等学者对楼梯间等不同场所的人员疏散试验结果，苏格兰爱丁堡大学对成年男士、成年女士、儿童和老者的平均形体尺寸及其步行速度相关研究结果（表27）给出了的建议值。</w:t>
      </w:r>
    </w:p>
    <w:p w14:paraId="6886783E">
      <w:pPr>
        <w:pStyle w:val="198"/>
        <w:ind w:firstLine="420"/>
      </w:pPr>
      <w:r>
        <w:t>表 26    SFPE《消防安全工程手册》确定的人员疏散速度</w:t>
      </w:r>
    </w:p>
    <w:p w14:paraId="09BFD312">
      <w:pPr>
        <w:rPr>
          <w:szCs w:val="21"/>
        </w:rPr>
      </w:pPr>
      <w:r>
        <w:drawing>
          <wp:anchor distT="0" distB="0" distL="0" distR="0" simplePos="0" relativeHeight="251670528" behindDoc="0" locked="0" layoutInCell="1" allowOverlap="1">
            <wp:simplePos x="0" y="0"/>
            <wp:positionH relativeFrom="column">
              <wp:posOffset>8255</wp:posOffset>
            </wp:positionH>
            <wp:positionV relativeFrom="paragraph">
              <wp:posOffset>60325</wp:posOffset>
            </wp:positionV>
            <wp:extent cx="3822700" cy="676275"/>
            <wp:effectExtent l="0" t="0" r="6350" b="9525"/>
            <wp:wrapSquare wrapText="bothSides"/>
            <wp:docPr id="230" name="图片 1" descr="说明: 图形用户界面, 文本,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 descr="说明: 图形用户界面, 文本, 应用程序, 表格&#10;&#10;描述已自动生成"/>
                    <pic:cNvPicPr>
                      <a:picLocks noChangeAspect="1" noChangeArrowheads="1"/>
                    </pic:cNvPicPr>
                  </pic:nvPicPr>
                  <pic:blipFill>
                    <a:blip r:embed="rId124">
                      <a:extLst>
                        <a:ext uri="{28A0092B-C50C-407E-A947-70E740481C1C}">
                          <a14:useLocalDpi xmlns:a14="http://schemas.microsoft.com/office/drawing/2010/main" val="0"/>
                        </a:ext>
                      </a:extLst>
                    </a:blip>
                    <a:srcRect t="19112"/>
                    <a:stretch>
                      <a:fillRect/>
                    </a:stretch>
                  </pic:blipFill>
                  <pic:spPr>
                    <a:xfrm>
                      <a:off x="0" y="0"/>
                      <a:ext cx="3822700" cy="676275"/>
                    </a:xfrm>
                    <a:prstGeom prst="rect">
                      <a:avLst/>
                    </a:prstGeom>
                    <a:noFill/>
                    <a:ln>
                      <a:noFill/>
                    </a:ln>
                  </pic:spPr>
                </pic:pic>
              </a:graphicData>
            </a:graphic>
          </wp:anchor>
        </w:drawing>
      </w:r>
    </w:p>
    <w:p w14:paraId="1F110646">
      <w:pPr>
        <w:pStyle w:val="198"/>
        <w:ind w:firstLine="420"/>
      </w:pPr>
      <w:r>
        <w:t>表27    人员形体特征和疏散速度</w:t>
      </w:r>
    </w:p>
    <w:p w14:paraId="6B2A6FC3">
      <w:pPr>
        <w:rPr>
          <w:szCs w:val="21"/>
        </w:rPr>
      </w:pPr>
      <w:r>
        <w:drawing>
          <wp:anchor distT="0" distB="0" distL="0" distR="0" simplePos="0" relativeHeight="251672576" behindDoc="0" locked="0" layoutInCell="1" allowOverlap="1">
            <wp:simplePos x="0" y="0"/>
            <wp:positionH relativeFrom="column">
              <wp:posOffset>-153035</wp:posOffset>
            </wp:positionH>
            <wp:positionV relativeFrom="paragraph">
              <wp:posOffset>55245</wp:posOffset>
            </wp:positionV>
            <wp:extent cx="4022090" cy="1591945"/>
            <wp:effectExtent l="0" t="0" r="0" b="8255"/>
            <wp:wrapSquare wrapText="bothSides"/>
            <wp:docPr id="229" name="图片 2" descr="说明: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 descr="说明: 表格&#10;&#10;描述已自动生成"/>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4022090" cy="1591945"/>
                    </a:xfrm>
                    <a:prstGeom prst="rect">
                      <a:avLst/>
                    </a:prstGeom>
                    <a:noFill/>
                    <a:ln>
                      <a:noFill/>
                    </a:ln>
                  </pic:spPr>
                </pic:pic>
              </a:graphicData>
            </a:graphic>
          </wp:anchor>
        </w:drawing>
      </w:r>
    </w:p>
    <w:p w14:paraId="560E7EDB">
      <w:pPr>
        <w:ind w:firstLine="420"/>
        <w:rPr>
          <w:szCs w:val="21"/>
        </w:rPr>
      </w:pPr>
      <w:r>
        <w:rPr>
          <w:szCs w:val="21"/>
        </w:rPr>
        <w:t>综合考虑后，建议车站楼梯下行速度按平均0.60m/s计，楼梯上行速度按平均0.40m/s计，乘客的步行速度按平均60m/min计。</w:t>
      </w:r>
    </w:p>
    <w:p w14:paraId="05256A82">
      <w:pPr>
        <w:ind w:firstLine="420"/>
        <w:rPr>
          <w:szCs w:val="21"/>
        </w:rPr>
      </w:pPr>
      <w:r>
        <w:rPr>
          <w:szCs w:val="21"/>
        </w:rPr>
        <w:t>当疏散路径中存在接力式楼梯或自动扶梯分段设置时，需要合计各段楼梯或自动扶梯通过的时间。</w:t>
      </w:r>
    </w:p>
    <w:p w14:paraId="0773B3A1">
      <w:pPr>
        <w:ind w:firstLine="420"/>
        <w:rPr>
          <w:szCs w:val="21"/>
        </w:rPr>
      </w:pPr>
      <w:r>
        <w:rPr>
          <w:szCs w:val="21"/>
        </w:rPr>
        <w:t>一般情况下，通过楼梯的时间大于通过自动扶梯的时间，但是在实际计算过程中，应分别计算通过时间并进行比较，取楼梯通过时间或自动扶梯的通过时间中的大者，参与疏散计算。</w:t>
      </w:r>
    </w:p>
    <w:p w14:paraId="7CBED604">
      <w:pPr>
        <w:ind w:firstLine="420"/>
        <w:rPr>
          <w:szCs w:val="21"/>
        </w:rPr>
      </w:pPr>
      <w:r>
        <w:rPr>
          <w:szCs w:val="21"/>
        </w:rPr>
        <w:t>当车站存在不符合准安全区条件的转换厅时，则</w:t>
      </w:r>
      <m:oMath>
        <m:r>
          <m:rPr>
            <m:sty m:val="p"/>
          </m:rPr>
          <w:rPr>
            <w:rFonts w:ascii="Cambria Math" w:hAnsi="Cambria Math"/>
            <w:szCs w:val="21"/>
          </w:rPr>
          <m:t>∆T</m:t>
        </m:r>
      </m:oMath>
      <w:r>
        <w:rPr>
          <w:szCs w:val="21"/>
        </w:rPr>
        <w:t>除了要计算通过参与疏散的自动扶梯、楼梯、安全通道等时间之外，还要按照转换厅的走行距离</w:t>
      </w:r>
      <m:oMath>
        <m:r>
          <m:rPr>
            <m:sty m:val="p"/>
          </m:rPr>
          <w:rPr>
            <w:rFonts w:ascii="Cambria Math" w:hAnsi="Cambria Math"/>
            <w:szCs w:val="21"/>
          </w:rPr>
          <m:t>l</m:t>
        </m:r>
      </m:oMath>
      <w:r>
        <w:rPr>
          <w:szCs w:val="21"/>
        </w:rPr>
        <w:t>、步行速度</w:t>
      </w:r>
      <m:oMath>
        <m:sSub>
          <m:sSubPr>
            <m:ctrlPr>
              <w:rPr>
                <w:rFonts w:ascii="Cambria Math" w:hAnsi="Cambria Math"/>
                <w:szCs w:val="21"/>
              </w:rPr>
            </m:ctrlPr>
          </m:sSubPr>
          <m:e>
            <m:r>
              <m:rPr>
                <m:sty m:val="p"/>
              </m:rPr>
              <w:rPr>
                <w:rFonts w:ascii="Cambria Math" w:hAnsi="Cambria Math"/>
                <w:szCs w:val="21"/>
              </w:rPr>
              <m:t>v</m:t>
            </m:r>
            <m:ctrlPr>
              <w:rPr>
                <w:rFonts w:ascii="Cambria Math" w:hAnsi="Cambria Math"/>
                <w:szCs w:val="21"/>
              </w:rPr>
            </m:ctrlPr>
          </m:e>
          <m:sub>
            <m:r>
              <m:rPr>
                <m:sty m:val="p"/>
              </m:rPr>
              <w:rPr>
                <w:rFonts w:ascii="Cambria Math" w:hAnsi="Cambria Math"/>
                <w:szCs w:val="21"/>
              </w:rPr>
              <m:t>w</m:t>
            </m:r>
            <m:ctrlPr>
              <w:rPr>
                <w:rFonts w:ascii="Cambria Math" w:hAnsi="Cambria Math"/>
                <w:szCs w:val="21"/>
              </w:rPr>
            </m:ctrlPr>
          </m:sub>
        </m:sSub>
      </m:oMath>
      <w:r>
        <w:rPr>
          <w:szCs w:val="21"/>
        </w:rPr>
        <w:t>，计算途径分离厅、转换厅的步行时间。</w:t>
      </w:r>
    </w:p>
    <w:p w14:paraId="40254FF0">
      <w:pPr>
        <w:ind w:firstLine="420"/>
        <w:rPr>
          <w:szCs w:val="21"/>
        </w:rPr>
      </w:pPr>
      <w:r>
        <w:rPr>
          <w:szCs w:val="21"/>
        </w:rPr>
        <w:t>当疏散过程中存在多段步行时，需要合计各段步行的时间。当不存在转换厅或中间转换段时，此时间可不计。</w:t>
      </w:r>
    </w:p>
    <w:p w14:paraId="72788705">
      <w:pPr>
        <w:ind w:firstLine="420"/>
        <w:jc w:val="center"/>
        <w:rPr>
          <w:szCs w:val="21"/>
        </w:rPr>
      </w:pPr>
      <w:r>
        <w:drawing>
          <wp:anchor distT="0" distB="0" distL="0" distR="0" simplePos="0" relativeHeight="251673600" behindDoc="0" locked="0" layoutInCell="1" allowOverlap="1">
            <wp:simplePos x="0" y="0"/>
            <wp:positionH relativeFrom="column">
              <wp:posOffset>13335</wp:posOffset>
            </wp:positionH>
            <wp:positionV relativeFrom="paragraph">
              <wp:posOffset>55880</wp:posOffset>
            </wp:positionV>
            <wp:extent cx="3910965" cy="934720"/>
            <wp:effectExtent l="0" t="0" r="0" b="0"/>
            <wp:wrapTopAndBottom/>
            <wp:docPr id="228" name="图片 770033322" descr="说明: 路上有辆坦克车的黑白照&#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770033322" descr="说明: 路上有辆坦克车的黑白照&#10;&#10;低可信度描述已自动生成"/>
                    <pic:cNvPicPr>
                      <a:picLocks noChangeAspect="1" noChangeArrowheads="1"/>
                    </pic:cNvPicPr>
                  </pic:nvPicPr>
                  <pic:blipFill>
                    <a:blip r:embed="rId126">
                      <a:extLst>
                        <a:ext uri="{28A0092B-C50C-407E-A947-70E740481C1C}">
                          <a14:useLocalDpi xmlns:a14="http://schemas.microsoft.com/office/drawing/2010/main" val="0"/>
                        </a:ext>
                      </a:extLst>
                    </a:blip>
                    <a:srcRect l="-2" t="2" r="1018" b="3999"/>
                    <a:stretch>
                      <a:fillRect/>
                    </a:stretch>
                  </pic:blipFill>
                  <pic:spPr>
                    <a:xfrm>
                      <a:off x="0" y="0"/>
                      <a:ext cx="3910965" cy="934720"/>
                    </a:xfrm>
                    <a:prstGeom prst="rect">
                      <a:avLst/>
                    </a:prstGeom>
                    <a:noFill/>
                    <a:ln>
                      <a:noFill/>
                    </a:ln>
                  </pic:spPr>
                </pic:pic>
              </a:graphicData>
            </a:graphic>
          </wp:anchor>
        </w:drawing>
      </w:r>
      <w:r>
        <w:rPr>
          <w:szCs w:val="21"/>
        </w:rPr>
        <w:t>图30.2.32-1  转换厅车站示意图</w:t>
      </w:r>
    </w:p>
    <w:p w14:paraId="14E0CD0B">
      <w:pPr>
        <w:ind w:firstLine="420"/>
        <w:rPr>
          <w:szCs w:val="21"/>
        </w:rPr>
      </w:pPr>
      <w:r>
        <w:rPr>
          <w:szCs w:val="21"/>
        </w:rPr>
        <w:t>在车站的实际疏散过程中，个别车站会存在以下情况：站台公共区最不利点距离最近安全出口的距离</w:t>
      </w:r>
      <m:oMath>
        <m:sSub>
          <m:sSubPr>
            <m:ctrlPr>
              <w:rPr>
                <w:rFonts w:ascii="Cambria Math" w:hAnsi="Cambria Math"/>
                <w:szCs w:val="21"/>
              </w:rPr>
            </m:ctrlPr>
          </m:sSubPr>
          <m:e>
            <m:r>
              <m:rPr>
                <m:sty m:val="p"/>
              </m:rPr>
              <w:rPr>
                <w:rFonts w:ascii="Cambria Math" w:hAnsi="Cambria Math"/>
                <w:szCs w:val="21"/>
              </w:rPr>
              <m:t>L</m:t>
            </m:r>
            <m:ctrlPr>
              <w:rPr>
                <w:rFonts w:ascii="Cambria Math" w:hAnsi="Cambria Math"/>
                <w:szCs w:val="21"/>
              </w:rPr>
            </m:ctrlPr>
          </m:e>
          <m:sub>
            <m:r>
              <m:rPr>
                <m:sty m:val="p"/>
              </m:rPr>
              <w:rPr>
                <w:rFonts w:ascii="Cambria Math" w:hAnsi="Cambria Math"/>
                <w:szCs w:val="21"/>
              </w:rPr>
              <m:t>max</m:t>
            </m:r>
            <m:ctrlPr>
              <w:rPr>
                <w:rFonts w:ascii="Cambria Math" w:hAnsi="Cambria Math"/>
                <w:szCs w:val="21"/>
              </w:rPr>
            </m:ctrlPr>
          </m:sub>
        </m:sSub>
      </m:oMath>
      <w:r>
        <w:rPr>
          <w:szCs w:val="21"/>
        </w:rPr>
        <w:t>较远，导致步行时间</w:t>
      </w:r>
      <m:oMath>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r>
              <m:rPr>
                <m:sty m:val="p"/>
              </m:rPr>
              <w:rPr>
                <w:rFonts w:ascii="Cambria Math" w:hAnsi="Cambria Math"/>
                <w:szCs w:val="21"/>
              </w:rPr>
              <m:t>max</m:t>
            </m:r>
            <m:ctrlPr>
              <w:rPr>
                <w:rFonts w:ascii="Cambria Math" w:hAnsi="Cambria Math"/>
                <w:szCs w:val="21"/>
              </w:rPr>
            </m:ctrlPr>
          </m:sub>
        </m:sSub>
      </m:oMath>
      <w:r>
        <w:rPr>
          <w:szCs w:val="21"/>
        </w:rPr>
        <w:t>较长。当从站台公共区距离安全出口最远的车门步行至该安全出口的疏散时间</w:t>
      </w:r>
      <m:oMath>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r>
              <m:rPr>
                <m:sty m:val="p"/>
              </m:rPr>
              <w:rPr>
                <w:rFonts w:ascii="Cambria Math" w:hAnsi="Cambria Math"/>
                <w:szCs w:val="21"/>
              </w:rPr>
              <m:t>max</m:t>
            </m:r>
            <m:ctrlPr>
              <w:rPr>
                <w:rFonts w:ascii="Cambria Math" w:hAnsi="Cambria Math"/>
                <w:szCs w:val="21"/>
              </w:rPr>
            </m:ctrlPr>
          </m:sub>
        </m:sSub>
      </m:oMath>
      <w:r>
        <w:rPr>
          <w:szCs w:val="21"/>
        </w:rPr>
        <w:t>，超过站台公共区乘客全部撤离站台的时间</w:t>
      </w:r>
      <m:oMath>
        <m:r>
          <m:rPr>
            <m:sty m:val="p"/>
          </m:rPr>
          <w:rPr>
            <w:rFonts w:ascii="Cambria Math" w:hAnsi="Cambria Math"/>
            <w:szCs w:val="21"/>
          </w:rPr>
          <m:t>T</m:t>
        </m:r>
      </m:oMath>
      <w:r>
        <w:rPr>
          <w:szCs w:val="21"/>
        </w:rPr>
        <w:t>时，需要按照公式30.2.32-3进行核验。</w:t>
      </w:r>
    </w:p>
    <w:p w14:paraId="0F26ED26">
      <w:pPr>
        <w:ind w:firstLine="420"/>
        <w:rPr>
          <w:szCs w:val="21"/>
        </w:rPr>
      </w:pPr>
      <w:r>
        <w:rPr>
          <w:szCs w:val="21"/>
        </w:rPr>
        <w:t>在图30.2.32-1中，站台公共区最不利点为计算站台中心处，</w:t>
      </w:r>
      <m:oMath>
        <m:sSub>
          <m:sSubPr>
            <m:ctrlPr>
              <w:rPr>
                <w:rFonts w:ascii="Cambria Math" w:hAnsi="Cambria Math"/>
                <w:szCs w:val="21"/>
              </w:rPr>
            </m:ctrlPr>
          </m:sSubPr>
          <m:e>
            <m:r>
              <m:rPr>
                <m:sty m:val="p"/>
              </m:rPr>
              <w:rPr>
                <w:rFonts w:ascii="Cambria Math" w:hAnsi="Cambria Math"/>
                <w:szCs w:val="21"/>
              </w:rPr>
              <m:t>L</m:t>
            </m:r>
            <m:ctrlPr>
              <w:rPr>
                <w:rFonts w:ascii="Cambria Math" w:hAnsi="Cambria Math"/>
                <w:szCs w:val="21"/>
              </w:rPr>
            </m:ctrlPr>
          </m:e>
          <m:sub>
            <m:r>
              <m:rPr>
                <m:sty m:val="p"/>
              </m:rPr>
              <w:rPr>
                <w:rFonts w:ascii="Cambria Math" w:hAnsi="Cambria Math"/>
                <w:szCs w:val="21"/>
              </w:rPr>
              <m:t>max</m:t>
            </m:r>
            <m:ctrlPr>
              <w:rPr>
                <w:rFonts w:ascii="Cambria Math" w:hAnsi="Cambria Math"/>
                <w:szCs w:val="21"/>
              </w:rPr>
            </m:ctrlPr>
          </m:sub>
        </m:sSub>
      </m:oMath>
      <w:r>
        <w:rPr>
          <w:szCs w:val="21"/>
        </w:rPr>
        <w:t>为计算站台中心至站台公共区两端安全出口的距离；如果站台公共区两端的安全出口能力很强，此时</w:t>
      </w:r>
      <m:oMath>
        <m:r>
          <m:rPr>
            <m:sty m:val="p"/>
          </m:rPr>
          <w:rPr>
            <w:rFonts w:ascii="Cambria Math" w:hAnsi="Cambria Math"/>
            <w:szCs w:val="21"/>
          </w:rPr>
          <m:t>T&lt;</m:t>
        </m:r>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r>
              <m:rPr>
                <m:sty m:val="p"/>
              </m:rPr>
              <w:rPr>
                <w:rFonts w:ascii="Cambria Math" w:hAnsi="Cambria Math"/>
                <w:szCs w:val="21"/>
              </w:rPr>
              <m:t>max</m:t>
            </m:r>
            <m:ctrlPr>
              <w:rPr>
                <w:rFonts w:ascii="Cambria Math" w:hAnsi="Cambria Math"/>
                <w:szCs w:val="21"/>
              </w:rPr>
            </m:ctrlPr>
          </m:sub>
        </m:sSub>
      </m:oMath>
      <w:r>
        <w:rPr>
          <w:szCs w:val="21"/>
        </w:rPr>
        <w:t xml:space="preserve"> ，则站台乘客全部疏散至站厅公共区或其他安全区域的疏散时间应按照公式30.2.32-3进行核验。对于枢纽站等特殊型式车站，存在公共区疏散设施较多、或疏散设施集中布设等情况时，存在安全出口的疏散设施能力很强、疏散快，不存在乘客在梯口排队等候疏散的情况，也存在</w:t>
      </w:r>
      <m:oMath>
        <m:r>
          <m:rPr>
            <m:sty m:val="p"/>
          </m:rPr>
          <w:rPr>
            <w:rFonts w:ascii="Cambria Math" w:hAnsi="Cambria Math"/>
            <w:szCs w:val="21"/>
          </w:rPr>
          <m:t>T&lt;</m:t>
        </m:r>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r>
              <m:rPr>
                <m:sty m:val="p"/>
              </m:rPr>
              <w:rPr>
                <w:rFonts w:ascii="Cambria Math" w:hAnsi="Cambria Math"/>
                <w:szCs w:val="21"/>
              </w:rPr>
              <m:t>max</m:t>
            </m:r>
            <m:ctrlPr>
              <w:rPr>
                <w:rFonts w:ascii="Cambria Math" w:hAnsi="Cambria Math"/>
                <w:szCs w:val="21"/>
              </w:rPr>
            </m:ctrlPr>
          </m:sub>
        </m:sSub>
      </m:oMath>
      <w:r>
        <w:rPr>
          <w:szCs w:val="21"/>
        </w:rPr>
        <w:t>的可能，此时也应按照公式30.2.32-3进行核验。</w:t>
      </w:r>
    </w:p>
    <w:p w14:paraId="63648F96">
      <w:pPr>
        <w:rPr>
          <w:szCs w:val="21"/>
        </w:rPr>
      </w:pPr>
      <w:r>
        <w:rPr>
          <w:rFonts w:eastAsia="黑体"/>
          <w:b/>
        </w:rPr>
        <w:t xml:space="preserve">30.2.33 </w:t>
      </w:r>
      <w:r>
        <w:rPr>
          <w:szCs w:val="18"/>
        </w:rPr>
        <w:t xml:space="preserve"> </w:t>
      </w:r>
      <w:r>
        <w:rPr>
          <w:szCs w:val="21"/>
        </w:rPr>
        <w:t>本条对地下和地上车站站厅付费区的自动检票机和疏散栅栏门的疏散能力做了规定。站台或列车发生火灾时，乘客通过楼扶梯或安全出口疏散到站厅后，应立即通过检票机和栅栏门从出入口疏散到地面，如果检票机和栅栏门的疏散能力小于楼扶梯能力，乘客会滞留在付费区内，因此规定付费区和非付费区之间的自动检票机和栅栏疏散门的通过能力不应低于楼扶梯的通过能力。</w:t>
      </w:r>
    </w:p>
    <w:p w14:paraId="23E563F5">
      <w:pPr>
        <w:ind w:firstLine="420"/>
        <w:rPr>
          <w:szCs w:val="21"/>
        </w:rPr>
      </w:pPr>
      <w:r>
        <w:rPr>
          <w:szCs w:val="21"/>
        </w:rPr>
        <w:t>火灾发生时，自动检票机会紧急释放，因此紧急疏散计算按每个检票机开放后通过能力37人/min计算，栅栏疏散门和楼扶梯净宽应按每股人流0.55m的整倍数计算。楼扶梯宽度为扶手带中心线之间的水平距离，1.00m宽的自动扶梯扶手带中心线之间的水平距离大于1.10m，因此紧急疏散时的停运扶梯可按2股人流计算，0.60m宽的自动扶梯只能按1股人流计算。</w:t>
      </w:r>
    </w:p>
    <w:p w14:paraId="32386826">
      <w:pPr>
        <w:rPr>
          <w:szCs w:val="21"/>
        </w:rPr>
      </w:pPr>
      <w:r>
        <w:rPr>
          <w:rFonts w:eastAsia="黑体"/>
          <w:b/>
        </w:rPr>
        <w:t>30.2.34</w:t>
      </w:r>
      <w:r>
        <w:rPr>
          <w:b/>
          <w:szCs w:val="18"/>
        </w:rPr>
        <w:t xml:space="preserve">  </w:t>
      </w:r>
      <w:r>
        <w:rPr>
          <w:szCs w:val="21"/>
        </w:rPr>
        <w:t>安全出口是乘客逃生的出口，本条对地下、地上车站以及换乘车站安全出口数量、疏散距离等做了规定。</w:t>
      </w:r>
    </w:p>
    <w:p w14:paraId="390051D9">
      <w:pPr>
        <w:ind w:firstLine="420"/>
        <w:rPr>
          <w:szCs w:val="21"/>
        </w:rPr>
      </w:pPr>
      <w:r>
        <w:rPr>
          <w:szCs w:val="21"/>
        </w:rPr>
        <w:t>第1款：站台至站厅的楼扶梯、疏散通道和站厅出入口是车站公共区的安全出口。站台疏散距离为站台门内任意一点至楼梯踏步口、自动扶梯梯口或疏散通道口之间的直线距离。对于从车站主体结构顶板直出的出入口，如果楼扶梯两侧设置防火隔墙，口部设置档烟垂壁时，可计算到楼扶梯前的通道口。站台、站厅同层的地下侧式站台车站，当站台安全出口符合本规范第30.2.27条第4款要求时，安全疏散距离可计算到站台与站厅临界面的安全出口处；不符合时，安全疏散距离应计算到站厅出入口楼扶梯下。</w:t>
      </w:r>
    </w:p>
    <w:p w14:paraId="5C50B5B7">
      <w:pPr>
        <w:ind w:firstLine="420"/>
        <w:rPr>
          <w:szCs w:val="21"/>
        </w:rPr>
      </w:pPr>
      <w:r>
        <w:rPr>
          <w:szCs w:val="21"/>
        </w:rPr>
        <w:t>第2款：对于人员密集的交通建筑，如果出入口距离太近，在2个出入口之间易产生拥堵，发生次生灾害。对于只设2个出入口的车站，出入口不应布置在站厅一端，也不宜布置在站厅的同一侧，宜采取对角布置方式，有利疏散。</w:t>
      </w:r>
    </w:p>
    <w:p w14:paraId="1F581D0D">
      <w:pPr>
        <w:ind w:firstLine="420"/>
        <w:rPr>
          <w:szCs w:val="21"/>
        </w:rPr>
      </w:pPr>
      <w:r>
        <w:rPr>
          <w:szCs w:val="21"/>
        </w:rPr>
        <w:t>第3款：端头厅型式的车站和通厅式车站不同的是两端的站厅分离、不连通，站厅分为2个不同的区域。当站台层发生火灾时，站台乘客和通厅式车站样一，可通过两端楼扶梯疏散到站厅安全区、经出入口疏散到地面。本规范规定两端站厅均应设置2个出入口，其理由是：当其中一个站厅通道口发生火灾时，该站厅的乘客可通过另一个出入口疏散到地面，滞留在站台乘客可从另一个站厅疏散到地面。如果站厅只设1个出入口，当该通道口发生火灾时，乘客将无法从该出入口疏散。</w:t>
      </w:r>
    </w:p>
    <w:p w14:paraId="125F40F6">
      <w:pPr>
        <w:ind w:firstLine="420"/>
        <w:rPr>
          <w:szCs w:val="21"/>
        </w:rPr>
      </w:pPr>
      <w:r>
        <w:rPr>
          <w:szCs w:val="21"/>
        </w:rPr>
        <w:t>在地面条件所限，某个站厅无法设置2个出入口时，其中一个可设紧急疏散楼梯间直通室外，这是在站厅出入口无法在初、近期实施时的一种临时措施，但设计仍需预留出入口，并在总图中显示，作为规划控制，条件一旦允许，仍需实施。</w:t>
      </w:r>
    </w:p>
    <w:p w14:paraId="6B4BCA8C">
      <w:pPr>
        <w:ind w:firstLine="420"/>
        <w:rPr>
          <w:szCs w:val="21"/>
        </w:rPr>
      </w:pPr>
      <w:r>
        <w:rPr>
          <w:szCs w:val="21"/>
        </w:rPr>
        <w:t>第6款：地下车站过轨地道是平时作为两侧站台乘运方向出错的联系通道，通常是不能作为安全出口的。如果在上、下行线路之间设置防火分隔设施，当一侧站台或列车发生火灾时，就能够阻止线路间的烟气流动和火势蔓延，确保非火灾轨道区和对面站台安全，因此过轨地道可作为站台的安全出口。</w:t>
      </w:r>
    </w:p>
    <w:p w14:paraId="55A64B01">
      <w:pPr>
        <w:ind w:firstLine="420"/>
        <w:rPr>
          <w:szCs w:val="21"/>
        </w:rPr>
      </w:pPr>
      <w:r>
        <w:rPr>
          <w:szCs w:val="21"/>
        </w:rPr>
        <w:t>对于站台设于站厅下面的地上车站，只要站台具备自然排烟条件，并在上、下行线路之间的顶板下设置距站台面高度不大于2m的挡烟垂壁，防止烟气蔓延到另一侧站台，过轨地道也可作为一侧站台发生火灾时的安全出口。对于站台设于站厅上面的地上车站，站台空间大，自然通风和排烟条件更好，烟气能较快排到室外，因此线路间可不设挡烟设施，过轨地道也可做为站台间的安全出口。</w:t>
      </w:r>
    </w:p>
    <w:p w14:paraId="67983FCD">
      <w:pPr>
        <w:ind w:firstLine="420"/>
        <w:rPr>
          <w:szCs w:val="21"/>
        </w:rPr>
      </w:pPr>
      <w:r>
        <w:rPr>
          <w:szCs w:val="21"/>
        </w:rPr>
        <w:t>第8款：地下车站站台端部设备区的外走道是区间疏散的通道，因此要求站台设备用房外走道端部设置疏散楼梯，站台门端门向车站公共区方向开启。地上区间与大气相通，列车火灾失去动力时，乘客可下到道床或通过疏散平台疏散到车站；车站站台火灾时，两端乘客也可以向区间疏散，考虑到区间疏散需要，因此要求站台门端门为双向开启，并在端部设置疏散楼梯。对于设置疏散平台的区间，疏散平台宜与站台端部连接。</w:t>
      </w:r>
    </w:p>
    <w:p w14:paraId="56D47E87">
      <w:pPr>
        <w:ind w:firstLine="420"/>
        <w:rPr>
          <w:szCs w:val="21"/>
        </w:rPr>
      </w:pPr>
      <w:r>
        <w:rPr>
          <w:szCs w:val="21"/>
        </w:rPr>
        <w:t>第10款：商业开发为了吸引更多的乘客，开发商要求车站公共区与商业联通，由于商业内的可燃物多，火灾危险性大，为了防止商业火灾危及车站安全，本规范规定商业等物业开发与站厅非付费区应用防火墙等划分成不同的防火分区，防火墙上的联通口、商业与车站出入口通道的连接口应设两道耐火极限不低于3h的防火卷帘。商业设在站厅非付费区上层或下层时，两者间的联系楼扶梯，是平时使用需要，但上层和下层楼扶梯四周的开口部位应分别设置耐火极限不低于3h的防火墙或防火卷帘分隔，上层和下层楼扶梯的梯口处应设耐火极限不低于3h的防火卷帘，商业发生火灾时，由轨道交通和物业开发分别控制，落下防火卷帘，隔绝火焰和烟气，来确保车站的安全，因此对于设置防火卷帘的上述联通口不得做为相互间的安全出口。规定商业和车站的安全出口应各自独立设置，是为了保证商业火灾时两者的人员能通过各自的安全出口进行疏散，如果让大量商业顾客疏散到车站，会引起车站混乱，影响正常运营，故作此规定。</w:t>
      </w:r>
    </w:p>
    <w:p w14:paraId="3106DFD4">
      <w:pPr>
        <w:ind w:firstLine="420"/>
        <w:rPr>
          <w:szCs w:val="21"/>
        </w:rPr>
      </w:pPr>
      <w:r>
        <w:rPr>
          <w:szCs w:val="21"/>
        </w:rPr>
        <w:t>对于站厅设置多个直通地面出入口的车站，可将其中某个出入口归商业用，该出入口与站厅连接处设两道耐火极限不低于3.00h的防火卷帘与公共区分隔，但车站必须有2个独立出地面的出入口，并满足站厅任意一点到安全出口的疏散距离不大于50m的要求，另外，出入口还需满足疏散能力要求。</w:t>
      </w:r>
    </w:p>
    <w:p w14:paraId="6FC5993C">
      <w:pPr>
        <w:rPr>
          <w:szCs w:val="21"/>
        </w:rPr>
      </w:pPr>
      <w:r>
        <w:rPr>
          <w:rFonts w:cs="方正黑体_GBK"/>
          <w:b/>
          <w:bCs/>
        </w:rPr>
        <w:t xml:space="preserve">30.2.35 </w:t>
      </w:r>
      <w:r>
        <w:rPr>
          <w:rFonts w:eastAsia="黑体" w:cs="方正黑体_GBK"/>
          <w:b/>
          <w:bCs/>
        </w:rPr>
        <w:t xml:space="preserve"> </w:t>
      </w:r>
      <w:r>
        <w:rPr>
          <w:szCs w:val="21"/>
        </w:rPr>
        <w:t>第2款：节点换乘车站的台、台换乘楼梯是2线换乘的工具，上下重叠站台的联系楼梯是误乘乘客的联系楼梯，为了减少火灾对其他线路的影响，换乘楼梯四周的开口部位需进行防火分隔，火灾时，口部防火卷帘会落下，因此不应互为车站的安全出口。</w:t>
      </w:r>
    </w:p>
    <w:p w14:paraId="0A948F1B">
      <w:pPr>
        <w:rPr>
          <w:szCs w:val="21"/>
        </w:rPr>
      </w:pPr>
      <w:r>
        <w:rPr>
          <w:rFonts w:cs="方正黑体_GBK"/>
          <w:b/>
          <w:bCs/>
        </w:rPr>
        <w:t xml:space="preserve">30.2.36 </w:t>
      </w:r>
      <w:r>
        <w:rPr>
          <w:rFonts w:eastAsia="黑体" w:cs="方正黑体_GBK"/>
          <w:b/>
          <w:bCs/>
        </w:rPr>
        <w:t xml:space="preserve"> </w:t>
      </w:r>
      <w:r>
        <w:rPr>
          <w:szCs w:val="21"/>
        </w:rPr>
        <w:t>本条对地下车站设备管理区的安全出口做了具体规定。</w:t>
      </w:r>
    </w:p>
    <w:p w14:paraId="0042BF7A">
      <w:pPr>
        <w:ind w:firstLine="420"/>
        <w:rPr>
          <w:szCs w:val="21"/>
        </w:rPr>
      </w:pPr>
      <w:r>
        <w:rPr>
          <w:szCs w:val="21"/>
        </w:rPr>
        <w:t>第1款：利用相邻防火分区防火墙上的防火门作为安全出口时，开向相邻防火分区的防火门，只能作为该防火分区的安全出口，而不能同时作为相邻防火分区的安全出口。如：相邻防火分区的防火墙上只设1个走道连通时，走道上开向另一个防火分区的防火门，只能作为该防火分区的安全出口，而不能作为另一个防火分区的安全出口；当相邻防火分区防火墙上设有2个走道连通时，2个走道上的防火门要分别开向不同的防火分区，方可作为各自防火分区的安全出口。</w:t>
      </w:r>
    </w:p>
    <w:p w14:paraId="1BB8556F">
      <w:pPr>
        <w:ind w:firstLine="420"/>
        <w:rPr>
          <w:szCs w:val="21"/>
        </w:rPr>
      </w:pPr>
      <w:r>
        <w:rPr>
          <w:szCs w:val="21"/>
        </w:rPr>
        <w:t>第6款：位于站台两端的设备区，当布置较多管理用房时，宜采用内走道方式，与通向站厅的楼梯间连接，方便管理人员上下联系，并可减少设备用房一侧走道上的外开门。</w:t>
      </w:r>
    </w:p>
    <w:p w14:paraId="09B239F4">
      <w:pPr>
        <w:rPr>
          <w:szCs w:val="21"/>
        </w:rPr>
      </w:pPr>
      <w:r>
        <w:rPr>
          <w:rFonts w:eastAsia="黑体"/>
          <w:b/>
        </w:rPr>
        <w:t xml:space="preserve">30.2.39 </w:t>
      </w:r>
      <w:r>
        <w:rPr>
          <w:b/>
          <w:szCs w:val="21"/>
        </w:rPr>
        <w:t xml:space="preserve"> </w:t>
      </w:r>
      <w:r>
        <w:rPr>
          <w:szCs w:val="21"/>
        </w:rPr>
        <w:t>第1款：地下车站的站位一般设在道路红线内，车站设备管理用房内的楼梯不可能直接通向路面，需通过内走道转至一侧的消防专用通道经楼梯间外出，因此不能和地上建筑一样要求，楼梯间在各层的平面位置不能改变。除此之外，设备管理用房内的楼梯间的位置在各层不宜改变，并尽量靠近消防专用通道，这有利于消防队员进入站台和区间灭火。</w:t>
      </w:r>
    </w:p>
    <w:p w14:paraId="1565F11A">
      <w:pPr>
        <w:ind w:firstLine="420"/>
        <w:rPr>
          <w:szCs w:val="21"/>
        </w:rPr>
      </w:pPr>
      <w:r>
        <w:rPr>
          <w:szCs w:val="21"/>
        </w:rPr>
        <w:t>第2款：地下车站消防专用通道一般设在设备管理用房有人区靠外墙一侧，通道内的楼梯间可以直通室外，如果室内地面与室外地坪高差不超过10m、楼梯间地面亭采取天然采光和自然通风时，消防专用通道内的楼梯间可按封闭楼梯设计。当室内外高差大于10m时，应按防烟楼梯间设计。</w:t>
      </w:r>
    </w:p>
    <w:p w14:paraId="02DF336A">
      <w:pPr>
        <w:ind w:firstLine="420"/>
        <w:rPr>
          <w:szCs w:val="21"/>
        </w:rPr>
      </w:pPr>
      <w:r>
        <w:rPr>
          <w:szCs w:val="21"/>
        </w:rPr>
        <w:t>地下车站设备管理用房有人区内的楼梯间是内部工作人员上下的联系工具，也是消防队员进入区间灭火救援的通道。对于地下二层车站，主要设备管理用房区设在地下一层，而站台层端门外的设备用房基本为无人值守，平时与上层设备区的联系人员很少，区间发生火灾时，站台端门外的个别工作人员可以通过站台端门疏散，考虑到消防队员进入区间灭火时，会佩戴防毒面具，因此地下二层车站设备管理用房区内的联系楼梯可采用封闭楼梯间。对于大于、等于三层的地下车站，设备管理用房区一般设在地下二层或地下一层，管理人员不仅平时需要通过楼梯与站厅联系，火灾时也需与设在站厅层的车站综合控制室联系，且室内外高差大于10m，因此内部联系楼梯应按防烟楼梯间设计。</w:t>
      </w:r>
    </w:p>
    <w:p w14:paraId="47C40921">
      <w:pPr>
        <w:rPr>
          <w:szCs w:val="18"/>
        </w:rPr>
      </w:pPr>
      <w:r>
        <w:rPr>
          <w:rFonts w:eastAsia="黑体"/>
          <w:b/>
        </w:rPr>
        <w:t xml:space="preserve">30.2.40 </w:t>
      </w:r>
      <w:r>
        <w:rPr>
          <w:b/>
          <w:szCs w:val="21"/>
        </w:rPr>
        <w:t xml:space="preserve"> </w:t>
      </w:r>
      <w:r>
        <w:rPr>
          <w:szCs w:val="21"/>
        </w:rPr>
        <w:t>第1款：</w:t>
      </w:r>
      <w:r>
        <w:rPr>
          <w:szCs w:val="18"/>
        </w:rPr>
        <w:t>车站公共区的一个出地面的出入口有两个及以上分支通道连接站厅时，该出入口通道与站厅的接口均可视为站厅的安全出口来核算站厅的疏散距离是否超50m，考虑其出地面前还是合并到了一起，因此从车站疏散安全角度出发，还是只是视为车站的一个出入口，要求车站还应有另一个直出地面的出入口。</w:t>
      </w:r>
    </w:p>
    <w:p w14:paraId="469F037E">
      <w:pPr>
        <w:ind w:firstLine="420"/>
        <w:rPr>
          <w:szCs w:val="18"/>
        </w:rPr>
      </w:pPr>
      <w:r>
        <w:rPr>
          <w:szCs w:val="21"/>
        </w:rPr>
        <w:t>第5款：</w:t>
      </w:r>
      <w:r>
        <w:rPr>
          <w:szCs w:val="18"/>
        </w:rPr>
        <w:t>当换乘车站两线公共区的不同防火分区出入口通道汇集成一个通道出地面时，在通道交汇处通过设置防火卷帘或防火门等防火分隔措施和疏散</w:t>
      </w:r>
      <w:r>
        <w:rPr>
          <w:szCs w:val="21"/>
        </w:rPr>
        <w:t>引导</w:t>
      </w:r>
      <w:r>
        <w:rPr>
          <w:szCs w:val="18"/>
        </w:rPr>
        <w:t>标识满足两线车站在火灾工况时任意一条线着火，通过降落防火卷帘或关闭防火门，保证另一条线不受火灾影响，而着火线路的站厅乘客可通过出入口疏散至地面，则该出入口通道计为两线车站公共区的安全出口，来计算公共区的疏散距离，从车站疏散安全角度出发，还是只是视为车站的一个公共区安全出口的计入换乘车站公共区安全出口总数。</w:t>
      </w:r>
    </w:p>
    <w:p w14:paraId="5D55D4B6">
      <w:pPr>
        <w:ind w:firstLine="420"/>
        <w:rPr>
          <w:szCs w:val="21"/>
        </w:rPr>
      </w:pPr>
      <w:r>
        <w:rPr>
          <w:szCs w:val="21"/>
        </w:rPr>
        <w:t>第8款：车站出入口是站内乘客逃生的通道，出入口通道长度大于100m时，从站厅口部疏散到出入口地面亭楼扶梯下的时间大约需要2.00min，会增加人员疏散时间和逃生难度。通道内发生火灾时，危险就更大。因此，可在通道适当位置增设安全出口进行疏散，满足疏散距离要求，楼梯间的设置要求应符合现行国家标准《建筑设计防火规范》GB 50016的有关规定。地面条件所限、无法设置安全出口时，应设火灾自动报警系统和自动喷水灭火系统，满足安全疏散要求；不具备设置安全出口条件，可设置增设一个出入口通道，可作为市政过街通道功能，延伸地铁服务范围。</w:t>
      </w:r>
    </w:p>
    <w:p w14:paraId="40CE1F16">
      <w:pPr>
        <w:rPr>
          <w:szCs w:val="21"/>
        </w:rPr>
      </w:pPr>
      <w:r>
        <w:rPr>
          <w:rFonts w:eastAsia="黑体"/>
          <w:b/>
        </w:rPr>
        <w:t xml:space="preserve">30.2.45 </w:t>
      </w:r>
      <w:r>
        <w:rPr>
          <w:szCs w:val="21"/>
        </w:rPr>
        <w:t xml:space="preserve"> 行驶于地下区间的列车，当列车在区间隧道内发生火灾失去动力无法牵引到邻近车站时，乘客需通过列车头尾节车厢专用端门的下车设施下到道床面疏散，或通过纵向辅助疏散平台疏散。因此各节车厢之间应贯通、并在列车的车头和尾节车厢设置应急疏散专用端门和下车设施。</w:t>
      </w:r>
    </w:p>
    <w:p w14:paraId="3E8B6815">
      <w:pPr>
        <w:spacing w:before="72" w:after="72"/>
        <w:jc w:val="center"/>
        <w:outlineLvl w:val="3"/>
        <w:rPr>
          <w:rFonts w:eastAsia="黑体"/>
        </w:rPr>
      </w:pPr>
      <w:r>
        <w:rPr>
          <w:rFonts w:eastAsia="黑体"/>
          <w:b/>
        </w:rPr>
        <w:t>Ⅳ</w:t>
      </w:r>
      <w:r>
        <w:rPr>
          <w:rFonts w:eastAsia="黑体"/>
        </w:rPr>
        <w:t xml:space="preserve">  建筑结构耐火</w:t>
      </w:r>
    </w:p>
    <w:p w14:paraId="0524C659">
      <w:r>
        <w:rPr>
          <w:rFonts w:eastAsia="黑体"/>
          <w:b/>
        </w:rPr>
        <w:t xml:space="preserve">30.2.50、30.2.51  </w:t>
      </w:r>
      <w:r>
        <w:t>这两条规定了车站及其附属结构、控制中心、主变电所建（构）筑物以及车辆综合基地等建筑的耐火等级分级要求。地下车站和区间以及地下停车库、列检库、停车列检库、运用库、联合检修库及其检修用房等厂房是封闭空间，火灾危险性大，一旦火灾发生，扑救难度大、火灾延续时间长，且修复地下结构难度极大，因此规定地下结构的耐火等级为一级。控制中心、主变电所建（构）筑物耐火等级定为一级主要是考虑其重要性，而车辆基地内的易燃品库、油漆库的火灾危险性大，因此也定位一级。与上部物业开发结合的厂（库）房由于厂房结构支撑着上盖开发结构或上部开发结构立柱设在厂房内，厂房发生火灾时，会直接影响上部结构，因此将此类厂房耐火等级定为一级。</w:t>
      </w:r>
    </w:p>
    <w:p w14:paraId="6ED9FA34">
      <w:pPr>
        <w:ind w:firstLine="420"/>
      </w:pPr>
      <w:r>
        <w:t>地上车站和区间，地下车站的出入口地面亭、风亭等地面建（构）筑物，以及车辆基地内的运用库、检修库、综合维修中心的维修综合楼、物资总库的库房、调机库、牵引降压混合变电所、洗车机库（棚）、不落轮镟库、工程车库和综合办公楼等生活辅助建筑；属地上建筑，火灾扑救较地下建筑难度小、且易修复，因此将其耐火等级定为二级。</w:t>
      </w:r>
    </w:p>
    <w:p w14:paraId="3B608DBC">
      <w:pPr>
        <w:widowControl/>
        <w:jc w:val="left"/>
      </w:pPr>
      <w:r>
        <w:rPr>
          <w:rFonts w:eastAsia="黑体"/>
          <w:b/>
        </w:rPr>
        <w:t xml:space="preserve">30.2.52  </w:t>
      </w:r>
      <w:r>
        <w:t>本条规定了车站与相邻建筑物结合建设时，地上建筑和地下工程的最低耐火性能要求。地上部分的耐火等级除要求二级以外，还应根据该建筑是重要公共建筑，还是一类高层民用建筑等，确定是否应为一级耐火等级。地下部分包括半地下部分的建筑耐火等级按照现行相关国家标准要求不低于一级。</w:t>
      </w:r>
    </w:p>
    <w:p w14:paraId="022A2E0E">
      <w:pPr>
        <w:rPr>
          <w:szCs w:val="21"/>
        </w:rPr>
      </w:pPr>
      <w:r>
        <w:rPr>
          <w:rFonts w:eastAsia="黑体"/>
          <w:b/>
        </w:rPr>
        <w:t xml:space="preserve">30.2.53  </w:t>
      </w:r>
      <w:r>
        <w:t>站台设于站厅上部的地上车站，屋面可起到防雨雪和隔绝太阳辐射热作用。由于车站跨度较大，设计往往采用钢屋架和轻质屋面板材。考虑到地上车站的站台采用天然采光和自然通风，屋面较高、空间通透，火灾危险性较小，车站造型和构造均需要采用轻质屋面材料，因此对使用轻质复合屋面板的表面材料和内部填充材料的燃烧性能做了规定。</w:t>
      </w:r>
    </w:p>
    <w:p w14:paraId="273590E0">
      <w:r>
        <w:rPr>
          <w:rFonts w:eastAsia="黑体"/>
          <w:b/>
        </w:rPr>
        <w:t xml:space="preserve">30.2.56  </w:t>
      </w:r>
      <w:r>
        <w:t>车辆基地厂房上盖开发时，业主为了达到开发利益的最大化，往往在厂房上盖周边布置高层建筑和商业用房，厂房上盖布置多层建筑，厂房的承重梁、柱和分隔楼板是上部开发建筑结构的支撑体。由于厂房被开发建筑包围，天然采光和自然通风条件极差，需在顶板开设采光、通风井，因此两者关系密切。如：郭公庄车辆基地周边有一半空间被商业建筑和高层建筑包围，厂房视同于半地下，天然采光和自然通风条件很差；北京复八线车辆基地上盖开发的多层建筑采用隔振垫，建筑直接设在厂房结构的顶板上；五路车辆基地将部分厂房设在地下，其结构也是上部开发建筑结构的承重部分。</w:t>
      </w:r>
    </w:p>
    <w:p w14:paraId="4D03A749">
      <w:pPr>
        <w:ind w:firstLine="420"/>
      </w:pPr>
      <w:r>
        <w:t>参照《地铁设计防火标准》GB 51298-2018 第 4.1.7 条及北京市地方标准《城市轨道交通车辆基地上盖综合利用工程设计防火标准》DB11/ 1762-2020 第3.2.2和3.2.3条的相关要求，为了确保车辆基地上部建筑的安全，需要将车辆基地和其上部的建筑进行严格的分隔，并确保车辆基地建筑的结构在火灾时能保持较高的耐火性能，要求车辆基地板地的楼板和梁的耐火极限至少要达到 3.00h，其他承重构件的耐火极限应按《建筑设计防火标准》GB 50016 一级耐火等级的基础上提高 0.5h，板地下车辆基地建筑的层间楼板，根据建筑内楼板的受力特性，其耐火极限可降低至2.00h，层间的梁的耐火极限为 2.5h。</w:t>
      </w:r>
    </w:p>
    <w:p w14:paraId="2035780F">
      <w:pPr>
        <w:spacing w:before="72" w:after="72"/>
        <w:jc w:val="center"/>
        <w:outlineLvl w:val="3"/>
        <w:rPr>
          <w:rFonts w:eastAsia="黑体"/>
        </w:rPr>
      </w:pPr>
      <w:r>
        <w:rPr>
          <w:rFonts w:eastAsia="黑体"/>
          <w:b/>
        </w:rPr>
        <w:t xml:space="preserve">Ⅴ </w:t>
      </w:r>
      <w:r>
        <w:rPr>
          <w:rFonts w:eastAsia="黑体"/>
        </w:rPr>
        <w:t xml:space="preserve"> 建 筑 构 造</w:t>
      </w:r>
    </w:p>
    <w:p w14:paraId="3E4B9770">
      <w:r>
        <w:rPr>
          <w:rFonts w:eastAsia="黑体"/>
          <w:b/>
        </w:rPr>
        <w:t xml:space="preserve">30.2.58  </w:t>
      </w:r>
      <w:r>
        <w:t>本条对车站、控制中心和车辆综合基地内建筑物防火分隔墙和楼板的耐火极限和防火门窗做了具体规定。</w:t>
      </w:r>
    </w:p>
    <w:p w14:paraId="74FD822B">
      <w:pPr>
        <w:ind w:firstLine="420"/>
      </w:pPr>
      <w:r>
        <w:t>综合控制室、消防控制室、通风空调机房、排烟机房、变电所、配电室、通信和信号机房、固定灭火装置设备室、消防泵房、蓄电池室等房间是火灾时需运作房间，火灾发生时，这些房间是保障工程内防火、灭火的关键部位；存放可燃物的房间，也是火灾危险场所。因此必须提高隔墙和楼板的耐火极限，以便在火灾时发挥他们应有的作用。</w:t>
      </w:r>
    </w:p>
    <w:p w14:paraId="3C77ADB2">
      <w:pPr>
        <w:ind w:firstLine="420"/>
      </w:pPr>
      <w:r>
        <w:t>规定地下车站上述设备用房防火隔墙上应采用甲级防火门、窗，这与现行国家标准《人民防空工程设计防火规范》GB 50098的要求是一致的。</w:t>
      </w:r>
    </w:p>
    <w:p w14:paraId="564F6C17">
      <w:r>
        <w:rPr>
          <w:rFonts w:eastAsia="黑体"/>
          <w:b/>
        </w:rPr>
        <w:t xml:space="preserve">30.2.59  </w:t>
      </w:r>
      <w:r>
        <w:t>地下车站中的垂直管道井、电缆井等竖向管井是烟火竖向蔓延的通道，必须采取防火分隔措施。设计中往往将管道井与设备用房紧贴，因此，适当提高地下车站内竖向管井的井壁耐火极限和防火门的等级，对隔断火灾蔓延是有利的。对于管道井和设备用房合用的防火分隔墙，其耐火极限仍需达到2.00h。</w:t>
      </w:r>
    </w:p>
    <w:p w14:paraId="3FF293CF">
      <w:r>
        <w:rPr>
          <w:rFonts w:eastAsia="黑体"/>
          <w:szCs w:val="21"/>
        </w:rPr>
        <w:t xml:space="preserve">30.2.59  </w:t>
      </w:r>
      <w:r>
        <w:rPr>
          <w:szCs w:val="21"/>
        </w:rPr>
        <w:t>地下车站发生火灾时，会产生大量的烟气，空间能见度差，烟气产生的热作用高，扑救难度极大。特种消防车是一种履带式消防车，可从出入口进入车站灭火，目前北京市消防部门配置的特种履带式消防车尺寸为2.30×1.35×2.00m（长×宽×高），自重为1.90T。因此，车站出入口和站厅至站台的楼梯形式和净宽、结构承载力，以及分隔付费区与非付费区栅栏上的栅栏门净宽，应满足特种履带式消防车进入站内扑救的要求。</w:t>
      </w:r>
    </w:p>
    <w:p w14:paraId="581D43CA">
      <w:pPr>
        <w:rPr>
          <w:szCs w:val="21"/>
        </w:rPr>
      </w:pPr>
      <w:r>
        <w:rPr>
          <w:rFonts w:eastAsia="黑体"/>
          <w:b/>
        </w:rPr>
        <w:t xml:space="preserve">30.2.64  </w:t>
      </w:r>
      <w:r>
        <w:t>本条规定了防火门、窗的有关设计要求。</w:t>
      </w:r>
    </w:p>
    <w:p w14:paraId="75BE832E">
      <w:pPr>
        <w:ind w:firstLine="420"/>
      </w:pPr>
      <w:r>
        <w:t>第1款：地下区间联络通道和区间风井内的防火门以及站台门外的设备用房外墙上的防火门和车站风道内的防火门（包括主体建筑外挂设备用房开向轨道区的防火门），因受过往列车活塞风和隧道通风的正、负压力作用，门扇会自动开启，并常常松动，甚至出现门体掉落现象，危及行车安全。美国NFPA130对地下区间内的防火门做了如下规定：防火门应能承受过往列车以及隧道通风系统的正、负压力作用下不会自动开启。</w:t>
      </w:r>
    </w:p>
    <w:p w14:paraId="28BB8402">
      <w:pPr>
        <w:ind w:firstLine="420"/>
      </w:pPr>
      <w:r>
        <w:t>因此，区间等受正、负压力作用的防火门应采用专用的抗风压防火门，并有可靠的连接措施，确保行车安全。</w:t>
      </w:r>
    </w:p>
    <w:p w14:paraId="3CC403CA">
      <w:r>
        <w:rPr>
          <w:rFonts w:eastAsia="黑体"/>
          <w:b/>
        </w:rPr>
        <w:t xml:space="preserve">30.2.66 </w:t>
      </w:r>
      <w:r>
        <w:rPr>
          <w:b/>
          <w:szCs w:val="18"/>
        </w:rPr>
        <w:t xml:space="preserve"> </w:t>
      </w:r>
      <w:r>
        <w:t>本条对车站用于安全疏散的自动扶梯做了具体规定。</w:t>
      </w:r>
    </w:p>
    <w:p w14:paraId="46D225AA">
      <w:pPr>
        <w:ind w:firstLine="420"/>
      </w:pPr>
      <w:r>
        <w:t>第1款～第4款：美国NFPA130《固定式导轨传输和客运铁路系统标准》规定：参加疏散用的自动扶梯应由不燃材料制造。日本《地铁火灾对策标准》对参加疏散用的自动扶梯也做了明确规定，当自动扶梯装有防止踏板下落装置时向着疏散方向移动或静止的自动扶梯可作为疏散用。</w:t>
      </w:r>
    </w:p>
    <w:p w14:paraId="06FBB6F7">
      <w:pPr>
        <w:ind w:firstLine="420"/>
      </w:pPr>
      <w:r>
        <w:t>规定疏散用的自动扶梯按一级负荷供电、采用不燃和难燃材料制作、倾角不得大于30°，以及设紧急停止开关是为了确保乘客疏散安全。停止运营的自动扶梯作为疏散用时，乘客会集中在自动扶梯上，造成自动扶梯超载时对乘客造成危害，因此规定自动扶梯要采用重型扶梯，停止运转的自动扶梯，其承载力应能满足人员疏散要求。</w:t>
      </w:r>
    </w:p>
    <w:p w14:paraId="01A6CACC">
      <w:pPr>
        <w:rPr>
          <w:szCs w:val="21"/>
        </w:rPr>
      </w:pPr>
      <w:r>
        <w:rPr>
          <w:rFonts w:eastAsia="黑体"/>
          <w:b/>
          <w:szCs w:val="21"/>
        </w:rPr>
        <w:t xml:space="preserve">30.2.68  </w:t>
      </w:r>
      <w:r>
        <w:t>第1款、第2款：防火分隔部位设置防火卷帘可以隔断来自火场的烟气和火焰，需火灾时自动降落的防火卷帘，应具有停滞和信号反馈功能，即第一段落下高度为地面以上2m，对烟气形成阻隔，然后再下落到地面，整个过程由信号反馈给车站综合控制室。为了确保防火卷帘能有效隔断来自火场的烟气和火焰，规定在防火卷帘导轨两侧不得堆放物品或摆放设备，是为了防止卷帘受阻不能正常下落，不能隔断火焰。</w:t>
      </w:r>
    </w:p>
    <w:p w14:paraId="76BE95E6">
      <w:pPr>
        <w:rPr>
          <w:szCs w:val="21"/>
        </w:rPr>
      </w:pPr>
      <w:r>
        <w:rPr>
          <w:rFonts w:eastAsia="黑体"/>
          <w:b/>
          <w:szCs w:val="21"/>
        </w:rPr>
        <w:t xml:space="preserve">30.2.70 </w:t>
      </w:r>
      <w:r>
        <w:rPr>
          <w:b/>
          <w:szCs w:val="21"/>
        </w:rPr>
        <w:t xml:space="preserve"> </w:t>
      </w:r>
      <w:r>
        <w:t>第2款：站厅设于站台上层的地下车站，站台层发生火灾时，站台至站厅的楼扶梯是乘客逃生的工具，由于人员疏散方向与烟气流动方向相同，因此，楼扶梯口应有一定的向下气流，并保持一定的风速，确保乘客能在规定时间内疏散到站厅安全区。因此，无论是通厅式的地下车站还是端头厅形式的地下车站，站台至站厅的楼扶梯开口四周应采取档烟措施。</w:t>
      </w:r>
    </w:p>
    <w:p w14:paraId="088995B1">
      <w:pPr>
        <w:spacing w:before="72" w:after="72"/>
        <w:jc w:val="center"/>
        <w:outlineLvl w:val="3"/>
        <w:rPr>
          <w:rFonts w:eastAsia="黑体"/>
        </w:rPr>
      </w:pPr>
      <w:r>
        <w:rPr>
          <w:rFonts w:eastAsia="黑体"/>
          <w:b/>
        </w:rPr>
        <w:t>Ⅵ</w:t>
      </w:r>
      <w:r>
        <w:rPr>
          <w:rFonts w:eastAsia="黑体"/>
        </w:rPr>
        <w:t xml:space="preserve">  内 部 装 修</w:t>
      </w:r>
    </w:p>
    <w:p w14:paraId="21404CFE">
      <w:pPr>
        <w:rPr>
          <w:szCs w:val="21"/>
        </w:rPr>
      </w:pPr>
      <w:r>
        <w:rPr>
          <w:rFonts w:eastAsia="黑体"/>
          <w:b/>
          <w:szCs w:val="21"/>
        </w:rPr>
        <w:t xml:space="preserve">30.2.83  </w:t>
      </w:r>
      <w:r>
        <w:rPr>
          <w:szCs w:val="21"/>
        </w:rPr>
        <w:t>日本“铁道技术标准省令条文部分修正”附属资料1“与电气设备及车辆有关的火灾对策标准”第八十三条（车辆的火灾对策）中对列车车辆地板、车顶、车壁等装修材料进行了严格规定。其中第3款规定，旅客列车的车体，必须采用能够防止火灾发生和延燃的结构及材质。“旅客列车的火灾对策表”规定：车厢的车顶应采用金属或具有金属同等以上的不燃材料，车顶上部安装的设备和金属器具必须与车体绝缘。车厢应采用不燃材料，表面涂装也应采用不燃材料；客室顶棚、侧墙和衬板材料及表面涂装应采用不燃材料；车厢坐席衬垫和饰面应采用难燃材料；车体其他隔热和隔声材料也应采用不燃材料。车厢地板应采用火焰和烟气难以通过的结构，地板上的铺设物应采用难燃材料，地板下面应采用不燃材料或表面用金属板材覆盖。本条是参考日本标准制定的。</w:t>
      </w:r>
    </w:p>
    <w:p w14:paraId="3AD66DC3">
      <w:pPr>
        <w:spacing w:before="72" w:after="72"/>
        <w:jc w:val="center"/>
        <w:outlineLvl w:val="3"/>
        <w:rPr>
          <w:rFonts w:eastAsia="黑体"/>
        </w:rPr>
      </w:pPr>
      <w:r>
        <w:rPr>
          <w:rFonts w:eastAsia="黑体"/>
        </w:rPr>
        <w:t>Ⅶ  消防安全疏散标志</w:t>
      </w:r>
    </w:p>
    <w:p w14:paraId="4F3DA23D">
      <w:pPr>
        <w:rPr>
          <w:szCs w:val="21"/>
        </w:rPr>
      </w:pPr>
      <w:r>
        <w:rPr>
          <w:rFonts w:eastAsia="黑体"/>
          <w:b/>
          <w:szCs w:val="21"/>
        </w:rPr>
        <w:t xml:space="preserve">30.2.86 </w:t>
      </w:r>
      <w:r>
        <w:rPr>
          <w:szCs w:val="21"/>
        </w:rPr>
        <w:t xml:space="preserve"> 电光源疏散标志，能指示旅客尽快撤离到地面或安全区，使消防人员迅速进入车站、区间扑救。在火灾烟气较浓时，电光源型消防疏散标志除具有指示功能外，还有照明作用和良好的烟雾穿透性。因此，在车站旅客疏散行进路线上和安全出口、楼扶梯口等处，设备管理用房的疏散通道、楼梯间等处，环控机房、变电所等重要的设备用房处，以及区间的入口处、区间隧道的横向联络通道口、区间风井的防烟楼梯间和区间疏散通道等安全出口处应设置电光源型消防疏散标志。</w:t>
      </w:r>
    </w:p>
    <w:p w14:paraId="0A85D42E">
      <w:pPr>
        <w:pStyle w:val="4"/>
        <w:numPr>
          <w:ilvl w:val="0"/>
          <w:numId w:val="0"/>
        </w:numPr>
      </w:pPr>
      <w:bookmarkStart w:id="3376" w:name="_Toc357929628"/>
      <w:bookmarkStart w:id="3377" w:name="_Toc183888803"/>
      <w:bookmarkStart w:id="3378" w:name="_Toc183738220"/>
      <w:bookmarkStart w:id="3379" w:name="_Toc183882751"/>
      <w:bookmarkStart w:id="3380" w:name="_Toc183765398"/>
      <w:bookmarkStart w:id="3381" w:name="_Toc183790828"/>
      <w:bookmarkStart w:id="3382" w:name="_Toc183888441"/>
      <w:bookmarkStart w:id="3383" w:name="_Toc183882389"/>
      <w:r>
        <w:t>30.3  消防给水和灭火设施</w:t>
      </w:r>
      <w:bookmarkEnd w:id="3376"/>
      <w:bookmarkEnd w:id="3377"/>
      <w:bookmarkEnd w:id="3378"/>
      <w:bookmarkEnd w:id="3379"/>
      <w:bookmarkEnd w:id="3380"/>
      <w:bookmarkEnd w:id="3381"/>
      <w:bookmarkEnd w:id="3382"/>
      <w:bookmarkEnd w:id="3383"/>
    </w:p>
    <w:p w14:paraId="4B29B044">
      <w:pPr>
        <w:rPr>
          <w:szCs w:val="21"/>
        </w:rPr>
      </w:pPr>
      <w:r>
        <w:rPr>
          <w:rFonts w:eastAsia="黑体"/>
          <w:b/>
          <w:szCs w:val="21"/>
        </w:rPr>
        <w:t xml:space="preserve">30.3.1  </w:t>
      </w:r>
      <w:r>
        <w:rPr>
          <w:szCs w:val="21"/>
        </w:rPr>
        <w:t>第1款：根据《地铁设计防火标准》GB51298及规范组回文要求，补充车站室外消防水量要求。</w:t>
      </w:r>
    </w:p>
    <w:p w14:paraId="195C0C74">
      <w:pPr>
        <w:rPr>
          <w:szCs w:val="21"/>
        </w:rPr>
      </w:pPr>
      <w:r>
        <w:rPr>
          <w:rFonts w:eastAsia="黑体"/>
          <w:b/>
          <w:szCs w:val="21"/>
        </w:rPr>
        <w:t xml:space="preserve">30.3.2  </w:t>
      </w:r>
      <w:r>
        <w:rPr>
          <w:szCs w:val="21"/>
        </w:rPr>
        <w:t>第1款：城市轨道交通工程沿线一般均有可直接利用的城市自来水，但部分线路延伸到城市郊区，个别车站或车辆基地周围现状无城市自来水管网，城市轨道交通工程建设及设计单位应尽早积极与北京市或当地自来水公司和规划部门沟通协商，以实现规划的城市自来水管网敷设与城市轨道交通工程建设时序同步的目标，同时尽快稳定车站给水方案。若确实无法实现同步实施，城市轨道交通车站给水水源在经过技术经济比较后，可采用邻站供水的方案或其他可靠的水源，以上方案均需取得城市规划部门和自来水公司的认可。</w:t>
      </w:r>
    </w:p>
    <w:p w14:paraId="7B567941">
      <w:pPr>
        <w:ind w:firstLine="420"/>
        <w:rPr>
          <w:szCs w:val="21"/>
        </w:rPr>
      </w:pPr>
      <w:r>
        <w:rPr>
          <w:szCs w:val="21"/>
        </w:rPr>
        <w:t>第2款：根据《地铁设计防火标准》补充设置消防水池及室内室外消防水量的设置要求；当室外消防流量不大于20L/s，单水源车站设置消防水池时，不含室外消防水量。</w:t>
      </w:r>
    </w:p>
    <w:p w14:paraId="3F76BEE1">
      <w:pPr>
        <w:ind w:firstLine="420"/>
        <w:rPr>
          <w:szCs w:val="21"/>
        </w:rPr>
      </w:pPr>
      <w:r>
        <w:rPr>
          <w:szCs w:val="21"/>
        </w:rPr>
        <w:t>第3款：《城市给水工程项目规范》GB55026中7.1.5严禁在城市公共给水管道上直接接泵抽水，条文解释提出要经市政自来水部门同意方可直抽。因此规定当市政自来水部门许可时，可从市政管网直接抽水加压，不设消防水池，此时可设置市政超越管，利用市政自来水压力稳压。</w:t>
      </w:r>
    </w:p>
    <w:p w14:paraId="498598C7">
      <w:pPr>
        <w:ind w:firstLine="420"/>
        <w:rPr>
          <w:szCs w:val="21"/>
        </w:rPr>
      </w:pPr>
      <w:r>
        <w:rPr>
          <w:szCs w:val="21"/>
        </w:rPr>
        <w:t>第4款：北京城市轨道交通已建线车站周围城市自来水管网为环状管网，但由于环状管网的管段距离城市轨道交通车站较远，室外给水管线施工困难或其他原因，自来水公司只能从环状管网上接出一根给水引入管作为车站给水水源，当该站相邻两个车站周围的城市自来水管网为枝状管网时，本站不可采用邻站水源作为备用水源，应在车站内设置消防水池和消防增压、稳压设施，本站消防供水范围应根据消防泵加压、邻站及相邻区间消防水压要求及管道、阀门承压要求等情况经过技术经济比较后确定，可为一个车站含相邻各半个区间，一个车站含相邻一个区间或一个车站含相邻车站等方案。当该站相邻车站周围的城市自来水管网为环状管网时，本站可利用邻站消防给水水源作为备用水源，形成邻站消防水源互为备用的方案，本站可不设消防水池。</w:t>
      </w:r>
    </w:p>
    <w:p w14:paraId="2542D85F">
      <w:pPr>
        <w:ind w:firstLine="420"/>
        <w:rPr>
          <w:szCs w:val="21"/>
        </w:rPr>
      </w:pPr>
      <w:r>
        <w:rPr>
          <w:szCs w:val="21"/>
        </w:rPr>
        <w:t>第5款：换乘车站及其相邻区间按一次火灾进行设计，因此，换乘车站消火栓给水系统采用一套系统是合理的，也能充分实现资源共享。</w:t>
      </w:r>
    </w:p>
    <w:p w14:paraId="10737255">
      <w:pPr>
        <w:ind w:firstLine="420"/>
        <w:rPr>
          <w:szCs w:val="21"/>
        </w:rPr>
      </w:pPr>
      <w:r>
        <w:rPr>
          <w:szCs w:val="21"/>
        </w:rPr>
        <w:t>但有两类换乘车站消防给水系统不宜采用一套系统，一类是采用通道换乘的车站，由于两个车站基本上各为独立车站且换乘距离较长，车站机电系统的设计和管理完全独立，各线车站应分别从市政管网引入给水水源，形成各自独立的消防给水系统。另一类换乘车站各线分别由不同的运营管理部门管理，消防给水系统的共享将造成设备及管道维护管理上的不便，此类车站各线消防给水系统宜独立，消防给水设备单独设置，但在有条件的情况下，应与相关建设和运营部门协商，尽可能实现消防水源共享以节约工程投资。</w:t>
      </w:r>
    </w:p>
    <w:p w14:paraId="37F5D4BC">
      <w:pPr>
        <w:ind w:firstLine="420"/>
        <w:rPr>
          <w:szCs w:val="21"/>
        </w:rPr>
      </w:pPr>
      <w:r>
        <w:rPr>
          <w:szCs w:val="21"/>
        </w:rPr>
        <w:t>第6款：明确地铁车站出入口室外消火栓的要求，并建议在车站大端参与消防救援的疏散口宜设置室外消火栓。</w:t>
      </w:r>
    </w:p>
    <w:p w14:paraId="6CEF106D">
      <w:pPr>
        <w:ind w:firstLine="420"/>
        <w:rPr>
          <w:szCs w:val="21"/>
        </w:rPr>
      </w:pPr>
      <w:r>
        <w:rPr>
          <w:szCs w:val="21"/>
        </w:rPr>
        <w:t>第7款：根据新增地下、半地下车辆基地、带上盖车辆基地等形式，根据《站城一体化工程消防安全技术标准》提出自动灭火系统方案。</w:t>
      </w:r>
    </w:p>
    <w:p w14:paraId="2A562786">
      <w:pPr>
        <w:ind w:firstLine="420"/>
        <w:rPr>
          <w:szCs w:val="21"/>
        </w:rPr>
      </w:pPr>
      <w:r>
        <w:rPr>
          <w:szCs w:val="21"/>
        </w:rPr>
        <w:t>第8款：车站站厅非付费区设置零散商铺且商铺总面积不超过500m2时，商铺内应增设局部应用系统，局部应用系统的设置应符合现行国家标准《自动喷水灭火系统设计规范》GB 50084的要求，当设置的商铺总面积超过500m2时，应按照现行国家标准《自动喷水灭火系统设计规范》GB 50084的要求设置自动喷水灭火系统。</w:t>
      </w:r>
    </w:p>
    <w:p w14:paraId="46371852">
      <w:pPr>
        <w:ind w:firstLine="420"/>
        <w:rPr>
          <w:szCs w:val="21"/>
        </w:rPr>
      </w:pPr>
      <w:r>
        <w:rPr>
          <w:szCs w:val="21"/>
        </w:rPr>
        <w:t>第9款：根据《建筑防火通用规范》GB55037补充，要求三层以上且单体总建筑面积大于10000m2的地上车站，车站须设高位消防水箱，并明确地下站消火栓系统可不设高位消防水箱。</w:t>
      </w:r>
    </w:p>
    <w:p w14:paraId="4AACD70F">
      <w:pPr>
        <w:ind w:firstLine="420"/>
        <w:rPr>
          <w:szCs w:val="21"/>
        </w:rPr>
      </w:pPr>
      <w:r>
        <w:rPr>
          <w:szCs w:val="21"/>
        </w:rPr>
        <w:t>第11款：城市轨道交通工程地面和高架车站站厅、站厅公共区与出入口、轨行区直接连接，冬季公共区气温较低，且无供暖设施，冬季公共区的消防给水管道容易冻结，北京城市轨道交通已建线工程公共区的消防给水管道均设置了电保温系统。公共区消防给水管道较长，数量也较多，因此电保温设置范围较大，造价较高，同时也增加了运营维护检修的难度。本条参照现行国家标准《建筑设计防火规范》GB 50016确定，旨在减少车站电保温的设置范围，降低工程造价。</w:t>
      </w:r>
    </w:p>
    <w:p w14:paraId="63C3290C">
      <w:pPr>
        <w:ind w:firstLine="420"/>
        <w:rPr>
          <w:szCs w:val="21"/>
        </w:rPr>
      </w:pPr>
      <w:r>
        <w:rPr>
          <w:szCs w:val="21"/>
        </w:rPr>
        <w:t>但为了保证消防给水系统的安全可靠性，高架车站即使采用了干式系统，除冬季外，其他季节运营期间应保证消防给水管道充水处于满水状态，仅在冬季气温较低有冻结危险时才放空管道。</w:t>
      </w:r>
    </w:p>
    <w:p w14:paraId="510A9FF4">
      <w:pPr>
        <w:rPr>
          <w:szCs w:val="21"/>
        </w:rPr>
      </w:pPr>
      <w:r>
        <w:rPr>
          <w:rFonts w:eastAsia="黑体"/>
          <w:b/>
          <w:szCs w:val="21"/>
        </w:rPr>
        <w:t>30.3.3</w:t>
      </w:r>
      <w:r>
        <w:rPr>
          <w:rFonts w:eastAsia="黑体"/>
          <w:szCs w:val="21"/>
        </w:rPr>
        <w:t xml:space="preserve"> </w:t>
      </w:r>
      <w:r>
        <w:rPr>
          <w:szCs w:val="18"/>
        </w:rPr>
        <w:t xml:space="preserve"> </w:t>
      </w:r>
      <w:r>
        <w:rPr>
          <w:szCs w:val="21"/>
        </w:rPr>
        <w:t>第5款：地下区间消防给水管与车站环状管网连通，为便于在紧急状态下及时切断地下区间的消防给水水源，在车站接区间的消防给水管上应串联安装电动和手动蝶阀，阀门的位置宜设置在设备用房区域、风道等工作人员容易到达操作的位置，不宜布置在轨行区内。第7款：为防止消防给水系统超压，消防给水系统应采取防超压措施，如采用水泵流量—扬程曲线比较平缓的恒压消防泵，或者在消防泵房水泵扬水管上设置超压卸载装置。</w:t>
      </w:r>
    </w:p>
    <w:p w14:paraId="1FA73161">
      <w:pPr>
        <w:ind w:firstLine="420"/>
        <w:rPr>
          <w:szCs w:val="21"/>
        </w:rPr>
      </w:pPr>
      <w:r>
        <w:rPr>
          <w:szCs w:val="21"/>
        </w:rPr>
        <w:t>第8款：《建筑防火通用规范》GB55037-2022中4.1.7第3款明确规定地铁工程消防泵房的设置根据工程要求确定设置楼层，消防泵房的其他要求应执行《建筑设计防火规范》GB50016的规定，消防泵的设置应符合现行国家标准《消防给水及消火栓系统技术规范》GB50974的有关规定。</w:t>
      </w:r>
    </w:p>
    <w:p w14:paraId="6C1E12A1">
      <w:pPr>
        <w:ind w:firstLine="420"/>
        <w:rPr>
          <w:szCs w:val="21"/>
        </w:rPr>
      </w:pPr>
      <w:r>
        <w:rPr>
          <w:szCs w:val="21"/>
        </w:rPr>
        <w:t>第14款：北京城市轨道交通工程供电系统一般采用750V接触轨受电方式，为保证接触轨供电的安全，区间消防干管不宜与接触轨采用同侧敷设的方式，若消防干管必须与接触轨同侧敷设，给排水及消防管道与接触轨的最小距离不应大于150mm。若城市轨道交通列车采用接触网的受电方式，则地下区间给排水及消防管道可设置在隧道的任一侧。</w:t>
      </w:r>
    </w:p>
    <w:p w14:paraId="58BD93C3">
      <w:pPr>
        <w:ind w:firstLine="420"/>
        <w:rPr>
          <w:szCs w:val="21"/>
        </w:rPr>
      </w:pPr>
      <w:r>
        <w:rPr>
          <w:szCs w:val="21"/>
        </w:rPr>
        <w:t>第15款：北京城市轨道交通在球墨铸铁管的应用上有成熟的经验。北京城市轨道交通既有工程城市轨道交通列车均采用接触轨的受电方式，对区间管道的防杂散电流腐蚀性能提出了较高要求。北京地铁1、2号线区间采用灰铸铁给水管胶圈接口，已运行将近43年仍未更换，由此可证明，铸铁管在防杂散电流腐蚀和管道的整体防腐功能上具有良好的性能。</w:t>
      </w:r>
    </w:p>
    <w:p w14:paraId="7BDA819E">
      <w:pPr>
        <w:ind w:firstLine="420"/>
        <w:rPr>
          <w:szCs w:val="21"/>
        </w:rPr>
      </w:pPr>
      <w:r>
        <w:rPr>
          <w:szCs w:val="21"/>
        </w:rPr>
        <w:t>从北京地铁5号线开始，北京城市轨道交通地下区间消防管开始采用较灰铸铁给水管各项性能指标更优的球墨铸铁给水管，但由于球墨铸铁管质量较重，因此，仅在具备安装条件的地下区间和地下车站站台板下继续推广使用，车站其他位置的消防管应采用内外热镀锌钢管。目前，市场上的新型管材较多，如CPVC及内外涂环氧钢管等，其管材在使用、安装和经济上各有优缺点。无论采用哪种新型管材，均应进行技术经济比较，该管材必须经国家固定灭火系统质量监督检验测试中心检测合格，同时兼顾到地下车站和区间通风排烟条件较差，人员疏散困难的特点，新型管材应保证在火灾高温的情况下，不能产生对人员造成伤害的有害气体。</w:t>
      </w:r>
    </w:p>
    <w:p w14:paraId="08AB8C2E">
      <w:pPr>
        <w:rPr>
          <w:szCs w:val="21"/>
        </w:rPr>
      </w:pPr>
      <w:r>
        <w:rPr>
          <w:rFonts w:eastAsia="黑体"/>
          <w:b/>
          <w:szCs w:val="21"/>
        </w:rPr>
        <w:t xml:space="preserve">30.3.4 </w:t>
      </w:r>
      <w:r>
        <w:rPr>
          <w:b/>
          <w:szCs w:val="18"/>
        </w:rPr>
        <w:t xml:space="preserve"> </w:t>
      </w:r>
      <w:r>
        <w:rPr>
          <w:szCs w:val="21"/>
        </w:rPr>
        <w:t>第2款《地铁设计防火标准》GB51298-2018第7.3.5(3)条“岛式站台宜设置两只单口单阀为一组的消火栓”，即不建议设置双栓，因此本款明确车站消火栓尽量采用单栓。</w:t>
      </w:r>
    </w:p>
    <w:p w14:paraId="382D64E7">
      <w:pPr>
        <w:ind w:firstLine="420"/>
        <w:rPr>
          <w:szCs w:val="21"/>
        </w:rPr>
      </w:pPr>
      <w:r>
        <w:rPr>
          <w:szCs w:val="21"/>
        </w:rPr>
        <w:t>第6款：《地铁设计防火标准》GB51298-2018中规定通道内消火栓间距不超过20m，本款补充此要求。</w:t>
      </w:r>
    </w:p>
    <w:p w14:paraId="4084C17E">
      <w:pPr>
        <w:ind w:firstLine="420"/>
        <w:rPr>
          <w:szCs w:val="21"/>
        </w:rPr>
      </w:pPr>
      <w:r>
        <w:rPr>
          <w:szCs w:val="21"/>
        </w:rPr>
        <w:t>第8款：车站公共区建筑装修采用在结构墙上外挂装饰材料的装修方式，为保证车站公共区的疏散宽度，装饰层的厚度一般都较薄，为200mm～250mm不等。车站消火栓应尽量采用薄型消火栓箱，给排水专业应根据消火栓箱的厚度与装修专业协商确定装饰层的厚度，保证站厅公共区消火栓采用明装的安装方式，避免在站厅主体结构墙上开槽留洞，以减少结构设计及施工的难度。</w:t>
      </w:r>
    </w:p>
    <w:p w14:paraId="3FFFD4DE">
      <w:pPr>
        <w:ind w:firstLine="420"/>
        <w:rPr>
          <w:szCs w:val="21"/>
        </w:rPr>
      </w:pPr>
      <w:r>
        <w:rPr>
          <w:szCs w:val="21"/>
        </w:rPr>
        <w:t>第12款：车站公共区、出入口通道和设备用房走道的消火栓若采用明装的安装方式，将对车站公共区和设备用房走道的疏散造成一定影响，因此，位于上述位置的消火栓箱均应采用暗装方式。而车站内通风机房、风道等人员较少且不应影响人员疏散的位置，消火栓则可明装。</w:t>
      </w:r>
    </w:p>
    <w:p w14:paraId="5496172C">
      <w:pPr>
        <w:rPr>
          <w:szCs w:val="21"/>
        </w:rPr>
      </w:pPr>
      <w:r>
        <w:rPr>
          <w:rFonts w:eastAsia="黑体"/>
          <w:b/>
          <w:szCs w:val="21"/>
        </w:rPr>
        <w:t xml:space="preserve">30.3.5 </w:t>
      </w:r>
      <w:r>
        <w:rPr>
          <w:b/>
          <w:szCs w:val="18"/>
        </w:rPr>
        <w:t xml:space="preserve"> </w:t>
      </w:r>
      <w:r>
        <w:rPr>
          <w:szCs w:val="21"/>
        </w:rPr>
        <w:t>第1款：根据蒙特利尔公约的要求，1301和1211灭火系统已禁止使用。国内地铁工程电气设备用房大部分都采用了IG541或七氟丙烷气体灭火系统替代1211和1301气体灭火系统。随着研究的深入和发展，高压细水雾灭火系统作为一种新的替代系统也逐渐在城市轨道交通工程及相关工程中得到了应用，如上海轨道交通11号线和广州珠江新城集运系统的电气设备用房均采用了高压细水雾灭火系统。</w:t>
      </w:r>
    </w:p>
    <w:p w14:paraId="1D03DA9D">
      <w:pPr>
        <w:ind w:firstLine="420"/>
        <w:rPr>
          <w:szCs w:val="21"/>
        </w:rPr>
      </w:pPr>
      <w:r>
        <w:rPr>
          <w:szCs w:val="21"/>
        </w:rPr>
        <w:t>高压细水雾灭火系统的灭火介质为水，与气体灭火系统相比具有冷却、隔绝辐射热、消烟、环保、持续灭火能力较强等优点，但由于其灭火介质为水，受电气设备用房室内环境及其他不可预见因素影响，高压细水雾灭火系统喷放后对电气设备的水渍损失值得关注。设计人员应对高压细水雾灭火系统的控火、灭火性能，水渍损失及经济等方面进行充分的论证分析，在确认其合理、可靠且取得北京消防部门及运营管理部门认可的基础上，城市轨道交通工程电气设备房间的自动灭火系统也可采用高压细水雾灭火系统。</w:t>
      </w:r>
    </w:p>
    <w:p w14:paraId="37E67487">
      <w:pPr>
        <w:ind w:firstLine="420"/>
        <w:rPr>
          <w:szCs w:val="21"/>
        </w:rPr>
      </w:pPr>
      <w:r>
        <w:rPr>
          <w:szCs w:val="21"/>
        </w:rPr>
        <w:t>本款根据《地铁设计防火标准》修改完善自动灭火系统防护区范围，由于电气小室内设置的电源不大于1KW，火灾危险性相对较小，而增设自动灭火系统会增加投资、运营维护成本，因此电气小室不设置自动喷水灭火系统。</w:t>
      </w:r>
    </w:p>
    <w:p w14:paraId="1F11416D">
      <w:pPr>
        <w:ind w:firstLine="420"/>
        <w:rPr>
          <w:szCs w:val="21"/>
        </w:rPr>
      </w:pPr>
      <w:r>
        <w:rPr>
          <w:szCs w:val="21"/>
        </w:rPr>
        <w:t>第4款：根据《建筑电气与智能化通用规范》GB55024第2.0.3条要求无关管线和线路不得穿越电气设备用房，增加本条说明，为设备用房区服务的气体灭火管道，不属于无关管线，可以穿越电气设备用房。</w:t>
      </w:r>
    </w:p>
    <w:p w14:paraId="7407B907">
      <w:pPr>
        <w:rPr>
          <w:szCs w:val="21"/>
        </w:rPr>
      </w:pPr>
      <w:r>
        <w:rPr>
          <w:rFonts w:eastAsia="黑体"/>
          <w:b/>
          <w:szCs w:val="21"/>
        </w:rPr>
        <w:t xml:space="preserve">30.3.6 </w:t>
      </w:r>
      <w:r>
        <w:rPr>
          <w:b/>
          <w:szCs w:val="18"/>
        </w:rPr>
        <w:t xml:space="preserve"> </w:t>
      </w:r>
      <w:r>
        <w:rPr>
          <w:szCs w:val="21"/>
        </w:rPr>
        <w:t>第3款：本款为新增条款，独立且重要的地下排水泵房、隧道洞口雨水泵房、配电室等局部设备机房内设有水泵控制柜或配电柜等，为及时扑救火灾，宜设置灭火器保护。</w:t>
      </w:r>
    </w:p>
    <w:p w14:paraId="675237DA">
      <w:pPr>
        <w:rPr>
          <w:szCs w:val="21"/>
        </w:rPr>
      </w:pPr>
      <w:r>
        <w:rPr>
          <w:rFonts w:eastAsia="黑体"/>
          <w:b/>
          <w:szCs w:val="21"/>
        </w:rPr>
        <w:t xml:space="preserve">30.3.7 </w:t>
      </w:r>
      <w:r>
        <w:rPr>
          <w:b/>
          <w:szCs w:val="18"/>
        </w:rPr>
        <w:t xml:space="preserve"> </w:t>
      </w:r>
      <w:r>
        <w:rPr>
          <w:szCs w:val="21"/>
        </w:rPr>
        <w:t>第1款：地下车站出入口通道、风道、地下区间的区间风井、隧道出洞口均直接与外界连通，地上车站站厅、站台公共区未设供暖设施，以上区域冬季气温较低，生产、生活给水管道及消防给水管道容易冻结，需要采取一定的保温措施。根据近几年的工程经验，生活给水管道内的水虽然处于流动状态，但由于夜间用水量较少，仍有冻结危险，因此应设置电保温系统；生产给水管如冷却水补水管冬季不使用，应采用冬季放空方案不设置保温；消防给水系统采用干式系统时，可不设电保温，若采用湿式系统管道内长期有水且处于不流动状态极易冻结，应设置电保温系统。北京近几年冬季寒冷，位于风道或出入口通道的压力废水管长期处于非流动状态，已出现了管道冻胀现象。由于车站及区间主废水泵房排水管承担了防灾功能，因此，风道和出入口通道主废水泵房压力废水管应设电保温系统。</w:t>
      </w:r>
    </w:p>
    <w:p w14:paraId="58359F34">
      <w:pPr>
        <w:ind w:firstLine="420"/>
        <w:rPr>
          <w:szCs w:val="21"/>
        </w:rPr>
      </w:pPr>
      <w:r>
        <w:rPr>
          <w:szCs w:val="21"/>
        </w:rPr>
        <w:t>第2款：地下车站出入口通道、风道内设置的压力污水管设置常规保温可满足使用要求。北京地下水位较深，冬季局部排水泵房集水池的结构渗漏水量较少，排水泵大部分时间处于不工作状态，因此，北京城市轨道交通运营单位在已建工程局部排水泵房的排水管均采用了冬季放空的方案，以减少管道冻结的危害。受城市轨道交通活塞风的影响，地下车站出入口通道与车站站厅连接处的冬季温度均较低，为防止消防给水管道冻结，位于地下车站站厅吊顶内的消防给水管应设常规保温。</w:t>
      </w:r>
    </w:p>
    <w:p w14:paraId="1C297525">
      <w:pPr>
        <w:ind w:firstLine="420"/>
        <w:rPr>
          <w:szCs w:val="21"/>
        </w:rPr>
      </w:pPr>
      <w:r>
        <w:rPr>
          <w:szCs w:val="21"/>
        </w:rPr>
        <w:t>地面和高架车站公共卫生间使用人数较多，卫生间的门开启次数较多，且保洁人员在冬季经常开启卫生间外窗以保持卫生间的良好通风，因此卫生间虽然设置了供暖设施，但卫生间内的实际环境温度较低。目前，北京城市轨道交通已建线工程已出现了卫生间管道冻结情况，因此地面和高架车站卫生间的给排水管道均应设置常规保温，同时应加强运营的管理，减少冬季卫生间开窗次数。在非供暖区域范围外不应设置公共卫生间需要设置给排水管道的公共盥洗室，以减少管道冻结的危险。</w:t>
      </w:r>
    </w:p>
    <w:p w14:paraId="7D7FCB74">
      <w:pPr>
        <w:pStyle w:val="4"/>
        <w:numPr>
          <w:ilvl w:val="0"/>
          <w:numId w:val="0"/>
        </w:numPr>
      </w:pPr>
      <w:bookmarkStart w:id="3384" w:name="_Toc183882752"/>
      <w:bookmarkStart w:id="3385" w:name="_Toc183765399"/>
      <w:bookmarkStart w:id="3386" w:name="_Toc183882390"/>
      <w:bookmarkStart w:id="3387" w:name="_Toc183790829"/>
      <w:bookmarkStart w:id="3388" w:name="_Toc183738221"/>
      <w:bookmarkStart w:id="3389" w:name="_Toc183888804"/>
      <w:bookmarkStart w:id="3390" w:name="_Toc183888442"/>
      <w:r>
        <w:rPr>
          <w:b/>
        </w:rPr>
        <w:t xml:space="preserve">30.4  </w:t>
      </w:r>
      <w:r>
        <w:t>防排烟与事故通风</w:t>
      </w:r>
      <w:bookmarkEnd w:id="3384"/>
      <w:bookmarkEnd w:id="3385"/>
      <w:bookmarkEnd w:id="3386"/>
      <w:bookmarkEnd w:id="3387"/>
      <w:bookmarkEnd w:id="3388"/>
      <w:bookmarkEnd w:id="3389"/>
      <w:bookmarkEnd w:id="3390"/>
    </w:p>
    <w:p w14:paraId="2AAD1821">
      <w:pPr>
        <w:rPr>
          <w:szCs w:val="21"/>
        </w:rPr>
      </w:pPr>
      <w:r>
        <w:rPr>
          <w:b/>
        </w:rPr>
        <w:t>30.4.5</w:t>
      </w:r>
      <w:r>
        <w:rPr>
          <w:rFonts w:hint="eastAsia"/>
          <w:b/>
        </w:rPr>
        <w:t xml:space="preserve">  </w:t>
      </w:r>
      <w:r>
        <w:rPr>
          <w:szCs w:val="21"/>
        </w:rPr>
        <w:t>不同于一般的民用建筑，地铁工程中疏散高度大于10m的防烟楼梯间有时可能仅为一层，仅通过地面层设置可开启外窗进行自然通风难以达到良好的防烟要求，需设置机械加压送风系统。</w:t>
      </w:r>
    </w:p>
    <w:p w14:paraId="4D836E8C">
      <w:pPr>
        <w:ind w:firstLine="420"/>
        <w:rPr>
          <w:szCs w:val="21"/>
        </w:rPr>
      </w:pPr>
      <w:r>
        <w:rPr>
          <w:szCs w:val="21"/>
        </w:rPr>
        <w:t>国家标准《建筑防烟排烟系统技术标准》GB 51251-2017规定建筑高度大于50m的公共建筑防烟楼梯间及其前室应分别独立设置机械加压送风系统。地铁深埋车站或隧道内防烟楼梯间的疏散高度大于50m时，情况类似，且站内人员需向上疏散，疏散难度更大，楼梯间与前室需分别独立加压，形成安全的压力梯度，确保人员安全疏散。</w:t>
      </w:r>
    </w:p>
    <w:p w14:paraId="4634D26A">
      <w:pPr>
        <w:rPr>
          <w:szCs w:val="21"/>
        </w:rPr>
      </w:pPr>
      <w:r>
        <w:rPr>
          <w:b/>
        </w:rPr>
        <w:t>30.4.6</w:t>
      </w:r>
      <w:r>
        <w:rPr>
          <w:rFonts w:hint="eastAsia"/>
          <w:b/>
        </w:rPr>
        <w:t xml:space="preserve">  </w:t>
      </w:r>
      <w:r>
        <w:rPr>
          <w:szCs w:val="21"/>
        </w:rPr>
        <w:t>本条规定了排烟系统与阻塞通风系统设计的基本目标和原则。</w:t>
      </w:r>
    </w:p>
    <w:p w14:paraId="73791960">
      <w:pPr>
        <w:ind w:firstLine="420"/>
        <w:rPr>
          <w:szCs w:val="21"/>
        </w:rPr>
      </w:pPr>
      <w:r>
        <w:rPr>
          <w:szCs w:val="21"/>
        </w:rPr>
        <w:t>第2款，本条中的车站相邻区间指车站两端的区间事故风阀以外与车站相邻的区间隧道，不包含上述区间事故风阀以内的车站轨行区部分。</w:t>
      </w:r>
    </w:p>
    <w:p w14:paraId="07CF7529">
      <w:pPr>
        <w:ind w:firstLine="420"/>
        <w:rPr>
          <w:szCs w:val="21"/>
        </w:rPr>
      </w:pPr>
      <w:r>
        <w:rPr>
          <w:szCs w:val="21"/>
        </w:rPr>
        <w:t>第4款，地铁阻塞通风主要用于列车因非火灾原因不能正常行驶而阻塞在区间隧道或全封闭车道的情况。乘客困在车内等候故障排除或有组织地向安全地点疏散，均需要一定的时间才能完成，但在这段时间内，列车和乘客仍在散发大量的热，由于列车停止行驶而失去了活塞效应的通风，车辆的空调器也难以运行，从而使空气温度上升，乘客难以忍受。必须通过机械通风的方法对阻塞地点送排风，以降低隧道内空气温度，保证车辆的空调器正常运行，因此本条确定了阻塞通风功能是向阻塞地点送排风。</w:t>
      </w:r>
    </w:p>
    <w:p w14:paraId="3CCE4DFB">
      <w:pPr>
        <w:rPr>
          <w:szCs w:val="21"/>
        </w:rPr>
      </w:pPr>
      <w:r>
        <w:rPr>
          <w:b/>
        </w:rPr>
        <w:t>30.4.7</w:t>
      </w:r>
      <w:r>
        <w:rPr>
          <w:rFonts w:hint="eastAsia"/>
          <w:b/>
        </w:rPr>
        <w:t xml:space="preserve">  </w:t>
      </w:r>
      <w:r>
        <w:rPr>
          <w:szCs w:val="21"/>
        </w:rPr>
        <w:t>第2款，地下车站站厅排烟一般由车站两端的排烟系统共同负担、同时运行，其排烟效果优于只开启车站一端排烟系统排烟的效果。因此，在防烟分区建筑面积满足不大于2000m2的条件下，可不再限制其长边长度，降低工程实施难度。</w:t>
      </w:r>
    </w:p>
    <w:p w14:paraId="519276D7">
      <w:pPr>
        <w:rPr>
          <w:szCs w:val="21"/>
        </w:rPr>
      </w:pPr>
      <w:r>
        <w:rPr>
          <w:szCs w:val="21"/>
        </w:rPr>
        <w:t>第4款，参考北京市地方标准《站城一体化工程消防安全技术标准》DB11/ 1889-2021的相关规定，对车站地下换乘、连接和出入口通道防烟分区的长边长度进行了规定，避免出现烟气下沉现象，保证排烟效果。</w:t>
      </w:r>
    </w:p>
    <w:p w14:paraId="7AE5FC14">
      <w:r>
        <w:rPr>
          <w:b/>
        </w:rPr>
        <w:t>30.4.12</w:t>
      </w:r>
      <w:r>
        <w:rPr>
          <w:rFonts w:hint="eastAsia"/>
          <w:b/>
        </w:rPr>
        <w:t xml:space="preserve">  </w:t>
      </w:r>
      <w:r>
        <w:t>本条参考美国《固定式导轨运输和客运铁路系统标准》（NFPA 130,Standard for Fixed Guideway Transit and Passenger Rail Systems）制定。基于两方面考虑，其一是发生火灾时，隧道中的烟气流动速度与火灾强度、隧道的坡度、断面尺寸等因素相关，需计算确定所谓临界风速。送排风的速度必须大于这个速度，才能使烟气流按规定的方向流动。其二是地铁发生火灾时，规定了乘客迎着新鲜空气流入的方向迅速撤离，因此必须造成一种气流使乘客感受到有新鲜空气流动，指示其撤离的方向。同时当乘客感受到有新鲜空气流动时，从心理上就产生了安全感,会鼓足勇气迅速地迎着新鲜空气流入的方向撤离到安全地带。使人们能感受到新鲜空气流动的最低速度为2m/s，不言而喻，采用2m/s的排烟速度就能同时满足上述两方面的要求。此外，本条又规定了排烟流速不得大于11m/s，因为当排烟速度大于11m/s时，新鲜空气的流动速度也大于11m/s，在此速度下乘客不能行走，无法安全撤离。</w:t>
      </w:r>
    </w:p>
    <w:p w14:paraId="640493A2">
      <w:pPr>
        <w:ind w:firstLine="420"/>
      </w:pPr>
      <w:r>
        <w:t>列车非载客区间隧道，例如出入场线、出入段线隧道，列车上没有乘客，仅有司机或少量工作人员。由于接受过专业训练、熟悉隧道环境，且在配有消防安全防护与通讯装备的条件下，列车上人员火灾快速疏散的条件较好。因此，为了降低工程实施难度，对于此类隧道，本条仅要求排烟风速大于临界风速。</w:t>
      </w:r>
    </w:p>
    <w:p w14:paraId="1EA09E2C">
      <w:r>
        <w:rPr>
          <w:b/>
        </w:rPr>
        <w:t>30.4.13</w:t>
      </w:r>
      <w:r>
        <w:rPr>
          <w:rFonts w:hint="eastAsia"/>
          <w:b/>
        </w:rPr>
        <w:t xml:space="preserve">  </w:t>
      </w:r>
      <w:r>
        <w:t>当每个通风区段同时存在两列或两列以上列车同向运行时，若前方列车的后部发生火灾并停驶在隧道中，需向后方排烟，则后方列车会受到前车烟气的影响，危及乘客安全。因此，一般情况下需设置中间风井或设置与风井连接的轨顶风道和风口等方式对长大区间隧道划分通风排烟区段，使每个通风区段排烟时内部只有一列车。综合考虑长大区间隧道的通风排烟、疏散需求与工程建设成本等因素，本条规定了每个通风区段的长度。中间风井、轨顶风道等土建设施运营后难以再进行改造，因此规定按系统设计最大能力确定。正常运行时的列车追踪间距为不考虑加车、晚点、信号调整等因素，按正常发车间隔计算的列车追踪间距。</w:t>
      </w:r>
    </w:p>
    <w:p w14:paraId="12E0BC2E">
      <w:pPr>
        <w:ind w:firstLine="420"/>
      </w:pPr>
      <w:r>
        <w:t>一方面，实际运行条件下，由于存在加车、晚点、信号调整等情况，为了提高运行效率，列车实际追踪间距一般由信号系统的移动闭塞控制，会小于按本条要求计算的通风区段长度。因此，即使按本条要求设置通风区段，在实际运行条件下，一个通风区段内也可能出现同时存在两列或两列以上列车同向运行的情况。另一方面，由于工程条件限制，实际工程中也可能面临通风区段长度大于本条规定的情况。</w:t>
      </w:r>
    </w:p>
    <w:p w14:paraId="529FDB0B">
      <w:pPr>
        <w:ind w:firstLine="420"/>
      </w:pPr>
      <w:r>
        <w:t>由于通风区段划分是固定的要素，每个通风区段内的列车数量影响着对通风设备容量的要求和通风排烟的有效性。牵引供电系统分区是固定的要素，影响着将非火灾列车从火灾通风区段中牵引出来的能力。信号系统控制列车反向运行的能力以及火灾情况下执行反向运行的速度则是将非火灾列车牵引出来的关键。对于乘客最好的保护就是在一个通风区段内只有一列车。因此，实际运行条件下以及不能符合本条要求的情况下，相关专业的设计和应急组织方案需能在一定的时限内将非火灾列车拖离，确保火灾排烟时，一个通风区段内只有一列车。</w:t>
      </w:r>
    </w:p>
    <w:p w14:paraId="59A326E3">
      <w:pPr>
        <w:pStyle w:val="4"/>
        <w:numPr>
          <w:ilvl w:val="0"/>
          <w:numId w:val="0"/>
        </w:numPr>
      </w:pPr>
      <w:bookmarkStart w:id="3391" w:name="_Toc183882391"/>
      <w:bookmarkStart w:id="3392" w:name="_Toc183882753"/>
      <w:bookmarkStart w:id="3393" w:name="_Toc183790830"/>
      <w:bookmarkStart w:id="3394" w:name="_Toc183888805"/>
      <w:bookmarkStart w:id="3395" w:name="_Toc183765400"/>
      <w:bookmarkStart w:id="3396" w:name="_Toc183738222"/>
      <w:bookmarkStart w:id="3397" w:name="_Toc183888443"/>
      <w:r>
        <w:rPr>
          <w:b/>
        </w:rPr>
        <w:t>30.5</w:t>
      </w:r>
      <w:r>
        <w:t xml:space="preserve">  电气</w:t>
      </w:r>
      <w:bookmarkEnd w:id="3391"/>
      <w:bookmarkEnd w:id="3392"/>
      <w:bookmarkEnd w:id="3393"/>
      <w:bookmarkEnd w:id="3394"/>
      <w:bookmarkEnd w:id="3395"/>
      <w:bookmarkEnd w:id="3396"/>
      <w:bookmarkEnd w:id="3397"/>
    </w:p>
    <w:p w14:paraId="6317AFE6">
      <w:pPr>
        <w:rPr>
          <w:szCs w:val="18"/>
        </w:rPr>
      </w:pPr>
      <w:r>
        <w:rPr>
          <w:b/>
        </w:rPr>
        <w:t xml:space="preserve">30.5.2 </w:t>
      </w:r>
      <w:r>
        <w:rPr>
          <w:rFonts w:hint="eastAsia"/>
          <w:b/>
        </w:rPr>
        <w:t xml:space="preserve"> </w:t>
      </w:r>
      <w:r>
        <w:rPr>
          <w:szCs w:val="18"/>
        </w:rPr>
        <w:t>本条规定了轨道交通工程中消防用电设备配电的基本要求，以避免配电干线故障影响消防用电设备的供电可靠性。</w:t>
      </w:r>
    </w:p>
    <w:p w14:paraId="1EC3F7CD">
      <w:pPr>
        <w:ind w:firstLine="420"/>
        <w:rPr>
          <w:szCs w:val="18"/>
        </w:rPr>
      </w:pPr>
      <w:r>
        <w:rPr>
          <w:szCs w:val="18"/>
        </w:rPr>
        <w:t>本条规定的最末一级配电箱，对于消防控制室、消防水泵房的消防用电设备及消防电梯等，为上述消防电梯和消防设备室处的最末级配电箱；对于其他其他消防用电设备，为这些用电设备所在防火分区的配电箱。</w:t>
      </w:r>
    </w:p>
    <w:p w14:paraId="5F0646DE">
      <w:pPr>
        <w:ind w:firstLine="420"/>
        <w:rPr>
          <w:szCs w:val="18"/>
        </w:rPr>
      </w:pPr>
      <w:r>
        <w:rPr>
          <w:szCs w:val="18"/>
        </w:rPr>
        <w:t>对“供电距离较长”的解释为，超长出入口内设置的消防风机、正线区间内设置的射流风机、区间废水泵房等设备的供电，宜采用由变电所双重电源直接供电﹐并应在最末一级配电箱处自动切换。在车站范围内的射流风机宜由车站站台层环控电控室内双电源切换装置配电。区间内容量小且分散的消防设备，可由就近区间内消防设备双电源切换箱配电或由车站站台层配电室内的消防双电源切换箱配电。</w:t>
      </w:r>
    </w:p>
    <w:p w14:paraId="0ED992DC">
      <w:pPr>
        <w:rPr>
          <w:szCs w:val="18"/>
        </w:rPr>
      </w:pPr>
      <w:r>
        <w:rPr>
          <w:b/>
        </w:rPr>
        <w:t xml:space="preserve">30.5.4 </w:t>
      </w:r>
      <w:r>
        <w:rPr>
          <w:rFonts w:hint="eastAsia"/>
          <w:b/>
        </w:rPr>
        <w:t xml:space="preserve"> </w:t>
      </w:r>
      <w:r>
        <w:rPr>
          <w:szCs w:val="18"/>
        </w:rPr>
        <w:t>本条所指供电回路指的是从低压第一级配电至终端用电设备的供电回路，当供电回路发生过负荷时，应将过负荷信号发送至运维管理人员，运维管理人员应根据现场情况采取相应的措施，供电回路发生短路时应立即断电。</w:t>
      </w:r>
    </w:p>
    <w:p w14:paraId="4BE3BE17">
      <w:pPr>
        <w:ind w:firstLine="420"/>
        <w:rPr>
          <w:szCs w:val="18"/>
        </w:rPr>
      </w:pPr>
      <w:r>
        <w:rPr>
          <w:szCs w:val="18"/>
        </w:rPr>
        <w:t>鉴于目前断路器厂家不能提供满足此要求的产品，配电回路可考虑采用消防电源监控系统监测配电回路的过负荷情况，发生故障时可通过消防电源监控系统接入综合监控系统上传给运维管理人员。风机、水泵类设备可通过电磁型断路器与热继电器或马达保护器组合的形式，通过BAS系统上传给运维管理人员。</w:t>
      </w:r>
    </w:p>
    <w:p w14:paraId="7B004CB9">
      <w:pPr>
        <w:rPr>
          <w:szCs w:val="18"/>
        </w:rPr>
      </w:pPr>
      <w:r>
        <w:rPr>
          <w:b/>
        </w:rPr>
        <w:t xml:space="preserve">30.5.8 </w:t>
      </w:r>
      <w:r>
        <w:rPr>
          <w:rFonts w:hint="eastAsia"/>
          <w:szCs w:val="18"/>
        </w:rPr>
        <w:t xml:space="preserve"> </w:t>
      </w:r>
      <w:r>
        <w:rPr>
          <w:szCs w:val="18"/>
        </w:rPr>
        <w:t>由于城市轨道交通属于人员密集场所，需要在公共区设置安全照明及疏散照明。根据《城市轨道交通工程项目规范》GB 55033-2022,6.1.11,地下车站及区间的应急照明应具备应急电源。为了简化系统设置，本规范提出车站公共区疏散照明宜兼做安全照明，地面的最低水平照度不应低于5.0lx，平均照度不低于正常照明照度的10%的要求。</w:t>
      </w:r>
    </w:p>
    <w:p w14:paraId="558C4347">
      <w:pPr>
        <w:rPr>
          <w:szCs w:val="18"/>
        </w:rPr>
      </w:pPr>
      <w:r>
        <w:rPr>
          <w:b/>
        </w:rPr>
        <w:t xml:space="preserve">30.5.12 </w:t>
      </w:r>
      <w:r>
        <w:rPr>
          <w:rFonts w:hint="eastAsia"/>
          <w:b/>
        </w:rPr>
        <w:t xml:space="preserve"> </w:t>
      </w:r>
      <w:r>
        <w:rPr>
          <w:szCs w:val="18"/>
        </w:rPr>
        <w:t>除地下车站及区间的应急照明为特级负荷以外，轨道交通其他场所应急照明为一级负荷，满足双重电源的供电要求即可，本规范建议尽量采用双重电源末端切换的方式满足供电要求，尽量减少蓄电池的使用。</w:t>
      </w:r>
    </w:p>
    <w:p w14:paraId="00FDCE31">
      <w:pPr>
        <w:rPr>
          <w:szCs w:val="18"/>
        </w:rPr>
      </w:pPr>
      <w:r>
        <w:rPr>
          <w:b/>
        </w:rPr>
        <w:t xml:space="preserve">30.5.14 </w:t>
      </w:r>
      <w:r>
        <w:rPr>
          <w:rFonts w:hint="eastAsia"/>
          <w:b/>
        </w:rPr>
        <w:t xml:space="preserve"> </w:t>
      </w:r>
      <w:r>
        <w:rPr>
          <w:szCs w:val="18"/>
        </w:rPr>
        <w:t>《消防应急照明和疏散指示系统技术标准》GB 510309-2018已经实施，其中对于应急照明系统的相关要求，由于电压等级、供电距离等方面的限制不适用于城市轨道交通工程，因此提出本条文，采用DC220V供电。同时满足《建筑电气与智能化通用规范》GB 55024-2022,4.5.4 疏散照明和疏散指示标志灯安装高度在2.5m及以下时，应采用安全特低电压供电的相关要求。</w:t>
      </w:r>
    </w:p>
    <w:p w14:paraId="23DBE7A6">
      <w:pPr>
        <w:ind w:firstLine="420"/>
      </w:pPr>
    </w:p>
    <w:p w14:paraId="46528779">
      <w:pPr>
        <w:pStyle w:val="4"/>
        <w:numPr>
          <w:ilvl w:val="0"/>
          <w:numId w:val="0"/>
        </w:numPr>
      </w:pPr>
      <w:bookmarkStart w:id="3398" w:name="_Toc183888444"/>
      <w:bookmarkStart w:id="3399" w:name="_Toc183882392"/>
      <w:bookmarkStart w:id="3400" w:name="_Toc183888806"/>
      <w:bookmarkStart w:id="3401" w:name="_Toc183882754"/>
      <w:bookmarkStart w:id="3402" w:name="_Toc183738223"/>
      <w:bookmarkStart w:id="3403" w:name="_Toc183790831"/>
      <w:bookmarkStart w:id="3404" w:name="_Toc183765401"/>
      <w:r>
        <w:rPr>
          <w:b/>
        </w:rPr>
        <w:t xml:space="preserve">30.7 </w:t>
      </w:r>
      <w:r>
        <w:rPr>
          <w:rFonts w:hint="eastAsia"/>
          <w:b/>
        </w:rPr>
        <w:t xml:space="preserve"> </w:t>
      </w:r>
      <w:r>
        <w:t>区间安全疏散</w:t>
      </w:r>
      <w:bookmarkEnd w:id="3398"/>
      <w:bookmarkEnd w:id="3399"/>
      <w:bookmarkEnd w:id="3400"/>
      <w:bookmarkEnd w:id="3401"/>
      <w:bookmarkEnd w:id="3402"/>
      <w:bookmarkEnd w:id="3403"/>
      <w:bookmarkEnd w:id="3404"/>
    </w:p>
    <w:p w14:paraId="67240CD3">
      <w:pPr>
        <w:rPr>
          <w:szCs w:val="21"/>
        </w:rPr>
      </w:pPr>
      <w:r>
        <w:rPr>
          <w:rFonts w:eastAsia="黑体"/>
          <w:b/>
          <w:szCs w:val="21"/>
        </w:rPr>
        <w:t xml:space="preserve">30.7.1 </w:t>
      </w:r>
      <w:r>
        <w:rPr>
          <w:b/>
          <w:szCs w:val="18"/>
        </w:rPr>
        <w:t xml:space="preserve"> </w:t>
      </w:r>
      <w:r>
        <w:rPr>
          <w:szCs w:val="21"/>
        </w:rPr>
        <w:t>第1款～第3款：载客运营的区间隧道和高架区间道床面是列车火灾在区间失去动力时，供乘客沿线路撤离至安全地区的疏散通道，为了避免乘客在疏散过程中受伤，要求道床面平整、连续、无障碍物。为了保证疏散通道的连续性，车站配线区也应铺设宽度不小于700mm的连续通道与正线连接。</w:t>
      </w:r>
    </w:p>
    <w:p w14:paraId="6D0CF755">
      <w:pPr>
        <w:rPr>
          <w:szCs w:val="21"/>
        </w:rPr>
      </w:pPr>
      <w:r>
        <w:rPr>
          <w:szCs w:val="21"/>
        </w:rPr>
        <w:t>区间纵向辅助疏散平台是为乘客提供疏散的辅助通道，疏散平台在区间联络通道前应设楼梯与联络通道连接。列车头尾节车厢应设专用端门和配置下车设施，区间设置纵向辅助疏散平台时，仍应在区间轨道中心道床面设置步行路面作为应急疏散通道。</w:t>
      </w:r>
    </w:p>
    <w:p w14:paraId="25795B50">
      <w:pPr>
        <w:rPr>
          <w:szCs w:val="21"/>
        </w:rPr>
      </w:pPr>
      <w:r>
        <w:rPr>
          <w:rFonts w:eastAsia="黑体"/>
          <w:b/>
          <w:szCs w:val="21"/>
        </w:rPr>
        <w:t xml:space="preserve">30.7.2 </w:t>
      </w:r>
      <w:r>
        <w:rPr>
          <w:rFonts w:eastAsia="黑体"/>
          <w:b/>
        </w:rPr>
        <w:t xml:space="preserve"> </w:t>
      </w:r>
      <w:r>
        <w:rPr>
          <w:szCs w:val="21"/>
        </w:rPr>
        <w:t>第1款、第3款：两条单线载客运营区间隧道以及上下行线路间设置防火墙的单洞双线区间隧道，能有效地阻隔火灾和烟气蔓延，当其中一条隧道内的列车发生火灾失去动力时，乘客可通过联络通道或中隔墙上的防火门通向另一条隧道疏散。横向联络通道之间的距离是指联络通道中心之间的距离，联络通道中心至车站或隧道开口处之间的距离。</w:t>
      </w:r>
    </w:p>
    <w:p w14:paraId="3BB0C10A">
      <w:pPr>
        <w:rPr>
          <w:szCs w:val="21"/>
        </w:rPr>
      </w:pPr>
      <w:r>
        <w:rPr>
          <w:szCs w:val="21"/>
        </w:rPr>
        <w:t>两条单线载客运营区间隧道之间的横向联络通道和上下行线路间设置防火墙的单洞双线区间隧道上的防火门应采用抗风压防火门，防火门应反向开启，满足不同区间隧道的人员疏散。</w:t>
      </w:r>
    </w:p>
    <w:p w14:paraId="06EA6039">
      <w:pPr>
        <w:rPr>
          <w:szCs w:val="18"/>
        </w:rPr>
      </w:pPr>
      <w:r>
        <w:rPr>
          <w:rFonts w:eastAsia="黑体"/>
          <w:b/>
          <w:szCs w:val="21"/>
        </w:rPr>
        <w:t xml:space="preserve">30.7.5 </w:t>
      </w:r>
      <w:r>
        <w:rPr>
          <w:b/>
          <w:szCs w:val="21"/>
        </w:rPr>
        <w:t xml:space="preserve"> </w:t>
      </w:r>
      <w:r>
        <w:rPr>
          <w:szCs w:val="21"/>
        </w:rPr>
        <w:t>高架区间线路两侧无道路时，消防救援难度较大，本条是参考了美国NFPA130《固定式导轨传输和客运铁路系统标准》中长大区间每隔762m（2500英尺）需设置穿越区间道路的规定，并对穿越长度做了适当调整。</w:t>
      </w:r>
    </w:p>
    <w:p w14:paraId="687A1809">
      <w:pPr>
        <w:tabs>
          <w:tab w:val="left" w:pos="1400"/>
        </w:tabs>
        <w:rPr>
          <w:szCs w:val="18"/>
        </w:rPr>
      </w:pPr>
      <w:r>
        <w:rPr>
          <w:rFonts w:eastAsia="黑体"/>
          <w:b/>
          <w:szCs w:val="21"/>
        </w:rPr>
        <w:t xml:space="preserve">30.7.8  </w:t>
      </w:r>
      <w:r>
        <w:rPr>
          <w:szCs w:val="21"/>
        </w:rPr>
        <w:t>区间隧道的横向联络通道和风井处的防烟楼梯间以及区间直通地面的疏散通道是旅客逃生通道，要求区间隧道联络通道洞口等处的电光源疏散标志为双面标识并垂直于行车方向安装是为了不同方向旅客均能看清疏散标志，有利疏散。</w:t>
      </w:r>
    </w:p>
    <w:p w14:paraId="2EF90D5A">
      <w:pPr>
        <w:rPr>
          <w:szCs w:val="18"/>
        </w:rPr>
      </w:pPr>
      <w:r>
        <w:rPr>
          <w:rFonts w:eastAsia="黑体"/>
          <w:b/>
          <w:szCs w:val="21"/>
        </w:rPr>
        <w:t xml:space="preserve">30.7.7  </w:t>
      </w:r>
      <w:r>
        <w:rPr>
          <w:szCs w:val="21"/>
        </w:rPr>
        <w:t>美国NFPA130和日本《地铁火灾对策标准》均对区间隧道设置表示车站或出口方向的标志做了规定。美国NFPA130要求每隔25m就要设置1个指明车站或出口方向的标志牌；日本《地铁火灾对策标准》要求隧道内标志牌必须设在靠近利用应急电源的应急照明灯具附近，标志牌的高度为距疏散路面1.5m 高，间隔必须小于100m，并用箭头标明到达相邻车站或隧道口的距离。本条是参考美国和日本标准，明确隧道内各标志牌需用箭头分别指向该区间两端的车站，并标明该标志牌与区间两端车站之间距离，对于设联络通道的区间，还需标明该标志牌距相邻联络通道口的距离。</w:t>
      </w:r>
    </w:p>
    <w:p w14:paraId="238207BE">
      <w:pPr>
        <w:rPr>
          <w:rFonts w:ascii="宋体" w:hAnsi="宋体" w:cs="宋体"/>
          <w:szCs w:val="18"/>
        </w:rPr>
      </w:pPr>
    </w:p>
    <w:p w14:paraId="4E6FD9E4">
      <w:pPr>
        <w:widowControl/>
        <w:spacing w:line="240" w:lineRule="auto"/>
        <w:jc w:val="left"/>
        <w:rPr>
          <w:rFonts w:ascii="宋体" w:hAnsi="宋体" w:cs="宋体"/>
          <w:szCs w:val="21"/>
        </w:rPr>
      </w:pPr>
      <w:r>
        <w:rPr>
          <w:rFonts w:ascii="宋体" w:hAnsi="宋体" w:cs="宋体"/>
          <w:szCs w:val="21"/>
        </w:rPr>
        <w:br w:type="page"/>
      </w:r>
    </w:p>
    <w:p w14:paraId="3406DFD0">
      <w:pPr>
        <w:pStyle w:val="240"/>
      </w:pPr>
      <w:bookmarkStart w:id="3405" w:name="_Toc183888445"/>
      <w:bookmarkStart w:id="3406" w:name="_Toc183738224"/>
      <w:bookmarkStart w:id="3407" w:name="_Toc183882755"/>
      <w:bookmarkStart w:id="3408" w:name="_Toc183888807"/>
      <w:bookmarkStart w:id="3409" w:name="_Toc183790832"/>
      <w:bookmarkStart w:id="3410" w:name="_Toc183765402"/>
      <w:bookmarkStart w:id="3411" w:name="_Toc183882393"/>
      <w:bookmarkStart w:id="3412" w:name="_Toc183699918"/>
      <w:bookmarkStart w:id="3413" w:name="_Toc183735462"/>
      <w:r>
        <w:rPr>
          <w:b/>
        </w:rPr>
        <w:t>31</w:t>
      </w:r>
      <w:r>
        <w:rPr>
          <w:rFonts w:hint="eastAsia"/>
          <w:b/>
        </w:rPr>
        <w:t xml:space="preserve"> </w:t>
      </w:r>
      <w:r>
        <w:rPr>
          <w:rFonts w:hint="eastAsia"/>
        </w:rPr>
        <w:t xml:space="preserve"> 环保节能</w:t>
      </w:r>
      <w:bookmarkEnd w:id="3405"/>
      <w:bookmarkEnd w:id="3406"/>
      <w:bookmarkEnd w:id="3407"/>
      <w:bookmarkEnd w:id="3408"/>
      <w:bookmarkEnd w:id="3409"/>
      <w:bookmarkEnd w:id="3410"/>
      <w:bookmarkEnd w:id="3411"/>
      <w:bookmarkEnd w:id="3412"/>
      <w:bookmarkEnd w:id="3413"/>
    </w:p>
    <w:p w14:paraId="06C4FC31">
      <w:pPr>
        <w:pStyle w:val="4"/>
        <w:numPr>
          <w:ilvl w:val="0"/>
          <w:numId w:val="0"/>
        </w:numPr>
      </w:pPr>
      <w:bookmarkStart w:id="3414" w:name="_Toc183472347"/>
      <w:bookmarkStart w:id="3415" w:name="_Toc183765403"/>
      <w:bookmarkStart w:id="3416" w:name="_Toc183882756"/>
      <w:bookmarkStart w:id="3417" w:name="_Toc183738225"/>
      <w:bookmarkStart w:id="3418" w:name="_Toc183888446"/>
      <w:bookmarkStart w:id="3419" w:name="_Toc183888808"/>
      <w:bookmarkStart w:id="3420" w:name="_Toc183882394"/>
      <w:bookmarkStart w:id="3421" w:name="_Toc183790833"/>
      <w:r>
        <w:rPr>
          <w:rFonts w:hint="eastAsia"/>
          <w:b/>
        </w:rPr>
        <w:t>3</w:t>
      </w:r>
      <w:r>
        <w:rPr>
          <w:b/>
        </w:rPr>
        <w:t>1</w:t>
      </w:r>
      <w:r>
        <w:rPr>
          <w:rFonts w:hint="eastAsia"/>
          <w:b/>
        </w:rPr>
        <w:t xml:space="preserve">.3 </w:t>
      </w:r>
      <w:r>
        <w:rPr>
          <w:rFonts w:hint="eastAsia"/>
        </w:rPr>
        <w:t xml:space="preserve"> 节约能源</w:t>
      </w:r>
      <w:bookmarkEnd w:id="3414"/>
      <w:bookmarkEnd w:id="3415"/>
      <w:bookmarkEnd w:id="3416"/>
      <w:bookmarkEnd w:id="3417"/>
      <w:bookmarkEnd w:id="3418"/>
      <w:bookmarkEnd w:id="3419"/>
      <w:bookmarkEnd w:id="3420"/>
      <w:bookmarkEnd w:id="3421"/>
    </w:p>
    <w:p w14:paraId="4E0B9E2B">
      <w:pPr>
        <w:rPr>
          <w:rFonts w:ascii="宋体" w:hAnsi="宋体" w:cs="方正黑体_GBK"/>
          <w:szCs w:val="21"/>
        </w:rPr>
      </w:pPr>
      <w:r>
        <w:rPr>
          <w:rFonts w:eastAsia="黑体"/>
          <w:b/>
        </w:rPr>
        <w:t xml:space="preserve">31.3.8  </w:t>
      </w:r>
      <w:r>
        <w:rPr>
          <w:rFonts w:hint="eastAsia" w:ascii="宋体" w:hAnsi="宋体" w:cs="方正黑体_GBK"/>
          <w:szCs w:val="21"/>
        </w:rPr>
        <w:t>第1款 工程设计过程中，经常需要对多个系统技术方案进行全寿命周期的技术经济比选，以确定最优方案。考虑到地铁运营的长期性，为了强调节能的重要性，在各备选方案经济性相近的情况下，推荐优先采用能耗较低的系统方案。</w:t>
      </w:r>
    </w:p>
    <w:p w14:paraId="2EBFC491">
      <w:pPr>
        <w:ind w:firstLine="420"/>
        <w:rPr>
          <w:rFonts w:ascii="宋体" w:hAnsi="宋体" w:cs="方正黑体_GBK"/>
          <w:szCs w:val="21"/>
        </w:rPr>
      </w:pPr>
      <w:r>
        <w:rPr>
          <w:rFonts w:hint="eastAsia" w:ascii="宋体" w:hAnsi="宋体" w:cs="方正黑体_GBK"/>
          <w:szCs w:val="21"/>
        </w:rPr>
        <w:t>第2款 列车在隧道中运行产生的活塞效应是地铁所特有的。据测算，活塞效应使每节车厢可</w:t>
      </w:r>
      <w:r>
        <w:rPr>
          <w:rFonts w:hint="eastAsia"/>
          <w:szCs w:val="18"/>
        </w:rPr>
        <w:t>获得</w:t>
      </w:r>
      <w:r>
        <w:rPr>
          <w:rFonts w:hint="eastAsia" w:ascii="宋体" w:hAnsi="宋体" w:cs="方正黑体_GBK"/>
          <w:szCs w:val="21"/>
        </w:rPr>
        <w:t>的活塞通风量约为18000m</w:t>
      </w:r>
      <w:r>
        <w:rPr>
          <w:rFonts w:hint="eastAsia" w:ascii="宋体" w:hAnsi="宋体" w:cs="方正黑体_GBK"/>
          <w:szCs w:val="21"/>
          <w:vertAlign w:val="superscript"/>
        </w:rPr>
        <w:t>3</w:t>
      </w:r>
      <w:r>
        <w:rPr>
          <w:rFonts w:hint="eastAsia" w:ascii="宋体" w:hAnsi="宋体" w:cs="方正黑体_GBK"/>
          <w:szCs w:val="21"/>
        </w:rPr>
        <w:t>/h，由此产生的自然通风量不需要额外消耗电力即可获得，可以节约大量能源消耗。因此，在隧道及公共区的通风系统设计中要优先利用活塞通风。</w:t>
      </w:r>
    </w:p>
    <w:p w14:paraId="0DE4CC90">
      <w:pPr>
        <w:ind w:firstLine="420"/>
        <w:rPr>
          <w:rFonts w:ascii="宋体" w:hAnsi="宋体" w:cs="方正黑体_GBK"/>
          <w:szCs w:val="21"/>
        </w:rPr>
      </w:pPr>
      <w:r>
        <w:rPr>
          <w:rFonts w:hint="eastAsia" w:ascii="宋体" w:hAnsi="宋体" w:cs="方正黑体_GBK"/>
          <w:szCs w:val="21"/>
        </w:rPr>
        <w:t>第4 款 车站</w:t>
      </w:r>
      <w:r>
        <w:rPr>
          <w:rFonts w:ascii="宋体" w:hAnsi="宋体" w:cs="方正黑体_GBK"/>
          <w:szCs w:val="21"/>
        </w:rPr>
        <w:t>设备与管理用房不同房间的室内空调负荷随时间的变化规律并不相同，系统具备分室调节功能可以根据不同房间需要按需供冷，节约能源。设置变风</w:t>
      </w:r>
      <w:r>
        <w:rPr>
          <w:rFonts w:hint="eastAsia" w:ascii="宋体" w:hAnsi="宋体" w:cs="方正黑体_GBK"/>
          <w:szCs w:val="21"/>
        </w:rPr>
        <w:t>末端</w:t>
      </w:r>
      <w:r>
        <w:rPr>
          <w:rFonts w:ascii="宋体" w:hAnsi="宋体" w:cs="方正黑体_GBK"/>
          <w:szCs w:val="21"/>
        </w:rPr>
        <w:t>的全空气系统、商用多联机空调系统、多联机房空调系统等多种形式均可实现分室调节功能。</w:t>
      </w:r>
    </w:p>
    <w:p w14:paraId="1D887AA5">
      <w:pPr>
        <w:pStyle w:val="240"/>
      </w:pPr>
    </w:p>
    <w:p w14:paraId="17D5C69D">
      <w:pPr>
        <w:pStyle w:val="86"/>
        <w:ind w:firstLine="560"/>
        <w:rPr>
          <w:rFonts w:eastAsia="黑体"/>
          <w:bCs/>
          <w:color w:val="auto"/>
          <w:kern w:val="44"/>
          <w:sz w:val="28"/>
          <w:szCs w:val="44"/>
        </w:rPr>
      </w:pPr>
    </w:p>
    <w:sectPr>
      <w:pgSz w:w="7937" w:h="11509"/>
      <w:pgMar w:top="1247" w:right="907" w:bottom="1247" w:left="907" w:header="737" w:footer="737"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 wne:kcmPrimary="0235">
      <wne:acd wne:acdName="acd4"/>
    </wne:keymap>
    <wne:keymap wne:kcmPrimary="0236">
      <wne:acd wne:acdName="acd5"/>
    </wne:keymap>
    <wne:keymap wne:kcmPrimary="0237">
      <wne:acd wne:acdName="acd6"/>
    </wne:keymap>
    <wne:keymap wne:kcmPrimary="0238">
      <wne:acd wne:acdName="acd7"/>
    </wne:keymap>
    <wne:keymap wne:kcmPrimary="0239">
      <wne:acd wne:acdName="acd8"/>
    </wne:keymap>
    <wne:keymap wne:kcmPrimary="0242">
      <wne:acd wne:acdName="acd9"/>
    </wne:keymap>
    <wne:keymap wne:kcmPrimary="0244">
      <wne:acd wne:acdName="acd10"/>
    </wne:keymap>
    <wne:keymap wne:kcmPrimary="0251">
      <wne:acd wne:acdName="acd11"/>
    </wne:keymap>
    <wne:keymap wne:kcmPrimary="0254">
      <wne:acd wne:acdName="acd12"/>
    </wne:keymap>
    <wne:keymap wne:kcmPrimary="0257">
      <wne:acd wne:acdName="acd13"/>
    </wne:keymap>
    <wne:keymap wne:kcmPrimary="02C0">
      <wne:acd wne:acdName="acd14"/>
    </wne:keymap>
  </wne:keymap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QAAAAYA" wne:acdName="acd5" wne:fciIndexBasedOn="0065"/>
    <wne:acd wne:argValue="AQAAAAcA" wne:acdName="acd6" wne:fciIndexBasedOn="0065"/>
    <wne:acd wne:argValue="AQAAAAgA" wne:acdName="acd7" wne:fciIndexBasedOn="0065"/>
    <wne:acd wne:argValue="AQAAAAkA" wne:acdName="acd8" wne:fciIndexBasedOn="0065"/>
    <wne:acd wne:argValue="AgA3aA9fIABoiDxoh2VXW/5WaIiHZVdbIAAgAGMAdAByAGwAKwBiAA==" wne:acdName="acd9" wne:fciIndexBasedOn="0065"/>
    <wne:acd wne:argValue="AQAAAAMA" wne:acdName="acd10" wne:fciIndexBasedOn="0065"/>
    <wne:acd wne:argValue="AgBoiDxoh2VXW/5WaIiHZVdbIAAgAGMAdAByAGwAKwBxAA==" wne:acdName="acd11" wne:fciIndexBasedOn="0065"/>
    <wne:acd wne:argValue="AQAAAD4A" wne:acdName="acd12" wne:fciIndexBasedOn="0065"/>
    <wne:acd wne:argValue="AgA3aA9fIACWmUyIKX/bjzoAIAAgADIAIABXWyZ7" wne:acdName="acd13" wne:fciIndexBasedOn="0065"/>
    <wne:acd wne:argValue="AQAAAD4A" wne:acdName="acd1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B558C0B-13B0-4E11-AB1B-4B13143B4031}"/>
  </w:font>
  <w:font w:name="黑体">
    <w:panose1 w:val="02010609060101010101"/>
    <w:charset w:val="86"/>
    <w:family w:val="auto"/>
    <w:pitch w:val="default"/>
    <w:sig w:usb0="800002BF" w:usb1="38CF7CFA" w:usb2="00000016" w:usb3="00000000" w:csb0="00040001" w:csb1="00000000"/>
    <w:embedRegular r:id="rId2" w:fontKey="{E2F341D2-671F-42B6-8FC0-E767896E12B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1E830BA9-0886-431B-86AB-82AE6D7F1554}"/>
  </w:font>
  <w:font w:name="Calibri">
    <w:panose1 w:val="020F0502020204030204"/>
    <w:charset w:val="00"/>
    <w:family w:val="swiss"/>
    <w:pitch w:val="default"/>
    <w:sig w:usb0="E4002EFF" w:usb1="C200247B" w:usb2="00000009" w:usb3="00000000" w:csb0="200001FF" w:csb1="00000000"/>
    <w:embedRegular r:id="rId4" w:fontKey="{33425A5A-6B29-4139-99CD-B274704087EF}"/>
  </w:font>
  <w:font w:name="Plotter">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ˎ̥">
    <w:altName w:val="微软雅黑"/>
    <w:panose1 w:val="00000000000000000000"/>
    <w:charset w:val="01"/>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5" w:fontKey="{DDABA825-83C8-4824-9E83-BBD666179F2A}"/>
  </w:font>
  <w:font w:name="仿宋">
    <w:panose1 w:val="02010609060101010101"/>
    <w:charset w:val="86"/>
    <w:family w:val="modern"/>
    <w:pitch w:val="default"/>
    <w:sig w:usb0="800002BF" w:usb1="38CF7CFA" w:usb2="00000016" w:usb3="00000000" w:csb0="00040001" w:csb1="00000000"/>
    <w:embedRegular r:id="rId6" w:fontKey="{3BE552F1-2C58-4538-A274-C64D0D259CCD}"/>
  </w:font>
  <w:font w:name="方正书宋_GBK">
    <w:altName w:val="微软雅黑"/>
    <w:panose1 w:val="00000000000000000000"/>
    <w:charset w:val="86"/>
    <w:family w:val="script"/>
    <w:pitch w:val="default"/>
    <w:sig w:usb0="00000000" w:usb1="00000000" w:usb2="00000010" w:usb3="00000000" w:csb0="00040000" w:csb1="00000000"/>
    <w:embedRegular r:id="rId7" w:fontKey="{BF08D0C0-5601-46B6-8FCF-7800ABBA678C}"/>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8" w:fontKey="{8BC3AC17-84E6-43C5-8642-9C80C7257857}"/>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embedRegular r:id="rId9" w:fontKey="{202942E4-6F82-4E28-AF6A-76AEBF3CDA01}"/>
  </w:font>
  <w:font w:name="华文细黑">
    <w:panose1 w:val="02010600040101010101"/>
    <w:charset w:val="86"/>
    <w:family w:val="auto"/>
    <w:pitch w:val="default"/>
    <w:sig w:usb0="00000287" w:usb1="080F0000" w:usb2="00000000" w:usb3="00000000" w:csb0="0004009F" w:csb1="DFD70000"/>
  </w:font>
  <w:font w:name="FuturaA Bk BT">
    <w:altName w:val="Arial"/>
    <w:panose1 w:val="00000000000000000000"/>
    <w:charset w:val="00"/>
    <w:family w:val="roman"/>
    <w:pitch w:val="default"/>
    <w:sig w:usb0="00000000" w:usb1="00000000" w:usb2="00000000" w:usb3="00000000" w:csb0="00000001" w:csb1="00000000"/>
  </w:font>
  <w:font w:name="Lucida Grande">
    <w:altName w:val="Times New Roman"/>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ヒラギノ角ゴ Pro W3">
    <w:altName w:val="Times New Roman"/>
    <w:panose1 w:val="00000000000000000000"/>
    <w:charset w:val="00"/>
    <w:family w:val="roman"/>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Adobe 宋体 Std L">
    <w:altName w:val="宋体"/>
    <w:panose1 w:val="00000000000000000000"/>
    <w:charset w:val="86"/>
    <w:family w:val="roman"/>
    <w:pitch w:val="default"/>
    <w:sig w:usb0="00000000" w:usb1="00000000" w:usb2="00000016" w:usb3="00000000" w:csb0="00060007" w:csb1="00000000"/>
  </w:font>
  <w:font w:name="方正大标宋简体">
    <w:altName w:val="微软雅黑"/>
    <w:panose1 w:val="00000000000000000000"/>
    <w:charset w:val="86"/>
    <w:family w:val="auto"/>
    <w:pitch w:val="default"/>
    <w:sig w:usb0="00000000" w:usb1="00000000" w:usb2="00000010" w:usb3="00000000" w:csb0="00040000" w:csb1="00000000"/>
    <w:embedRegular r:id="rId10" w:fontKey="{0240D339-421C-4C2D-831D-0E5515438D3A}"/>
  </w:font>
  <w:font w:name="方正黑体_GBK">
    <w:altName w:val="微软雅黑"/>
    <w:panose1 w:val="00000000000000000000"/>
    <w:charset w:val="86"/>
    <w:family w:val="script"/>
    <w:pitch w:val="default"/>
    <w:sig w:usb0="00000000" w:usb1="00000000" w:usb2="00000010" w:usb3="00000000" w:csb0="00040000" w:csb1="00000000"/>
    <w:embedRegular r:id="rId11" w:fontKey="{8FFD9083-E801-4FCF-8FB4-7ED00C984DCA}"/>
  </w:font>
  <w:font w:name="方正小标宋_GBK">
    <w:altName w:val="微软雅黑"/>
    <w:panose1 w:val="00000000000000000000"/>
    <w:charset w:val="86"/>
    <w:family w:val="script"/>
    <w:pitch w:val="default"/>
    <w:sig w:usb0="00000000" w:usb1="00000000" w:usb2="00000010" w:usb3="00000000" w:csb0="00040000" w:csb1="00000000"/>
    <w:embedRegular r:id="rId12" w:fontKey="{F6921CD0-3733-40FA-AB85-4360F96E923F}"/>
  </w:font>
  <w:font w:name="Helvetica">
    <w:altName w:val="Arial"/>
    <w:panose1 w:val="020B0604020202020204"/>
    <w:charset w:val="00"/>
    <w:family w:val="swiss"/>
    <w:pitch w:val="default"/>
    <w:sig w:usb0="00000000" w:usb1="00000000" w:usb2="00000009" w:usb3="00000000" w:csb0="000001FF" w:csb1="00000000"/>
    <w:embedRegular r:id="rId13" w:fontKey="{8DC7C0A2-3A8A-4293-AC6F-2853198BD883}"/>
  </w:font>
  <w:font w:name="Cambria Math">
    <w:panose1 w:val="02040503050406030204"/>
    <w:charset w:val="00"/>
    <w:family w:val="roman"/>
    <w:pitch w:val="default"/>
    <w:sig w:usb0="E00006FF" w:usb1="420024FF" w:usb2="02000000" w:usb3="00000000" w:csb0="2000019F" w:csb1="00000000"/>
    <w:embedRegular r:id="rId14" w:fontKey="{F8B13F56-239E-4721-B054-8E2E28E1C9CA}"/>
  </w:font>
  <w:font w:name="MS Gothic">
    <w:panose1 w:val="020B0609070205080204"/>
    <w:charset w:val="80"/>
    <w:family w:val="modern"/>
    <w:pitch w:val="default"/>
    <w:sig w:usb0="E00002FF" w:usb1="6AC7FDFB" w:usb2="08000012" w:usb3="00000000" w:csb0="4002009F" w:csb1="DFD70000"/>
    <w:embedRegular r:id="rId15" w:fontKey="{8AE63EB1-59B3-4F3C-8539-3CC2AD242F29}"/>
  </w:font>
  <w:font w:name="ArialMT">
    <w:altName w:val="Arial"/>
    <w:panose1 w:val="00000000000000000000"/>
    <w:charset w:val="00"/>
    <w:family w:val="swiss"/>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97183">
    <w:pPr>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F087C">
    <w:pPr>
      <w:jc w:val="righ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185</w:t>
    </w:r>
    <w:r>
      <w:rPr>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A3A62">
    <w:pPr>
      <w:jc w:val="lef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186</w:t>
    </w:r>
    <w:r>
      <w:rPr>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E1BC9">
    <w:pPr>
      <w:jc w:val="righ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197</w:t>
    </w:r>
    <w:r>
      <w:rPr>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0D7E8">
    <w:pPr>
      <w:jc w:val="lef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198</w:t>
    </w:r>
    <w:r>
      <w:rPr>
        <w:sz w:val="18"/>
        <w:szCs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A6752">
    <w:pPr>
      <w:pStyle w:val="55"/>
      <w:ind w:left="240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B58A7">
    <w:pPr>
      <w:jc w:val="righ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207</w:t>
    </w:r>
    <w:r>
      <w:rPr>
        <w:sz w:val="18"/>
        <w:szCs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B0066">
    <w:pPr>
      <w:jc w:val="lef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208</w:t>
    </w:r>
    <w:r>
      <w:rPr>
        <w:sz w:val="18"/>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A9CCF">
    <w:pPr>
      <w:pStyle w:val="55"/>
      <w:ind w:left="240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4FB9C">
    <w:pPr>
      <w:jc w:val="righ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445</w:t>
    </w:r>
    <w:r>
      <w:rPr>
        <w:sz w:val="18"/>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3D7A9">
    <w:pPr>
      <w:jc w:val="lef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446</w:t>
    </w:r>
    <w:r>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78FAA">
    <w:r>
      <w:fldChar w:fldCharType="begin"/>
    </w:r>
    <w:r>
      <w:instrText xml:space="preserve">PAGE   \* MERGEFORMAT</w:instrText>
    </w:r>
    <w:r>
      <w:fldChar w:fldCharType="separate"/>
    </w:r>
    <w:r>
      <w:rPr>
        <w:lang w:val="zh-CN"/>
      </w:rPr>
      <w:t>56</w:t>
    </w:r>
    <w: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B878B">
    <w:pPr>
      <w:pStyle w:val="55"/>
      <w:ind w:left="240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0AAC3">
    <w:pPr>
      <w:pStyle w:val="55"/>
      <w:ind w:firstLine="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7C214"/>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2A298">
    <w:pPr>
      <w:pStyle w:val="55"/>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F5B59">
    <w:pPr>
      <w:pStyle w:val="55"/>
      <w:ind w:firstLine="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4C723">
    <w:pPr>
      <w:pStyle w:val="55"/>
      <w:ind w:firstLine="360"/>
      <w:jc w:val="righ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CC9C6">
    <w:pPr>
      <w:pStyle w:val="55"/>
    </w:pPr>
    <w:r>
      <w:fldChar w:fldCharType="begin"/>
    </w:r>
    <w:r>
      <w:instrText xml:space="preserve">PAGE   \* MERGEFORMAT</w:instrText>
    </w:r>
    <w:r>
      <w:fldChar w:fldCharType="separate"/>
    </w:r>
    <w:r>
      <w:rPr>
        <w:lang w:val="zh-CN"/>
      </w:rPr>
      <w:t>454</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0BCFE">
    <w:pPr>
      <w:pStyle w:val="55"/>
      <w:ind w:firstLine="360"/>
      <w:jc w:val="right"/>
    </w:pPr>
    <w:r>
      <w:fldChar w:fldCharType="begin"/>
    </w:r>
    <w:r>
      <w:instrText xml:space="preserve">PAGE   \* MERGEFORMAT</w:instrText>
    </w:r>
    <w:r>
      <w:fldChar w:fldCharType="separate"/>
    </w:r>
    <w:r>
      <w:rPr>
        <w:lang w:val="zh-CN"/>
      </w:rPr>
      <w:t>467</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E30E2">
    <w:pPr>
      <w:pStyle w:val="55"/>
    </w:pPr>
    <w:r>
      <w:fldChar w:fldCharType="begin"/>
    </w:r>
    <w:r>
      <w:instrText xml:space="preserve">PAGE   \* MERGEFORMAT</w:instrText>
    </w:r>
    <w:r>
      <w:fldChar w:fldCharType="separate"/>
    </w:r>
    <w:r>
      <w:rPr>
        <w:lang w:val="zh-CN"/>
      </w:rPr>
      <w:t>466</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8FBF9">
    <w:r>
      <w:fldChar w:fldCharType="begin"/>
    </w:r>
    <w:r>
      <w:instrText xml:space="preserve">PAGE   \* MERGEFORMAT</w:instrText>
    </w:r>
    <w:r>
      <w:fldChar w:fldCharType="separate"/>
    </w:r>
    <w:r>
      <w:rPr>
        <w:lang w:val="zh-CN"/>
      </w:rPr>
      <w:t>637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DC377"/>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21922">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359410" cy="201295"/>
              <wp:effectExtent l="0" t="0" r="3175" b="1905"/>
              <wp:wrapNone/>
              <wp:docPr id="2" name="文本框 10"/>
              <wp:cNvGraphicFramePr/>
              <a:graphic xmlns:a="http://schemas.openxmlformats.org/drawingml/2006/main">
                <a:graphicData uri="http://schemas.microsoft.com/office/word/2010/wordprocessingShape">
                  <wps:wsp>
                    <wps:cNvSpPr txBox="1"/>
                    <wps:spPr>
                      <a:xfrm>
                        <a:off x="0" y="0"/>
                        <a:ext cx="359228" cy="201295"/>
                      </a:xfrm>
                      <a:prstGeom prst="rect">
                        <a:avLst/>
                      </a:prstGeom>
                      <a:noFill/>
                      <a:ln w="6350">
                        <a:noFill/>
                      </a:ln>
                      <a:effectLst/>
                    </wps:spPr>
                    <wps:txbx>
                      <w:txbxContent>
                        <w:p w14:paraId="22F21305">
                          <w:pPr>
                            <w:pStyle w:val="55"/>
                          </w:pPr>
                          <w:r>
                            <w:fldChar w:fldCharType="begin"/>
                          </w:r>
                          <w:r>
                            <w:instrText xml:space="preserve"> PAGE  \* MERGEFORMAT </w:instrText>
                          </w:r>
                          <w:r>
                            <w:fldChar w:fldCharType="separate"/>
                          </w:r>
                          <w:r>
                            <w:t>636</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10" o:spid="_x0000_s1026" o:spt="202" type="#_x0000_t202" style="position:absolute;left:0pt;margin-top:0pt;height:15.85pt;width:28.3pt;mso-position-horizontal:outside;mso-position-horizontal-relative:margin;z-index:251665408;mso-width-relative:page;mso-height-relative:page;" filled="f" stroked="f" coordsize="21600,21600" o:gfxdata="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g5BtvTAAAAAwEAAA8AAAAAAAAAAQAgAAAAIgAAAGRycy9kb3ducmV2Lnht&#10;bFBLAQIUABQAAAAIAIdO4kDmvoL4NwIAAGQEAAAOAAAAAAAAAAEAIAAAACIBAABkcnMvZTJvRG9j&#10;LnhtbFBLBQYAAAAABgAGAFkBAADLBQAAAAA=&#10;">
              <v:fill on="f" focussize="0,0"/>
              <v:stroke on="f" weight="0.5pt"/>
              <v:imagedata o:title=""/>
              <o:lock v:ext="edit" aspectratio="f"/>
              <v:textbox inset="0mm,0mm,0mm,0mm" style="mso-fit-shape-to-text:t;">
                <w:txbxContent>
                  <w:p w14:paraId="22F21305">
                    <w:pPr>
                      <w:pStyle w:val="55"/>
                    </w:pPr>
                    <w:r>
                      <w:fldChar w:fldCharType="begin"/>
                    </w:r>
                    <w:r>
                      <w:instrText xml:space="preserve"> PAGE  \* MERGEFORMAT </w:instrText>
                    </w:r>
                    <w:r>
                      <w:fldChar w:fldCharType="separate"/>
                    </w:r>
                    <w:r>
                      <w:t>636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3ECD7">
    <w:pPr>
      <w:jc w:val="left"/>
    </w:pPr>
    <w:r>
      <w:fldChar w:fldCharType="begin"/>
    </w:r>
    <w:r>
      <w:instrText xml:space="preserve">PAGE   \* MERGEFORMAT</w:instrText>
    </w:r>
    <w:r>
      <w:fldChar w:fldCharType="separate"/>
    </w:r>
    <w:r>
      <w:rPr>
        <w:lang w:val="zh-CN"/>
      </w:rPr>
      <w:t>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D013">
    <w:pP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442C3">
    <w:pPr>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BD845">
    <w:pPr>
      <w:jc w:val="right"/>
    </w:pPr>
    <w:r>
      <w:fldChar w:fldCharType="begin"/>
    </w:r>
    <w:r>
      <w:instrText xml:space="preserve">PAGE   \* MERGEFORMAT</w:instrText>
    </w:r>
    <w:r>
      <w:fldChar w:fldCharType="separate"/>
    </w:r>
    <w:r>
      <w:rPr>
        <w:lang w:val="zh-CN"/>
      </w:rP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B8B37">
    <w:pPr>
      <w:jc w:val="right"/>
    </w:pPr>
    <w:r>
      <w:fldChar w:fldCharType="begin"/>
    </w:r>
    <w:r>
      <w:instrText xml:space="preserve">PAGE   \* MERGEFORMAT</w:instrText>
    </w:r>
    <w:r>
      <w:fldChar w:fldCharType="separate"/>
    </w:r>
    <w:r>
      <w:rPr>
        <w:lang w:val="zh-CN"/>
      </w:rPr>
      <w:t>55</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79C60">
    <w:pPr>
      <w:jc w:val="left"/>
    </w:pPr>
    <w:r>
      <w:fldChar w:fldCharType="begin"/>
    </w:r>
    <w:r>
      <w:instrText xml:space="preserve">PAGE   \* MERGEFORMAT</w:instrText>
    </w:r>
    <w:r>
      <w:fldChar w:fldCharType="separate"/>
    </w:r>
    <w:r>
      <w:rPr>
        <w:lang w:val="zh-CN"/>
      </w:rPr>
      <w:t>54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F1874">
    <w:pPr>
      <w:pStyle w:val="57"/>
      <w:jc w:val="right"/>
    </w:pPr>
    <w:r>
      <w:rPr>
        <w:rFonts w:ascii="方正小标宋_GBK" w:eastAsia="方正小标宋_GBK" w:cs="方正小标宋_GBK"/>
        <w:sz w:val="20"/>
        <w:szCs w:val="20"/>
      </w:rPr>
      <w:t>DB11/T 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E8AD9">
    <w:pPr>
      <w:pStyle w:val="57"/>
      <w:ind w:left="3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07E49">
    <w:pPr>
      <w:pStyle w:val="57"/>
      <w:ind w:left="3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400CA">
    <w:pPr>
      <w:pStyle w:val="57"/>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0B902">
    <w:pPr>
      <w:ind w:left="42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CCDDF">
    <w:pPr>
      <w:pStyle w:val="2405"/>
      <w:ind w:firstLine="400"/>
      <w:jc w:val="left"/>
      <w:rPr>
        <w:rFonts w:ascii="Times New Roman" w:cs="Times New Roman"/>
        <w:b/>
        <w:bCs/>
        <w:sz w:val="20"/>
        <w:szCs w:val="20"/>
      </w:rPr>
    </w:pPr>
    <w:r>
      <w:rPr>
        <w:rFonts w:ascii="Times New Roman" w:eastAsia="方正小标宋_GBK" w:cs="Times New Roman"/>
        <w:b/>
        <w:bCs/>
        <w:sz w:val="20"/>
        <w:szCs w:val="20"/>
      </w:rPr>
      <w:t>DB</w:t>
    </w:r>
    <w:r>
      <w:rPr>
        <w:rFonts w:ascii="Times New Roman" w:eastAsia="黑体" w:cs="Times New Roman"/>
        <w:b/>
        <w:bCs/>
        <w:sz w:val="20"/>
        <w:szCs w:val="20"/>
      </w:rPr>
      <w:t>11/T XXXX-XXXX</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C937C">
    <w:pPr>
      <w:pStyle w:val="57"/>
      <w:ind w:firstLine="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BC800">
    <w:pPr>
      <w:pStyle w:val="2405"/>
      <w:jc w:val="left"/>
      <w:rPr>
        <w:rFonts w:ascii="Times New Roman" w:cs="Times New Roman"/>
        <w:b/>
        <w:bCs/>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DDE81">
    <w:pPr>
      <w:ind w:left="42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A5874">
    <w:pPr>
      <w:pStyle w:val="2405"/>
      <w:ind w:firstLine="400"/>
      <w:jc w:val="right"/>
      <w:rPr>
        <w:rFonts w:ascii="Times New Roman" w:cs="Times New Roman"/>
        <w:bCs/>
        <w:sz w:val="20"/>
        <w:szCs w:val="20"/>
      </w:rPr>
    </w:pPr>
    <w:r>
      <w:rPr>
        <w:rFonts w:ascii="Times New Roman" w:eastAsia="方正小标宋_GBK" w:cs="Times New Roman"/>
        <w:bCs/>
        <w:sz w:val="20"/>
        <w:szCs w:val="20"/>
      </w:rPr>
      <w:t>DB</w:t>
    </w:r>
    <w:r>
      <w:rPr>
        <w:rFonts w:ascii="Times New Roman" w:eastAsia="黑体" w:cs="Times New Roman"/>
        <w:bCs/>
        <w:sz w:val="20"/>
        <w:szCs w:val="20"/>
      </w:rPr>
      <w:t>11/T XXXX-XXXX</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1D203">
    <w:pPr>
      <w:pStyle w:val="2405"/>
      <w:jc w:val="left"/>
      <w:rPr>
        <w:rFonts w:ascii="Times New Roman" w:cs="Times New Roman"/>
        <w:bCs/>
        <w:sz w:val="20"/>
        <w:szCs w:val="20"/>
      </w:rPr>
    </w:pPr>
    <w:r>
      <w:rPr>
        <w:rFonts w:ascii="Times New Roman" w:eastAsia="方正小标宋_GBK" w:cs="Times New Roman"/>
        <w:bCs/>
        <w:sz w:val="20"/>
        <w:szCs w:val="20"/>
      </w:rPr>
      <w:t>DB</w:t>
    </w:r>
    <w:r>
      <w:rPr>
        <w:rFonts w:ascii="Times New Roman" w:eastAsia="黑体" w:cs="Times New Roman"/>
        <w:bCs/>
        <w:sz w:val="20"/>
        <w:szCs w:val="20"/>
      </w:rPr>
      <w:t>11/T 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3006D">
    <w:pPr>
      <w:jc w:val="right"/>
    </w:pPr>
    <w:r>
      <w:t>DB11/T 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B532E">
    <w:pPr>
      <w:spacing w:line="240" w:lineRule="auto"/>
      <w:jc w:val="left"/>
    </w:pPr>
    <w:r>
      <w:rPr>
        <w:rFonts w:eastAsia="Times New Roman"/>
        <w:bCs/>
        <w:szCs w:val="20"/>
      </w:rPr>
      <w:t>DB11/T XXXX-XXXX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A3C0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85CE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E5889">
    <w:pPr>
      <w:jc w:val="right"/>
    </w:pPr>
    <w:r>
      <w:t>DB11/T XXXX-XXXX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9E574">
    <w:r>
      <w:t>DB11/T XXXX-XXXX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472E6">
    <w:r>
      <w:t>DB11/T XXXX-XXXX</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5262E">
    <w:pPr>
      <w:pStyle w:val="57"/>
      <w:ind w:left="3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1B0E9B"/>
    <w:multiLevelType w:val="multilevel"/>
    <w:tmpl w:val="011B0E9B"/>
    <w:lvl w:ilvl="0" w:tentative="0">
      <w:start w:val="1"/>
      <w:numFmt w:val="decimal"/>
      <w:pStyle w:val="591"/>
      <w:lvlText w:val="3.2.%1 "/>
      <w:lvlJc w:val="left"/>
      <w:pPr>
        <w:ind w:left="644" w:hanging="360"/>
      </w:pPr>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pStyle w:val="613"/>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447"/>
      <w:suff w:val="nothing"/>
      <w:lvlText w:val="%1%2.%3　"/>
      <w:lvlJc w:val="left"/>
      <w:pPr>
        <w:ind w:left="0" w:firstLine="0"/>
      </w:pPr>
      <w:rPr>
        <w:rFonts w:hint="eastAsia" w:ascii="黑体" w:hAnsi="Times New Roman" w:eastAsia="黑体"/>
        <w:b w:val="0"/>
        <w:i w:val="0"/>
        <w:sz w:val="21"/>
      </w:rPr>
    </w:lvl>
    <w:lvl w:ilvl="3" w:tentative="0">
      <w:start w:val="1"/>
      <w:numFmt w:val="decimal"/>
      <w:pStyle w:val="443"/>
      <w:suff w:val="nothing"/>
      <w:lvlText w:val="%1%2.%3.%4　"/>
      <w:lvlJc w:val="left"/>
      <w:pPr>
        <w:ind w:left="0" w:firstLine="0"/>
      </w:pPr>
      <w:rPr>
        <w:rFonts w:hint="eastAsia" w:ascii="黑体" w:hAnsi="Times New Roman" w:eastAsia="黑体"/>
        <w:b w:val="0"/>
        <w:i w:val="0"/>
        <w:sz w:val="21"/>
      </w:rPr>
    </w:lvl>
    <w:lvl w:ilvl="4" w:tentative="0">
      <w:start w:val="1"/>
      <w:numFmt w:val="decimal"/>
      <w:pStyle w:val="444"/>
      <w:suff w:val="nothing"/>
      <w:lvlText w:val="%1%2.%3.%4.%5　"/>
      <w:lvlJc w:val="left"/>
      <w:pPr>
        <w:ind w:left="0" w:firstLine="0"/>
      </w:pPr>
      <w:rPr>
        <w:rFonts w:hint="eastAsia" w:ascii="黑体" w:hAnsi="Times New Roman" w:eastAsia="黑体"/>
        <w:b w:val="0"/>
        <w:i w:val="0"/>
        <w:sz w:val="21"/>
      </w:rPr>
    </w:lvl>
    <w:lvl w:ilvl="5" w:tentative="0">
      <w:start w:val="1"/>
      <w:numFmt w:val="decimal"/>
      <w:pStyle w:val="445"/>
      <w:suff w:val="nothing"/>
      <w:lvlText w:val="%1%2.%3.%4.%5.%6　"/>
      <w:lvlJc w:val="left"/>
      <w:pPr>
        <w:ind w:left="0" w:firstLine="0"/>
      </w:pPr>
      <w:rPr>
        <w:rFonts w:hint="eastAsia" w:ascii="黑体" w:hAnsi="Times New Roman" w:eastAsia="黑体"/>
        <w:b w:val="0"/>
        <w:i w:val="0"/>
        <w:sz w:val="21"/>
      </w:rPr>
    </w:lvl>
    <w:lvl w:ilvl="6" w:tentative="0">
      <w:start w:val="1"/>
      <w:numFmt w:val="decimal"/>
      <w:pStyle w:val="4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89D109C"/>
    <w:multiLevelType w:val="multilevel"/>
    <w:tmpl w:val="089D109C"/>
    <w:lvl w:ilvl="0" w:tentative="0">
      <w:start w:val="1"/>
      <w:numFmt w:val="bullet"/>
      <w:pStyle w:val="617"/>
      <w:lvlText w:val=""/>
      <w:lvlJc w:val="left"/>
      <w:pPr>
        <w:tabs>
          <w:tab w:val="left" w:pos="1814"/>
        </w:tabs>
        <w:ind w:left="1814" w:hanging="453"/>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92046EA"/>
    <w:multiLevelType w:val="multilevel"/>
    <w:tmpl w:val="092046EA"/>
    <w:lvl w:ilvl="0" w:tentative="0">
      <w:start w:val="1"/>
      <w:numFmt w:val="decimal"/>
      <w:pStyle w:val="594"/>
      <w:lvlText w:val="3.4.%1 "/>
      <w:lvlJc w:val="left"/>
      <w:pPr>
        <w:ind w:left="1495" w:hanging="36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92F0576"/>
    <w:multiLevelType w:val="multilevel"/>
    <w:tmpl w:val="092F0576"/>
    <w:lvl w:ilvl="0" w:tentative="0">
      <w:start w:val="1"/>
      <w:numFmt w:val="decimal"/>
      <w:lvlText w:val="第%1章  "/>
      <w:lvlJc w:val="left"/>
      <w:pPr>
        <w:tabs>
          <w:tab w:val="left" w:pos="1440"/>
        </w:tabs>
      </w:pPr>
      <w:rPr>
        <w:rFonts w:hint="eastAsia" w:ascii="宋体" w:eastAsia="宋体"/>
        <w:b/>
        <w:bCs/>
        <w:i w:val="0"/>
        <w:iCs w:val="0"/>
        <w:snapToGrid/>
        <w:spacing w:val="6"/>
        <w:w w:val="95"/>
        <w:kern w:val="2"/>
        <w:position w:val="0"/>
        <w:sz w:val="36"/>
        <w:szCs w:val="36"/>
      </w:rPr>
    </w:lvl>
    <w:lvl w:ilvl="1" w:tentative="0">
      <w:start w:val="1"/>
      <w:numFmt w:val="decimal"/>
      <w:pStyle w:val="608"/>
      <w:lvlText w:val="%1.%2 "/>
      <w:lvlJc w:val="left"/>
      <w:pPr>
        <w:tabs>
          <w:tab w:val="left" w:pos="720"/>
        </w:tabs>
      </w:pPr>
      <w:rPr>
        <w:rFonts w:hint="eastAsia" w:ascii="宋体" w:eastAsia="宋体"/>
        <w:b/>
        <w:bCs/>
        <w:i w:val="0"/>
        <w:iCs w:val="0"/>
        <w:spacing w:val="6"/>
        <w:w w:val="95"/>
        <w:position w:val="0"/>
        <w:sz w:val="30"/>
        <w:szCs w:val="30"/>
      </w:rPr>
    </w:lvl>
    <w:lvl w:ilvl="2" w:tentative="0">
      <w:start w:val="1"/>
      <w:numFmt w:val="decimal"/>
      <w:pStyle w:val="609"/>
      <w:lvlText w:val="%1.%2.%3 "/>
      <w:lvlJc w:val="left"/>
      <w:pPr>
        <w:tabs>
          <w:tab w:val="left" w:pos="851"/>
        </w:tabs>
        <w:ind w:left="851" w:hanging="851"/>
      </w:pPr>
      <w:rPr>
        <w:rFonts w:hint="eastAsia" w:ascii="宋体" w:eastAsia="宋体"/>
        <w:b/>
        <w:bCs/>
        <w:i w:val="0"/>
        <w:iCs w:val="0"/>
        <w:spacing w:val="6"/>
        <w:w w:val="95"/>
        <w:position w:val="0"/>
        <w:sz w:val="24"/>
        <w:szCs w:val="24"/>
      </w:rPr>
    </w:lvl>
    <w:lvl w:ilvl="3" w:tentative="0">
      <w:start w:val="1"/>
      <w:numFmt w:val="decimal"/>
      <w:pStyle w:val="610"/>
      <w:lvlText w:val="%1.%2.%3.%4 "/>
      <w:lvlJc w:val="left"/>
      <w:pPr>
        <w:tabs>
          <w:tab w:val="left" w:pos="1505"/>
        </w:tabs>
        <w:ind w:firstLine="425"/>
      </w:pPr>
      <w:rPr>
        <w:rFonts w:hint="eastAsia" w:ascii="宋体" w:eastAsia="宋体"/>
        <w:b/>
        <w:bCs/>
        <w:i w:val="0"/>
        <w:iCs w:val="0"/>
        <w:spacing w:val="6"/>
        <w:w w:val="95"/>
        <w:position w:val="0"/>
        <w:sz w:val="24"/>
        <w:szCs w:val="24"/>
      </w:rPr>
    </w:lvl>
    <w:lvl w:ilvl="4" w:tentative="0">
      <w:start w:val="1"/>
      <w:numFmt w:val="decimal"/>
      <w:pStyle w:val="611"/>
      <w:lvlText w:val="%5) "/>
      <w:lvlJc w:val="left"/>
      <w:pPr>
        <w:tabs>
          <w:tab w:val="left" w:pos="927"/>
        </w:tabs>
        <w:ind w:firstLine="567"/>
      </w:pPr>
      <w:rPr>
        <w:rFonts w:hint="eastAsia" w:ascii="宋体" w:eastAsia="宋体"/>
        <w:b w:val="0"/>
        <w:bCs w:val="0"/>
        <w:i w:val="0"/>
        <w:iCs w:val="0"/>
        <w:spacing w:val="6"/>
        <w:w w:val="95"/>
        <w:position w:val="0"/>
        <w:sz w:val="24"/>
        <w:szCs w:val="24"/>
      </w:rPr>
    </w:lvl>
    <w:lvl w:ilvl="5" w:tentative="0">
      <w:start w:val="1"/>
      <w:numFmt w:val="lowerLetter"/>
      <w:pStyle w:val="612"/>
      <w:lvlText w:val="%6)"/>
      <w:lvlJc w:val="left"/>
      <w:pPr>
        <w:tabs>
          <w:tab w:val="left" w:pos="1069"/>
        </w:tabs>
        <w:ind w:firstLine="709"/>
      </w:pPr>
      <w:rPr>
        <w:rFonts w:hint="eastAsia" w:ascii="仿宋_GB2312" w:eastAsia="仿宋_GB2312"/>
        <w:b w:val="0"/>
        <w:bCs w:val="0"/>
        <w:i w:val="0"/>
        <w:iCs w:val="0"/>
        <w:spacing w:val="6"/>
        <w:w w:val="95"/>
        <w:position w:val="0"/>
        <w:sz w:val="28"/>
        <w:szCs w:val="28"/>
      </w:rPr>
    </w:lvl>
    <w:lvl w:ilvl="6" w:tentative="0">
      <w:start w:val="1"/>
      <w:numFmt w:val="decimal"/>
      <w:lvlText w:val="%1.%2.%3.%4.%5.%6.%7."/>
      <w:lvlJc w:val="left"/>
      <w:pPr>
        <w:tabs>
          <w:tab w:val="left" w:pos="7147"/>
        </w:tabs>
        <w:ind w:left="7147" w:hanging="1276"/>
      </w:pPr>
      <w:rPr>
        <w:rFonts w:hint="eastAsia"/>
      </w:rPr>
    </w:lvl>
    <w:lvl w:ilvl="7" w:tentative="0">
      <w:start w:val="1"/>
      <w:numFmt w:val="decimal"/>
      <w:lvlText w:val="%1.%2.%3.%4.%5.%6.%7.%8."/>
      <w:lvlJc w:val="left"/>
      <w:pPr>
        <w:tabs>
          <w:tab w:val="left" w:pos="7289"/>
        </w:tabs>
        <w:ind w:left="7289" w:hanging="1418"/>
      </w:pPr>
      <w:rPr>
        <w:rFonts w:hint="eastAsia"/>
      </w:rPr>
    </w:lvl>
    <w:lvl w:ilvl="8" w:tentative="0">
      <w:start w:val="1"/>
      <w:numFmt w:val="decimal"/>
      <w:lvlText w:val="%1.%2.%3.%4.%5.%6.%7.%8.%9."/>
      <w:lvlJc w:val="left"/>
      <w:pPr>
        <w:tabs>
          <w:tab w:val="left" w:pos="7430"/>
        </w:tabs>
        <w:ind w:left="7430" w:hanging="1559"/>
      </w:pPr>
      <w:rPr>
        <w:rFonts w:hint="eastAsia"/>
      </w:rPr>
    </w:lvl>
  </w:abstractNum>
  <w:abstractNum w:abstractNumId="5">
    <w:nsid w:val="0AE367E9"/>
    <w:multiLevelType w:val="multilevel"/>
    <w:tmpl w:val="0AE367E9"/>
    <w:lvl w:ilvl="0" w:tentative="0">
      <w:start w:val="1"/>
      <w:numFmt w:val="none"/>
      <w:pStyle w:val="441"/>
      <w:lvlText w:val="%1示例"/>
      <w:lvlJc w:val="left"/>
      <w:pPr>
        <w:tabs>
          <w:tab w:val="left" w:pos="1120"/>
        </w:tabs>
        <w:ind w:firstLine="400"/>
      </w:pPr>
      <w:rPr>
        <w:rFonts w:hint="eastAsia" w:ascii="宋体" w:eastAsia="宋体"/>
        <w:b w:val="0"/>
        <w:bCs w:val="0"/>
        <w:i w:val="0"/>
        <w:iCs w:val="0"/>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ED77295"/>
    <w:multiLevelType w:val="multilevel"/>
    <w:tmpl w:val="0ED77295"/>
    <w:lvl w:ilvl="0" w:tentative="0">
      <w:start w:val="7"/>
      <w:numFmt w:val="decimal"/>
      <w:lvlText w:val="%1"/>
      <w:lvlJc w:val="left"/>
      <w:pPr>
        <w:tabs>
          <w:tab w:val="left" w:pos="360"/>
        </w:tabs>
        <w:ind w:left="0" w:firstLine="0"/>
      </w:pPr>
      <w:rPr>
        <w:rFonts w:hint="eastAsia"/>
      </w:rPr>
    </w:lvl>
    <w:lvl w:ilvl="1" w:tentative="0">
      <w:start w:val="1"/>
      <w:numFmt w:val="decimal"/>
      <w:pStyle w:val="579"/>
      <w:lvlText w:val="%1.%2"/>
      <w:lvlJc w:val="left"/>
      <w:pPr>
        <w:tabs>
          <w:tab w:val="left" w:pos="360"/>
        </w:tabs>
        <w:ind w:left="0" w:firstLine="0"/>
      </w:pPr>
      <w:rPr>
        <w:rFonts w:hint="default" w:ascii="Times New Roman" w:hAnsi="Times New Roman" w:eastAsia="黑体" w:cs="Times New Roman"/>
        <w:b/>
        <w:i w:val="0"/>
        <w:sz w:val="24"/>
      </w:rPr>
    </w:lvl>
    <w:lvl w:ilvl="2" w:tentative="0">
      <w:start w:val="1"/>
      <w:numFmt w:val="decimal"/>
      <w:pStyle w:val="580"/>
      <w:lvlText w:val="%1.%2.%3"/>
      <w:lvlJc w:val="left"/>
      <w:pPr>
        <w:ind w:left="357" w:hanging="357"/>
      </w:pPr>
      <w:rPr>
        <w:rFonts w:hint="default" w:ascii="Times New Roman" w:hAnsi="Times New Roman"/>
        <w:b/>
      </w:rPr>
    </w:lvl>
    <w:lvl w:ilvl="3" w:tentative="0">
      <w:start w:val="1"/>
      <w:numFmt w:val="decimal"/>
      <w:lvlText w:val="%1.%2.%3.%4"/>
      <w:lvlJc w:val="left"/>
      <w:pPr>
        <w:tabs>
          <w:tab w:val="left" w:pos="360"/>
        </w:tabs>
        <w:ind w:left="0" w:firstLine="0"/>
      </w:pPr>
      <w:rPr>
        <w:rFonts w:hint="eastAsia"/>
      </w:rPr>
    </w:lvl>
    <w:lvl w:ilvl="4" w:tentative="0">
      <w:start w:val="1"/>
      <w:numFmt w:val="decimal"/>
      <w:lvlText w:val="%1.%2.%3.%4.%5"/>
      <w:lvlJc w:val="left"/>
      <w:pPr>
        <w:tabs>
          <w:tab w:val="left" w:pos="360"/>
        </w:tabs>
        <w:ind w:left="0" w:firstLine="0"/>
      </w:pPr>
      <w:rPr>
        <w:rFonts w:hint="eastAsia"/>
      </w:rPr>
    </w:lvl>
    <w:lvl w:ilvl="5" w:tentative="0">
      <w:start w:val="1"/>
      <w:numFmt w:val="decimal"/>
      <w:lvlText w:val="%1.%2.%3.%4.%5.%6"/>
      <w:lvlJc w:val="left"/>
      <w:pPr>
        <w:tabs>
          <w:tab w:val="left" w:pos="360"/>
        </w:tabs>
        <w:ind w:left="0" w:firstLine="0"/>
      </w:pPr>
      <w:rPr>
        <w:rFonts w:hint="eastAsia"/>
      </w:rPr>
    </w:lvl>
    <w:lvl w:ilvl="6" w:tentative="0">
      <w:start w:val="1"/>
      <w:numFmt w:val="decimal"/>
      <w:lvlText w:val="%1.%2.%3.%4.%5.%6.%7"/>
      <w:lvlJc w:val="left"/>
      <w:pPr>
        <w:tabs>
          <w:tab w:val="left" w:pos="360"/>
        </w:tabs>
        <w:ind w:left="0" w:firstLine="0"/>
      </w:pPr>
      <w:rPr>
        <w:rFonts w:hint="eastAsia"/>
      </w:rPr>
    </w:lvl>
    <w:lvl w:ilvl="7" w:tentative="0">
      <w:start w:val="1"/>
      <w:numFmt w:val="decimal"/>
      <w:lvlText w:val="%1.%2.%3.%4.%5.%6.%7.%8"/>
      <w:lvlJc w:val="left"/>
      <w:pPr>
        <w:tabs>
          <w:tab w:val="left" w:pos="360"/>
        </w:tabs>
        <w:ind w:left="0" w:firstLine="0"/>
      </w:pPr>
      <w:rPr>
        <w:rFonts w:hint="eastAsia"/>
      </w:rPr>
    </w:lvl>
    <w:lvl w:ilvl="8" w:tentative="0">
      <w:start w:val="1"/>
      <w:numFmt w:val="decimal"/>
      <w:lvlText w:val="%1.%2.%3.%4.%5.%6.%7.%8.%9"/>
      <w:lvlJc w:val="left"/>
      <w:pPr>
        <w:tabs>
          <w:tab w:val="left" w:pos="360"/>
        </w:tabs>
        <w:ind w:left="0" w:firstLine="0"/>
      </w:pPr>
      <w:rPr>
        <w:rFonts w:hint="eastAsia"/>
      </w:rPr>
    </w:lvl>
  </w:abstractNum>
  <w:abstractNum w:abstractNumId="7">
    <w:nsid w:val="138F1A26"/>
    <w:multiLevelType w:val="multilevel"/>
    <w:tmpl w:val="138F1A26"/>
    <w:lvl w:ilvl="0" w:tentative="0">
      <w:start w:val="1"/>
      <w:numFmt w:val="decimal"/>
      <w:pStyle w:val="604"/>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8356CD2"/>
    <w:multiLevelType w:val="multilevel"/>
    <w:tmpl w:val="18356CD2"/>
    <w:lvl w:ilvl="0" w:tentative="0">
      <w:start w:val="1"/>
      <w:numFmt w:val="decimal"/>
      <w:pStyle w:val="601"/>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CEF3904"/>
    <w:multiLevelType w:val="multilevel"/>
    <w:tmpl w:val="1CEF3904"/>
    <w:lvl w:ilvl="0" w:tentative="0">
      <w:start w:val="1"/>
      <w:numFmt w:val="decimal"/>
      <w:pStyle w:val="626"/>
      <w:lvlText w:val="%1"/>
      <w:lvlJc w:val="left"/>
      <w:pPr>
        <w:tabs>
          <w:tab w:val="left" w:pos="432"/>
        </w:tabs>
        <w:ind w:left="432" w:hanging="432"/>
      </w:pPr>
      <w:rPr>
        <w:rFonts w:hint="default"/>
      </w:rPr>
    </w:lvl>
    <w:lvl w:ilvl="1" w:tentative="0">
      <w:start w:val="1"/>
      <w:numFmt w:val="decimal"/>
      <w:pStyle w:val="627"/>
      <w:lvlText w:val="%1.%2"/>
      <w:lvlJc w:val="left"/>
      <w:pPr>
        <w:tabs>
          <w:tab w:val="left" w:pos="576"/>
        </w:tabs>
        <w:ind w:left="576" w:hanging="576"/>
      </w:pPr>
      <w:rPr>
        <w:rFonts w:hint="default"/>
      </w:rPr>
    </w:lvl>
    <w:lvl w:ilvl="2" w:tentative="0">
      <w:start w:val="1"/>
      <w:numFmt w:val="decimal"/>
      <w:pStyle w:val="628"/>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0">
    <w:nsid w:val="1E916017"/>
    <w:multiLevelType w:val="multilevel"/>
    <w:tmpl w:val="1E91601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86D0694"/>
    <w:multiLevelType w:val="multilevel"/>
    <w:tmpl w:val="286D0694"/>
    <w:lvl w:ilvl="0" w:tentative="0">
      <w:start w:val="1"/>
      <w:numFmt w:val="decimal"/>
      <w:lvlText w:val="%1）"/>
      <w:lvlJc w:val="left"/>
      <w:pPr>
        <w:ind w:left="927" w:hanging="360"/>
      </w:pPr>
      <w:rPr>
        <w:rFonts w:hint="default"/>
        <w:lang w:eastAsia="zh-CN"/>
      </w:rPr>
    </w:lvl>
    <w:lvl w:ilvl="1" w:tentative="0">
      <w:start w:val="1"/>
      <w:numFmt w:val="lowerLetter"/>
      <w:lvlText w:val="%2)"/>
      <w:lvlJc w:val="left"/>
      <w:pPr>
        <w:ind w:left="1481" w:hanging="440"/>
      </w:pPr>
    </w:lvl>
    <w:lvl w:ilvl="2" w:tentative="0">
      <w:start w:val="1"/>
      <w:numFmt w:val="lowerRoman"/>
      <w:lvlText w:val="%3."/>
      <w:lvlJc w:val="right"/>
      <w:pPr>
        <w:ind w:left="1921" w:hanging="440"/>
      </w:pPr>
    </w:lvl>
    <w:lvl w:ilvl="3" w:tentative="0">
      <w:start w:val="1"/>
      <w:numFmt w:val="decimal"/>
      <w:lvlText w:val="%4."/>
      <w:lvlJc w:val="left"/>
      <w:pPr>
        <w:ind w:left="2361" w:hanging="440"/>
      </w:pPr>
    </w:lvl>
    <w:lvl w:ilvl="4" w:tentative="0">
      <w:start w:val="1"/>
      <w:numFmt w:val="lowerLetter"/>
      <w:lvlText w:val="%5)"/>
      <w:lvlJc w:val="left"/>
      <w:pPr>
        <w:ind w:left="2801" w:hanging="440"/>
      </w:pPr>
    </w:lvl>
    <w:lvl w:ilvl="5" w:tentative="0">
      <w:start w:val="1"/>
      <w:numFmt w:val="lowerRoman"/>
      <w:lvlText w:val="%6."/>
      <w:lvlJc w:val="right"/>
      <w:pPr>
        <w:ind w:left="3241" w:hanging="440"/>
      </w:pPr>
    </w:lvl>
    <w:lvl w:ilvl="6" w:tentative="0">
      <w:start w:val="1"/>
      <w:numFmt w:val="decimal"/>
      <w:lvlText w:val="%7."/>
      <w:lvlJc w:val="left"/>
      <w:pPr>
        <w:ind w:left="3681" w:hanging="440"/>
      </w:pPr>
    </w:lvl>
    <w:lvl w:ilvl="7" w:tentative="0">
      <w:start w:val="1"/>
      <w:numFmt w:val="lowerLetter"/>
      <w:lvlText w:val="%8)"/>
      <w:lvlJc w:val="left"/>
      <w:pPr>
        <w:ind w:left="4121" w:hanging="440"/>
      </w:pPr>
    </w:lvl>
    <w:lvl w:ilvl="8" w:tentative="0">
      <w:start w:val="1"/>
      <w:numFmt w:val="lowerRoman"/>
      <w:lvlText w:val="%9."/>
      <w:lvlJc w:val="right"/>
      <w:pPr>
        <w:ind w:left="4561" w:hanging="440"/>
      </w:pPr>
    </w:lvl>
  </w:abstractNum>
  <w:abstractNum w:abstractNumId="12">
    <w:nsid w:val="303473CE"/>
    <w:multiLevelType w:val="multilevel"/>
    <w:tmpl w:val="303473CE"/>
    <w:lvl w:ilvl="0" w:tentative="0">
      <w:start w:val="1"/>
      <w:numFmt w:val="decimal"/>
      <w:suff w:val="nothing"/>
      <w:lvlText w:val="第%1章  "/>
      <w:lvlJc w:val="left"/>
      <w:pPr>
        <w:ind w:left="0"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pStyle w:val="582"/>
      <w:suff w:val="nothing"/>
      <w:lvlText w:val="第%2节  "/>
      <w:lvlJc w:val="left"/>
      <w:pPr>
        <w:ind w:left="0" w:firstLine="0"/>
      </w:pPr>
      <w:rPr>
        <w:rFonts w:hint="eastAsia" w:eastAsia="黑体"/>
        <w:szCs w:val="28"/>
        <w:lang w:val="en-US" w:eastAsia="zh-CN" w:bidi="ar-SA"/>
      </w:rPr>
    </w:lvl>
    <w:lvl w:ilvl="2" w:tentative="0">
      <w:start w:val="1"/>
      <w:numFmt w:val="decimal"/>
      <w:pStyle w:val="583"/>
      <w:suff w:val="nothing"/>
      <w:lvlText w:val="%3 "/>
      <w:lvlJc w:val="left"/>
      <w:pPr>
        <w:ind w:left="1985" w:firstLine="0"/>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pStyle w:val="584"/>
      <w:suff w:val="nothing"/>
      <w:lvlText w:val="%3.%4 "/>
      <w:lvlJc w:val="left"/>
      <w:pPr>
        <w:ind w:left="0" w:firstLine="0"/>
      </w:pPr>
      <w:rPr>
        <w:rFonts w:hint="eastAsia"/>
        <w:b/>
      </w:rPr>
    </w:lvl>
    <w:lvl w:ilvl="4" w:tentative="0">
      <w:start w:val="1"/>
      <w:numFmt w:val="decimal"/>
      <w:pStyle w:val="585"/>
      <w:suff w:val="nothing"/>
      <w:lvlText w:val="%3.0.%5 "/>
      <w:lvlJc w:val="left"/>
      <w:pPr>
        <w:ind w:left="284" w:firstLine="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5" w:tentative="0">
      <w:start w:val="1"/>
      <w:numFmt w:val="decimal"/>
      <w:pStyle w:val="587"/>
      <w:suff w:val="nothing"/>
      <w:lvlText w:val="%6 "/>
      <w:lvlJc w:val="left"/>
      <w:pPr>
        <w:ind w:left="426" w:firstLine="0"/>
      </w:pPr>
      <w:rPr>
        <w:rFonts w:hint="eastAsia"/>
        <w:sz w:val="24"/>
        <w:szCs w:val="10351"/>
        <w:lang w:val="en-US" w:eastAsia="zh-CN"/>
      </w:rPr>
    </w:lvl>
    <w:lvl w:ilvl="6" w:tentative="0">
      <w:start w:val="1"/>
      <w:numFmt w:val="decimal"/>
      <w:pStyle w:val="588"/>
      <w:suff w:val="nothing"/>
      <w:lvlText w:val="%7）"/>
      <w:lvlJc w:val="left"/>
      <w:pPr>
        <w:ind w:left="567" w:firstLine="0"/>
      </w:pPr>
      <w:rPr>
        <w:rFonts w:hint="eastAsia"/>
        <w:sz w:val="24"/>
        <w:lang w:val="en-US" w:eastAsia="zh-CN"/>
      </w:rPr>
    </w:lvl>
    <w:lvl w:ilvl="7" w:tentative="0">
      <w:start w:val="1"/>
      <w:numFmt w:val="lowerLetter"/>
      <w:pStyle w:val="589"/>
      <w:suff w:val="nothing"/>
      <w:lvlText w:val="    %8. "/>
      <w:lvlJc w:val="left"/>
      <w:pPr>
        <w:ind w:left="0" w:firstLine="0"/>
      </w:pPr>
      <w:rPr>
        <w:rFonts w:hint="eastAsia"/>
      </w:rPr>
    </w:lvl>
    <w:lvl w:ilvl="8" w:tentative="0">
      <w:start w:val="1"/>
      <w:numFmt w:val="lowerLetter"/>
      <w:pStyle w:val="586"/>
      <w:suff w:val="nothing"/>
      <w:lvlText w:val="    %9）"/>
      <w:lvlJc w:val="left"/>
      <w:pPr>
        <w:ind w:left="0" w:firstLine="0"/>
      </w:pPr>
      <w:rPr>
        <w:rFonts w:hint="eastAsia"/>
      </w:rPr>
    </w:lvl>
  </w:abstractNum>
  <w:abstractNum w:abstractNumId="13">
    <w:nsid w:val="34804EC4"/>
    <w:multiLevelType w:val="singleLevel"/>
    <w:tmpl w:val="34804EC4"/>
    <w:lvl w:ilvl="0" w:tentative="0">
      <w:start w:val="1"/>
      <w:numFmt w:val="bullet"/>
      <w:pStyle w:val="629"/>
      <w:lvlText w:val=""/>
      <w:lvlJc w:val="left"/>
      <w:pPr>
        <w:tabs>
          <w:tab w:val="left" w:pos="360"/>
        </w:tabs>
        <w:ind w:left="360" w:hanging="360"/>
      </w:pPr>
      <w:rPr>
        <w:rFonts w:hint="default" w:ascii="Symbol" w:hAnsi="Symbol"/>
      </w:rPr>
    </w:lvl>
  </w:abstractNum>
  <w:abstractNum w:abstractNumId="14">
    <w:nsid w:val="3879299E"/>
    <w:multiLevelType w:val="multilevel"/>
    <w:tmpl w:val="3879299E"/>
    <w:lvl w:ilvl="0" w:tentative="0">
      <w:start w:val="1"/>
      <w:numFmt w:val="decimal"/>
      <w:pStyle w:val="602"/>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2074E3C"/>
    <w:multiLevelType w:val="multilevel"/>
    <w:tmpl w:val="42074E3C"/>
    <w:lvl w:ilvl="0" w:tentative="0">
      <w:start w:val="1"/>
      <w:numFmt w:val="decimal"/>
      <w:pStyle w:val="607"/>
      <w:lvlText w:val="%1"/>
      <w:lvlJc w:val="left"/>
      <w:pPr>
        <w:tabs>
          <w:tab w:val="left" w:pos="420"/>
        </w:tabs>
        <w:ind w:left="420" w:hanging="420"/>
      </w:pPr>
      <w:rPr>
        <w:rFonts w:ascii="宋体" w:hAnsi="宋体" w:eastAsia="宋体" w:cs="Times New Roman"/>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452274C7"/>
    <w:multiLevelType w:val="multilevel"/>
    <w:tmpl w:val="452274C7"/>
    <w:lvl w:ilvl="0" w:tentative="0">
      <w:start w:val="26"/>
      <w:numFmt w:val="decimal"/>
      <w:suff w:val="nothing"/>
      <w:lvlText w:val="%1　"/>
      <w:lvlJc w:val="center"/>
      <w:pPr>
        <w:ind w:left="0" w:firstLine="288"/>
      </w:pPr>
      <w:rPr>
        <w:rFonts w:hint="eastAsia" w:ascii="黑体" w:eastAsia="黑体"/>
        <w:sz w:val="44"/>
      </w:rPr>
    </w:lvl>
    <w:lvl w:ilvl="1" w:tentative="0">
      <w:start w:val="1"/>
      <w:numFmt w:val="decimal"/>
      <w:pStyle w:val="620"/>
      <w:suff w:val="nothing"/>
      <w:lvlText w:val="%1.%2"/>
      <w:lvlJc w:val="left"/>
      <w:pPr>
        <w:ind w:left="3240" w:firstLine="0"/>
      </w:pPr>
      <w:rPr>
        <w:rFonts w:hint="default" w:ascii="Times New Roman" w:hAnsi="Times New Roman" w:eastAsia="黑体" w:cs="Times New Roman"/>
        <w:sz w:val="28"/>
        <w:szCs w:val="21"/>
      </w:rPr>
    </w:lvl>
    <w:lvl w:ilvl="2" w:tentative="0">
      <w:start w:val="1"/>
      <w:numFmt w:val="decimal"/>
      <w:suff w:val="nothing"/>
      <w:lvlText w:val="%1.%2.%3　"/>
      <w:lvlJc w:val="left"/>
      <w:pPr>
        <w:ind w:left="710" w:firstLine="0"/>
      </w:pPr>
      <w:rPr>
        <w:rFonts w:hint="default" w:ascii="Times New Roman" w:hAnsi="Times New Roman" w:eastAsia="黑体" w:cs="Times New Roman"/>
        <w:b w:val="0"/>
        <w:sz w:val="24"/>
        <w:szCs w:val="24"/>
      </w:rPr>
    </w:lvl>
    <w:lvl w:ilvl="3" w:tentative="0">
      <w:start w:val="1"/>
      <w:numFmt w:val="decimal"/>
      <w:suff w:val="nothing"/>
      <w:lvlText w:val="%1.%2.%3.%4　"/>
      <w:lvlJc w:val="left"/>
      <w:pPr>
        <w:ind w:left="0" w:firstLine="0"/>
      </w:pPr>
      <w:rPr>
        <w:rFonts w:hint="eastAsia" w:ascii="黑体" w:eastAsia="黑体"/>
        <w:color w:val="000000"/>
      </w:rPr>
    </w:lvl>
    <w:lvl w:ilvl="4" w:tentative="0">
      <w:start w:val="1"/>
      <w:numFmt w:val="decimal"/>
      <w:suff w:val="nothing"/>
      <w:lvlText w:val="%1.%2.%3.%4.%5　"/>
      <w:lvlJc w:val="left"/>
      <w:pPr>
        <w:ind w:left="0" w:firstLine="0"/>
      </w:pPr>
      <w:rPr>
        <w:rFonts w:hint="eastAsia" w:ascii="黑体" w:eastAsia="黑体"/>
      </w:rPr>
    </w:lvl>
    <w:lvl w:ilvl="5" w:tentative="0">
      <w:start w:val="1"/>
      <w:numFmt w:val="decimal"/>
      <w:suff w:val="nothing"/>
      <w:lvlText w:val="%1.%2.%3.%4.%5.%6　"/>
      <w:lvlJc w:val="left"/>
      <w:pPr>
        <w:ind w:left="0" w:firstLine="0"/>
      </w:pPr>
      <w:rPr>
        <w:rFonts w:hint="eastAsia" w:ascii="黑体" w:eastAsia="黑体"/>
      </w:rPr>
    </w:lvl>
    <w:lvl w:ilvl="6" w:tentative="0">
      <w:start w:val="1"/>
      <w:numFmt w:val="decimal"/>
      <w:lvlRestart w:val="0"/>
      <w:suff w:val="nothing"/>
      <w:lvlText w:val="表%7　"/>
      <w:lvlJc w:val="left"/>
      <w:pPr>
        <w:ind w:left="0" w:firstLine="0"/>
      </w:pPr>
      <w:rPr>
        <w:rFonts w:hint="eastAsia" w:ascii="黑体" w:eastAsia="黑体"/>
      </w:rPr>
    </w:lvl>
    <w:lvl w:ilvl="7" w:tentative="0">
      <w:start w:val="1"/>
      <w:numFmt w:val="decimal"/>
      <w:lvlRestart w:val="0"/>
      <w:suff w:val="nothing"/>
      <w:lvlText w:val="图%8　"/>
      <w:lvlJc w:val="left"/>
      <w:pPr>
        <w:ind w:left="0" w:firstLine="0"/>
      </w:pPr>
      <w:rPr>
        <w:rFonts w:hint="eastAsia" w:ascii="黑体" w:eastAsia="黑体"/>
      </w:rPr>
    </w:lvl>
    <w:lvl w:ilvl="8" w:tentative="0">
      <w:start w:val="1"/>
      <w:numFmt w:val="decimal"/>
      <w:lvlText w:val="%1.%2.%3.%4.%5.%6.%7.%8.%9"/>
      <w:lvlJc w:val="left"/>
      <w:pPr>
        <w:tabs>
          <w:tab w:val="left" w:pos="1584"/>
        </w:tabs>
        <w:ind w:left="1584" w:hanging="1584"/>
      </w:pPr>
      <w:rPr>
        <w:rFonts w:hint="eastAsia"/>
      </w:rPr>
    </w:lvl>
  </w:abstractNum>
  <w:abstractNum w:abstractNumId="17">
    <w:nsid w:val="46806F7D"/>
    <w:multiLevelType w:val="multilevel"/>
    <w:tmpl w:val="46806F7D"/>
    <w:lvl w:ilvl="0" w:tentative="0">
      <w:start w:val="1"/>
      <w:numFmt w:val="none"/>
      <w:pStyle w:val="439"/>
      <w:lvlText w:val="图"/>
      <w:lvlJc w:val="left"/>
      <w:pPr>
        <w:tabs>
          <w:tab w:val="left" w:pos="360"/>
        </w:tabs>
      </w:pPr>
      <w:rPr>
        <w:rFonts w:hint="eastAsia" w:ascii="黑体" w:eastAsia="黑体"/>
        <w:b w:val="0"/>
        <w:bCs w:val="0"/>
        <w:i w:val="0"/>
        <w:iCs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46D22D8F"/>
    <w:multiLevelType w:val="multilevel"/>
    <w:tmpl w:val="46D22D8F"/>
    <w:lvl w:ilvl="0" w:tentative="0">
      <w:start w:val="1"/>
      <w:numFmt w:val="none"/>
      <w:pStyle w:val="442"/>
      <w:lvlText w:val="%1◆　"/>
      <w:lvlJc w:val="left"/>
      <w:pPr>
        <w:tabs>
          <w:tab w:val="left" w:pos="960"/>
        </w:tabs>
        <w:ind w:left="917" w:hanging="317"/>
      </w:pPr>
      <w:rPr>
        <w:rFonts w:hint="eastAsia" w:ascii="宋体" w:hAnsi="Times New Roman" w:eastAsia="宋体"/>
        <w:b w:val="0"/>
        <w:bCs w:val="0"/>
        <w:i w:val="0"/>
        <w:iCs w:val="0"/>
        <w:position w:val="4"/>
        <w:sz w:val="11"/>
        <w:szCs w:val="1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86058C1"/>
    <w:multiLevelType w:val="multilevel"/>
    <w:tmpl w:val="486058C1"/>
    <w:lvl w:ilvl="0" w:tentative="0">
      <w:start w:val="1"/>
      <w:numFmt w:val="decimal"/>
      <w:pStyle w:val="606"/>
      <w:lvlText w:val="%1."/>
      <w:lvlJc w:val="left"/>
      <w:pPr>
        <w:tabs>
          <w:tab w:val="left" w:pos="920"/>
        </w:tabs>
        <w:ind w:left="13" w:firstLine="547"/>
      </w:pPr>
      <w:rPr>
        <w:rFonts w:hint="eastAsia"/>
      </w:r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20">
    <w:nsid w:val="4B6639DE"/>
    <w:multiLevelType w:val="multilevel"/>
    <w:tmpl w:val="4B6639DE"/>
    <w:lvl w:ilvl="0" w:tentative="0">
      <w:start w:val="1"/>
      <w:numFmt w:val="decimal"/>
      <w:pStyle w:val="599"/>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F302902"/>
    <w:multiLevelType w:val="multilevel"/>
    <w:tmpl w:val="4F302902"/>
    <w:lvl w:ilvl="0" w:tentative="0">
      <w:start w:val="1"/>
      <w:numFmt w:val="none"/>
      <w:pStyle w:val="433"/>
      <w:lvlText w:val="表"/>
      <w:lvlJc w:val="left"/>
      <w:pPr>
        <w:tabs>
          <w:tab w:val="left" w:pos="360"/>
        </w:tabs>
      </w:pPr>
      <w:rPr>
        <w:rFonts w:hint="eastAsia" w:ascii="黑体" w:eastAsia="黑体"/>
        <w:b w:val="0"/>
        <w:bCs w:val="0"/>
        <w:i w:val="0"/>
        <w:iCs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8306CE6"/>
    <w:multiLevelType w:val="multilevel"/>
    <w:tmpl w:val="58306CE6"/>
    <w:lvl w:ilvl="0" w:tentative="0">
      <w:start w:val="1"/>
      <w:numFmt w:val="decimal"/>
      <w:pStyle w:val="600"/>
      <w:lvlText w:val="%1 "/>
      <w:lvlJc w:val="left"/>
      <w:pPr>
        <w:ind w:left="420" w:hanging="420"/>
      </w:pPr>
      <w:rPr>
        <w:rFonts w:hint="eastAsia" w:ascii="Times New Roman" w:hAnsi="Times New Roman" w:eastAsia="宋体"/>
        <w:b w:val="0"/>
        <w:bCs w:val="0"/>
        <w:i w:val="0"/>
        <w:iCs w:val="0"/>
        <w:caps w:val="0"/>
        <w:smallCaps w:val="0"/>
        <w:strike w:val="0"/>
        <w:dstrike w:val="0"/>
        <w:color w:val="auto"/>
        <w:spacing w:val="0"/>
        <w:w w:val="100"/>
        <w:kern w:val="0"/>
        <w:position w:val="0"/>
        <w:sz w:val="24"/>
        <w:u w:val="none"/>
        <w:shd w:val="clear" w:color="auto" w:fill="auto"/>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D793030"/>
    <w:multiLevelType w:val="multilevel"/>
    <w:tmpl w:val="5D793030"/>
    <w:lvl w:ilvl="0" w:tentative="0">
      <w:start w:val="1"/>
      <w:numFmt w:val="decimal"/>
      <w:pStyle w:val="603"/>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350366A"/>
    <w:multiLevelType w:val="multilevel"/>
    <w:tmpl w:val="6350366A"/>
    <w:lvl w:ilvl="0" w:tentative="0">
      <w:start w:val="1"/>
      <w:numFmt w:val="none"/>
      <w:pStyle w:val="440"/>
      <w:lvlText w:val="%1●　"/>
      <w:lvlJc w:val="left"/>
      <w:pPr>
        <w:tabs>
          <w:tab w:val="left" w:pos="760"/>
        </w:tabs>
        <w:ind w:left="717" w:hanging="317"/>
      </w:pPr>
      <w:rPr>
        <w:rFonts w:hint="eastAsia" w:ascii="宋体" w:hAnsi="Times New Roman" w:eastAsia="宋体"/>
        <w:b w:val="0"/>
        <w:bCs w:val="0"/>
        <w:i w:val="0"/>
        <w:iCs w:val="0"/>
        <w:position w:val="4"/>
        <w:sz w:val="13"/>
        <w:szCs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64AB444F"/>
    <w:multiLevelType w:val="multilevel"/>
    <w:tmpl w:val="64AB444F"/>
    <w:lvl w:ilvl="0" w:tentative="0">
      <w:start w:val="1"/>
      <w:numFmt w:val="chineseCountingThousand"/>
      <w:pStyle w:val="84"/>
      <w:lvlText w:val="第%1篇"/>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57D3FBC"/>
    <w:multiLevelType w:val="multilevel"/>
    <w:tmpl w:val="657D3FBC"/>
    <w:lvl w:ilvl="0" w:tentative="0">
      <w:start w:val="1"/>
      <w:numFmt w:val="upperLetter"/>
      <w:suff w:val="nothing"/>
      <w:lvlText w:val="附　录　%1"/>
      <w:lvlJc w:val="left"/>
      <w:rPr>
        <w:rFonts w:hint="eastAsia" w:ascii="黑体" w:hAnsi="Times New Roman" w:eastAsia="黑体"/>
        <w:b w:val="0"/>
        <w:bCs w:val="0"/>
        <w:i w:val="0"/>
        <w:iCs w:val="0"/>
        <w:sz w:val="21"/>
        <w:szCs w:val="21"/>
      </w:rPr>
    </w:lvl>
    <w:lvl w:ilvl="1" w:tentative="0">
      <w:start w:val="1"/>
      <w:numFmt w:val="decimal"/>
      <w:pStyle w:val="435"/>
      <w:suff w:val="nothing"/>
      <w:lvlText w:val="%1.%2　"/>
      <w:lvlJc w:val="left"/>
      <w:rPr>
        <w:rFonts w:hint="eastAsia" w:ascii="黑体" w:hAnsi="Times New Roman" w:eastAsia="黑体"/>
        <w:b w:val="0"/>
        <w:bCs w:val="0"/>
        <w:i w:val="0"/>
        <w:iCs w:val="0"/>
        <w:snapToGrid/>
        <w:spacing w:val="0"/>
        <w:w w:val="100"/>
        <w:kern w:val="21"/>
        <w:sz w:val="21"/>
        <w:szCs w:val="21"/>
      </w:rPr>
    </w:lvl>
    <w:lvl w:ilvl="2" w:tentative="0">
      <w:start w:val="1"/>
      <w:numFmt w:val="decimal"/>
      <w:pStyle w:val="436"/>
      <w:suff w:val="nothing"/>
      <w:lvlText w:val="%1.%2.%3　"/>
      <w:lvlJc w:val="left"/>
      <w:rPr>
        <w:rFonts w:hint="eastAsia" w:ascii="黑体" w:hAnsi="Times New Roman" w:eastAsia="黑体"/>
        <w:b w:val="0"/>
        <w:bCs w:val="0"/>
        <w:i w:val="0"/>
        <w:iCs w:val="0"/>
        <w:sz w:val="21"/>
        <w:szCs w:val="21"/>
      </w:rPr>
    </w:lvl>
    <w:lvl w:ilvl="3" w:tentative="0">
      <w:start w:val="1"/>
      <w:numFmt w:val="decimal"/>
      <w:pStyle w:val="437"/>
      <w:suff w:val="nothing"/>
      <w:lvlText w:val="%1.%2.%3.%4　"/>
      <w:lvlJc w:val="left"/>
      <w:rPr>
        <w:rFonts w:hint="eastAsia" w:ascii="黑体" w:hAnsi="Times New Roman" w:eastAsia="黑体"/>
        <w:b w:val="0"/>
        <w:bCs w:val="0"/>
        <w:i w:val="0"/>
        <w:iCs w:val="0"/>
        <w:sz w:val="21"/>
        <w:szCs w:val="21"/>
      </w:rPr>
    </w:lvl>
    <w:lvl w:ilvl="4" w:tentative="0">
      <w:start w:val="1"/>
      <w:numFmt w:val="decimal"/>
      <w:pStyle w:val="438"/>
      <w:suff w:val="nothing"/>
      <w:lvlText w:val="%1.%2.%3.%4.%5　"/>
      <w:lvlJc w:val="left"/>
      <w:rPr>
        <w:rFonts w:hint="eastAsia" w:ascii="黑体" w:hAnsi="Times New Roman" w:eastAsia="黑体"/>
        <w:b w:val="0"/>
        <w:bCs w:val="0"/>
        <w:i w:val="0"/>
        <w:iCs w:val="0"/>
        <w:sz w:val="21"/>
        <w:szCs w:val="21"/>
      </w:rPr>
    </w:lvl>
    <w:lvl w:ilvl="5" w:tentative="0">
      <w:start w:val="1"/>
      <w:numFmt w:val="decimal"/>
      <w:suff w:val="nothing"/>
      <w:lvlText w:val="%1.%2.%3.%4.%5.%6　"/>
      <w:lvlJc w:val="left"/>
      <w:rPr>
        <w:rFonts w:hint="eastAsia" w:ascii="黑体" w:hAnsi="Times New Roman" w:eastAsia="黑体"/>
        <w:b w:val="0"/>
        <w:bCs w:val="0"/>
        <w:i w:val="0"/>
        <w:iCs w:val="0"/>
        <w:sz w:val="21"/>
        <w:szCs w:val="21"/>
      </w:rPr>
    </w:lvl>
    <w:lvl w:ilvl="6" w:tentative="0">
      <w:start w:val="1"/>
      <w:numFmt w:val="decimal"/>
      <w:suff w:val="nothing"/>
      <w:lvlText w:val="%1.%2.%3.%4.%5.%6.%7　"/>
      <w:lvlJc w:val="left"/>
      <w:rPr>
        <w:rFonts w:hint="eastAsia" w:ascii="黑体" w:hAnsi="Times New Roman" w:eastAsia="黑体"/>
        <w:b w:val="0"/>
        <w:bCs w:val="0"/>
        <w:i w:val="0"/>
        <w:iCs w:val="0"/>
        <w:sz w:val="21"/>
        <w:szCs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7">
    <w:nsid w:val="65BF0BD3"/>
    <w:multiLevelType w:val="multilevel"/>
    <w:tmpl w:val="65BF0BD3"/>
    <w:lvl w:ilvl="0" w:tentative="0">
      <w:start w:val="1"/>
      <w:numFmt w:val="decimal"/>
      <w:pStyle w:val="246"/>
      <w:suff w:val="space"/>
      <w:lvlText w:val="2.0.%1 "/>
      <w:lvlJc w:val="left"/>
      <w:pPr>
        <w:ind w:left="0" w:firstLine="0"/>
      </w:p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8">
    <w:nsid w:val="6624441B"/>
    <w:multiLevelType w:val="multilevel"/>
    <w:tmpl w:val="6624441B"/>
    <w:lvl w:ilvl="0" w:tentative="0">
      <w:start w:val="1"/>
      <w:numFmt w:val="bullet"/>
      <w:pStyle w:val="616"/>
      <w:lvlText w:val=""/>
      <w:lvlJc w:val="left"/>
      <w:pPr>
        <w:ind w:left="844" w:hanging="420"/>
      </w:pPr>
      <w:rPr>
        <w:rFonts w:hint="default" w:ascii="Wingdings" w:hAnsi="Wingdings"/>
      </w:rPr>
    </w:lvl>
    <w:lvl w:ilvl="1" w:tentative="0">
      <w:start w:val="1"/>
      <w:numFmt w:val="bullet"/>
      <w:lvlText w:val=""/>
      <w:lvlJc w:val="left"/>
      <w:pPr>
        <w:ind w:left="1264" w:hanging="420"/>
      </w:pPr>
      <w:rPr>
        <w:rFonts w:hint="default" w:ascii="Wingdings" w:hAnsi="Wingdings"/>
      </w:rPr>
    </w:lvl>
    <w:lvl w:ilvl="2" w:tentative="0">
      <w:start w:val="1"/>
      <w:numFmt w:val="bullet"/>
      <w:lvlText w:val=""/>
      <w:lvlJc w:val="left"/>
      <w:pPr>
        <w:ind w:left="1684" w:hanging="420"/>
      </w:pPr>
      <w:rPr>
        <w:rFonts w:hint="default" w:ascii="Wingdings" w:hAnsi="Wingdings"/>
      </w:rPr>
    </w:lvl>
    <w:lvl w:ilvl="3" w:tentative="0">
      <w:start w:val="1"/>
      <w:numFmt w:val="bullet"/>
      <w:lvlText w:val=""/>
      <w:lvlJc w:val="left"/>
      <w:pPr>
        <w:ind w:left="2104" w:hanging="420"/>
      </w:pPr>
      <w:rPr>
        <w:rFonts w:hint="default" w:ascii="Wingdings" w:hAnsi="Wingdings"/>
      </w:rPr>
    </w:lvl>
    <w:lvl w:ilvl="4" w:tentative="0">
      <w:start w:val="1"/>
      <w:numFmt w:val="bullet"/>
      <w:lvlText w:val=""/>
      <w:lvlJc w:val="left"/>
      <w:pPr>
        <w:ind w:left="2524" w:hanging="420"/>
      </w:pPr>
      <w:rPr>
        <w:rFonts w:hint="default" w:ascii="Wingdings" w:hAnsi="Wingdings"/>
      </w:rPr>
    </w:lvl>
    <w:lvl w:ilvl="5" w:tentative="0">
      <w:start w:val="1"/>
      <w:numFmt w:val="bullet"/>
      <w:lvlText w:val=""/>
      <w:lvlJc w:val="left"/>
      <w:pPr>
        <w:ind w:left="2944" w:hanging="420"/>
      </w:pPr>
      <w:rPr>
        <w:rFonts w:hint="default" w:ascii="Wingdings" w:hAnsi="Wingdings"/>
      </w:rPr>
    </w:lvl>
    <w:lvl w:ilvl="6" w:tentative="0">
      <w:start w:val="1"/>
      <w:numFmt w:val="bullet"/>
      <w:lvlText w:val=""/>
      <w:lvlJc w:val="left"/>
      <w:pPr>
        <w:ind w:left="3364" w:hanging="420"/>
      </w:pPr>
      <w:rPr>
        <w:rFonts w:hint="default" w:ascii="Wingdings" w:hAnsi="Wingdings"/>
      </w:rPr>
    </w:lvl>
    <w:lvl w:ilvl="7" w:tentative="0">
      <w:start w:val="1"/>
      <w:numFmt w:val="bullet"/>
      <w:lvlText w:val=""/>
      <w:lvlJc w:val="left"/>
      <w:pPr>
        <w:ind w:left="3784" w:hanging="420"/>
      </w:pPr>
      <w:rPr>
        <w:rFonts w:hint="default" w:ascii="Wingdings" w:hAnsi="Wingdings"/>
      </w:rPr>
    </w:lvl>
    <w:lvl w:ilvl="8" w:tentative="0">
      <w:start w:val="1"/>
      <w:numFmt w:val="bullet"/>
      <w:lvlText w:val=""/>
      <w:lvlJc w:val="left"/>
      <w:pPr>
        <w:ind w:left="4204" w:hanging="420"/>
      </w:pPr>
      <w:rPr>
        <w:rFonts w:hint="default" w:ascii="Wingdings" w:hAnsi="Wingdings"/>
      </w:rPr>
    </w:lvl>
  </w:abstractNum>
  <w:abstractNum w:abstractNumId="29">
    <w:nsid w:val="66B162F2"/>
    <w:multiLevelType w:val="multilevel"/>
    <w:tmpl w:val="66B162F2"/>
    <w:lvl w:ilvl="0" w:tentative="0">
      <w:start w:val="1"/>
      <w:numFmt w:val="decimal"/>
      <w:pStyle w:val="244"/>
      <w:suff w:val="space"/>
      <w:lvlText w:val="1.0.%1 "/>
      <w:lvlJc w:val="left"/>
      <w:pPr>
        <w:ind w:left="0" w:firstLine="0"/>
      </w:pPr>
      <w:rPr>
        <w:rFonts w:hint="eastAsia" w:ascii="Times New Roman" w:hAnsi="Times New Roman" w:eastAsia="宋体"/>
        <w:sz w:val="28"/>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0">
    <w:nsid w:val="66B9150D"/>
    <w:multiLevelType w:val="multilevel"/>
    <w:tmpl w:val="66B9150D"/>
    <w:lvl w:ilvl="0" w:tentative="0">
      <w:start w:val="1"/>
      <w:numFmt w:val="decimal"/>
      <w:pStyle w:val="194"/>
      <w:lvlText w:val="%1"/>
      <w:lvlJc w:val="left"/>
      <w:pPr>
        <w:ind w:left="840" w:hanging="420"/>
      </w:pPr>
      <w:rPr>
        <w:b/>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679348EB"/>
    <w:multiLevelType w:val="multilevel"/>
    <w:tmpl w:val="679348EB"/>
    <w:lvl w:ilvl="0" w:tentative="0">
      <w:start w:val="1"/>
      <w:numFmt w:val="decimal"/>
      <w:pStyle w:val="590"/>
      <w:lvlText w:val="3.1.%1 "/>
      <w:lvlJc w:val="left"/>
      <w:pPr>
        <w:ind w:left="360" w:hanging="36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69C16A37"/>
    <w:multiLevelType w:val="multilevel"/>
    <w:tmpl w:val="69C16A37"/>
    <w:lvl w:ilvl="0" w:tentative="0">
      <w:start w:val="1"/>
      <w:numFmt w:val="decimal"/>
      <w:lvlText w:val="%1"/>
      <w:lvlJc w:val="left"/>
      <w:pPr>
        <w:ind w:left="0" w:firstLine="420"/>
      </w:pPr>
      <w:rPr>
        <w:rFonts w:hint="eastAsia"/>
      </w:rPr>
    </w:lvl>
    <w:lvl w:ilvl="1" w:tentative="0">
      <w:start w:val="1"/>
      <w:numFmt w:val="lowerLetter"/>
      <w:lvlText w:val="%2)"/>
      <w:lvlJc w:val="left"/>
      <w:pPr>
        <w:ind w:left="1296" w:hanging="440"/>
      </w:pPr>
    </w:lvl>
    <w:lvl w:ilvl="2" w:tentative="0">
      <w:start w:val="1"/>
      <w:numFmt w:val="lowerRoman"/>
      <w:lvlText w:val="%3."/>
      <w:lvlJc w:val="right"/>
      <w:pPr>
        <w:ind w:left="1736" w:hanging="440"/>
      </w:pPr>
    </w:lvl>
    <w:lvl w:ilvl="3" w:tentative="0">
      <w:start w:val="1"/>
      <w:numFmt w:val="decimal"/>
      <w:lvlText w:val="%4."/>
      <w:lvlJc w:val="left"/>
      <w:pPr>
        <w:ind w:left="2176" w:hanging="440"/>
      </w:pPr>
    </w:lvl>
    <w:lvl w:ilvl="4" w:tentative="0">
      <w:start w:val="1"/>
      <w:numFmt w:val="lowerLetter"/>
      <w:lvlText w:val="%5)"/>
      <w:lvlJc w:val="left"/>
      <w:pPr>
        <w:ind w:left="2616" w:hanging="440"/>
      </w:pPr>
    </w:lvl>
    <w:lvl w:ilvl="5" w:tentative="0">
      <w:start w:val="1"/>
      <w:numFmt w:val="lowerRoman"/>
      <w:lvlText w:val="%6."/>
      <w:lvlJc w:val="right"/>
      <w:pPr>
        <w:ind w:left="3056" w:hanging="440"/>
      </w:pPr>
    </w:lvl>
    <w:lvl w:ilvl="6" w:tentative="0">
      <w:start w:val="1"/>
      <w:numFmt w:val="decimal"/>
      <w:lvlText w:val="%7."/>
      <w:lvlJc w:val="left"/>
      <w:pPr>
        <w:ind w:left="3496" w:hanging="440"/>
      </w:pPr>
    </w:lvl>
    <w:lvl w:ilvl="7" w:tentative="0">
      <w:start w:val="1"/>
      <w:numFmt w:val="lowerLetter"/>
      <w:lvlText w:val="%8)"/>
      <w:lvlJc w:val="left"/>
      <w:pPr>
        <w:ind w:left="3936" w:hanging="440"/>
      </w:pPr>
    </w:lvl>
    <w:lvl w:ilvl="8" w:tentative="0">
      <w:start w:val="1"/>
      <w:numFmt w:val="lowerRoman"/>
      <w:lvlText w:val="%9."/>
      <w:lvlJc w:val="right"/>
      <w:pPr>
        <w:ind w:left="4376" w:hanging="440"/>
      </w:pPr>
    </w:lvl>
  </w:abstractNum>
  <w:abstractNum w:abstractNumId="33">
    <w:nsid w:val="6BB5435A"/>
    <w:multiLevelType w:val="multilevel"/>
    <w:tmpl w:val="6BB5435A"/>
    <w:lvl w:ilvl="0" w:tentative="0">
      <w:start w:val="3"/>
      <w:numFmt w:val="decimal"/>
      <w:lvlText w:val="%1"/>
      <w:lvlJc w:val="left"/>
      <w:pPr>
        <w:ind w:left="425" w:hanging="425"/>
      </w:pPr>
      <w:rPr>
        <w:rFonts w:hint="eastAsia"/>
      </w:rPr>
    </w:lvl>
    <w:lvl w:ilvl="1" w:tentative="0">
      <w:start w:val="6"/>
      <w:numFmt w:val="decimal"/>
      <w:lvlText w:val="%1.%2"/>
      <w:lvlJc w:val="left"/>
      <w:pPr>
        <w:ind w:left="992" w:hanging="567"/>
      </w:pPr>
      <w:rPr>
        <w:rFonts w:hint="eastAsia"/>
      </w:rPr>
    </w:lvl>
    <w:lvl w:ilvl="2" w:tentative="0">
      <w:start w:val="1"/>
      <w:numFmt w:val="decimal"/>
      <w:pStyle w:val="596"/>
      <w:lvlText w:val="%1.%2.%3 "/>
      <w:lvlJc w:val="left"/>
      <w:pPr>
        <w:tabs>
          <w:tab w:val="left" w:pos="0"/>
        </w:tabs>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4">
    <w:nsid w:val="70596262"/>
    <w:multiLevelType w:val="multilevel"/>
    <w:tmpl w:val="70596262"/>
    <w:lvl w:ilvl="0" w:tentative="0">
      <w:start w:val="1"/>
      <w:numFmt w:val="decimal"/>
      <w:pStyle w:val="593"/>
      <w:lvlText w:val="3.3.%1 "/>
      <w:lvlJc w:val="left"/>
      <w:pPr>
        <w:ind w:left="3905" w:hanging="360"/>
      </w:pPr>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rPr>
    </w:lvl>
    <w:lvl w:ilvl="1" w:tentative="0">
      <w:start w:val="1"/>
      <w:numFmt w:val="decimal"/>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5800A20"/>
    <w:multiLevelType w:val="multilevel"/>
    <w:tmpl w:val="75800A20"/>
    <w:lvl w:ilvl="0" w:tentative="0">
      <w:start w:val="1"/>
      <w:numFmt w:val="bullet"/>
      <w:pStyle w:val="66"/>
      <w:lvlText w:val=""/>
      <w:lvlJc w:val="left"/>
      <w:pPr>
        <w:tabs>
          <w:tab w:val="left" w:pos="1560"/>
        </w:tabs>
        <w:ind w:left="1560" w:hanging="420"/>
      </w:pPr>
      <w:rPr>
        <w:rFonts w:hint="default" w:ascii="Wingdings" w:hAnsi="Wingdings"/>
      </w:rPr>
    </w:lvl>
    <w:lvl w:ilvl="1" w:tentative="0">
      <w:start w:val="1"/>
      <w:numFmt w:val="bullet"/>
      <w:lvlText w:val=""/>
      <w:lvlJc w:val="left"/>
      <w:pPr>
        <w:tabs>
          <w:tab w:val="left" w:pos="1980"/>
        </w:tabs>
        <w:ind w:left="1980" w:hanging="420"/>
      </w:pPr>
      <w:rPr>
        <w:rFonts w:hint="default" w:ascii="Wingdings" w:hAnsi="Wingdings"/>
      </w:rPr>
    </w:lvl>
    <w:lvl w:ilvl="2" w:tentative="0">
      <w:start w:val="1"/>
      <w:numFmt w:val="bullet"/>
      <w:lvlText w:val=""/>
      <w:lvlJc w:val="left"/>
      <w:pPr>
        <w:tabs>
          <w:tab w:val="left" w:pos="2400"/>
        </w:tabs>
        <w:ind w:left="2400" w:hanging="420"/>
      </w:pPr>
      <w:rPr>
        <w:rFonts w:hint="default" w:ascii="Wingdings" w:hAnsi="Wingdings"/>
      </w:rPr>
    </w:lvl>
    <w:lvl w:ilvl="3" w:tentative="0">
      <w:start w:val="1"/>
      <w:numFmt w:val="bullet"/>
      <w:lvlText w:val=""/>
      <w:lvlJc w:val="left"/>
      <w:pPr>
        <w:tabs>
          <w:tab w:val="left" w:pos="2820"/>
        </w:tabs>
        <w:ind w:left="2820" w:hanging="420"/>
      </w:pPr>
      <w:rPr>
        <w:rFonts w:hint="default" w:ascii="Wingdings" w:hAnsi="Wingdings"/>
      </w:rPr>
    </w:lvl>
    <w:lvl w:ilvl="4" w:tentative="0">
      <w:start w:val="1"/>
      <w:numFmt w:val="bullet"/>
      <w:lvlText w:val=""/>
      <w:lvlJc w:val="left"/>
      <w:pPr>
        <w:tabs>
          <w:tab w:val="left" w:pos="3240"/>
        </w:tabs>
        <w:ind w:left="3240" w:hanging="420"/>
      </w:pPr>
      <w:rPr>
        <w:rFonts w:hint="default" w:ascii="Wingdings" w:hAnsi="Wingdings"/>
      </w:rPr>
    </w:lvl>
    <w:lvl w:ilvl="5" w:tentative="0">
      <w:start w:val="1"/>
      <w:numFmt w:val="bullet"/>
      <w:lvlText w:val=""/>
      <w:lvlJc w:val="left"/>
      <w:pPr>
        <w:tabs>
          <w:tab w:val="left" w:pos="3660"/>
        </w:tabs>
        <w:ind w:left="3660" w:hanging="420"/>
      </w:pPr>
      <w:rPr>
        <w:rFonts w:hint="default" w:ascii="Wingdings" w:hAnsi="Wingdings"/>
      </w:rPr>
    </w:lvl>
    <w:lvl w:ilvl="6" w:tentative="0">
      <w:start w:val="1"/>
      <w:numFmt w:val="bullet"/>
      <w:lvlText w:val=""/>
      <w:lvlJc w:val="left"/>
      <w:pPr>
        <w:tabs>
          <w:tab w:val="left" w:pos="4080"/>
        </w:tabs>
        <w:ind w:left="4080" w:hanging="420"/>
      </w:pPr>
      <w:rPr>
        <w:rFonts w:hint="default" w:ascii="Wingdings" w:hAnsi="Wingdings"/>
      </w:rPr>
    </w:lvl>
    <w:lvl w:ilvl="7" w:tentative="0">
      <w:start w:val="1"/>
      <w:numFmt w:val="bullet"/>
      <w:lvlText w:val=""/>
      <w:lvlJc w:val="left"/>
      <w:pPr>
        <w:tabs>
          <w:tab w:val="left" w:pos="4500"/>
        </w:tabs>
        <w:ind w:left="4500" w:hanging="420"/>
      </w:pPr>
      <w:rPr>
        <w:rFonts w:hint="default" w:ascii="Wingdings" w:hAnsi="Wingdings"/>
      </w:rPr>
    </w:lvl>
    <w:lvl w:ilvl="8" w:tentative="0">
      <w:start w:val="1"/>
      <w:numFmt w:val="bullet"/>
      <w:lvlText w:val=""/>
      <w:lvlJc w:val="left"/>
      <w:pPr>
        <w:tabs>
          <w:tab w:val="left" w:pos="4920"/>
        </w:tabs>
        <w:ind w:left="4920" w:hanging="420"/>
      </w:pPr>
      <w:rPr>
        <w:rFonts w:hint="default" w:ascii="Wingdings" w:hAnsi="Wingdings"/>
      </w:rPr>
    </w:lvl>
  </w:abstractNum>
  <w:abstractNum w:abstractNumId="36">
    <w:nsid w:val="76933334"/>
    <w:multiLevelType w:val="multilevel"/>
    <w:tmpl w:val="76933334"/>
    <w:lvl w:ilvl="0" w:tentative="0">
      <w:start w:val="1"/>
      <w:numFmt w:val="none"/>
      <w:pStyle w:val="238"/>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7C7D18A7"/>
    <w:multiLevelType w:val="multilevel"/>
    <w:tmpl w:val="7C7D18A7"/>
    <w:lvl w:ilvl="0" w:tentative="0">
      <w:start w:val="1"/>
      <w:numFmt w:val="decimal"/>
      <w:pStyle w:val="3"/>
      <w:lvlText w:val="%1"/>
      <w:lvlJc w:val="left"/>
      <w:pPr>
        <w:tabs>
          <w:tab w:val="left" w:pos="567"/>
        </w:tabs>
        <w:ind w:left="0" w:firstLine="0"/>
      </w:pPr>
      <w:rPr>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pStyle w:val="4"/>
      <w:lvlText w:val="%1.%2"/>
      <w:lvlJc w:val="left"/>
      <w:pPr>
        <w:tabs>
          <w:tab w:val="left" w:pos="567"/>
        </w:tabs>
        <w:ind w:left="0" w:firstLine="0"/>
      </w:pPr>
      <w:rPr>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pStyle w:val="5"/>
      <w:lvlText w:val="%1.%2.%3"/>
      <w:lvlJc w:val="left"/>
      <w:pPr>
        <w:tabs>
          <w:tab w:val="left" w:pos="1701"/>
        </w:tabs>
        <w:ind w:left="0" w:firstLine="0"/>
      </w:pPr>
      <w:rPr>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6"/>
      <w:suff w:val="space"/>
      <w:lvlText w:val="%1.%2.%3.%4"/>
      <w:lvlJc w:val="left"/>
      <w:pPr>
        <w:ind w:left="0" w:firstLine="0"/>
      </w:pPr>
      <w:rPr>
        <w:rFonts w:hint="default" w:ascii="Times New Roman" w:hAnsi="Times New Roman" w:cs="Times New Roman"/>
        <w:sz w:val="21"/>
        <w:szCs w:val="24"/>
      </w:rPr>
    </w:lvl>
    <w:lvl w:ilvl="4" w:tentative="0">
      <w:start w:val="1"/>
      <w:numFmt w:val="decimal"/>
      <w:pStyle w:val="7"/>
      <w:lvlText w:val="%5  "/>
      <w:lvlJc w:val="left"/>
      <w:pPr>
        <w:tabs>
          <w:tab w:val="left" w:pos="567"/>
        </w:tabs>
        <w:ind w:left="0" w:firstLine="0"/>
      </w:pPr>
      <w:rPr>
        <w:rFonts w:hint="default" w:ascii="Times New Roman" w:hAnsi="Times New Roman"/>
        <w:b/>
        <w:i w:val="0"/>
        <w:sz w:val="21"/>
        <w:szCs w:val="21"/>
      </w:rPr>
    </w:lvl>
    <w:lvl w:ilvl="5" w:tentative="0">
      <w:start w:val="1"/>
      <w:numFmt w:val="decimal"/>
      <w:pStyle w:val="8"/>
      <w:suff w:val="space"/>
      <w:lvlText w:val="%6）"/>
      <w:lvlJc w:val="left"/>
      <w:pPr>
        <w:ind w:left="0" w:firstLine="0"/>
      </w:pPr>
      <w:rPr>
        <w:rFonts w:hint="default" w:ascii="Arial" w:hAnsi="Arial" w:cs="Arial"/>
        <w:sz w:val="24"/>
        <w:szCs w:val="10351"/>
        <w:vertAlign w:val="baseline"/>
      </w:rPr>
    </w:lvl>
    <w:lvl w:ilvl="6" w:tentative="0">
      <w:start w:val="1"/>
      <w:numFmt w:val="upperLetter"/>
      <w:pStyle w:val="9"/>
      <w:suff w:val="space"/>
      <w:lvlText w:val="%7."/>
      <w:lvlJc w:val="left"/>
      <w:pPr>
        <w:ind w:left="0" w:firstLine="0"/>
      </w:pPr>
      <w:rPr>
        <w:rFonts w:hint="default" w:ascii="Arial" w:hAnsi="Arial" w:cs="Arial"/>
        <w:sz w:val="24"/>
      </w:rPr>
    </w:lvl>
    <w:lvl w:ilvl="7" w:tentative="0">
      <w:start w:val="1"/>
      <w:numFmt w:val="lowerLetter"/>
      <w:pStyle w:val="10"/>
      <w:suff w:val="space"/>
      <w:lvlText w:val="%8."/>
      <w:lvlJc w:val="left"/>
      <w:pPr>
        <w:ind w:left="0" w:firstLine="0"/>
      </w:pPr>
      <w:rPr>
        <w:rFonts w:hint="default" w:ascii="Arial" w:hAnsi="Arial" w:cs="Arial"/>
        <w:sz w:val="24"/>
        <w:szCs w:val="24"/>
      </w:rPr>
    </w:lvl>
    <w:lvl w:ilvl="8" w:tentative="0">
      <w:start w:val="1"/>
      <w:numFmt w:val="lowerLetter"/>
      <w:pStyle w:val="11"/>
      <w:suff w:val="space"/>
      <w:lvlText w:val="%9）"/>
      <w:lvlJc w:val="left"/>
      <w:pPr>
        <w:ind w:left="0" w:firstLine="0"/>
      </w:pPr>
      <w:rPr>
        <w:rFonts w:hint="default" w:ascii="Arial" w:hAnsi="Arial"/>
        <w:color w:val="000000"/>
        <w:sz w:val="24"/>
        <w14:shadow w14:blurRad="0" w14:dist="0" w14:dir="0" w14:sx="0" w14:sy="0" w14:kx="0" w14:ky="0" w14:algn="none">
          <w14:srgbClr w14:val="000000"/>
        </w14:shadow>
      </w:rPr>
    </w:lvl>
  </w:abstractNum>
  <w:num w:numId="1">
    <w:abstractNumId w:val="37"/>
  </w:num>
  <w:num w:numId="2">
    <w:abstractNumId w:val="35"/>
  </w:num>
  <w:num w:numId="3">
    <w:abstractNumId w:val="25"/>
  </w:num>
  <w:num w:numId="4">
    <w:abstractNumId w:val="30"/>
  </w:num>
  <w:num w:numId="5">
    <w:abstractNumId w:val="36"/>
  </w:num>
  <w:num w:numId="6">
    <w:abstractNumId w:val="29"/>
  </w:num>
  <w:num w:numId="7">
    <w:abstractNumId w:val="27"/>
  </w:num>
  <w:num w:numId="8">
    <w:abstractNumId w:val="21"/>
  </w:num>
  <w:num w:numId="9">
    <w:abstractNumId w:val="26"/>
  </w:num>
  <w:num w:numId="10">
    <w:abstractNumId w:val="17"/>
  </w:num>
  <w:num w:numId="11">
    <w:abstractNumId w:val="24"/>
  </w:num>
  <w:num w:numId="12">
    <w:abstractNumId w:val="5"/>
  </w:num>
  <w:num w:numId="13">
    <w:abstractNumId w:val="18"/>
  </w:num>
  <w:num w:numId="14">
    <w:abstractNumId w:val="1"/>
  </w:num>
  <w:num w:numId="15">
    <w:abstractNumId w:val="6"/>
  </w:num>
  <w:num w:numId="16">
    <w:abstractNumId w:val="12"/>
  </w:num>
  <w:num w:numId="17">
    <w:abstractNumId w:val="31"/>
  </w:num>
  <w:num w:numId="18">
    <w:abstractNumId w:val="0"/>
  </w:num>
  <w:num w:numId="19">
    <w:abstractNumId w:val="34"/>
  </w:num>
  <w:num w:numId="20">
    <w:abstractNumId w:val="3"/>
  </w:num>
  <w:num w:numId="21">
    <w:abstractNumId w:val="33"/>
  </w:num>
  <w:num w:numId="22">
    <w:abstractNumId w:val="20"/>
  </w:num>
  <w:num w:numId="23">
    <w:abstractNumId w:val="22"/>
  </w:num>
  <w:num w:numId="24">
    <w:abstractNumId w:val="8"/>
  </w:num>
  <w:num w:numId="25">
    <w:abstractNumId w:val="14"/>
  </w:num>
  <w:num w:numId="26">
    <w:abstractNumId w:val="23"/>
  </w:num>
  <w:num w:numId="27">
    <w:abstractNumId w:val="7"/>
  </w:num>
  <w:num w:numId="28">
    <w:abstractNumId w:val="19"/>
  </w:num>
  <w:num w:numId="29">
    <w:abstractNumId w:val="15"/>
  </w:num>
  <w:num w:numId="30">
    <w:abstractNumId w:val="4"/>
  </w:num>
  <w:num w:numId="31">
    <w:abstractNumId w:val="28"/>
  </w:num>
  <w:num w:numId="32">
    <w:abstractNumId w:val="2"/>
  </w:num>
  <w:num w:numId="33">
    <w:abstractNumId w:val="16"/>
  </w:num>
  <w:num w:numId="34">
    <w:abstractNumId w:val="9"/>
  </w:num>
  <w:num w:numId="35">
    <w:abstractNumId w:val="13"/>
  </w:num>
  <w:num w:numId="36">
    <w:abstractNumId w:val="37"/>
    <w:lvlOverride w:ilvl="0">
      <w:startOverride w:val="10"/>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11"/>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4">
      <w:startOverride w:val="1"/>
    </w:lvlOverride>
  </w:num>
  <w:num w:numId="41">
    <w:abstractNumId w:val="37"/>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368"/>
  <w:evenAndOddHeaders w:val="1"/>
  <w:drawingGridHorizontalSpacing w:val="120"/>
  <w:drawingGridVerticalSpacing w:val="33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lNDRkYTRhNDc2OGI0NGQ0ODdmOTFlZjUzMWM5ODYifQ=="/>
  </w:docVars>
  <w:rsids>
    <w:rsidRoot w:val="00172A27"/>
    <w:rsid w:val="000006F6"/>
    <w:rsid w:val="0000096A"/>
    <w:rsid w:val="00000A1A"/>
    <w:rsid w:val="00001A4E"/>
    <w:rsid w:val="000022AD"/>
    <w:rsid w:val="000025A8"/>
    <w:rsid w:val="000036C7"/>
    <w:rsid w:val="00003A5D"/>
    <w:rsid w:val="00003CAD"/>
    <w:rsid w:val="00004553"/>
    <w:rsid w:val="000045DD"/>
    <w:rsid w:val="00005180"/>
    <w:rsid w:val="000054AF"/>
    <w:rsid w:val="00005939"/>
    <w:rsid w:val="000061D9"/>
    <w:rsid w:val="0000732B"/>
    <w:rsid w:val="00007E89"/>
    <w:rsid w:val="0001050A"/>
    <w:rsid w:val="00010A6B"/>
    <w:rsid w:val="0001140B"/>
    <w:rsid w:val="000116F2"/>
    <w:rsid w:val="00011B65"/>
    <w:rsid w:val="00011E95"/>
    <w:rsid w:val="00012205"/>
    <w:rsid w:val="00012CB8"/>
    <w:rsid w:val="00013792"/>
    <w:rsid w:val="00013C8D"/>
    <w:rsid w:val="00014F04"/>
    <w:rsid w:val="000156FB"/>
    <w:rsid w:val="00015AFD"/>
    <w:rsid w:val="00016A10"/>
    <w:rsid w:val="0001744B"/>
    <w:rsid w:val="00017700"/>
    <w:rsid w:val="00020494"/>
    <w:rsid w:val="000206A2"/>
    <w:rsid w:val="000209DA"/>
    <w:rsid w:val="000215CB"/>
    <w:rsid w:val="000216B4"/>
    <w:rsid w:val="00021B76"/>
    <w:rsid w:val="00021F16"/>
    <w:rsid w:val="000242D0"/>
    <w:rsid w:val="00025375"/>
    <w:rsid w:val="00025436"/>
    <w:rsid w:val="00025475"/>
    <w:rsid w:val="00025A1C"/>
    <w:rsid w:val="0002672E"/>
    <w:rsid w:val="00027620"/>
    <w:rsid w:val="00027EB6"/>
    <w:rsid w:val="0003066A"/>
    <w:rsid w:val="000309D3"/>
    <w:rsid w:val="00031740"/>
    <w:rsid w:val="0003354C"/>
    <w:rsid w:val="000338E1"/>
    <w:rsid w:val="00035633"/>
    <w:rsid w:val="00035E2E"/>
    <w:rsid w:val="0003648E"/>
    <w:rsid w:val="00041905"/>
    <w:rsid w:val="00041B7F"/>
    <w:rsid w:val="00042D2F"/>
    <w:rsid w:val="00043F56"/>
    <w:rsid w:val="000440DF"/>
    <w:rsid w:val="0004452A"/>
    <w:rsid w:val="00044608"/>
    <w:rsid w:val="00045EE0"/>
    <w:rsid w:val="00046345"/>
    <w:rsid w:val="00050C26"/>
    <w:rsid w:val="000512AD"/>
    <w:rsid w:val="000513DB"/>
    <w:rsid w:val="000519DB"/>
    <w:rsid w:val="00051CE7"/>
    <w:rsid w:val="00052A82"/>
    <w:rsid w:val="00052F4D"/>
    <w:rsid w:val="000535CA"/>
    <w:rsid w:val="00054ABA"/>
    <w:rsid w:val="00055F85"/>
    <w:rsid w:val="00056C1D"/>
    <w:rsid w:val="00057679"/>
    <w:rsid w:val="00057732"/>
    <w:rsid w:val="00057974"/>
    <w:rsid w:val="00060780"/>
    <w:rsid w:val="00060940"/>
    <w:rsid w:val="000609C6"/>
    <w:rsid w:val="000616A9"/>
    <w:rsid w:val="00061955"/>
    <w:rsid w:val="00061BA8"/>
    <w:rsid w:val="00063DCA"/>
    <w:rsid w:val="00064EAB"/>
    <w:rsid w:val="00065E3B"/>
    <w:rsid w:val="00066658"/>
    <w:rsid w:val="000679D3"/>
    <w:rsid w:val="00070C43"/>
    <w:rsid w:val="00070C6C"/>
    <w:rsid w:val="0007109D"/>
    <w:rsid w:val="00071818"/>
    <w:rsid w:val="00071BCD"/>
    <w:rsid w:val="00071C57"/>
    <w:rsid w:val="00071CC3"/>
    <w:rsid w:val="00072B2D"/>
    <w:rsid w:val="00073C07"/>
    <w:rsid w:val="00074318"/>
    <w:rsid w:val="00075373"/>
    <w:rsid w:val="00075708"/>
    <w:rsid w:val="000758B8"/>
    <w:rsid w:val="00075F9A"/>
    <w:rsid w:val="00076AE9"/>
    <w:rsid w:val="00077B27"/>
    <w:rsid w:val="00077FBE"/>
    <w:rsid w:val="0008025F"/>
    <w:rsid w:val="00080811"/>
    <w:rsid w:val="000825D8"/>
    <w:rsid w:val="00082F33"/>
    <w:rsid w:val="00083842"/>
    <w:rsid w:val="00085056"/>
    <w:rsid w:val="00085094"/>
    <w:rsid w:val="0008564C"/>
    <w:rsid w:val="00085DFF"/>
    <w:rsid w:val="000861F0"/>
    <w:rsid w:val="00086972"/>
    <w:rsid w:val="000876BD"/>
    <w:rsid w:val="00087AC9"/>
    <w:rsid w:val="00090405"/>
    <w:rsid w:val="000904C8"/>
    <w:rsid w:val="00090762"/>
    <w:rsid w:val="0009110E"/>
    <w:rsid w:val="000936B3"/>
    <w:rsid w:val="00093AA2"/>
    <w:rsid w:val="00093C1E"/>
    <w:rsid w:val="0009503E"/>
    <w:rsid w:val="00095D4D"/>
    <w:rsid w:val="00095E7B"/>
    <w:rsid w:val="0009680E"/>
    <w:rsid w:val="00097056"/>
    <w:rsid w:val="000976D6"/>
    <w:rsid w:val="000A0D44"/>
    <w:rsid w:val="000A19B7"/>
    <w:rsid w:val="000A2A8B"/>
    <w:rsid w:val="000A31C6"/>
    <w:rsid w:val="000A3C0C"/>
    <w:rsid w:val="000A3DFA"/>
    <w:rsid w:val="000A40BF"/>
    <w:rsid w:val="000A432C"/>
    <w:rsid w:val="000A5AB8"/>
    <w:rsid w:val="000A5E20"/>
    <w:rsid w:val="000A60DC"/>
    <w:rsid w:val="000A6134"/>
    <w:rsid w:val="000A77F2"/>
    <w:rsid w:val="000A79CF"/>
    <w:rsid w:val="000B00A5"/>
    <w:rsid w:val="000B15B4"/>
    <w:rsid w:val="000B1801"/>
    <w:rsid w:val="000B1CAE"/>
    <w:rsid w:val="000B2307"/>
    <w:rsid w:val="000B28E9"/>
    <w:rsid w:val="000B52A2"/>
    <w:rsid w:val="000B6B90"/>
    <w:rsid w:val="000B712C"/>
    <w:rsid w:val="000B769F"/>
    <w:rsid w:val="000B7F4E"/>
    <w:rsid w:val="000C088C"/>
    <w:rsid w:val="000C0B92"/>
    <w:rsid w:val="000C1700"/>
    <w:rsid w:val="000C1B92"/>
    <w:rsid w:val="000C1C1A"/>
    <w:rsid w:val="000C3B48"/>
    <w:rsid w:val="000C3F4A"/>
    <w:rsid w:val="000C4822"/>
    <w:rsid w:val="000C497F"/>
    <w:rsid w:val="000C4C1D"/>
    <w:rsid w:val="000C4CDA"/>
    <w:rsid w:val="000C65FF"/>
    <w:rsid w:val="000C6BE7"/>
    <w:rsid w:val="000C742D"/>
    <w:rsid w:val="000C7533"/>
    <w:rsid w:val="000C780B"/>
    <w:rsid w:val="000C79F9"/>
    <w:rsid w:val="000C7DD6"/>
    <w:rsid w:val="000C7FEB"/>
    <w:rsid w:val="000D0139"/>
    <w:rsid w:val="000D029B"/>
    <w:rsid w:val="000D053D"/>
    <w:rsid w:val="000D2DBA"/>
    <w:rsid w:val="000D6199"/>
    <w:rsid w:val="000D63BD"/>
    <w:rsid w:val="000D6B99"/>
    <w:rsid w:val="000E07CD"/>
    <w:rsid w:val="000E0F06"/>
    <w:rsid w:val="000E15F7"/>
    <w:rsid w:val="000E16EB"/>
    <w:rsid w:val="000E1836"/>
    <w:rsid w:val="000E21F0"/>
    <w:rsid w:val="000E2AC4"/>
    <w:rsid w:val="000E2BC4"/>
    <w:rsid w:val="000E2DD9"/>
    <w:rsid w:val="000E4F33"/>
    <w:rsid w:val="000E52BB"/>
    <w:rsid w:val="000E7026"/>
    <w:rsid w:val="000F1A3D"/>
    <w:rsid w:val="000F1AF0"/>
    <w:rsid w:val="000F1FA5"/>
    <w:rsid w:val="000F23D0"/>
    <w:rsid w:val="000F2439"/>
    <w:rsid w:val="000F2898"/>
    <w:rsid w:val="000F318F"/>
    <w:rsid w:val="000F3498"/>
    <w:rsid w:val="000F39BB"/>
    <w:rsid w:val="000F3AC1"/>
    <w:rsid w:val="000F3D44"/>
    <w:rsid w:val="000F46A1"/>
    <w:rsid w:val="000F49F6"/>
    <w:rsid w:val="000F6532"/>
    <w:rsid w:val="000F69CC"/>
    <w:rsid w:val="000F7200"/>
    <w:rsid w:val="0010205E"/>
    <w:rsid w:val="001026C9"/>
    <w:rsid w:val="0010471D"/>
    <w:rsid w:val="00105DDE"/>
    <w:rsid w:val="00106C04"/>
    <w:rsid w:val="00107DFB"/>
    <w:rsid w:val="00111748"/>
    <w:rsid w:val="001120F5"/>
    <w:rsid w:val="00112F28"/>
    <w:rsid w:val="001139E3"/>
    <w:rsid w:val="00113B98"/>
    <w:rsid w:val="00113C4E"/>
    <w:rsid w:val="00113E1E"/>
    <w:rsid w:val="00114A3C"/>
    <w:rsid w:val="00114DC8"/>
    <w:rsid w:val="0011667A"/>
    <w:rsid w:val="00116D41"/>
    <w:rsid w:val="0011785A"/>
    <w:rsid w:val="00120223"/>
    <w:rsid w:val="001209CC"/>
    <w:rsid w:val="001222D6"/>
    <w:rsid w:val="00122EF4"/>
    <w:rsid w:val="0012329F"/>
    <w:rsid w:val="00124779"/>
    <w:rsid w:val="00124DC7"/>
    <w:rsid w:val="00127BD2"/>
    <w:rsid w:val="00130714"/>
    <w:rsid w:val="00131594"/>
    <w:rsid w:val="00132C73"/>
    <w:rsid w:val="00134B97"/>
    <w:rsid w:val="00134D77"/>
    <w:rsid w:val="0013506A"/>
    <w:rsid w:val="00135634"/>
    <w:rsid w:val="00135ED5"/>
    <w:rsid w:val="00136677"/>
    <w:rsid w:val="00136C94"/>
    <w:rsid w:val="001370EF"/>
    <w:rsid w:val="0014073A"/>
    <w:rsid w:val="0014084B"/>
    <w:rsid w:val="00140884"/>
    <w:rsid w:val="001415B6"/>
    <w:rsid w:val="00142501"/>
    <w:rsid w:val="00142DEA"/>
    <w:rsid w:val="001432F1"/>
    <w:rsid w:val="00144582"/>
    <w:rsid w:val="0014490D"/>
    <w:rsid w:val="00144935"/>
    <w:rsid w:val="00144D0C"/>
    <w:rsid w:val="001472F7"/>
    <w:rsid w:val="0014784D"/>
    <w:rsid w:val="00150994"/>
    <w:rsid w:val="00150DB1"/>
    <w:rsid w:val="00151315"/>
    <w:rsid w:val="0015143A"/>
    <w:rsid w:val="00151749"/>
    <w:rsid w:val="0015269D"/>
    <w:rsid w:val="00152C76"/>
    <w:rsid w:val="001531EE"/>
    <w:rsid w:val="00153E72"/>
    <w:rsid w:val="00153EA8"/>
    <w:rsid w:val="00154DE4"/>
    <w:rsid w:val="00155374"/>
    <w:rsid w:val="001557F4"/>
    <w:rsid w:val="0015759F"/>
    <w:rsid w:val="0016109B"/>
    <w:rsid w:val="00162F08"/>
    <w:rsid w:val="00164B16"/>
    <w:rsid w:val="00164CA1"/>
    <w:rsid w:val="00165EED"/>
    <w:rsid w:val="001670F3"/>
    <w:rsid w:val="00167596"/>
    <w:rsid w:val="001677CE"/>
    <w:rsid w:val="00170046"/>
    <w:rsid w:val="00170212"/>
    <w:rsid w:val="00170823"/>
    <w:rsid w:val="0017093E"/>
    <w:rsid w:val="00172002"/>
    <w:rsid w:val="00172A27"/>
    <w:rsid w:val="001739E6"/>
    <w:rsid w:val="00174B31"/>
    <w:rsid w:val="00174D9D"/>
    <w:rsid w:val="00174FAD"/>
    <w:rsid w:val="0017651F"/>
    <w:rsid w:val="00180DB7"/>
    <w:rsid w:val="001814D8"/>
    <w:rsid w:val="00185D2C"/>
    <w:rsid w:val="001862F0"/>
    <w:rsid w:val="00190AEA"/>
    <w:rsid w:val="00190D4D"/>
    <w:rsid w:val="0019253B"/>
    <w:rsid w:val="00192B50"/>
    <w:rsid w:val="001933C0"/>
    <w:rsid w:val="001938A5"/>
    <w:rsid w:val="00194100"/>
    <w:rsid w:val="00194AF8"/>
    <w:rsid w:val="00194E90"/>
    <w:rsid w:val="00195155"/>
    <w:rsid w:val="00195741"/>
    <w:rsid w:val="0019592B"/>
    <w:rsid w:val="00196324"/>
    <w:rsid w:val="00196C54"/>
    <w:rsid w:val="00197B3E"/>
    <w:rsid w:val="001A2972"/>
    <w:rsid w:val="001A2E27"/>
    <w:rsid w:val="001A360D"/>
    <w:rsid w:val="001A497B"/>
    <w:rsid w:val="001A4E3C"/>
    <w:rsid w:val="001A5E89"/>
    <w:rsid w:val="001A764A"/>
    <w:rsid w:val="001A7A71"/>
    <w:rsid w:val="001B0241"/>
    <w:rsid w:val="001B309F"/>
    <w:rsid w:val="001B30F7"/>
    <w:rsid w:val="001B3DB2"/>
    <w:rsid w:val="001B4D8B"/>
    <w:rsid w:val="001B5617"/>
    <w:rsid w:val="001C01A2"/>
    <w:rsid w:val="001C1749"/>
    <w:rsid w:val="001C1E71"/>
    <w:rsid w:val="001C2635"/>
    <w:rsid w:val="001C2F18"/>
    <w:rsid w:val="001C354E"/>
    <w:rsid w:val="001C36F9"/>
    <w:rsid w:val="001C3DE1"/>
    <w:rsid w:val="001C3FAD"/>
    <w:rsid w:val="001C48A3"/>
    <w:rsid w:val="001C4D05"/>
    <w:rsid w:val="001C4EB7"/>
    <w:rsid w:val="001C5057"/>
    <w:rsid w:val="001C6011"/>
    <w:rsid w:val="001C6FBB"/>
    <w:rsid w:val="001C7112"/>
    <w:rsid w:val="001D14E6"/>
    <w:rsid w:val="001D1A09"/>
    <w:rsid w:val="001D24FA"/>
    <w:rsid w:val="001D2892"/>
    <w:rsid w:val="001D398C"/>
    <w:rsid w:val="001D4186"/>
    <w:rsid w:val="001D4DC2"/>
    <w:rsid w:val="001D52D7"/>
    <w:rsid w:val="001D60D8"/>
    <w:rsid w:val="001D678F"/>
    <w:rsid w:val="001D6D3F"/>
    <w:rsid w:val="001D73E1"/>
    <w:rsid w:val="001D749E"/>
    <w:rsid w:val="001E0C73"/>
    <w:rsid w:val="001E34DA"/>
    <w:rsid w:val="001E39F2"/>
    <w:rsid w:val="001E46A6"/>
    <w:rsid w:val="001E4BBE"/>
    <w:rsid w:val="001E6226"/>
    <w:rsid w:val="001E6AF4"/>
    <w:rsid w:val="001E7289"/>
    <w:rsid w:val="001E7447"/>
    <w:rsid w:val="001E781C"/>
    <w:rsid w:val="001F0237"/>
    <w:rsid w:val="001F2948"/>
    <w:rsid w:val="001F2C11"/>
    <w:rsid w:val="001F2DDC"/>
    <w:rsid w:val="001F2F4B"/>
    <w:rsid w:val="001F347A"/>
    <w:rsid w:val="001F350E"/>
    <w:rsid w:val="001F3DDD"/>
    <w:rsid w:val="001F3E35"/>
    <w:rsid w:val="001F4123"/>
    <w:rsid w:val="001F555D"/>
    <w:rsid w:val="001F73BF"/>
    <w:rsid w:val="00201929"/>
    <w:rsid w:val="00201EBF"/>
    <w:rsid w:val="00202703"/>
    <w:rsid w:val="0020363E"/>
    <w:rsid w:val="00204E5B"/>
    <w:rsid w:val="00206183"/>
    <w:rsid w:val="0020679A"/>
    <w:rsid w:val="002075DE"/>
    <w:rsid w:val="0020771C"/>
    <w:rsid w:val="00207DC1"/>
    <w:rsid w:val="00207EB6"/>
    <w:rsid w:val="002114C0"/>
    <w:rsid w:val="00211534"/>
    <w:rsid w:val="00211557"/>
    <w:rsid w:val="00212DB5"/>
    <w:rsid w:val="00214004"/>
    <w:rsid w:val="00214A02"/>
    <w:rsid w:val="00215030"/>
    <w:rsid w:val="00216234"/>
    <w:rsid w:val="00216CDD"/>
    <w:rsid w:val="00216F66"/>
    <w:rsid w:val="002170C7"/>
    <w:rsid w:val="002171B6"/>
    <w:rsid w:val="00217CF6"/>
    <w:rsid w:val="00220195"/>
    <w:rsid w:val="002201E1"/>
    <w:rsid w:val="00220931"/>
    <w:rsid w:val="00221AB2"/>
    <w:rsid w:val="00222597"/>
    <w:rsid w:val="00222664"/>
    <w:rsid w:val="00222FF9"/>
    <w:rsid w:val="00223F9E"/>
    <w:rsid w:val="002249CF"/>
    <w:rsid w:val="00227232"/>
    <w:rsid w:val="0022782E"/>
    <w:rsid w:val="002300D8"/>
    <w:rsid w:val="002315A9"/>
    <w:rsid w:val="00231C37"/>
    <w:rsid w:val="00232804"/>
    <w:rsid w:val="00232D1D"/>
    <w:rsid w:val="00233AF1"/>
    <w:rsid w:val="002348AC"/>
    <w:rsid w:val="00234A7C"/>
    <w:rsid w:val="00235228"/>
    <w:rsid w:val="00235BE9"/>
    <w:rsid w:val="00241C50"/>
    <w:rsid w:val="00242482"/>
    <w:rsid w:val="00242DAD"/>
    <w:rsid w:val="00243351"/>
    <w:rsid w:val="0024343C"/>
    <w:rsid w:val="00243C2D"/>
    <w:rsid w:val="00243DAC"/>
    <w:rsid w:val="00245116"/>
    <w:rsid w:val="0024515F"/>
    <w:rsid w:val="00245A45"/>
    <w:rsid w:val="00246437"/>
    <w:rsid w:val="00246B16"/>
    <w:rsid w:val="00247529"/>
    <w:rsid w:val="002507E3"/>
    <w:rsid w:val="0025083D"/>
    <w:rsid w:val="002513EE"/>
    <w:rsid w:val="00251A41"/>
    <w:rsid w:val="002525AD"/>
    <w:rsid w:val="002534FC"/>
    <w:rsid w:val="00253F01"/>
    <w:rsid w:val="00254345"/>
    <w:rsid w:val="002551D2"/>
    <w:rsid w:val="0025559F"/>
    <w:rsid w:val="00256697"/>
    <w:rsid w:val="00257237"/>
    <w:rsid w:val="00257E1F"/>
    <w:rsid w:val="00260B91"/>
    <w:rsid w:val="002620B7"/>
    <w:rsid w:val="00265025"/>
    <w:rsid w:val="002662CD"/>
    <w:rsid w:val="00266399"/>
    <w:rsid w:val="002675F6"/>
    <w:rsid w:val="00267FD0"/>
    <w:rsid w:val="00270060"/>
    <w:rsid w:val="002704B9"/>
    <w:rsid w:val="00271141"/>
    <w:rsid w:val="00272A53"/>
    <w:rsid w:val="00272AAC"/>
    <w:rsid w:val="00274B8F"/>
    <w:rsid w:val="002751D0"/>
    <w:rsid w:val="002763D5"/>
    <w:rsid w:val="00276D9D"/>
    <w:rsid w:val="00276E75"/>
    <w:rsid w:val="00282283"/>
    <w:rsid w:val="00282C21"/>
    <w:rsid w:val="0028306E"/>
    <w:rsid w:val="00283FDD"/>
    <w:rsid w:val="0028435F"/>
    <w:rsid w:val="00284A28"/>
    <w:rsid w:val="002850B5"/>
    <w:rsid w:val="00285FE0"/>
    <w:rsid w:val="00285FEA"/>
    <w:rsid w:val="00286157"/>
    <w:rsid w:val="002864FD"/>
    <w:rsid w:val="002873D6"/>
    <w:rsid w:val="00290C32"/>
    <w:rsid w:val="00290C9E"/>
    <w:rsid w:val="002920B7"/>
    <w:rsid w:val="00293DB7"/>
    <w:rsid w:val="002948C7"/>
    <w:rsid w:val="00294A8C"/>
    <w:rsid w:val="00296FFE"/>
    <w:rsid w:val="002A0228"/>
    <w:rsid w:val="002A060B"/>
    <w:rsid w:val="002A0AE7"/>
    <w:rsid w:val="002A0DBF"/>
    <w:rsid w:val="002A150D"/>
    <w:rsid w:val="002A18B6"/>
    <w:rsid w:val="002A1AF5"/>
    <w:rsid w:val="002A2399"/>
    <w:rsid w:val="002A2FF7"/>
    <w:rsid w:val="002A30E6"/>
    <w:rsid w:val="002A3455"/>
    <w:rsid w:val="002A35EC"/>
    <w:rsid w:val="002A4BFC"/>
    <w:rsid w:val="002A510A"/>
    <w:rsid w:val="002A56BB"/>
    <w:rsid w:val="002A57ED"/>
    <w:rsid w:val="002A612F"/>
    <w:rsid w:val="002A685C"/>
    <w:rsid w:val="002A7578"/>
    <w:rsid w:val="002B04D3"/>
    <w:rsid w:val="002B1D50"/>
    <w:rsid w:val="002B1EDF"/>
    <w:rsid w:val="002B1F83"/>
    <w:rsid w:val="002B5024"/>
    <w:rsid w:val="002B578B"/>
    <w:rsid w:val="002B6261"/>
    <w:rsid w:val="002B7A72"/>
    <w:rsid w:val="002C06E9"/>
    <w:rsid w:val="002C1D45"/>
    <w:rsid w:val="002C2DB2"/>
    <w:rsid w:val="002C306F"/>
    <w:rsid w:val="002C3693"/>
    <w:rsid w:val="002C43CF"/>
    <w:rsid w:val="002C4D72"/>
    <w:rsid w:val="002C5785"/>
    <w:rsid w:val="002C5B73"/>
    <w:rsid w:val="002C6AE9"/>
    <w:rsid w:val="002C75B4"/>
    <w:rsid w:val="002D0413"/>
    <w:rsid w:val="002D0C68"/>
    <w:rsid w:val="002D10BC"/>
    <w:rsid w:val="002D1499"/>
    <w:rsid w:val="002D17FA"/>
    <w:rsid w:val="002D1DE7"/>
    <w:rsid w:val="002D2651"/>
    <w:rsid w:val="002D2D33"/>
    <w:rsid w:val="002D3505"/>
    <w:rsid w:val="002D3D42"/>
    <w:rsid w:val="002D632C"/>
    <w:rsid w:val="002D6FC3"/>
    <w:rsid w:val="002E007B"/>
    <w:rsid w:val="002E01B5"/>
    <w:rsid w:val="002E0769"/>
    <w:rsid w:val="002E077B"/>
    <w:rsid w:val="002E09BE"/>
    <w:rsid w:val="002E0C7D"/>
    <w:rsid w:val="002E1BBD"/>
    <w:rsid w:val="002E2146"/>
    <w:rsid w:val="002E280E"/>
    <w:rsid w:val="002E4888"/>
    <w:rsid w:val="002E49B0"/>
    <w:rsid w:val="002E57D1"/>
    <w:rsid w:val="002E5E5C"/>
    <w:rsid w:val="002E6A1C"/>
    <w:rsid w:val="002E6C78"/>
    <w:rsid w:val="002E6CBC"/>
    <w:rsid w:val="002E7525"/>
    <w:rsid w:val="002F120B"/>
    <w:rsid w:val="002F145C"/>
    <w:rsid w:val="002F1EFA"/>
    <w:rsid w:val="002F2E5B"/>
    <w:rsid w:val="002F30BE"/>
    <w:rsid w:val="002F3F13"/>
    <w:rsid w:val="002F5C66"/>
    <w:rsid w:val="002F6115"/>
    <w:rsid w:val="002F62C1"/>
    <w:rsid w:val="002F6B4C"/>
    <w:rsid w:val="002F6D94"/>
    <w:rsid w:val="002F7D9D"/>
    <w:rsid w:val="003008B3"/>
    <w:rsid w:val="003015EA"/>
    <w:rsid w:val="003025E6"/>
    <w:rsid w:val="0030292E"/>
    <w:rsid w:val="00302C7D"/>
    <w:rsid w:val="0030338D"/>
    <w:rsid w:val="0030430C"/>
    <w:rsid w:val="00304B95"/>
    <w:rsid w:val="00304DAF"/>
    <w:rsid w:val="003058B6"/>
    <w:rsid w:val="00306118"/>
    <w:rsid w:val="00306C66"/>
    <w:rsid w:val="00306D84"/>
    <w:rsid w:val="00307050"/>
    <w:rsid w:val="00307055"/>
    <w:rsid w:val="00307272"/>
    <w:rsid w:val="0031110F"/>
    <w:rsid w:val="00313177"/>
    <w:rsid w:val="00313907"/>
    <w:rsid w:val="00313E10"/>
    <w:rsid w:val="00314FD8"/>
    <w:rsid w:val="003151E8"/>
    <w:rsid w:val="0031555E"/>
    <w:rsid w:val="00315B65"/>
    <w:rsid w:val="00315D72"/>
    <w:rsid w:val="00317F6B"/>
    <w:rsid w:val="00320109"/>
    <w:rsid w:val="0032025D"/>
    <w:rsid w:val="0032037F"/>
    <w:rsid w:val="003207D2"/>
    <w:rsid w:val="003217DF"/>
    <w:rsid w:val="00322914"/>
    <w:rsid w:val="0032392C"/>
    <w:rsid w:val="00323B83"/>
    <w:rsid w:val="00324468"/>
    <w:rsid w:val="00325FE0"/>
    <w:rsid w:val="0032714F"/>
    <w:rsid w:val="003302B8"/>
    <w:rsid w:val="00330E09"/>
    <w:rsid w:val="003325C9"/>
    <w:rsid w:val="00332766"/>
    <w:rsid w:val="00332F51"/>
    <w:rsid w:val="00335C6D"/>
    <w:rsid w:val="0033644A"/>
    <w:rsid w:val="00336A0A"/>
    <w:rsid w:val="00336B6E"/>
    <w:rsid w:val="00336FA8"/>
    <w:rsid w:val="00337D0D"/>
    <w:rsid w:val="00340889"/>
    <w:rsid w:val="003408DA"/>
    <w:rsid w:val="00340C55"/>
    <w:rsid w:val="00340DD5"/>
    <w:rsid w:val="00340EE7"/>
    <w:rsid w:val="00341763"/>
    <w:rsid w:val="0034232D"/>
    <w:rsid w:val="00342D4D"/>
    <w:rsid w:val="00343296"/>
    <w:rsid w:val="00343BD2"/>
    <w:rsid w:val="003457DE"/>
    <w:rsid w:val="00345C95"/>
    <w:rsid w:val="00346059"/>
    <w:rsid w:val="00347029"/>
    <w:rsid w:val="00347199"/>
    <w:rsid w:val="0035066A"/>
    <w:rsid w:val="0035155A"/>
    <w:rsid w:val="00353B64"/>
    <w:rsid w:val="003541E8"/>
    <w:rsid w:val="003542F4"/>
    <w:rsid w:val="00354826"/>
    <w:rsid w:val="00354FDF"/>
    <w:rsid w:val="00355D5C"/>
    <w:rsid w:val="00357AA6"/>
    <w:rsid w:val="00357C6C"/>
    <w:rsid w:val="00357C84"/>
    <w:rsid w:val="003602A3"/>
    <w:rsid w:val="00360684"/>
    <w:rsid w:val="0036099B"/>
    <w:rsid w:val="003610F2"/>
    <w:rsid w:val="00362808"/>
    <w:rsid w:val="00363153"/>
    <w:rsid w:val="00363965"/>
    <w:rsid w:val="003640AA"/>
    <w:rsid w:val="0036444A"/>
    <w:rsid w:val="00364852"/>
    <w:rsid w:val="00365344"/>
    <w:rsid w:val="00365BD3"/>
    <w:rsid w:val="00366F19"/>
    <w:rsid w:val="003671E9"/>
    <w:rsid w:val="00367501"/>
    <w:rsid w:val="00370F66"/>
    <w:rsid w:val="0037141A"/>
    <w:rsid w:val="00373A11"/>
    <w:rsid w:val="00373A15"/>
    <w:rsid w:val="00373D57"/>
    <w:rsid w:val="00374480"/>
    <w:rsid w:val="00374762"/>
    <w:rsid w:val="00374E66"/>
    <w:rsid w:val="00374F86"/>
    <w:rsid w:val="00375DAF"/>
    <w:rsid w:val="00381378"/>
    <w:rsid w:val="00381BFD"/>
    <w:rsid w:val="0038232D"/>
    <w:rsid w:val="00383D9B"/>
    <w:rsid w:val="003840BE"/>
    <w:rsid w:val="0038430F"/>
    <w:rsid w:val="00386659"/>
    <w:rsid w:val="00386733"/>
    <w:rsid w:val="0038696C"/>
    <w:rsid w:val="00387CD5"/>
    <w:rsid w:val="003904A1"/>
    <w:rsid w:val="00391373"/>
    <w:rsid w:val="003927C3"/>
    <w:rsid w:val="00392DF1"/>
    <w:rsid w:val="00393224"/>
    <w:rsid w:val="003941CC"/>
    <w:rsid w:val="0039443C"/>
    <w:rsid w:val="00394589"/>
    <w:rsid w:val="0039497B"/>
    <w:rsid w:val="00394D32"/>
    <w:rsid w:val="003957EF"/>
    <w:rsid w:val="00395A69"/>
    <w:rsid w:val="0039648B"/>
    <w:rsid w:val="00397377"/>
    <w:rsid w:val="0039769E"/>
    <w:rsid w:val="003A0318"/>
    <w:rsid w:val="003A1A2E"/>
    <w:rsid w:val="003A1A9C"/>
    <w:rsid w:val="003A1E61"/>
    <w:rsid w:val="003A20F7"/>
    <w:rsid w:val="003A2453"/>
    <w:rsid w:val="003A2873"/>
    <w:rsid w:val="003A2BD7"/>
    <w:rsid w:val="003A3610"/>
    <w:rsid w:val="003A369A"/>
    <w:rsid w:val="003A3814"/>
    <w:rsid w:val="003A3B4B"/>
    <w:rsid w:val="003A4200"/>
    <w:rsid w:val="003A44D5"/>
    <w:rsid w:val="003A47D9"/>
    <w:rsid w:val="003A5E6D"/>
    <w:rsid w:val="003A635E"/>
    <w:rsid w:val="003A6B9A"/>
    <w:rsid w:val="003A773B"/>
    <w:rsid w:val="003A799B"/>
    <w:rsid w:val="003B1810"/>
    <w:rsid w:val="003B1AF6"/>
    <w:rsid w:val="003B30AB"/>
    <w:rsid w:val="003B6DB0"/>
    <w:rsid w:val="003B77B7"/>
    <w:rsid w:val="003C072F"/>
    <w:rsid w:val="003C0E8D"/>
    <w:rsid w:val="003C119C"/>
    <w:rsid w:val="003C16EA"/>
    <w:rsid w:val="003C212D"/>
    <w:rsid w:val="003C3656"/>
    <w:rsid w:val="003C4840"/>
    <w:rsid w:val="003C4AF9"/>
    <w:rsid w:val="003C4CA0"/>
    <w:rsid w:val="003C4D26"/>
    <w:rsid w:val="003C5E03"/>
    <w:rsid w:val="003C685D"/>
    <w:rsid w:val="003C7608"/>
    <w:rsid w:val="003D0C80"/>
    <w:rsid w:val="003D1597"/>
    <w:rsid w:val="003D21F4"/>
    <w:rsid w:val="003D2B2B"/>
    <w:rsid w:val="003D3566"/>
    <w:rsid w:val="003D4B8B"/>
    <w:rsid w:val="003D4C27"/>
    <w:rsid w:val="003E0267"/>
    <w:rsid w:val="003E1F44"/>
    <w:rsid w:val="003E26BF"/>
    <w:rsid w:val="003E5F14"/>
    <w:rsid w:val="003E6131"/>
    <w:rsid w:val="003E6613"/>
    <w:rsid w:val="003E6845"/>
    <w:rsid w:val="003E6D00"/>
    <w:rsid w:val="003E70B3"/>
    <w:rsid w:val="003E724C"/>
    <w:rsid w:val="003E7790"/>
    <w:rsid w:val="003E7994"/>
    <w:rsid w:val="003F243B"/>
    <w:rsid w:val="003F371B"/>
    <w:rsid w:val="003F52F8"/>
    <w:rsid w:val="003F5DD6"/>
    <w:rsid w:val="0040010F"/>
    <w:rsid w:val="0040017C"/>
    <w:rsid w:val="00400BEF"/>
    <w:rsid w:val="00401A21"/>
    <w:rsid w:val="00401ED1"/>
    <w:rsid w:val="00403086"/>
    <w:rsid w:val="00403B1D"/>
    <w:rsid w:val="00403D60"/>
    <w:rsid w:val="004044DE"/>
    <w:rsid w:val="00404846"/>
    <w:rsid w:val="004052D8"/>
    <w:rsid w:val="00405753"/>
    <w:rsid w:val="004057FD"/>
    <w:rsid w:val="0040593B"/>
    <w:rsid w:val="00405A0F"/>
    <w:rsid w:val="00406905"/>
    <w:rsid w:val="004071E4"/>
    <w:rsid w:val="00407557"/>
    <w:rsid w:val="004105B4"/>
    <w:rsid w:val="00410946"/>
    <w:rsid w:val="00411994"/>
    <w:rsid w:val="00412524"/>
    <w:rsid w:val="0041259B"/>
    <w:rsid w:val="004152CA"/>
    <w:rsid w:val="00416075"/>
    <w:rsid w:val="004204D7"/>
    <w:rsid w:val="00420B9F"/>
    <w:rsid w:val="00423915"/>
    <w:rsid w:val="00424202"/>
    <w:rsid w:val="004246F8"/>
    <w:rsid w:val="00424F57"/>
    <w:rsid w:val="0042521D"/>
    <w:rsid w:val="0042571C"/>
    <w:rsid w:val="00425C2C"/>
    <w:rsid w:val="00431121"/>
    <w:rsid w:val="00431583"/>
    <w:rsid w:val="004320EA"/>
    <w:rsid w:val="00432F28"/>
    <w:rsid w:val="004331E1"/>
    <w:rsid w:val="004333B0"/>
    <w:rsid w:val="00433F00"/>
    <w:rsid w:val="004359E9"/>
    <w:rsid w:val="00436018"/>
    <w:rsid w:val="00436713"/>
    <w:rsid w:val="00436A25"/>
    <w:rsid w:val="00436B9E"/>
    <w:rsid w:val="00437855"/>
    <w:rsid w:val="00437C3A"/>
    <w:rsid w:val="00437C8C"/>
    <w:rsid w:val="00440315"/>
    <w:rsid w:val="004405A5"/>
    <w:rsid w:val="00440A7A"/>
    <w:rsid w:val="00440AF0"/>
    <w:rsid w:val="0044310E"/>
    <w:rsid w:val="00443C0E"/>
    <w:rsid w:val="00443D40"/>
    <w:rsid w:val="00443E55"/>
    <w:rsid w:val="00444397"/>
    <w:rsid w:val="00444828"/>
    <w:rsid w:val="00444AB5"/>
    <w:rsid w:val="0044506E"/>
    <w:rsid w:val="004455E3"/>
    <w:rsid w:val="00451FAF"/>
    <w:rsid w:val="00455482"/>
    <w:rsid w:val="0045554E"/>
    <w:rsid w:val="00455BA5"/>
    <w:rsid w:val="004564A5"/>
    <w:rsid w:val="004566E1"/>
    <w:rsid w:val="004567BD"/>
    <w:rsid w:val="00456ED3"/>
    <w:rsid w:val="00460385"/>
    <w:rsid w:val="0046070A"/>
    <w:rsid w:val="00460C7E"/>
    <w:rsid w:val="00461CB8"/>
    <w:rsid w:val="00461CF6"/>
    <w:rsid w:val="004622A7"/>
    <w:rsid w:val="0046261C"/>
    <w:rsid w:val="00462E78"/>
    <w:rsid w:val="00463E44"/>
    <w:rsid w:val="00463ED0"/>
    <w:rsid w:val="00464D28"/>
    <w:rsid w:val="00464EC8"/>
    <w:rsid w:val="00464FF2"/>
    <w:rsid w:val="004651B1"/>
    <w:rsid w:val="004653E6"/>
    <w:rsid w:val="004656BD"/>
    <w:rsid w:val="004669BB"/>
    <w:rsid w:val="00467599"/>
    <w:rsid w:val="00467C14"/>
    <w:rsid w:val="00471C87"/>
    <w:rsid w:val="004723CA"/>
    <w:rsid w:val="00472533"/>
    <w:rsid w:val="0047319D"/>
    <w:rsid w:val="00473284"/>
    <w:rsid w:val="0047371E"/>
    <w:rsid w:val="00474E1B"/>
    <w:rsid w:val="004754D2"/>
    <w:rsid w:val="00476682"/>
    <w:rsid w:val="00476B5B"/>
    <w:rsid w:val="00476B8F"/>
    <w:rsid w:val="00476D4C"/>
    <w:rsid w:val="00476DEE"/>
    <w:rsid w:val="00476EB1"/>
    <w:rsid w:val="004774C3"/>
    <w:rsid w:val="00480C16"/>
    <w:rsid w:val="00481E84"/>
    <w:rsid w:val="004822BD"/>
    <w:rsid w:val="004841DA"/>
    <w:rsid w:val="00484A7C"/>
    <w:rsid w:val="00484B5E"/>
    <w:rsid w:val="00484EA8"/>
    <w:rsid w:val="00486009"/>
    <w:rsid w:val="004864DF"/>
    <w:rsid w:val="0048694D"/>
    <w:rsid w:val="00487A8E"/>
    <w:rsid w:val="0049054F"/>
    <w:rsid w:val="004906F5"/>
    <w:rsid w:val="004917DB"/>
    <w:rsid w:val="00491A43"/>
    <w:rsid w:val="00491A7D"/>
    <w:rsid w:val="00491C1F"/>
    <w:rsid w:val="00492068"/>
    <w:rsid w:val="00492D87"/>
    <w:rsid w:val="00495837"/>
    <w:rsid w:val="00495992"/>
    <w:rsid w:val="0049606A"/>
    <w:rsid w:val="00496296"/>
    <w:rsid w:val="00496559"/>
    <w:rsid w:val="004A023E"/>
    <w:rsid w:val="004A06AC"/>
    <w:rsid w:val="004A15B6"/>
    <w:rsid w:val="004A1BBB"/>
    <w:rsid w:val="004A1E72"/>
    <w:rsid w:val="004A205E"/>
    <w:rsid w:val="004A2A29"/>
    <w:rsid w:val="004A34FA"/>
    <w:rsid w:val="004A7699"/>
    <w:rsid w:val="004B105E"/>
    <w:rsid w:val="004B115D"/>
    <w:rsid w:val="004B2A07"/>
    <w:rsid w:val="004B3835"/>
    <w:rsid w:val="004B3AAF"/>
    <w:rsid w:val="004B3CD2"/>
    <w:rsid w:val="004B4965"/>
    <w:rsid w:val="004B4D8C"/>
    <w:rsid w:val="004B4FAC"/>
    <w:rsid w:val="004B53B7"/>
    <w:rsid w:val="004B596B"/>
    <w:rsid w:val="004B6823"/>
    <w:rsid w:val="004B6CEB"/>
    <w:rsid w:val="004B7450"/>
    <w:rsid w:val="004B76C4"/>
    <w:rsid w:val="004C08CD"/>
    <w:rsid w:val="004C12AE"/>
    <w:rsid w:val="004C1351"/>
    <w:rsid w:val="004C17BD"/>
    <w:rsid w:val="004C220A"/>
    <w:rsid w:val="004C31BD"/>
    <w:rsid w:val="004C4139"/>
    <w:rsid w:val="004C41B0"/>
    <w:rsid w:val="004C43CD"/>
    <w:rsid w:val="004C4482"/>
    <w:rsid w:val="004C44C2"/>
    <w:rsid w:val="004C571C"/>
    <w:rsid w:val="004C58E4"/>
    <w:rsid w:val="004C77DB"/>
    <w:rsid w:val="004D07A7"/>
    <w:rsid w:val="004D3417"/>
    <w:rsid w:val="004D388D"/>
    <w:rsid w:val="004D3AB1"/>
    <w:rsid w:val="004D6F17"/>
    <w:rsid w:val="004D7836"/>
    <w:rsid w:val="004E0FF9"/>
    <w:rsid w:val="004E27F8"/>
    <w:rsid w:val="004E32FF"/>
    <w:rsid w:val="004E4206"/>
    <w:rsid w:val="004E487F"/>
    <w:rsid w:val="004E4CEF"/>
    <w:rsid w:val="004E5E65"/>
    <w:rsid w:val="004F245E"/>
    <w:rsid w:val="004F2C7D"/>
    <w:rsid w:val="004F2FE0"/>
    <w:rsid w:val="004F3F80"/>
    <w:rsid w:val="004F54BD"/>
    <w:rsid w:val="004F5AB7"/>
    <w:rsid w:val="004F6314"/>
    <w:rsid w:val="004F688F"/>
    <w:rsid w:val="004F68E1"/>
    <w:rsid w:val="004F7900"/>
    <w:rsid w:val="004F7EB8"/>
    <w:rsid w:val="00500C99"/>
    <w:rsid w:val="00501200"/>
    <w:rsid w:val="0050160F"/>
    <w:rsid w:val="00501869"/>
    <w:rsid w:val="005025FD"/>
    <w:rsid w:val="0050288B"/>
    <w:rsid w:val="00502B45"/>
    <w:rsid w:val="00504433"/>
    <w:rsid w:val="00504687"/>
    <w:rsid w:val="005049B8"/>
    <w:rsid w:val="00504F45"/>
    <w:rsid w:val="00505561"/>
    <w:rsid w:val="00505BE3"/>
    <w:rsid w:val="005072FD"/>
    <w:rsid w:val="00512864"/>
    <w:rsid w:val="005130CE"/>
    <w:rsid w:val="00513A7A"/>
    <w:rsid w:val="00514975"/>
    <w:rsid w:val="0051609F"/>
    <w:rsid w:val="005201EE"/>
    <w:rsid w:val="005216FF"/>
    <w:rsid w:val="00523FBC"/>
    <w:rsid w:val="0052617F"/>
    <w:rsid w:val="005261CB"/>
    <w:rsid w:val="0052621E"/>
    <w:rsid w:val="00527F88"/>
    <w:rsid w:val="00527FE5"/>
    <w:rsid w:val="00530B58"/>
    <w:rsid w:val="00531902"/>
    <w:rsid w:val="005329F6"/>
    <w:rsid w:val="00534871"/>
    <w:rsid w:val="00534A16"/>
    <w:rsid w:val="00535307"/>
    <w:rsid w:val="00535760"/>
    <w:rsid w:val="00535A85"/>
    <w:rsid w:val="00536B08"/>
    <w:rsid w:val="005406BF"/>
    <w:rsid w:val="00540FE9"/>
    <w:rsid w:val="00541514"/>
    <w:rsid w:val="005421B2"/>
    <w:rsid w:val="0054224F"/>
    <w:rsid w:val="00542D3C"/>
    <w:rsid w:val="00543741"/>
    <w:rsid w:val="00545E78"/>
    <w:rsid w:val="005464C2"/>
    <w:rsid w:val="0054754A"/>
    <w:rsid w:val="00547A9B"/>
    <w:rsid w:val="00547F0B"/>
    <w:rsid w:val="0055075E"/>
    <w:rsid w:val="005510BB"/>
    <w:rsid w:val="0055362F"/>
    <w:rsid w:val="00553A27"/>
    <w:rsid w:val="00553C93"/>
    <w:rsid w:val="005541D8"/>
    <w:rsid w:val="00554BBF"/>
    <w:rsid w:val="0055562B"/>
    <w:rsid w:val="0055629B"/>
    <w:rsid w:val="005562E4"/>
    <w:rsid w:val="00556C99"/>
    <w:rsid w:val="00556F62"/>
    <w:rsid w:val="0055743A"/>
    <w:rsid w:val="005601BA"/>
    <w:rsid w:val="00560E70"/>
    <w:rsid w:val="00561036"/>
    <w:rsid w:val="005619EC"/>
    <w:rsid w:val="00562FC9"/>
    <w:rsid w:val="005643DD"/>
    <w:rsid w:val="0056551D"/>
    <w:rsid w:val="00565575"/>
    <w:rsid w:val="005659DF"/>
    <w:rsid w:val="0056624D"/>
    <w:rsid w:val="0056670F"/>
    <w:rsid w:val="005667AE"/>
    <w:rsid w:val="0057126B"/>
    <w:rsid w:val="00571528"/>
    <w:rsid w:val="00571654"/>
    <w:rsid w:val="005718C6"/>
    <w:rsid w:val="0057196A"/>
    <w:rsid w:val="00571985"/>
    <w:rsid w:val="005731E7"/>
    <w:rsid w:val="00573F26"/>
    <w:rsid w:val="00575075"/>
    <w:rsid w:val="005753A2"/>
    <w:rsid w:val="0057591A"/>
    <w:rsid w:val="005759C6"/>
    <w:rsid w:val="0057694E"/>
    <w:rsid w:val="0057722E"/>
    <w:rsid w:val="005801A6"/>
    <w:rsid w:val="005811DB"/>
    <w:rsid w:val="005816B2"/>
    <w:rsid w:val="00581C7D"/>
    <w:rsid w:val="00583601"/>
    <w:rsid w:val="00583BB6"/>
    <w:rsid w:val="005849FB"/>
    <w:rsid w:val="005853B0"/>
    <w:rsid w:val="005869CA"/>
    <w:rsid w:val="00586B7D"/>
    <w:rsid w:val="00592573"/>
    <w:rsid w:val="00593707"/>
    <w:rsid w:val="00594801"/>
    <w:rsid w:val="00595EAD"/>
    <w:rsid w:val="00595F07"/>
    <w:rsid w:val="00596867"/>
    <w:rsid w:val="0059707A"/>
    <w:rsid w:val="0059768E"/>
    <w:rsid w:val="00597F6E"/>
    <w:rsid w:val="005A181F"/>
    <w:rsid w:val="005A27E0"/>
    <w:rsid w:val="005A2EF4"/>
    <w:rsid w:val="005A353B"/>
    <w:rsid w:val="005A35B0"/>
    <w:rsid w:val="005A3674"/>
    <w:rsid w:val="005A3A06"/>
    <w:rsid w:val="005A3BD8"/>
    <w:rsid w:val="005A4D7A"/>
    <w:rsid w:val="005A5B65"/>
    <w:rsid w:val="005A6052"/>
    <w:rsid w:val="005A6A4E"/>
    <w:rsid w:val="005A6CF1"/>
    <w:rsid w:val="005A7149"/>
    <w:rsid w:val="005A75D2"/>
    <w:rsid w:val="005A7CD6"/>
    <w:rsid w:val="005A7E87"/>
    <w:rsid w:val="005B0640"/>
    <w:rsid w:val="005B1C6C"/>
    <w:rsid w:val="005B1DB2"/>
    <w:rsid w:val="005B29A6"/>
    <w:rsid w:val="005B374F"/>
    <w:rsid w:val="005B4D12"/>
    <w:rsid w:val="005B6999"/>
    <w:rsid w:val="005B7AEA"/>
    <w:rsid w:val="005B7B06"/>
    <w:rsid w:val="005C00CE"/>
    <w:rsid w:val="005C04F6"/>
    <w:rsid w:val="005C276E"/>
    <w:rsid w:val="005C2AAA"/>
    <w:rsid w:val="005C32D5"/>
    <w:rsid w:val="005C36F6"/>
    <w:rsid w:val="005C39B3"/>
    <w:rsid w:val="005C3A87"/>
    <w:rsid w:val="005C49B9"/>
    <w:rsid w:val="005C5EA2"/>
    <w:rsid w:val="005C747B"/>
    <w:rsid w:val="005C7FF5"/>
    <w:rsid w:val="005D02DE"/>
    <w:rsid w:val="005D02F2"/>
    <w:rsid w:val="005D0451"/>
    <w:rsid w:val="005D0AC4"/>
    <w:rsid w:val="005D0F4D"/>
    <w:rsid w:val="005D2155"/>
    <w:rsid w:val="005D218B"/>
    <w:rsid w:val="005D2AED"/>
    <w:rsid w:val="005D49BE"/>
    <w:rsid w:val="005D4A27"/>
    <w:rsid w:val="005D628F"/>
    <w:rsid w:val="005D6368"/>
    <w:rsid w:val="005D6719"/>
    <w:rsid w:val="005D6996"/>
    <w:rsid w:val="005D7F02"/>
    <w:rsid w:val="005E0B60"/>
    <w:rsid w:val="005E0C0C"/>
    <w:rsid w:val="005E0D4A"/>
    <w:rsid w:val="005E20DD"/>
    <w:rsid w:val="005E2563"/>
    <w:rsid w:val="005E2731"/>
    <w:rsid w:val="005E279C"/>
    <w:rsid w:val="005E3FFB"/>
    <w:rsid w:val="005E4ACB"/>
    <w:rsid w:val="005E4C5A"/>
    <w:rsid w:val="005E7103"/>
    <w:rsid w:val="005F0EAE"/>
    <w:rsid w:val="005F175D"/>
    <w:rsid w:val="005F2996"/>
    <w:rsid w:val="005F299F"/>
    <w:rsid w:val="005F2D70"/>
    <w:rsid w:val="005F3934"/>
    <w:rsid w:val="005F3CA8"/>
    <w:rsid w:val="005F437A"/>
    <w:rsid w:val="005F48C3"/>
    <w:rsid w:val="005F4A13"/>
    <w:rsid w:val="005F4A67"/>
    <w:rsid w:val="005F5CDA"/>
    <w:rsid w:val="005F615F"/>
    <w:rsid w:val="005F6D05"/>
    <w:rsid w:val="005F6EDF"/>
    <w:rsid w:val="005F75F3"/>
    <w:rsid w:val="005F7753"/>
    <w:rsid w:val="005F7C8D"/>
    <w:rsid w:val="00600E2B"/>
    <w:rsid w:val="00601497"/>
    <w:rsid w:val="00601CFF"/>
    <w:rsid w:val="00602474"/>
    <w:rsid w:val="00602AB6"/>
    <w:rsid w:val="00605DE4"/>
    <w:rsid w:val="0060762D"/>
    <w:rsid w:val="0061057F"/>
    <w:rsid w:val="006110E7"/>
    <w:rsid w:val="0061167C"/>
    <w:rsid w:val="00612436"/>
    <w:rsid w:val="00612CF3"/>
    <w:rsid w:val="0061338C"/>
    <w:rsid w:val="00613DAD"/>
    <w:rsid w:val="006151B1"/>
    <w:rsid w:val="00615573"/>
    <w:rsid w:val="00615743"/>
    <w:rsid w:val="00616C1A"/>
    <w:rsid w:val="006178F9"/>
    <w:rsid w:val="0061799B"/>
    <w:rsid w:val="00617A5A"/>
    <w:rsid w:val="006202DC"/>
    <w:rsid w:val="00620EA1"/>
    <w:rsid w:val="006215DC"/>
    <w:rsid w:val="0062205A"/>
    <w:rsid w:val="00622198"/>
    <w:rsid w:val="00622335"/>
    <w:rsid w:val="006229DA"/>
    <w:rsid w:val="00622AFC"/>
    <w:rsid w:val="00623091"/>
    <w:rsid w:val="006242B8"/>
    <w:rsid w:val="00626F74"/>
    <w:rsid w:val="006270B2"/>
    <w:rsid w:val="00627710"/>
    <w:rsid w:val="00627852"/>
    <w:rsid w:val="00630B58"/>
    <w:rsid w:val="006311A1"/>
    <w:rsid w:val="0063150B"/>
    <w:rsid w:val="00632C1D"/>
    <w:rsid w:val="00632DCF"/>
    <w:rsid w:val="00635011"/>
    <w:rsid w:val="00635434"/>
    <w:rsid w:val="006356DD"/>
    <w:rsid w:val="00635808"/>
    <w:rsid w:val="00635BAC"/>
    <w:rsid w:val="00635E41"/>
    <w:rsid w:val="00636008"/>
    <w:rsid w:val="006362DE"/>
    <w:rsid w:val="00636713"/>
    <w:rsid w:val="00636C2A"/>
    <w:rsid w:val="00636DA9"/>
    <w:rsid w:val="00636FD4"/>
    <w:rsid w:val="00637C81"/>
    <w:rsid w:val="0064018A"/>
    <w:rsid w:val="006402EF"/>
    <w:rsid w:val="00640B61"/>
    <w:rsid w:val="00642072"/>
    <w:rsid w:val="006428F2"/>
    <w:rsid w:val="006428FD"/>
    <w:rsid w:val="00642A5E"/>
    <w:rsid w:val="00643635"/>
    <w:rsid w:val="0064410A"/>
    <w:rsid w:val="00645279"/>
    <w:rsid w:val="00645662"/>
    <w:rsid w:val="006456D4"/>
    <w:rsid w:val="00646A9C"/>
    <w:rsid w:val="00647892"/>
    <w:rsid w:val="00647F8A"/>
    <w:rsid w:val="00650E05"/>
    <w:rsid w:val="00650FC3"/>
    <w:rsid w:val="006519D9"/>
    <w:rsid w:val="00654E3E"/>
    <w:rsid w:val="00655257"/>
    <w:rsid w:val="006570DC"/>
    <w:rsid w:val="00657491"/>
    <w:rsid w:val="0065770D"/>
    <w:rsid w:val="00661375"/>
    <w:rsid w:val="006616FA"/>
    <w:rsid w:val="00662898"/>
    <w:rsid w:val="00662EEA"/>
    <w:rsid w:val="00663B01"/>
    <w:rsid w:val="00665674"/>
    <w:rsid w:val="006669E4"/>
    <w:rsid w:val="00666F8A"/>
    <w:rsid w:val="0067015F"/>
    <w:rsid w:val="00670AEC"/>
    <w:rsid w:val="00671D45"/>
    <w:rsid w:val="00672E07"/>
    <w:rsid w:val="006733F2"/>
    <w:rsid w:val="006738F4"/>
    <w:rsid w:val="0067442F"/>
    <w:rsid w:val="006749B1"/>
    <w:rsid w:val="006750DF"/>
    <w:rsid w:val="00676074"/>
    <w:rsid w:val="00677086"/>
    <w:rsid w:val="00680736"/>
    <w:rsid w:val="00680B09"/>
    <w:rsid w:val="00680E04"/>
    <w:rsid w:val="0068220C"/>
    <w:rsid w:val="00683A63"/>
    <w:rsid w:val="0068412E"/>
    <w:rsid w:val="00684598"/>
    <w:rsid w:val="006854E2"/>
    <w:rsid w:val="006875F0"/>
    <w:rsid w:val="00690309"/>
    <w:rsid w:val="0069067E"/>
    <w:rsid w:val="00691C25"/>
    <w:rsid w:val="00692A9D"/>
    <w:rsid w:val="00692EAB"/>
    <w:rsid w:val="006937FB"/>
    <w:rsid w:val="00693AED"/>
    <w:rsid w:val="00695D13"/>
    <w:rsid w:val="006966FB"/>
    <w:rsid w:val="0069700C"/>
    <w:rsid w:val="006A085A"/>
    <w:rsid w:val="006A0EC1"/>
    <w:rsid w:val="006A1133"/>
    <w:rsid w:val="006A1554"/>
    <w:rsid w:val="006A1E6B"/>
    <w:rsid w:val="006A2FCA"/>
    <w:rsid w:val="006A34CB"/>
    <w:rsid w:val="006A34EC"/>
    <w:rsid w:val="006A43D3"/>
    <w:rsid w:val="006A4407"/>
    <w:rsid w:val="006A606D"/>
    <w:rsid w:val="006A64C0"/>
    <w:rsid w:val="006B0330"/>
    <w:rsid w:val="006B08BE"/>
    <w:rsid w:val="006B14B2"/>
    <w:rsid w:val="006B2A08"/>
    <w:rsid w:val="006B3297"/>
    <w:rsid w:val="006B4054"/>
    <w:rsid w:val="006B6711"/>
    <w:rsid w:val="006C078E"/>
    <w:rsid w:val="006C11B8"/>
    <w:rsid w:val="006C1E75"/>
    <w:rsid w:val="006C38A0"/>
    <w:rsid w:val="006C3D5E"/>
    <w:rsid w:val="006C5D23"/>
    <w:rsid w:val="006D08F7"/>
    <w:rsid w:val="006D22BE"/>
    <w:rsid w:val="006D36C5"/>
    <w:rsid w:val="006D42F4"/>
    <w:rsid w:val="006D42FD"/>
    <w:rsid w:val="006D58B9"/>
    <w:rsid w:val="006D62AC"/>
    <w:rsid w:val="006D63A9"/>
    <w:rsid w:val="006D7854"/>
    <w:rsid w:val="006E0BFB"/>
    <w:rsid w:val="006E2B3B"/>
    <w:rsid w:val="006E45B9"/>
    <w:rsid w:val="006E475F"/>
    <w:rsid w:val="006E58FF"/>
    <w:rsid w:val="006E5B59"/>
    <w:rsid w:val="006E624C"/>
    <w:rsid w:val="006E6912"/>
    <w:rsid w:val="006E6BB9"/>
    <w:rsid w:val="006E7ED6"/>
    <w:rsid w:val="006F06C5"/>
    <w:rsid w:val="006F0BD8"/>
    <w:rsid w:val="006F1B4A"/>
    <w:rsid w:val="006F2209"/>
    <w:rsid w:val="006F2E98"/>
    <w:rsid w:val="006F35C1"/>
    <w:rsid w:val="006F3AA0"/>
    <w:rsid w:val="006F3C51"/>
    <w:rsid w:val="006F5B23"/>
    <w:rsid w:val="006F6002"/>
    <w:rsid w:val="006F6CA1"/>
    <w:rsid w:val="006F719B"/>
    <w:rsid w:val="006F744F"/>
    <w:rsid w:val="00700B93"/>
    <w:rsid w:val="0070108D"/>
    <w:rsid w:val="00701CCF"/>
    <w:rsid w:val="0070210F"/>
    <w:rsid w:val="007032FC"/>
    <w:rsid w:val="00703505"/>
    <w:rsid w:val="00703664"/>
    <w:rsid w:val="00703BDE"/>
    <w:rsid w:val="0070475F"/>
    <w:rsid w:val="0070602C"/>
    <w:rsid w:val="00706204"/>
    <w:rsid w:val="0070759A"/>
    <w:rsid w:val="00707696"/>
    <w:rsid w:val="00707739"/>
    <w:rsid w:val="00707773"/>
    <w:rsid w:val="00710640"/>
    <w:rsid w:val="007107AC"/>
    <w:rsid w:val="007112DB"/>
    <w:rsid w:val="007117E5"/>
    <w:rsid w:val="00712016"/>
    <w:rsid w:val="007129E9"/>
    <w:rsid w:val="00712B45"/>
    <w:rsid w:val="00713E34"/>
    <w:rsid w:val="00714497"/>
    <w:rsid w:val="00714B93"/>
    <w:rsid w:val="0071557F"/>
    <w:rsid w:val="0071563E"/>
    <w:rsid w:val="007157B1"/>
    <w:rsid w:val="00715874"/>
    <w:rsid w:val="00716BB4"/>
    <w:rsid w:val="0071775A"/>
    <w:rsid w:val="00717A72"/>
    <w:rsid w:val="007205BD"/>
    <w:rsid w:val="00722E6B"/>
    <w:rsid w:val="0072425F"/>
    <w:rsid w:val="007242AA"/>
    <w:rsid w:val="00725515"/>
    <w:rsid w:val="007320C5"/>
    <w:rsid w:val="00733C93"/>
    <w:rsid w:val="00734FAE"/>
    <w:rsid w:val="00735FF5"/>
    <w:rsid w:val="00736BB2"/>
    <w:rsid w:val="00736D36"/>
    <w:rsid w:val="007414CA"/>
    <w:rsid w:val="00741CF0"/>
    <w:rsid w:val="00742767"/>
    <w:rsid w:val="00742F40"/>
    <w:rsid w:val="00744B45"/>
    <w:rsid w:val="00744B4E"/>
    <w:rsid w:val="00744D31"/>
    <w:rsid w:val="00744D5A"/>
    <w:rsid w:val="00744D87"/>
    <w:rsid w:val="00745FD3"/>
    <w:rsid w:val="00746305"/>
    <w:rsid w:val="00746661"/>
    <w:rsid w:val="007466D5"/>
    <w:rsid w:val="00746D5A"/>
    <w:rsid w:val="00747570"/>
    <w:rsid w:val="00747643"/>
    <w:rsid w:val="0075002C"/>
    <w:rsid w:val="00750931"/>
    <w:rsid w:val="007509AB"/>
    <w:rsid w:val="007513F9"/>
    <w:rsid w:val="0075147D"/>
    <w:rsid w:val="00751BC8"/>
    <w:rsid w:val="0075264D"/>
    <w:rsid w:val="00752B66"/>
    <w:rsid w:val="00752FEA"/>
    <w:rsid w:val="0075331B"/>
    <w:rsid w:val="007538D9"/>
    <w:rsid w:val="00753CB8"/>
    <w:rsid w:val="00754123"/>
    <w:rsid w:val="007541DF"/>
    <w:rsid w:val="007551C5"/>
    <w:rsid w:val="00755BD5"/>
    <w:rsid w:val="00756882"/>
    <w:rsid w:val="007574D9"/>
    <w:rsid w:val="00757C92"/>
    <w:rsid w:val="0076081A"/>
    <w:rsid w:val="007609DC"/>
    <w:rsid w:val="00761019"/>
    <w:rsid w:val="007618F8"/>
    <w:rsid w:val="00762079"/>
    <w:rsid w:val="00762250"/>
    <w:rsid w:val="007627A4"/>
    <w:rsid w:val="007636FF"/>
    <w:rsid w:val="00763BA0"/>
    <w:rsid w:val="007641C3"/>
    <w:rsid w:val="00764ABB"/>
    <w:rsid w:val="00764C54"/>
    <w:rsid w:val="00765242"/>
    <w:rsid w:val="00765BDF"/>
    <w:rsid w:val="00767208"/>
    <w:rsid w:val="00767BC8"/>
    <w:rsid w:val="007724D8"/>
    <w:rsid w:val="00773670"/>
    <w:rsid w:val="00774692"/>
    <w:rsid w:val="00776F3C"/>
    <w:rsid w:val="0078102D"/>
    <w:rsid w:val="007810D8"/>
    <w:rsid w:val="00781CF5"/>
    <w:rsid w:val="007823A5"/>
    <w:rsid w:val="00782F67"/>
    <w:rsid w:val="00784CF4"/>
    <w:rsid w:val="00784FA2"/>
    <w:rsid w:val="00784FDE"/>
    <w:rsid w:val="007851D6"/>
    <w:rsid w:val="007855D8"/>
    <w:rsid w:val="00785C55"/>
    <w:rsid w:val="00786066"/>
    <w:rsid w:val="00786295"/>
    <w:rsid w:val="00786A94"/>
    <w:rsid w:val="00786BCE"/>
    <w:rsid w:val="00787EDD"/>
    <w:rsid w:val="007908A6"/>
    <w:rsid w:val="00790A4F"/>
    <w:rsid w:val="00790FD0"/>
    <w:rsid w:val="00793E99"/>
    <w:rsid w:val="00795DD8"/>
    <w:rsid w:val="00795F81"/>
    <w:rsid w:val="0079675D"/>
    <w:rsid w:val="00796786"/>
    <w:rsid w:val="00796CF6"/>
    <w:rsid w:val="00797516"/>
    <w:rsid w:val="007A0C41"/>
    <w:rsid w:val="007A175A"/>
    <w:rsid w:val="007A1D7A"/>
    <w:rsid w:val="007A1E13"/>
    <w:rsid w:val="007A21B4"/>
    <w:rsid w:val="007A24BC"/>
    <w:rsid w:val="007A292E"/>
    <w:rsid w:val="007A2B38"/>
    <w:rsid w:val="007A32B5"/>
    <w:rsid w:val="007A3DAF"/>
    <w:rsid w:val="007A44F5"/>
    <w:rsid w:val="007A4703"/>
    <w:rsid w:val="007A4A81"/>
    <w:rsid w:val="007A520C"/>
    <w:rsid w:val="007A599A"/>
    <w:rsid w:val="007A750F"/>
    <w:rsid w:val="007A7F30"/>
    <w:rsid w:val="007B0703"/>
    <w:rsid w:val="007B0A96"/>
    <w:rsid w:val="007B21E7"/>
    <w:rsid w:val="007B2E49"/>
    <w:rsid w:val="007B3695"/>
    <w:rsid w:val="007B3E34"/>
    <w:rsid w:val="007B4555"/>
    <w:rsid w:val="007B489C"/>
    <w:rsid w:val="007B5D1D"/>
    <w:rsid w:val="007B6177"/>
    <w:rsid w:val="007B7681"/>
    <w:rsid w:val="007B76C4"/>
    <w:rsid w:val="007B7C1A"/>
    <w:rsid w:val="007C19A2"/>
    <w:rsid w:val="007C1BEF"/>
    <w:rsid w:val="007C1D2B"/>
    <w:rsid w:val="007C425B"/>
    <w:rsid w:val="007C5AC4"/>
    <w:rsid w:val="007C6623"/>
    <w:rsid w:val="007D0CF5"/>
    <w:rsid w:val="007D0D2B"/>
    <w:rsid w:val="007D0FE5"/>
    <w:rsid w:val="007D14FB"/>
    <w:rsid w:val="007D1835"/>
    <w:rsid w:val="007D1D47"/>
    <w:rsid w:val="007D200E"/>
    <w:rsid w:val="007D2F0E"/>
    <w:rsid w:val="007D4F04"/>
    <w:rsid w:val="007D4F8C"/>
    <w:rsid w:val="007D5A35"/>
    <w:rsid w:val="007D5F90"/>
    <w:rsid w:val="007D7D0B"/>
    <w:rsid w:val="007E10E8"/>
    <w:rsid w:val="007E1E5A"/>
    <w:rsid w:val="007E45A7"/>
    <w:rsid w:val="007E4C5F"/>
    <w:rsid w:val="007E5645"/>
    <w:rsid w:val="007E5794"/>
    <w:rsid w:val="007E5AFF"/>
    <w:rsid w:val="007E7793"/>
    <w:rsid w:val="007E7BA9"/>
    <w:rsid w:val="007E7C93"/>
    <w:rsid w:val="007F11BD"/>
    <w:rsid w:val="007F11C7"/>
    <w:rsid w:val="007F1589"/>
    <w:rsid w:val="007F187F"/>
    <w:rsid w:val="007F18A6"/>
    <w:rsid w:val="007F1935"/>
    <w:rsid w:val="007F1D59"/>
    <w:rsid w:val="007F233B"/>
    <w:rsid w:val="007F3259"/>
    <w:rsid w:val="007F37DE"/>
    <w:rsid w:val="007F46BA"/>
    <w:rsid w:val="007F4BBF"/>
    <w:rsid w:val="007F54A3"/>
    <w:rsid w:val="007F5C49"/>
    <w:rsid w:val="007F724B"/>
    <w:rsid w:val="007F733C"/>
    <w:rsid w:val="007F7813"/>
    <w:rsid w:val="007F7A35"/>
    <w:rsid w:val="007F7FEE"/>
    <w:rsid w:val="00800E5C"/>
    <w:rsid w:val="00801BF0"/>
    <w:rsid w:val="00803CBB"/>
    <w:rsid w:val="00803E5C"/>
    <w:rsid w:val="0080490C"/>
    <w:rsid w:val="008050E1"/>
    <w:rsid w:val="008054B3"/>
    <w:rsid w:val="008070DB"/>
    <w:rsid w:val="00807B0A"/>
    <w:rsid w:val="00810C91"/>
    <w:rsid w:val="00811CF2"/>
    <w:rsid w:val="00811FB8"/>
    <w:rsid w:val="00812810"/>
    <w:rsid w:val="00812C88"/>
    <w:rsid w:val="0081305F"/>
    <w:rsid w:val="00813616"/>
    <w:rsid w:val="00813B2A"/>
    <w:rsid w:val="00814F8E"/>
    <w:rsid w:val="00816822"/>
    <w:rsid w:val="00817323"/>
    <w:rsid w:val="00817B9A"/>
    <w:rsid w:val="00817CC3"/>
    <w:rsid w:val="008212AA"/>
    <w:rsid w:val="00821934"/>
    <w:rsid w:val="008224F4"/>
    <w:rsid w:val="00822A89"/>
    <w:rsid w:val="00823885"/>
    <w:rsid w:val="00824967"/>
    <w:rsid w:val="00825AA1"/>
    <w:rsid w:val="00825D89"/>
    <w:rsid w:val="00826145"/>
    <w:rsid w:val="008261A5"/>
    <w:rsid w:val="008262B7"/>
    <w:rsid w:val="00827296"/>
    <w:rsid w:val="008275D1"/>
    <w:rsid w:val="00827833"/>
    <w:rsid w:val="00827965"/>
    <w:rsid w:val="00827A2B"/>
    <w:rsid w:val="00830161"/>
    <w:rsid w:val="0083058B"/>
    <w:rsid w:val="008309AC"/>
    <w:rsid w:val="00830FA7"/>
    <w:rsid w:val="008315C3"/>
    <w:rsid w:val="008330C3"/>
    <w:rsid w:val="00833FCE"/>
    <w:rsid w:val="0084026A"/>
    <w:rsid w:val="00840CDD"/>
    <w:rsid w:val="00841239"/>
    <w:rsid w:val="008412E9"/>
    <w:rsid w:val="008414A0"/>
    <w:rsid w:val="00842FC7"/>
    <w:rsid w:val="00844068"/>
    <w:rsid w:val="00844260"/>
    <w:rsid w:val="0084489F"/>
    <w:rsid w:val="00845396"/>
    <w:rsid w:val="00845B74"/>
    <w:rsid w:val="00845D81"/>
    <w:rsid w:val="008469A7"/>
    <w:rsid w:val="008469B2"/>
    <w:rsid w:val="00847EFE"/>
    <w:rsid w:val="00850987"/>
    <w:rsid w:val="00850FA9"/>
    <w:rsid w:val="008515F2"/>
    <w:rsid w:val="008518D4"/>
    <w:rsid w:val="0085194A"/>
    <w:rsid w:val="00851B03"/>
    <w:rsid w:val="00852AD0"/>
    <w:rsid w:val="00854D8C"/>
    <w:rsid w:val="0085525B"/>
    <w:rsid w:val="00856D16"/>
    <w:rsid w:val="00860210"/>
    <w:rsid w:val="008618D5"/>
    <w:rsid w:val="00861E13"/>
    <w:rsid w:val="008625DF"/>
    <w:rsid w:val="00862936"/>
    <w:rsid w:val="0086320A"/>
    <w:rsid w:val="00863306"/>
    <w:rsid w:val="0086354C"/>
    <w:rsid w:val="00863768"/>
    <w:rsid w:val="00864028"/>
    <w:rsid w:val="00864AC6"/>
    <w:rsid w:val="00864DEE"/>
    <w:rsid w:val="00865915"/>
    <w:rsid w:val="00866BCC"/>
    <w:rsid w:val="00866F47"/>
    <w:rsid w:val="00867859"/>
    <w:rsid w:val="008679B1"/>
    <w:rsid w:val="00870397"/>
    <w:rsid w:val="00871562"/>
    <w:rsid w:val="00871B98"/>
    <w:rsid w:val="00871DCF"/>
    <w:rsid w:val="00871F7B"/>
    <w:rsid w:val="00873E50"/>
    <w:rsid w:val="00874554"/>
    <w:rsid w:val="008747F0"/>
    <w:rsid w:val="008752ED"/>
    <w:rsid w:val="0087616E"/>
    <w:rsid w:val="00876E74"/>
    <w:rsid w:val="008802F6"/>
    <w:rsid w:val="00880A4A"/>
    <w:rsid w:val="00881411"/>
    <w:rsid w:val="00881A5A"/>
    <w:rsid w:val="00881C39"/>
    <w:rsid w:val="008822DE"/>
    <w:rsid w:val="00882ED2"/>
    <w:rsid w:val="00884384"/>
    <w:rsid w:val="00884F9F"/>
    <w:rsid w:val="00885608"/>
    <w:rsid w:val="00886A89"/>
    <w:rsid w:val="00886FFC"/>
    <w:rsid w:val="00887601"/>
    <w:rsid w:val="00887799"/>
    <w:rsid w:val="0089007F"/>
    <w:rsid w:val="008905EE"/>
    <w:rsid w:val="008907DF"/>
    <w:rsid w:val="00890CDA"/>
    <w:rsid w:val="00892439"/>
    <w:rsid w:val="0089373F"/>
    <w:rsid w:val="0089407B"/>
    <w:rsid w:val="00895E95"/>
    <w:rsid w:val="00895F4C"/>
    <w:rsid w:val="00896288"/>
    <w:rsid w:val="00897AE6"/>
    <w:rsid w:val="00897BEF"/>
    <w:rsid w:val="008A0B94"/>
    <w:rsid w:val="008A3091"/>
    <w:rsid w:val="008A3C70"/>
    <w:rsid w:val="008A41D0"/>
    <w:rsid w:val="008A422D"/>
    <w:rsid w:val="008A55A8"/>
    <w:rsid w:val="008A5B45"/>
    <w:rsid w:val="008A6151"/>
    <w:rsid w:val="008A6A58"/>
    <w:rsid w:val="008A77B7"/>
    <w:rsid w:val="008A7D49"/>
    <w:rsid w:val="008B0598"/>
    <w:rsid w:val="008B0FCE"/>
    <w:rsid w:val="008B20D9"/>
    <w:rsid w:val="008B2A44"/>
    <w:rsid w:val="008B3409"/>
    <w:rsid w:val="008B410E"/>
    <w:rsid w:val="008B4295"/>
    <w:rsid w:val="008B433D"/>
    <w:rsid w:val="008B501D"/>
    <w:rsid w:val="008B5452"/>
    <w:rsid w:val="008B5F17"/>
    <w:rsid w:val="008B7773"/>
    <w:rsid w:val="008B782B"/>
    <w:rsid w:val="008B7ACF"/>
    <w:rsid w:val="008C1330"/>
    <w:rsid w:val="008C2887"/>
    <w:rsid w:val="008C379A"/>
    <w:rsid w:val="008C3B85"/>
    <w:rsid w:val="008C5417"/>
    <w:rsid w:val="008C603C"/>
    <w:rsid w:val="008C7264"/>
    <w:rsid w:val="008D022D"/>
    <w:rsid w:val="008D04AF"/>
    <w:rsid w:val="008D05FE"/>
    <w:rsid w:val="008D1962"/>
    <w:rsid w:val="008D26D2"/>
    <w:rsid w:val="008D29B8"/>
    <w:rsid w:val="008D36B0"/>
    <w:rsid w:val="008D39FA"/>
    <w:rsid w:val="008D3B88"/>
    <w:rsid w:val="008D4A29"/>
    <w:rsid w:val="008D5627"/>
    <w:rsid w:val="008D5A3F"/>
    <w:rsid w:val="008D5EB3"/>
    <w:rsid w:val="008D6196"/>
    <w:rsid w:val="008D683F"/>
    <w:rsid w:val="008E0742"/>
    <w:rsid w:val="008E1460"/>
    <w:rsid w:val="008E1D49"/>
    <w:rsid w:val="008E22D6"/>
    <w:rsid w:val="008E2990"/>
    <w:rsid w:val="008E3479"/>
    <w:rsid w:val="008E3B35"/>
    <w:rsid w:val="008E4318"/>
    <w:rsid w:val="008E4D54"/>
    <w:rsid w:val="008E51FC"/>
    <w:rsid w:val="008E7829"/>
    <w:rsid w:val="008E7B01"/>
    <w:rsid w:val="008F0948"/>
    <w:rsid w:val="008F155E"/>
    <w:rsid w:val="008F2D7F"/>
    <w:rsid w:val="008F39C2"/>
    <w:rsid w:val="008F4B96"/>
    <w:rsid w:val="008F5D2F"/>
    <w:rsid w:val="008F6B49"/>
    <w:rsid w:val="009025DC"/>
    <w:rsid w:val="00902925"/>
    <w:rsid w:val="00902CCC"/>
    <w:rsid w:val="00903368"/>
    <w:rsid w:val="00903B3B"/>
    <w:rsid w:val="00904037"/>
    <w:rsid w:val="00904E80"/>
    <w:rsid w:val="009056F9"/>
    <w:rsid w:val="0090579F"/>
    <w:rsid w:val="009068D4"/>
    <w:rsid w:val="00906A23"/>
    <w:rsid w:val="00907C1F"/>
    <w:rsid w:val="00910341"/>
    <w:rsid w:val="00910505"/>
    <w:rsid w:val="009105BA"/>
    <w:rsid w:val="0091088B"/>
    <w:rsid w:val="00910ADB"/>
    <w:rsid w:val="0091124D"/>
    <w:rsid w:val="009124E4"/>
    <w:rsid w:val="009129C4"/>
    <w:rsid w:val="009146C0"/>
    <w:rsid w:val="009155B3"/>
    <w:rsid w:val="0091643B"/>
    <w:rsid w:val="00920722"/>
    <w:rsid w:val="00921792"/>
    <w:rsid w:val="00921AE8"/>
    <w:rsid w:val="00923BFD"/>
    <w:rsid w:val="009241C8"/>
    <w:rsid w:val="009256F8"/>
    <w:rsid w:val="0092639D"/>
    <w:rsid w:val="0092713E"/>
    <w:rsid w:val="00927C33"/>
    <w:rsid w:val="00927ED0"/>
    <w:rsid w:val="00930730"/>
    <w:rsid w:val="00930BF9"/>
    <w:rsid w:val="00930EA1"/>
    <w:rsid w:val="0093129A"/>
    <w:rsid w:val="009315E8"/>
    <w:rsid w:val="009326A7"/>
    <w:rsid w:val="00933C9B"/>
    <w:rsid w:val="00934A37"/>
    <w:rsid w:val="00934BD3"/>
    <w:rsid w:val="00934E5A"/>
    <w:rsid w:val="00936C4F"/>
    <w:rsid w:val="009375AF"/>
    <w:rsid w:val="00940153"/>
    <w:rsid w:val="00943B60"/>
    <w:rsid w:val="009444A7"/>
    <w:rsid w:val="009448DB"/>
    <w:rsid w:val="00945EA7"/>
    <w:rsid w:val="00946FE1"/>
    <w:rsid w:val="00947865"/>
    <w:rsid w:val="00950052"/>
    <w:rsid w:val="009501A8"/>
    <w:rsid w:val="00952B21"/>
    <w:rsid w:val="0095303D"/>
    <w:rsid w:val="00953245"/>
    <w:rsid w:val="00953FD2"/>
    <w:rsid w:val="0095442A"/>
    <w:rsid w:val="009544B2"/>
    <w:rsid w:val="00954F69"/>
    <w:rsid w:val="00955448"/>
    <w:rsid w:val="00955891"/>
    <w:rsid w:val="00955C01"/>
    <w:rsid w:val="00956047"/>
    <w:rsid w:val="00957746"/>
    <w:rsid w:val="00957E4C"/>
    <w:rsid w:val="00960CC1"/>
    <w:rsid w:val="00960E14"/>
    <w:rsid w:val="009614AB"/>
    <w:rsid w:val="009616A0"/>
    <w:rsid w:val="0096391A"/>
    <w:rsid w:val="0096466A"/>
    <w:rsid w:val="00965415"/>
    <w:rsid w:val="00965A0F"/>
    <w:rsid w:val="00966B02"/>
    <w:rsid w:val="00966C5B"/>
    <w:rsid w:val="00967754"/>
    <w:rsid w:val="00967CF0"/>
    <w:rsid w:val="009710BA"/>
    <w:rsid w:val="0097153B"/>
    <w:rsid w:val="0097167D"/>
    <w:rsid w:val="00971E8F"/>
    <w:rsid w:val="009721DD"/>
    <w:rsid w:val="009764CA"/>
    <w:rsid w:val="00976975"/>
    <w:rsid w:val="00976ACA"/>
    <w:rsid w:val="009772D9"/>
    <w:rsid w:val="009803B4"/>
    <w:rsid w:val="0098397D"/>
    <w:rsid w:val="00983FAE"/>
    <w:rsid w:val="00984600"/>
    <w:rsid w:val="00984816"/>
    <w:rsid w:val="0098487D"/>
    <w:rsid w:val="00984C4B"/>
    <w:rsid w:val="0098605F"/>
    <w:rsid w:val="009872B9"/>
    <w:rsid w:val="009872F1"/>
    <w:rsid w:val="0099152C"/>
    <w:rsid w:val="00991CB5"/>
    <w:rsid w:val="009922E3"/>
    <w:rsid w:val="00993CA8"/>
    <w:rsid w:val="00993F6B"/>
    <w:rsid w:val="009962C1"/>
    <w:rsid w:val="00997383"/>
    <w:rsid w:val="0099798A"/>
    <w:rsid w:val="009A0F3D"/>
    <w:rsid w:val="009A1267"/>
    <w:rsid w:val="009A1280"/>
    <w:rsid w:val="009A2AEE"/>
    <w:rsid w:val="009A36CB"/>
    <w:rsid w:val="009A3D3E"/>
    <w:rsid w:val="009A3FF2"/>
    <w:rsid w:val="009A5E31"/>
    <w:rsid w:val="009A600B"/>
    <w:rsid w:val="009A6A9C"/>
    <w:rsid w:val="009A775F"/>
    <w:rsid w:val="009A7838"/>
    <w:rsid w:val="009A7854"/>
    <w:rsid w:val="009A7864"/>
    <w:rsid w:val="009A7C44"/>
    <w:rsid w:val="009A7C57"/>
    <w:rsid w:val="009A7FE5"/>
    <w:rsid w:val="009B00FC"/>
    <w:rsid w:val="009B08A7"/>
    <w:rsid w:val="009B0A0C"/>
    <w:rsid w:val="009B1AF8"/>
    <w:rsid w:val="009B2DF6"/>
    <w:rsid w:val="009B32C3"/>
    <w:rsid w:val="009B38B2"/>
    <w:rsid w:val="009B3B39"/>
    <w:rsid w:val="009B3CAF"/>
    <w:rsid w:val="009B48F3"/>
    <w:rsid w:val="009B4AA1"/>
    <w:rsid w:val="009B5AE6"/>
    <w:rsid w:val="009B6826"/>
    <w:rsid w:val="009B78BA"/>
    <w:rsid w:val="009B78C6"/>
    <w:rsid w:val="009B7F18"/>
    <w:rsid w:val="009C0516"/>
    <w:rsid w:val="009C0650"/>
    <w:rsid w:val="009C06D6"/>
    <w:rsid w:val="009C21E4"/>
    <w:rsid w:val="009C22AA"/>
    <w:rsid w:val="009C26D2"/>
    <w:rsid w:val="009C370D"/>
    <w:rsid w:val="009C409D"/>
    <w:rsid w:val="009C4F87"/>
    <w:rsid w:val="009C6A23"/>
    <w:rsid w:val="009C7BD0"/>
    <w:rsid w:val="009D0B1F"/>
    <w:rsid w:val="009D4E5C"/>
    <w:rsid w:val="009D5892"/>
    <w:rsid w:val="009D5AD9"/>
    <w:rsid w:val="009E042F"/>
    <w:rsid w:val="009E1327"/>
    <w:rsid w:val="009E2DEF"/>
    <w:rsid w:val="009E4BAF"/>
    <w:rsid w:val="009E4F54"/>
    <w:rsid w:val="009E5285"/>
    <w:rsid w:val="009E531E"/>
    <w:rsid w:val="009E6AE6"/>
    <w:rsid w:val="009E75AF"/>
    <w:rsid w:val="009F0605"/>
    <w:rsid w:val="009F0E55"/>
    <w:rsid w:val="009F1EEB"/>
    <w:rsid w:val="009F3B02"/>
    <w:rsid w:val="009F4108"/>
    <w:rsid w:val="009F6682"/>
    <w:rsid w:val="00A000DF"/>
    <w:rsid w:val="00A00299"/>
    <w:rsid w:val="00A008A0"/>
    <w:rsid w:val="00A01C24"/>
    <w:rsid w:val="00A01DB7"/>
    <w:rsid w:val="00A021F0"/>
    <w:rsid w:val="00A02683"/>
    <w:rsid w:val="00A02915"/>
    <w:rsid w:val="00A03A45"/>
    <w:rsid w:val="00A04C1A"/>
    <w:rsid w:val="00A07961"/>
    <w:rsid w:val="00A07B76"/>
    <w:rsid w:val="00A11309"/>
    <w:rsid w:val="00A13459"/>
    <w:rsid w:val="00A137A8"/>
    <w:rsid w:val="00A13AE4"/>
    <w:rsid w:val="00A13DB5"/>
    <w:rsid w:val="00A165D8"/>
    <w:rsid w:val="00A2001A"/>
    <w:rsid w:val="00A20742"/>
    <w:rsid w:val="00A20BA6"/>
    <w:rsid w:val="00A22200"/>
    <w:rsid w:val="00A224D7"/>
    <w:rsid w:val="00A235DB"/>
    <w:rsid w:val="00A25014"/>
    <w:rsid w:val="00A254B2"/>
    <w:rsid w:val="00A26BE0"/>
    <w:rsid w:val="00A27DE8"/>
    <w:rsid w:val="00A304F9"/>
    <w:rsid w:val="00A306B3"/>
    <w:rsid w:val="00A3111E"/>
    <w:rsid w:val="00A31BB6"/>
    <w:rsid w:val="00A31E17"/>
    <w:rsid w:val="00A34016"/>
    <w:rsid w:val="00A340C2"/>
    <w:rsid w:val="00A34215"/>
    <w:rsid w:val="00A34A14"/>
    <w:rsid w:val="00A3623B"/>
    <w:rsid w:val="00A37D49"/>
    <w:rsid w:val="00A37D5B"/>
    <w:rsid w:val="00A405EE"/>
    <w:rsid w:val="00A40838"/>
    <w:rsid w:val="00A40DAE"/>
    <w:rsid w:val="00A41E34"/>
    <w:rsid w:val="00A420B7"/>
    <w:rsid w:val="00A42FD8"/>
    <w:rsid w:val="00A458DB"/>
    <w:rsid w:val="00A45948"/>
    <w:rsid w:val="00A45FDD"/>
    <w:rsid w:val="00A4674A"/>
    <w:rsid w:val="00A476CC"/>
    <w:rsid w:val="00A504BE"/>
    <w:rsid w:val="00A50838"/>
    <w:rsid w:val="00A50C16"/>
    <w:rsid w:val="00A514CD"/>
    <w:rsid w:val="00A52706"/>
    <w:rsid w:val="00A531EB"/>
    <w:rsid w:val="00A531FE"/>
    <w:rsid w:val="00A53332"/>
    <w:rsid w:val="00A53B85"/>
    <w:rsid w:val="00A545CF"/>
    <w:rsid w:val="00A5533A"/>
    <w:rsid w:val="00A554CA"/>
    <w:rsid w:val="00A556A6"/>
    <w:rsid w:val="00A55AF1"/>
    <w:rsid w:val="00A55B06"/>
    <w:rsid w:val="00A56049"/>
    <w:rsid w:val="00A56884"/>
    <w:rsid w:val="00A569B3"/>
    <w:rsid w:val="00A570A2"/>
    <w:rsid w:val="00A57B02"/>
    <w:rsid w:val="00A57B41"/>
    <w:rsid w:val="00A621A1"/>
    <w:rsid w:val="00A64008"/>
    <w:rsid w:val="00A65390"/>
    <w:rsid w:val="00A6607E"/>
    <w:rsid w:val="00A662BE"/>
    <w:rsid w:val="00A6733C"/>
    <w:rsid w:val="00A67EC4"/>
    <w:rsid w:val="00A70468"/>
    <w:rsid w:val="00A70780"/>
    <w:rsid w:val="00A70987"/>
    <w:rsid w:val="00A71461"/>
    <w:rsid w:val="00A73033"/>
    <w:rsid w:val="00A73180"/>
    <w:rsid w:val="00A73250"/>
    <w:rsid w:val="00A739D5"/>
    <w:rsid w:val="00A73C15"/>
    <w:rsid w:val="00A749CF"/>
    <w:rsid w:val="00A76CD9"/>
    <w:rsid w:val="00A80348"/>
    <w:rsid w:val="00A80B8D"/>
    <w:rsid w:val="00A81A31"/>
    <w:rsid w:val="00A81D39"/>
    <w:rsid w:val="00A823AF"/>
    <w:rsid w:val="00A82513"/>
    <w:rsid w:val="00A830E1"/>
    <w:rsid w:val="00A83138"/>
    <w:rsid w:val="00A85464"/>
    <w:rsid w:val="00A8569E"/>
    <w:rsid w:val="00A868AA"/>
    <w:rsid w:val="00A86D9B"/>
    <w:rsid w:val="00A90D10"/>
    <w:rsid w:val="00A90E4C"/>
    <w:rsid w:val="00A914D5"/>
    <w:rsid w:val="00A91FBA"/>
    <w:rsid w:val="00A92BA2"/>
    <w:rsid w:val="00A93094"/>
    <w:rsid w:val="00A93D11"/>
    <w:rsid w:val="00AA043D"/>
    <w:rsid w:val="00AA087B"/>
    <w:rsid w:val="00AA1FA3"/>
    <w:rsid w:val="00AA2FAF"/>
    <w:rsid w:val="00AA30E0"/>
    <w:rsid w:val="00AA33C0"/>
    <w:rsid w:val="00AA3504"/>
    <w:rsid w:val="00AA3506"/>
    <w:rsid w:val="00AA3AAF"/>
    <w:rsid w:val="00AA522F"/>
    <w:rsid w:val="00AA5EFD"/>
    <w:rsid w:val="00AA66C3"/>
    <w:rsid w:val="00AA7B0D"/>
    <w:rsid w:val="00AB020B"/>
    <w:rsid w:val="00AB0524"/>
    <w:rsid w:val="00AB0788"/>
    <w:rsid w:val="00AB0E97"/>
    <w:rsid w:val="00AB3034"/>
    <w:rsid w:val="00AB33D4"/>
    <w:rsid w:val="00AB3F91"/>
    <w:rsid w:val="00AB4AF6"/>
    <w:rsid w:val="00AB4F68"/>
    <w:rsid w:val="00AB7F19"/>
    <w:rsid w:val="00AC067D"/>
    <w:rsid w:val="00AC0B3B"/>
    <w:rsid w:val="00AC0B73"/>
    <w:rsid w:val="00AC0DCA"/>
    <w:rsid w:val="00AC10FE"/>
    <w:rsid w:val="00AC1485"/>
    <w:rsid w:val="00AC272E"/>
    <w:rsid w:val="00AC27B3"/>
    <w:rsid w:val="00AC35B3"/>
    <w:rsid w:val="00AC421D"/>
    <w:rsid w:val="00AC5156"/>
    <w:rsid w:val="00AC5983"/>
    <w:rsid w:val="00AC668F"/>
    <w:rsid w:val="00AC76E0"/>
    <w:rsid w:val="00AD06B5"/>
    <w:rsid w:val="00AD0927"/>
    <w:rsid w:val="00AD1398"/>
    <w:rsid w:val="00AD1930"/>
    <w:rsid w:val="00AD34F1"/>
    <w:rsid w:val="00AD478A"/>
    <w:rsid w:val="00AD4A0C"/>
    <w:rsid w:val="00AD57AF"/>
    <w:rsid w:val="00AD58E1"/>
    <w:rsid w:val="00AD5CD4"/>
    <w:rsid w:val="00AD6B65"/>
    <w:rsid w:val="00AD7130"/>
    <w:rsid w:val="00AE066F"/>
    <w:rsid w:val="00AE0E0A"/>
    <w:rsid w:val="00AE16D4"/>
    <w:rsid w:val="00AE3E24"/>
    <w:rsid w:val="00AE412F"/>
    <w:rsid w:val="00AE4699"/>
    <w:rsid w:val="00AE6213"/>
    <w:rsid w:val="00AE6562"/>
    <w:rsid w:val="00AE6A96"/>
    <w:rsid w:val="00AE76A2"/>
    <w:rsid w:val="00AF0385"/>
    <w:rsid w:val="00AF30BF"/>
    <w:rsid w:val="00AF3BF4"/>
    <w:rsid w:val="00AF3BFA"/>
    <w:rsid w:val="00AF7D6A"/>
    <w:rsid w:val="00B00FF9"/>
    <w:rsid w:val="00B010F9"/>
    <w:rsid w:val="00B01264"/>
    <w:rsid w:val="00B02C15"/>
    <w:rsid w:val="00B02F52"/>
    <w:rsid w:val="00B038DB"/>
    <w:rsid w:val="00B03C11"/>
    <w:rsid w:val="00B03C8A"/>
    <w:rsid w:val="00B03FA0"/>
    <w:rsid w:val="00B04978"/>
    <w:rsid w:val="00B04BB0"/>
    <w:rsid w:val="00B04C84"/>
    <w:rsid w:val="00B04CD9"/>
    <w:rsid w:val="00B05943"/>
    <w:rsid w:val="00B05B68"/>
    <w:rsid w:val="00B05C12"/>
    <w:rsid w:val="00B0724F"/>
    <w:rsid w:val="00B103CF"/>
    <w:rsid w:val="00B10492"/>
    <w:rsid w:val="00B11A15"/>
    <w:rsid w:val="00B11C0A"/>
    <w:rsid w:val="00B11DFC"/>
    <w:rsid w:val="00B120EC"/>
    <w:rsid w:val="00B127BE"/>
    <w:rsid w:val="00B12855"/>
    <w:rsid w:val="00B128D0"/>
    <w:rsid w:val="00B13A7C"/>
    <w:rsid w:val="00B15918"/>
    <w:rsid w:val="00B15B0B"/>
    <w:rsid w:val="00B160C8"/>
    <w:rsid w:val="00B16537"/>
    <w:rsid w:val="00B1668D"/>
    <w:rsid w:val="00B166DF"/>
    <w:rsid w:val="00B1696E"/>
    <w:rsid w:val="00B17CF8"/>
    <w:rsid w:val="00B200E2"/>
    <w:rsid w:val="00B21291"/>
    <w:rsid w:val="00B24192"/>
    <w:rsid w:val="00B26070"/>
    <w:rsid w:val="00B26EC0"/>
    <w:rsid w:val="00B300F4"/>
    <w:rsid w:val="00B305DA"/>
    <w:rsid w:val="00B31147"/>
    <w:rsid w:val="00B319B8"/>
    <w:rsid w:val="00B31D4F"/>
    <w:rsid w:val="00B31E8C"/>
    <w:rsid w:val="00B32D91"/>
    <w:rsid w:val="00B33547"/>
    <w:rsid w:val="00B33619"/>
    <w:rsid w:val="00B34A39"/>
    <w:rsid w:val="00B3536B"/>
    <w:rsid w:val="00B365BE"/>
    <w:rsid w:val="00B36BB9"/>
    <w:rsid w:val="00B37523"/>
    <w:rsid w:val="00B400E1"/>
    <w:rsid w:val="00B40897"/>
    <w:rsid w:val="00B40A93"/>
    <w:rsid w:val="00B40F39"/>
    <w:rsid w:val="00B4128D"/>
    <w:rsid w:val="00B4152E"/>
    <w:rsid w:val="00B4295E"/>
    <w:rsid w:val="00B43063"/>
    <w:rsid w:val="00B44489"/>
    <w:rsid w:val="00B44B1C"/>
    <w:rsid w:val="00B450DC"/>
    <w:rsid w:val="00B454D0"/>
    <w:rsid w:val="00B45C59"/>
    <w:rsid w:val="00B4656D"/>
    <w:rsid w:val="00B472EB"/>
    <w:rsid w:val="00B47DE3"/>
    <w:rsid w:val="00B503F4"/>
    <w:rsid w:val="00B52835"/>
    <w:rsid w:val="00B52D8C"/>
    <w:rsid w:val="00B53039"/>
    <w:rsid w:val="00B547C9"/>
    <w:rsid w:val="00B553EC"/>
    <w:rsid w:val="00B556B0"/>
    <w:rsid w:val="00B559D6"/>
    <w:rsid w:val="00B57008"/>
    <w:rsid w:val="00B607CE"/>
    <w:rsid w:val="00B62751"/>
    <w:rsid w:val="00B62855"/>
    <w:rsid w:val="00B62CD8"/>
    <w:rsid w:val="00B645F3"/>
    <w:rsid w:val="00B66207"/>
    <w:rsid w:val="00B67698"/>
    <w:rsid w:val="00B67950"/>
    <w:rsid w:val="00B70715"/>
    <w:rsid w:val="00B748CD"/>
    <w:rsid w:val="00B74ACF"/>
    <w:rsid w:val="00B751E2"/>
    <w:rsid w:val="00B76642"/>
    <w:rsid w:val="00B76E20"/>
    <w:rsid w:val="00B77417"/>
    <w:rsid w:val="00B81250"/>
    <w:rsid w:val="00B819DA"/>
    <w:rsid w:val="00B81CD7"/>
    <w:rsid w:val="00B8276A"/>
    <w:rsid w:val="00B82E8F"/>
    <w:rsid w:val="00B8412A"/>
    <w:rsid w:val="00B84233"/>
    <w:rsid w:val="00B843DE"/>
    <w:rsid w:val="00B8572E"/>
    <w:rsid w:val="00B85833"/>
    <w:rsid w:val="00B85CA2"/>
    <w:rsid w:val="00B86C05"/>
    <w:rsid w:val="00B8705D"/>
    <w:rsid w:val="00B87734"/>
    <w:rsid w:val="00B9019D"/>
    <w:rsid w:val="00B90292"/>
    <w:rsid w:val="00B90C0E"/>
    <w:rsid w:val="00B9177F"/>
    <w:rsid w:val="00B9217B"/>
    <w:rsid w:val="00B922D5"/>
    <w:rsid w:val="00B92598"/>
    <w:rsid w:val="00B92C24"/>
    <w:rsid w:val="00B933B3"/>
    <w:rsid w:val="00B937FE"/>
    <w:rsid w:val="00B94473"/>
    <w:rsid w:val="00B963D0"/>
    <w:rsid w:val="00B97320"/>
    <w:rsid w:val="00BA023E"/>
    <w:rsid w:val="00BA2594"/>
    <w:rsid w:val="00BA25C5"/>
    <w:rsid w:val="00BA28CB"/>
    <w:rsid w:val="00BA2965"/>
    <w:rsid w:val="00BA29B3"/>
    <w:rsid w:val="00BA3119"/>
    <w:rsid w:val="00BA66D7"/>
    <w:rsid w:val="00BB0A87"/>
    <w:rsid w:val="00BB0D1B"/>
    <w:rsid w:val="00BB184C"/>
    <w:rsid w:val="00BB2E83"/>
    <w:rsid w:val="00BB3AA8"/>
    <w:rsid w:val="00BB42B5"/>
    <w:rsid w:val="00BB4AC0"/>
    <w:rsid w:val="00BB5431"/>
    <w:rsid w:val="00BB6C08"/>
    <w:rsid w:val="00BB7664"/>
    <w:rsid w:val="00BB7C89"/>
    <w:rsid w:val="00BB7E17"/>
    <w:rsid w:val="00BC0392"/>
    <w:rsid w:val="00BC1AAA"/>
    <w:rsid w:val="00BC1FB1"/>
    <w:rsid w:val="00BC31BD"/>
    <w:rsid w:val="00BC34C3"/>
    <w:rsid w:val="00BC6340"/>
    <w:rsid w:val="00BC767A"/>
    <w:rsid w:val="00BD0E42"/>
    <w:rsid w:val="00BD3848"/>
    <w:rsid w:val="00BD4910"/>
    <w:rsid w:val="00BD6610"/>
    <w:rsid w:val="00BD68A1"/>
    <w:rsid w:val="00BD7A6F"/>
    <w:rsid w:val="00BE1204"/>
    <w:rsid w:val="00BE1455"/>
    <w:rsid w:val="00BE2CAC"/>
    <w:rsid w:val="00BE4330"/>
    <w:rsid w:val="00BE43E2"/>
    <w:rsid w:val="00BE4644"/>
    <w:rsid w:val="00BE4649"/>
    <w:rsid w:val="00BF1044"/>
    <w:rsid w:val="00BF1C0B"/>
    <w:rsid w:val="00BF2870"/>
    <w:rsid w:val="00BF2AAB"/>
    <w:rsid w:val="00BF2D68"/>
    <w:rsid w:val="00BF53D9"/>
    <w:rsid w:val="00BF5A8D"/>
    <w:rsid w:val="00BF615B"/>
    <w:rsid w:val="00BF72CE"/>
    <w:rsid w:val="00BF754E"/>
    <w:rsid w:val="00C003AD"/>
    <w:rsid w:val="00C00E12"/>
    <w:rsid w:val="00C01DC6"/>
    <w:rsid w:val="00C02AD5"/>
    <w:rsid w:val="00C02E2E"/>
    <w:rsid w:val="00C04B09"/>
    <w:rsid w:val="00C05167"/>
    <w:rsid w:val="00C05956"/>
    <w:rsid w:val="00C05BF5"/>
    <w:rsid w:val="00C0677C"/>
    <w:rsid w:val="00C06F71"/>
    <w:rsid w:val="00C06F89"/>
    <w:rsid w:val="00C07F2E"/>
    <w:rsid w:val="00C10DCA"/>
    <w:rsid w:val="00C115D0"/>
    <w:rsid w:val="00C11EA1"/>
    <w:rsid w:val="00C12C78"/>
    <w:rsid w:val="00C1309E"/>
    <w:rsid w:val="00C1334D"/>
    <w:rsid w:val="00C13852"/>
    <w:rsid w:val="00C141EC"/>
    <w:rsid w:val="00C14638"/>
    <w:rsid w:val="00C146CF"/>
    <w:rsid w:val="00C1494D"/>
    <w:rsid w:val="00C14CE9"/>
    <w:rsid w:val="00C16022"/>
    <w:rsid w:val="00C1664C"/>
    <w:rsid w:val="00C16B1F"/>
    <w:rsid w:val="00C17957"/>
    <w:rsid w:val="00C17BA7"/>
    <w:rsid w:val="00C17F58"/>
    <w:rsid w:val="00C20B6E"/>
    <w:rsid w:val="00C21A3A"/>
    <w:rsid w:val="00C229FA"/>
    <w:rsid w:val="00C2334F"/>
    <w:rsid w:val="00C23E25"/>
    <w:rsid w:val="00C23FDA"/>
    <w:rsid w:val="00C24563"/>
    <w:rsid w:val="00C2477C"/>
    <w:rsid w:val="00C24973"/>
    <w:rsid w:val="00C24CE2"/>
    <w:rsid w:val="00C25004"/>
    <w:rsid w:val="00C25018"/>
    <w:rsid w:val="00C256F6"/>
    <w:rsid w:val="00C26B5E"/>
    <w:rsid w:val="00C270F4"/>
    <w:rsid w:val="00C27B79"/>
    <w:rsid w:val="00C27F22"/>
    <w:rsid w:val="00C31B04"/>
    <w:rsid w:val="00C32CD7"/>
    <w:rsid w:val="00C335F7"/>
    <w:rsid w:val="00C33D4F"/>
    <w:rsid w:val="00C3631D"/>
    <w:rsid w:val="00C36C97"/>
    <w:rsid w:val="00C40549"/>
    <w:rsid w:val="00C41EA1"/>
    <w:rsid w:val="00C42DEB"/>
    <w:rsid w:val="00C42E24"/>
    <w:rsid w:val="00C43533"/>
    <w:rsid w:val="00C43CDB"/>
    <w:rsid w:val="00C4473D"/>
    <w:rsid w:val="00C46914"/>
    <w:rsid w:val="00C5090A"/>
    <w:rsid w:val="00C534C4"/>
    <w:rsid w:val="00C53A6B"/>
    <w:rsid w:val="00C5461B"/>
    <w:rsid w:val="00C5579F"/>
    <w:rsid w:val="00C57AF1"/>
    <w:rsid w:val="00C6052E"/>
    <w:rsid w:val="00C60B2A"/>
    <w:rsid w:val="00C60C06"/>
    <w:rsid w:val="00C60DEA"/>
    <w:rsid w:val="00C617AA"/>
    <w:rsid w:val="00C62F86"/>
    <w:rsid w:val="00C63DF3"/>
    <w:rsid w:val="00C63F6B"/>
    <w:rsid w:val="00C643A9"/>
    <w:rsid w:val="00C64452"/>
    <w:rsid w:val="00C64AF5"/>
    <w:rsid w:val="00C65424"/>
    <w:rsid w:val="00C65FC2"/>
    <w:rsid w:val="00C66B07"/>
    <w:rsid w:val="00C6771E"/>
    <w:rsid w:val="00C70099"/>
    <w:rsid w:val="00C71617"/>
    <w:rsid w:val="00C71741"/>
    <w:rsid w:val="00C757F5"/>
    <w:rsid w:val="00C75CB7"/>
    <w:rsid w:val="00C76085"/>
    <w:rsid w:val="00C7668D"/>
    <w:rsid w:val="00C76E57"/>
    <w:rsid w:val="00C77D59"/>
    <w:rsid w:val="00C800B0"/>
    <w:rsid w:val="00C801F8"/>
    <w:rsid w:val="00C80A00"/>
    <w:rsid w:val="00C80AB1"/>
    <w:rsid w:val="00C80EEB"/>
    <w:rsid w:val="00C80FB6"/>
    <w:rsid w:val="00C8320E"/>
    <w:rsid w:val="00C83377"/>
    <w:rsid w:val="00C834B9"/>
    <w:rsid w:val="00C8365C"/>
    <w:rsid w:val="00C84F5A"/>
    <w:rsid w:val="00C85085"/>
    <w:rsid w:val="00C856C1"/>
    <w:rsid w:val="00C85800"/>
    <w:rsid w:val="00C85BED"/>
    <w:rsid w:val="00C87713"/>
    <w:rsid w:val="00C877FF"/>
    <w:rsid w:val="00C87F04"/>
    <w:rsid w:val="00C90122"/>
    <w:rsid w:val="00C90892"/>
    <w:rsid w:val="00C90B72"/>
    <w:rsid w:val="00C9338B"/>
    <w:rsid w:val="00C93C20"/>
    <w:rsid w:val="00C94275"/>
    <w:rsid w:val="00C94D9C"/>
    <w:rsid w:val="00C95C3B"/>
    <w:rsid w:val="00C95D57"/>
    <w:rsid w:val="00C95FA2"/>
    <w:rsid w:val="00C97124"/>
    <w:rsid w:val="00C97B0E"/>
    <w:rsid w:val="00CA01AC"/>
    <w:rsid w:val="00CA27F3"/>
    <w:rsid w:val="00CA39E8"/>
    <w:rsid w:val="00CA4B4B"/>
    <w:rsid w:val="00CA4F5A"/>
    <w:rsid w:val="00CA55F6"/>
    <w:rsid w:val="00CA671B"/>
    <w:rsid w:val="00CA6803"/>
    <w:rsid w:val="00CA6E51"/>
    <w:rsid w:val="00CA746E"/>
    <w:rsid w:val="00CA7B74"/>
    <w:rsid w:val="00CB05F9"/>
    <w:rsid w:val="00CB133C"/>
    <w:rsid w:val="00CB1B39"/>
    <w:rsid w:val="00CB37B5"/>
    <w:rsid w:val="00CB44B8"/>
    <w:rsid w:val="00CB470A"/>
    <w:rsid w:val="00CB47C8"/>
    <w:rsid w:val="00CB4DAC"/>
    <w:rsid w:val="00CB5A51"/>
    <w:rsid w:val="00CB6278"/>
    <w:rsid w:val="00CC065E"/>
    <w:rsid w:val="00CC06C4"/>
    <w:rsid w:val="00CC1441"/>
    <w:rsid w:val="00CC2656"/>
    <w:rsid w:val="00CC296E"/>
    <w:rsid w:val="00CC34A7"/>
    <w:rsid w:val="00CC3868"/>
    <w:rsid w:val="00CC40BC"/>
    <w:rsid w:val="00CC522E"/>
    <w:rsid w:val="00CC5FE6"/>
    <w:rsid w:val="00CC6419"/>
    <w:rsid w:val="00CC666E"/>
    <w:rsid w:val="00CC6A35"/>
    <w:rsid w:val="00CC6B88"/>
    <w:rsid w:val="00CC7EB7"/>
    <w:rsid w:val="00CD0289"/>
    <w:rsid w:val="00CD094A"/>
    <w:rsid w:val="00CD31DD"/>
    <w:rsid w:val="00CD4951"/>
    <w:rsid w:val="00CD5496"/>
    <w:rsid w:val="00CD5807"/>
    <w:rsid w:val="00CD584E"/>
    <w:rsid w:val="00CD5DF0"/>
    <w:rsid w:val="00CD65BC"/>
    <w:rsid w:val="00CD67D3"/>
    <w:rsid w:val="00CD68F8"/>
    <w:rsid w:val="00CD71E4"/>
    <w:rsid w:val="00CD7477"/>
    <w:rsid w:val="00CD75F2"/>
    <w:rsid w:val="00CE1A0C"/>
    <w:rsid w:val="00CE1F62"/>
    <w:rsid w:val="00CE2498"/>
    <w:rsid w:val="00CE3339"/>
    <w:rsid w:val="00CE3BAF"/>
    <w:rsid w:val="00CE3E56"/>
    <w:rsid w:val="00CE4A2E"/>
    <w:rsid w:val="00CE5419"/>
    <w:rsid w:val="00CE54B6"/>
    <w:rsid w:val="00CE5E97"/>
    <w:rsid w:val="00CE70DC"/>
    <w:rsid w:val="00CE74FD"/>
    <w:rsid w:val="00CF0246"/>
    <w:rsid w:val="00CF0818"/>
    <w:rsid w:val="00CF0FAE"/>
    <w:rsid w:val="00CF157A"/>
    <w:rsid w:val="00CF1632"/>
    <w:rsid w:val="00CF3130"/>
    <w:rsid w:val="00CF520F"/>
    <w:rsid w:val="00CF6CDD"/>
    <w:rsid w:val="00CF6CFF"/>
    <w:rsid w:val="00CF71DC"/>
    <w:rsid w:val="00CF7930"/>
    <w:rsid w:val="00D00561"/>
    <w:rsid w:val="00D01921"/>
    <w:rsid w:val="00D02736"/>
    <w:rsid w:val="00D02A1C"/>
    <w:rsid w:val="00D03B0B"/>
    <w:rsid w:val="00D03F56"/>
    <w:rsid w:val="00D0464F"/>
    <w:rsid w:val="00D05E5B"/>
    <w:rsid w:val="00D0619B"/>
    <w:rsid w:val="00D063F2"/>
    <w:rsid w:val="00D068A0"/>
    <w:rsid w:val="00D06C6C"/>
    <w:rsid w:val="00D06D8D"/>
    <w:rsid w:val="00D074DD"/>
    <w:rsid w:val="00D07977"/>
    <w:rsid w:val="00D07F97"/>
    <w:rsid w:val="00D07FCE"/>
    <w:rsid w:val="00D107A3"/>
    <w:rsid w:val="00D107BC"/>
    <w:rsid w:val="00D11947"/>
    <w:rsid w:val="00D11F18"/>
    <w:rsid w:val="00D12457"/>
    <w:rsid w:val="00D12C6A"/>
    <w:rsid w:val="00D13175"/>
    <w:rsid w:val="00D1480C"/>
    <w:rsid w:val="00D14AF4"/>
    <w:rsid w:val="00D14CD8"/>
    <w:rsid w:val="00D1597A"/>
    <w:rsid w:val="00D15CBF"/>
    <w:rsid w:val="00D17184"/>
    <w:rsid w:val="00D20151"/>
    <w:rsid w:val="00D2076D"/>
    <w:rsid w:val="00D20B1E"/>
    <w:rsid w:val="00D21763"/>
    <w:rsid w:val="00D2219E"/>
    <w:rsid w:val="00D223A0"/>
    <w:rsid w:val="00D22F93"/>
    <w:rsid w:val="00D23AB1"/>
    <w:rsid w:val="00D23D6F"/>
    <w:rsid w:val="00D23E12"/>
    <w:rsid w:val="00D23EDD"/>
    <w:rsid w:val="00D2470A"/>
    <w:rsid w:val="00D24C83"/>
    <w:rsid w:val="00D26378"/>
    <w:rsid w:val="00D26495"/>
    <w:rsid w:val="00D27819"/>
    <w:rsid w:val="00D3124B"/>
    <w:rsid w:val="00D312E1"/>
    <w:rsid w:val="00D316E1"/>
    <w:rsid w:val="00D325DB"/>
    <w:rsid w:val="00D342BD"/>
    <w:rsid w:val="00D34535"/>
    <w:rsid w:val="00D3570A"/>
    <w:rsid w:val="00D357A9"/>
    <w:rsid w:val="00D358D3"/>
    <w:rsid w:val="00D35FC9"/>
    <w:rsid w:val="00D3714D"/>
    <w:rsid w:val="00D403B2"/>
    <w:rsid w:val="00D41795"/>
    <w:rsid w:val="00D41CE6"/>
    <w:rsid w:val="00D41E68"/>
    <w:rsid w:val="00D421A9"/>
    <w:rsid w:val="00D422FE"/>
    <w:rsid w:val="00D42816"/>
    <w:rsid w:val="00D42CB6"/>
    <w:rsid w:val="00D42DCC"/>
    <w:rsid w:val="00D4403E"/>
    <w:rsid w:val="00D45A5A"/>
    <w:rsid w:val="00D45BE4"/>
    <w:rsid w:val="00D463E1"/>
    <w:rsid w:val="00D4650F"/>
    <w:rsid w:val="00D47A19"/>
    <w:rsid w:val="00D47B00"/>
    <w:rsid w:val="00D50213"/>
    <w:rsid w:val="00D5061C"/>
    <w:rsid w:val="00D51367"/>
    <w:rsid w:val="00D51C52"/>
    <w:rsid w:val="00D51D7A"/>
    <w:rsid w:val="00D53B01"/>
    <w:rsid w:val="00D54F31"/>
    <w:rsid w:val="00D55896"/>
    <w:rsid w:val="00D56958"/>
    <w:rsid w:val="00D56E25"/>
    <w:rsid w:val="00D61101"/>
    <w:rsid w:val="00D61268"/>
    <w:rsid w:val="00D619C0"/>
    <w:rsid w:val="00D6227F"/>
    <w:rsid w:val="00D62DF5"/>
    <w:rsid w:val="00D632F7"/>
    <w:rsid w:val="00D63943"/>
    <w:rsid w:val="00D64E86"/>
    <w:rsid w:val="00D656E8"/>
    <w:rsid w:val="00D66343"/>
    <w:rsid w:val="00D67417"/>
    <w:rsid w:val="00D70F2E"/>
    <w:rsid w:val="00D71523"/>
    <w:rsid w:val="00D72E69"/>
    <w:rsid w:val="00D7369A"/>
    <w:rsid w:val="00D73734"/>
    <w:rsid w:val="00D74EDB"/>
    <w:rsid w:val="00D75E6D"/>
    <w:rsid w:val="00D80401"/>
    <w:rsid w:val="00D80DC2"/>
    <w:rsid w:val="00D8178C"/>
    <w:rsid w:val="00D8181F"/>
    <w:rsid w:val="00D81D64"/>
    <w:rsid w:val="00D82523"/>
    <w:rsid w:val="00D825D5"/>
    <w:rsid w:val="00D82621"/>
    <w:rsid w:val="00D843EA"/>
    <w:rsid w:val="00D84DCB"/>
    <w:rsid w:val="00D84F44"/>
    <w:rsid w:val="00D852B4"/>
    <w:rsid w:val="00D859EF"/>
    <w:rsid w:val="00D8640F"/>
    <w:rsid w:val="00D86DAA"/>
    <w:rsid w:val="00D9024A"/>
    <w:rsid w:val="00D917F7"/>
    <w:rsid w:val="00D92A87"/>
    <w:rsid w:val="00D93059"/>
    <w:rsid w:val="00D94ADF"/>
    <w:rsid w:val="00D95A90"/>
    <w:rsid w:val="00D96D4D"/>
    <w:rsid w:val="00D97225"/>
    <w:rsid w:val="00D97517"/>
    <w:rsid w:val="00DA065F"/>
    <w:rsid w:val="00DA07DE"/>
    <w:rsid w:val="00DA218F"/>
    <w:rsid w:val="00DA335D"/>
    <w:rsid w:val="00DA360C"/>
    <w:rsid w:val="00DA36E0"/>
    <w:rsid w:val="00DA3B04"/>
    <w:rsid w:val="00DA4C52"/>
    <w:rsid w:val="00DB06FA"/>
    <w:rsid w:val="00DB1176"/>
    <w:rsid w:val="00DB1375"/>
    <w:rsid w:val="00DB1487"/>
    <w:rsid w:val="00DB1824"/>
    <w:rsid w:val="00DB23CC"/>
    <w:rsid w:val="00DB4063"/>
    <w:rsid w:val="00DB406D"/>
    <w:rsid w:val="00DB48AC"/>
    <w:rsid w:val="00DB59BC"/>
    <w:rsid w:val="00DB5B5B"/>
    <w:rsid w:val="00DB6CE8"/>
    <w:rsid w:val="00DB7D2E"/>
    <w:rsid w:val="00DC0FE6"/>
    <w:rsid w:val="00DC12C7"/>
    <w:rsid w:val="00DC176B"/>
    <w:rsid w:val="00DC17D5"/>
    <w:rsid w:val="00DC1E20"/>
    <w:rsid w:val="00DC37C6"/>
    <w:rsid w:val="00DC3A22"/>
    <w:rsid w:val="00DC3EEC"/>
    <w:rsid w:val="00DC3FA8"/>
    <w:rsid w:val="00DC4529"/>
    <w:rsid w:val="00DC4738"/>
    <w:rsid w:val="00DC4B17"/>
    <w:rsid w:val="00DC56E0"/>
    <w:rsid w:val="00DC5A71"/>
    <w:rsid w:val="00DC5F1B"/>
    <w:rsid w:val="00DC77A6"/>
    <w:rsid w:val="00DD1A27"/>
    <w:rsid w:val="00DD1F73"/>
    <w:rsid w:val="00DD22C5"/>
    <w:rsid w:val="00DD27B4"/>
    <w:rsid w:val="00DD405D"/>
    <w:rsid w:val="00DD4ACD"/>
    <w:rsid w:val="00DD5744"/>
    <w:rsid w:val="00DD5888"/>
    <w:rsid w:val="00DD6369"/>
    <w:rsid w:val="00DD6B46"/>
    <w:rsid w:val="00DE117C"/>
    <w:rsid w:val="00DE1F45"/>
    <w:rsid w:val="00DE34E9"/>
    <w:rsid w:val="00DE3FF6"/>
    <w:rsid w:val="00DE4682"/>
    <w:rsid w:val="00DE5494"/>
    <w:rsid w:val="00DE56F6"/>
    <w:rsid w:val="00DE782E"/>
    <w:rsid w:val="00DE7D2D"/>
    <w:rsid w:val="00DF04CB"/>
    <w:rsid w:val="00DF0FBC"/>
    <w:rsid w:val="00DF2053"/>
    <w:rsid w:val="00DF34CF"/>
    <w:rsid w:val="00DF41FA"/>
    <w:rsid w:val="00DF496B"/>
    <w:rsid w:val="00DF5699"/>
    <w:rsid w:val="00DF5E60"/>
    <w:rsid w:val="00DF61D8"/>
    <w:rsid w:val="00DF69DC"/>
    <w:rsid w:val="00E03FBB"/>
    <w:rsid w:val="00E046FE"/>
    <w:rsid w:val="00E07A57"/>
    <w:rsid w:val="00E10E7F"/>
    <w:rsid w:val="00E1130A"/>
    <w:rsid w:val="00E11EA8"/>
    <w:rsid w:val="00E1233F"/>
    <w:rsid w:val="00E13849"/>
    <w:rsid w:val="00E14763"/>
    <w:rsid w:val="00E14BC4"/>
    <w:rsid w:val="00E1512C"/>
    <w:rsid w:val="00E15D91"/>
    <w:rsid w:val="00E1603F"/>
    <w:rsid w:val="00E170BB"/>
    <w:rsid w:val="00E1712B"/>
    <w:rsid w:val="00E17510"/>
    <w:rsid w:val="00E17A3F"/>
    <w:rsid w:val="00E17A4D"/>
    <w:rsid w:val="00E20135"/>
    <w:rsid w:val="00E208A4"/>
    <w:rsid w:val="00E2092E"/>
    <w:rsid w:val="00E209F3"/>
    <w:rsid w:val="00E21051"/>
    <w:rsid w:val="00E232A8"/>
    <w:rsid w:val="00E23583"/>
    <w:rsid w:val="00E24D9B"/>
    <w:rsid w:val="00E25070"/>
    <w:rsid w:val="00E25A89"/>
    <w:rsid w:val="00E26171"/>
    <w:rsid w:val="00E26B80"/>
    <w:rsid w:val="00E2753A"/>
    <w:rsid w:val="00E309EA"/>
    <w:rsid w:val="00E30CA3"/>
    <w:rsid w:val="00E3129D"/>
    <w:rsid w:val="00E31B4D"/>
    <w:rsid w:val="00E31E41"/>
    <w:rsid w:val="00E32D8A"/>
    <w:rsid w:val="00E32E26"/>
    <w:rsid w:val="00E337A2"/>
    <w:rsid w:val="00E340D4"/>
    <w:rsid w:val="00E3594F"/>
    <w:rsid w:val="00E370B1"/>
    <w:rsid w:val="00E40525"/>
    <w:rsid w:val="00E40B9E"/>
    <w:rsid w:val="00E40EF6"/>
    <w:rsid w:val="00E411B4"/>
    <w:rsid w:val="00E41CA0"/>
    <w:rsid w:val="00E42954"/>
    <w:rsid w:val="00E43EDE"/>
    <w:rsid w:val="00E44A38"/>
    <w:rsid w:val="00E458C9"/>
    <w:rsid w:val="00E459FE"/>
    <w:rsid w:val="00E45B48"/>
    <w:rsid w:val="00E45BE9"/>
    <w:rsid w:val="00E45EA9"/>
    <w:rsid w:val="00E4623C"/>
    <w:rsid w:val="00E46289"/>
    <w:rsid w:val="00E466DF"/>
    <w:rsid w:val="00E47713"/>
    <w:rsid w:val="00E47C25"/>
    <w:rsid w:val="00E50775"/>
    <w:rsid w:val="00E50AD4"/>
    <w:rsid w:val="00E50F4F"/>
    <w:rsid w:val="00E5266C"/>
    <w:rsid w:val="00E52C1A"/>
    <w:rsid w:val="00E53D01"/>
    <w:rsid w:val="00E54375"/>
    <w:rsid w:val="00E54991"/>
    <w:rsid w:val="00E54CD3"/>
    <w:rsid w:val="00E55160"/>
    <w:rsid w:val="00E577D1"/>
    <w:rsid w:val="00E60595"/>
    <w:rsid w:val="00E605BA"/>
    <w:rsid w:val="00E60F5E"/>
    <w:rsid w:val="00E61E4C"/>
    <w:rsid w:val="00E631A1"/>
    <w:rsid w:val="00E6359C"/>
    <w:rsid w:val="00E64F81"/>
    <w:rsid w:val="00E65220"/>
    <w:rsid w:val="00E65ACC"/>
    <w:rsid w:val="00E65BB5"/>
    <w:rsid w:val="00E66003"/>
    <w:rsid w:val="00E665C4"/>
    <w:rsid w:val="00E67C54"/>
    <w:rsid w:val="00E67C77"/>
    <w:rsid w:val="00E70BFD"/>
    <w:rsid w:val="00E7171E"/>
    <w:rsid w:val="00E71933"/>
    <w:rsid w:val="00E7238A"/>
    <w:rsid w:val="00E72819"/>
    <w:rsid w:val="00E74B5D"/>
    <w:rsid w:val="00E75D5E"/>
    <w:rsid w:val="00E765DF"/>
    <w:rsid w:val="00E7753F"/>
    <w:rsid w:val="00E77AE8"/>
    <w:rsid w:val="00E77B41"/>
    <w:rsid w:val="00E802C2"/>
    <w:rsid w:val="00E80CC6"/>
    <w:rsid w:val="00E80FDB"/>
    <w:rsid w:val="00E815D5"/>
    <w:rsid w:val="00E815E8"/>
    <w:rsid w:val="00E820E3"/>
    <w:rsid w:val="00E82E5A"/>
    <w:rsid w:val="00E83CD7"/>
    <w:rsid w:val="00E842D9"/>
    <w:rsid w:val="00E849E8"/>
    <w:rsid w:val="00E86DDD"/>
    <w:rsid w:val="00E874E7"/>
    <w:rsid w:val="00E876B1"/>
    <w:rsid w:val="00E90060"/>
    <w:rsid w:val="00E91696"/>
    <w:rsid w:val="00E919FC"/>
    <w:rsid w:val="00E92A45"/>
    <w:rsid w:val="00E92D59"/>
    <w:rsid w:val="00E934A2"/>
    <w:rsid w:val="00E941BF"/>
    <w:rsid w:val="00E9466E"/>
    <w:rsid w:val="00E96642"/>
    <w:rsid w:val="00E967F5"/>
    <w:rsid w:val="00E97488"/>
    <w:rsid w:val="00E97C41"/>
    <w:rsid w:val="00EA0643"/>
    <w:rsid w:val="00EA0E66"/>
    <w:rsid w:val="00EA11CC"/>
    <w:rsid w:val="00EA23E8"/>
    <w:rsid w:val="00EA3B9E"/>
    <w:rsid w:val="00EA69D6"/>
    <w:rsid w:val="00EA7348"/>
    <w:rsid w:val="00EA7968"/>
    <w:rsid w:val="00EA7BD9"/>
    <w:rsid w:val="00EA7C56"/>
    <w:rsid w:val="00EA7E5A"/>
    <w:rsid w:val="00EB1853"/>
    <w:rsid w:val="00EB4252"/>
    <w:rsid w:val="00EB4B05"/>
    <w:rsid w:val="00EB4CE3"/>
    <w:rsid w:val="00EB50EC"/>
    <w:rsid w:val="00EB583F"/>
    <w:rsid w:val="00EB718A"/>
    <w:rsid w:val="00EB7468"/>
    <w:rsid w:val="00EC0F69"/>
    <w:rsid w:val="00EC1445"/>
    <w:rsid w:val="00EC22B6"/>
    <w:rsid w:val="00EC3052"/>
    <w:rsid w:val="00EC3736"/>
    <w:rsid w:val="00EC37D8"/>
    <w:rsid w:val="00EC5F81"/>
    <w:rsid w:val="00EC629B"/>
    <w:rsid w:val="00EC6458"/>
    <w:rsid w:val="00EC7469"/>
    <w:rsid w:val="00EC751C"/>
    <w:rsid w:val="00EC7F24"/>
    <w:rsid w:val="00ED10DC"/>
    <w:rsid w:val="00ED12E2"/>
    <w:rsid w:val="00ED1B99"/>
    <w:rsid w:val="00ED2434"/>
    <w:rsid w:val="00ED33F1"/>
    <w:rsid w:val="00ED3A91"/>
    <w:rsid w:val="00ED3C61"/>
    <w:rsid w:val="00ED3EF5"/>
    <w:rsid w:val="00ED403F"/>
    <w:rsid w:val="00ED44F0"/>
    <w:rsid w:val="00ED454D"/>
    <w:rsid w:val="00ED4687"/>
    <w:rsid w:val="00ED47B3"/>
    <w:rsid w:val="00ED4C2D"/>
    <w:rsid w:val="00ED50C8"/>
    <w:rsid w:val="00ED5137"/>
    <w:rsid w:val="00ED664D"/>
    <w:rsid w:val="00ED6E94"/>
    <w:rsid w:val="00ED73A1"/>
    <w:rsid w:val="00EE0075"/>
    <w:rsid w:val="00EE06C4"/>
    <w:rsid w:val="00EE0BD4"/>
    <w:rsid w:val="00EE1FB2"/>
    <w:rsid w:val="00EE56F3"/>
    <w:rsid w:val="00EE5872"/>
    <w:rsid w:val="00EE6088"/>
    <w:rsid w:val="00EE6A79"/>
    <w:rsid w:val="00EE6E39"/>
    <w:rsid w:val="00EE6FC2"/>
    <w:rsid w:val="00EE6FEA"/>
    <w:rsid w:val="00EE749C"/>
    <w:rsid w:val="00EE7D5F"/>
    <w:rsid w:val="00EF010C"/>
    <w:rsid w:val="00EF0B9E"/>
    <w:rsid w:val="00EF1518"/>
    <w:rsid w:val="00EF16A3"/>
    <w:rsid w:val="00EF3EF4"/>
    <w:rsid w:val="00EF4B79"/>
    <w:rsid w:val="00EF5A3F"/>
    <w:rsid w:val="00EF5A7D"/>
    <w:rsid w:val="00EF6381"/>
    <w:rsid w:val="00EF6FE6"/>
    <w:rsid w:val="00F00886"/>
    <w:rsid w:val="00F0162C"/>
    <w:rsid w:val="00F01B6D"/>
    <w:rsid w:val="00F02A83"/>
    <w:rsid w:val="00F032E5"/>
    <w:rsid w:val="00F0409F"/>
    <w:rsid w:val="00F052D7"/>
    <w:rsid w:val="00F05623"/>
    <w:rsid w:val="00F0616B"/>
    <w:rsid w:val="00F07372"/>
    <w:rsid w:val="00F07D15"/>
    <w:rsid w:val="00F1177E"/>
    <w:rsid w:val="00F119A5"/>
    <w:rsid w:val="00F123B3"/>
    <w:rsid w:val="00F12EA4"/>
    <w:rsid w:val="00F1399C"/>
    <w:rsid w:val="00F151AB"/>
    <w:rsid w:val="00F1743A"/>
    <w:rsid w:val="00F20B03"/>
    <w:rsid w:val="00F21264"/>
    <w:rsid w:val="00F2266E"/>
    <w:rsid w:val="00F2308C"/>
    <w:rsid w:val="00F23605"/>
    <w:rsid w:val="00F23826"/>
    <w:rsid w:val="00F24AD6"/>
    <w:rsid w:val="00F25E64"/>
    <w:rsid w:val="00F2679B"/>
    <w:rsid w:val="00F27175"/>
    <w:rsid w:val="00F3034B"/>
    <w:rsid w:val="00F31CF6"/>
    <w:rsid w:val="00F3270A"/>
    <w:rsid w:val="00F33D15"/>
    <w:rsid w:val="00F352F1"/>
    <w:rsid w:val="00F360C4"/>
    <w:rsid w:val="00F374A1"/>
    <w:rsid w:val="00F40A0F"/>
    <w:rsid w:val="00F40E61"/>
    <w:rsid w:val="00F41331"/>
    <w:rsid w:val="00F413B3"/>
    <w:rsid w:val="00F42134"/>
    <w:rsid w:val="00F42BEA"/>
    <w:rsid w:val="00F42FEF"/>
    <w:rsid w:val="00F435C1"/>
    <w:rsid w:val="00F439AD"/>
    <w:rsid w:val="00F45FF8"/>
    <w:rsid w:val="00F467C7"/>
    <w:rsid w:val="00F469FE"/>
    <w:rsid w:val="00F47DB4"/>
    <w:rsid w:val="00F50165"/>
    <w:rsid w:val="00F50562"/>
    <w:rsid w:val="00F50C77"/>
    <w:rsid w:val="00F50FC6"/>
    <w:rsid w:val="00F515C0"/>
    <w:rsid w:val="00F51CFA"/>
    <w:rsid w:val="00F5256C"/>
    <w:rsid w:val="00F53831"/>
    <w:rsid w:val="00F5384A"/>
    <w:rsid w:val="00F545F4"/>
    <w:rsid w:val="00F56338"/>
    <w:rsid w:val="00F56AE8"/>
    <w:rsid w:val="00F56CF4"/>
    <w:rsid w:val="00F571DC"/>
    <w:rsid w:val="00F5750A"/>
    <w:rsid w:val="00F579A8"/>
    <w:rsid w:val="00F62368"/>
    <w:rsid w:val="00F62FEE"/>
    <w:rsid w:val="00F64173"/>
    <w:rsid w:val="00F649E6"/>
    <w:rsid w:val="00F65241"/>
    <w:rsid w:val="00F67993"/>
    <w:rsid w:val="00F67E81"/>
    <w:rsid w:val="00F70147"/>
    <w:rsid w:val="00F71530"/>
    <w:rsid w:val="00F71956"/>
    <w:rsid w:val="00F71CC8"/>
    <w:rsid w:val="00F730F0"/>
    <w:rsid w:val="00F733D7"/>
    <w:rsid w:val="00F74098"/>
    <w:rsid w:val="00F7411E"/>
    <w:rsid w:val="00F74A5F"/>
    <w:rsid w:val="00F76825"/>
    <w:rsid w:val="00F775DA"/>
    <w:rsid w:val="00F77C31"/>
    <w:rsid w:val="00F77EA4"/>
    <w:rsid w:val="00F804C1"/>
    <w:rsid w:val="00F80D23"/>
    <w:rsid w:val="00F81CBF"/>
    <w:rsid w:val="00F824A2"/>
    <w:rsid w:val="00F8269D"/>
    <w:rsid w:val="00F82A47"/>
    <w:rsid w:val="00F82DFA"/>
    <w:rsid w:val="00F83F2D"/>
    <w:rsid w:val="00F84233"/>
    <w:rsid w:val="00F8496D"/>
    <w:rsid w:val="00F84979"/>
    <w:rsid w:val="00F84E50"/>
    <w:rsid w:val="00F858E4"/>
    <w:rsid w:val="00F85CCE"/>
    <w:rsid w:val="00F85D84"/>
    <w:rsid w:val="00F8651A"/>
    <w:rsid w:val="00F87154"/>
    <w:rsid w:val="00F90F28"/>
    <w:rsid w:val="00F91C51"/>
    <w:rsid w:val="00F93ECC"/>
    <w:rsid w:val="00F954B7"/>
    <w:rsid w:val="00F95A68"/>
    <w:rsid w:val="00F9673D"/>
    <w:rsid w:val="00FA04AF"/>
    <w:rsid w:val="00FA116A"/>
    <w:rsid w:val="00FA1F6D"/>
    <w:rsid w:val="00FA2363"/>
    <w:rsid w:val="00FA28B5"/>
    <w:rsid w:val="00FA3419"/>
    <w:rsid w:val="00FA3AE5"/>
    <w:rsid w:val="00FA4987"/>
    <w:rsid w:val="00FA66B2"/>
    <w:rsid w:val="00FA6F89"/>
    <w:rsid w:val="00FA77DF"/>
    <w:rsid w:val="00FB052F"/>
    <w:rsid w:val="00FB09F5"/>
    <w:rsid w:val="00FB1017"/>
    <w:rsid w:val="00FB2F58"/>
    <w:rsid w:val="00FB304F"/>
    <w:rsid w:val="00FB31F7"/>
    <w:rsid w:val="00FB3D42"/>
    <w:rsid w:val="00FB485B"/>
    <w:rsid w:val="00FB6278"/>
    <w:rsid w:val="00FB6E72"/>
    <w:rsid w:val="00FC0944"/>
    <w:rsid w:val="00FC210C"/>
    <w:rsid w:val="00FC277B"/>
    <w:rsid w:val="00FC3968"/>
    <w:rsid w:val="00FC3D70"/>
    <w:rsid w:val="00FC5EB0"/>
    <w:rsid w:val="00FC6427"/>
    <w:rsid w:val="00FC6752"/>
    <w:rsid w:val="00FD080A"/>
    <w:rsid w:val="00FD495E"/>
    <w:rsid w:val="00FD53CD"/>
    <w:rsid w:val="00FD643F"/>
    <w:rsid w:val="00FD64C8"/>
    <w:rsid w:val="00FD6532"/>
    <w:rsid w:val="00FD71B7"/>
    <w:rsid w:val="00FE039D"/>
    <w:rsid w:val="00FE05E0"/>
    <w:rsid w:val="00FE0772"/>
    <w:rsid w:val="00FE0CC6"/>
    <w:rsid w:val="00FE0FF4"/>
    <w:rsid w:val="00FE31FF"/>
    <w:rsid w:val="00FE389D"/>
    <w:rsid w:val="00FE3EBB"/>
    <w:rsid w:val="00FE65B4"/>
    <w:rsid w:val="00FE681D"/>
    <w:rsid w:val="00FE7708"/>
    <w:rsid w:val="00FE7DBB"/>
    <w:rsid w:val="00FF0D2C"/>
    <w:rsid w:val="00FF0DEC"/>
    <w:rsid w:val="00FF1A55"/>
    <w:rsid w:val="00FF2CD2"/>
    <w:rsid w:val="00FF47C2"/>
    <w:rsid w:val="00FF4B56"/>
    <w:rsid w:val="00FF57B6"/>
    <w:rsid w:val="00FF58FB"/>
    <w:rsid w:val="00FF6618"/>
    <w:rsid w:val="00FF6C79"/>
    <w:rsid w:val="00FF74AC"/>
    <w:rsid w:val="0B694E41"/>
    <w:rsid w:val="152B20E0"/>
    <w:rsid w:val="16DA75D5"/>
    <w:rsid w:val="1B9B334C"/>
    <w:rsid w:val="1C686E11"/>
    <w:rsid w:val="1F3B5FE5"/>
    <w:rsid w:val="223D4D39"/>
    <w:rsid w:val="29ED77F7"/>
    <w:rsid w:val="2D963462"/>
    <w:rsid w:val="33E83A9B"/>
    <w:rsid w:val="37874F69"/>
    <w:rsid w:val="3A221A8C"/>
    <w:rsid w:val="3B0720AF"/>
    <w:rsid w:val="3BE11D78"/>
    <w:rsid w:val="3E417826"/>
    <w:rsid w:val="427F3C93"/>
    <w:rsid w:val="433C4601"/>
    <w:rsid w:val="4791058B"/>
    <w:rsid w:val="480F2017"/>
    <w:rsid w:val="4DCD443A"/>
    <w:rsid w:val="50064DCF"/>
    <w:rsid w:val="52614F2B"/>
    <w:rsid w:val="563D261E"/>
    <w:rsid w:val="58D52887"/>
    <w:rsid w:val="5E581D44"/>
    <w:rsid w:val="60577FFF"/>
    <w:rsid w:val="62F24C15"/>
    <w:rsid w:val="72534367"/>
    <w:rsid w:val="7580537C"/>
    <w:rsid w:val="76402E54"/>
    <w:rsid w:val="77161E07"/>
    <w:rsid w:val="79861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9" w:semiHidden="0" w:name="Title"/>
    <w:lsdException w:qFormat="1" w:unhideWhenUsed="0" w:uiPriority="0" w:semiHidden="0" w:name="Closing"/>
    <w:lsdException w:qFormat="1"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uiPriority="0" w:name="Table Classic 3"/>
    <w:lsdException w:qFormat="1" w:unhideWhenUsed="0" w:uiPriority="0" w:semiHidden="0" w:name="Table Classic 4"/>
    <w:lsdException w:qFormat="1" w:unhideWhenUsed="0" w:uiPriority="0" w:semiHidden="0" w:name="Table Colorful 1"/>
    <w:lsdException w:uiPriority="0" w:name="Table Colorful 2"/>
    <w:lsdException w:qFormat="1" w:unhideWhenUsed="0" w:uiPriority="0" w:semiHidden="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uiPriority="0" w:name="Table Grid 4"/>
    <w:lsdException w:uiPriority="0" w:name="Table Grid 5"/>
    <w:lsdException w:uiPriority="0" w:name="Table Grid 6"/>
    <w:lsdException w:uiPriority="0" w:name="Table Grid 7"/>
    <w:lsdException w:qFormat="1" w:unhideWhenUsed="0" w:uiPriority="0" w:semiHidden="0" w:name="Table Grid 8"/>
    <w:lsdException w:qFormat="1" w:unhideWhenUsed="0" w:uiPriority="0" w:semiHidden="0" w:name="Table List 1"/>
    <w:lsdException w:uiPriority="0" w:name="Table List 2"/>
    <w:lsdException w:qFormat="1" w:unhideWhenUsed="0" w:uiPriority="0" w:semiHidden="0" w:name="Table List 3"/>
    <w:lsdException w:uiPriority="0" w:name="Table List 4"/>
    <w:lsdException w:qFormat="1" w:unhideWhenUsed="0" w:uiPriority="0" w:semiHidden="0" w:name="Table List 5"/>
    <w:lsdException w:qFormat="1" w:unhideWhenUsed="0" w:uiPriority="0" w:semiHidden="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99" w:semiHidden="0" w:name="Balloon Text"/>
    <w:lsdException w:qFormat="1" w:unhideWhenUsed="0" w:uiPriority="39" w:semiHidden="0" w:name="Table Grid"/>
    <w:lsdException w:qFormat="1" w:unhideWhenUsed="0" w:uiPriority="0" w:semiHidden="0" w:name="Table Theme"/>
    <w:lsdException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20" w:lineRule="exact"/>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27"/>
    <w:qFormat/>
    <w:uiPriority w:val="9"/>
    <w:pPr>
      <w:numPr>
        <w:ilvl w:val="0"/>
        <w:numId w:val="1"/>
      </w:numPr>
      <w:spacing w:before="320" w:after="312" w:line="240" w:lineRule="auto"/>
      <w:jc w:val="center"/>
      <w:outlineLvl w:val="0"/>
    </w:pPr>
    <w:rPr>
      <w:rFonts w:eastAsia="黑体"/>
      <w:bCs/>
      <w:kern w:val="44"/>
      <w:sz w:val="28"/>
      <w:szCs w:val="44"/>
    </w:rPr>
  </w:style>
  <w:style w:type="paragraph" w:styleId="4">
    <w:name w:val="heading 2"/>
    <w:basedOn w:val="1"/>
    <w:next w:val="1"/>
    <w:link w:val="128"/>
    <w:qFormat/>
    <w:uiPriority w:val="9"/>
    <w:pPr>
      <w:numPr>
        <w:ilvl w:val="1"/>
        <w:numId w:val="1"/>
      </w:numPr>
      <w:tabs>
        <w:tab w:val="left" w:pos="462"/>
        <w:tab w:val="left" w:pos="794"/>
      </w:tabs>
      <w:snapToGrid w:val="0"/>
      <w:spacing w:before="156" w:after="156" w:line="240" w:lineRule="auto"/>
      <w:jc w:val="center"/>
      <w:outlineLvl w:val="1"/>
    </w:pPr>
    <w:rPr>
      <w:rFonts w:eastAsia="黑体"/>
      <w:bCs/>
      <w:szCs w:val="28"/>
    </w:rPr>
  </w:style>
  <w:style w:type="paragraph" w:styleId="5">
    <w:name w:val="heading 3"/>
    <w:basedOn w:val="1"/>
    <w:next w:val="1"/>
    <w:link w:val="129"/>
    <w:qFormat/>
    <w:uiPriority w:val="0"/>
    <w:pPr>
      <w:numPr>
        <w:ilvl w:val="2"/>
        <w:numId w:val="1"/>
      </w:numPr>
      <w:tabs>
        <w:tab w:val="left" w:pos="630"/>
      </w:tabs>
      <w:adjustRightInd w:val="0"/>
      <w:snapToGrid w:val="0"/>
      <w:jc w:val="left"/>
      <w:outlineLvl w:val="2"/>
    </w:pPr>
    <w:rPr>
      <w:rFonts w:cs="Arial"/>
      <w:szCs w:val="20"/>
    </w:rPr>
  </w:style>
  <w:style w:type="paragraph" w:styleId="6">
    <w:name w:val="heading 4"/>
    <w:basedOn w:val="1"/>
    <w:next w:val="1"/>
    <w:link w:val="130"/>
    <w:qFormat/>
    <w:uiPriority w:val="0"/>
    <w:pPr>
      <w:numPr>
        <w:ilvl w:val="3"/>
        <w:numId w:val="1"/>
      </w:numPr>
      <w:spacing w:before="120" w:line="240" w:lineRule="auto"/>
      <w:jc w:val="left"/>
      <w:outlineLvl w:val="3"/>
    </w:pPr>
    <w:rPr>
      <w:rFonts w:eastAsia="黑体"/>
      <w:bCs/>
      <w:color w:val="BC0098"/>
      <w:szCs w:val="28"/>
    </w:rPr>
  </w:style>
  <w:style w:type="paragraph" w:styleId="7">
    <w:name w:val="heading 5"/>
    <w:basedOn w:val="1"/>
    <w:next w:val="1"/>
    <w:link w:val="131"/>
    <w:qFormat/>
    <w:uiPriority w:val="9"/>
    <w:pPr>
      <w:numPr>
        <w:ilvl w:val="4"/>
        <w:numId w:val="1"/>
      </w:numPr>
      <w:tabs>
        <w:tab w:val="left" w:pos="420"/>
        <w:tab w:val="clear" w:pos="567"/>
      </w:tabs>
      <w:ind w:firstLine="200" w:firstLineChars="200"/>
      <w:jc w:val="left"/>
      <w:outlineLvl w:val="4"/>
    </w:pPr>
    <w:rPr>
      <w:bCs/>
      <w:szCs w:val="28"/>
    </w:rPr>
  </w:style>
  <w:style w:type="paragraph" w:styleId="8">
    <w:name w:val="heading 6"/>
    <w:basedOn w:val="1"/>
    <w:next w:val="1"/>
    <w:link w:val="132"/>
    <w:qFormat/>
    <w:uiPriority w:val="0"/>
    <w:pPr>
      <w:numPr>
        <w:ilvl w:val="5"/>
        <w:numId w:val="1"/>
      </w:numPr>
      <w:jc w:val="left"/>
      <w:outlineLvl w:val="5"/>
    </w:pPr>
    <w:rPr>
      <w:bCs/>
      <w:color w:val="C00000"/>
    </w:rPr>
  </w:style>
  <w:style w:type="paragraph" w:styleId="9">
    <w:name w:val="heading 7"/>
    <w:basedOn w:val="1"/>
    <w:next w:val="1"/>
    <w:link w:val="133"/>
    <w:qFormat/>
    <w:uiPriority w:val="0"/>
    <w:pPr>
      <w:numPr>
        <w:ilvl w:val="6"/>
        <w:numId w:val="1"/>
      </w:numPr>
      <w:jc w:val="left"/>
      <w:outlineLvl w:val="6"/>
    </w:pPr>
    <w:rPr>
      <w:bCs/>
      <w:color w:val="7030A0"/>
    </w:rPr>
  </w:style>
  <w:style w:type="paragraph" w:styleId="10">
    <w:name w:val="heading 8"/>
    <w:basedOn w:val="1"/>
    <w:next w:val="1"/>
    <w:link w:val="134"/>
    <w:qFormat/>
    <w:uiPriority w:val="0"/>
    <w:pPr>
      <w:keepNext/>
      <w:keepLines/>
      <w:numPr>
        <w:ilvl w:val="7"/>
        <w:numId w:val="1"/>
      </w:numPr>
      <w:jc w:val="left"/>
      <w:outlineLvl w:val="7"/>
    </w:pPr>
    <w:rPr>
      <w:rFonts w:ascii="Arial" w:hAnsi="Arial"/>
      <w:color w:val="00B050"/>
    </w:rPr>
  </w:style>
  <w:style w:type="paragraph" w:styleId="11">
    <w:name w:val="heading 9"/>
    <w:basedOn w:val="1"/>
    <w:next w:val="1"/>
    <w:qFormat/>
    <w:uiPriority w:val="0"/>
    <w:pPr>
      <w:keepNext/>
      <w:keepLines/>
      <w:numPr>
        <w:ilvl w:val="8"/>
        <w:numId w:val="1"/>
      </w:numPr>
      <w:jc w:val="left"/>
      <w:outlineLvl w:val="8"/>
    </w:pPr>
    <w:rPr>
      <w:rFonts w:ascii="Arial" w:hAnsi="Arial"/>
      <w:szCs w:val="21"/>
    </w:rPr>
  </w:style>
  <w:style w:type="character" w:default="1" w:styleId="114">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2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spacing w:line="240" w:lineRule="auto"/>
      <w:ind w:left="100" w:leftChars="400" w:hanging="200" w:hangingChars="200"/>
    </w:pPr>
    <w:rPr>
      <w:szCs w:val="20"/>
    </w:rPr>
  </w:style>
  <w:style w:type="paragraph" w:styleId="13">
    <w:name w:val="toc 7"/>
    <w:basedOn w:val="1"/>
    <w:next w:val="1"/>
    <w:qFormat/>
    <w:uiPriority w:val="39"/>
    <w:pPr>
      <w:ind w:left="1260"/>
      <w:jc w:val="left"/>
    </w:pPr>
    <w:rPr>
      <w:rFonts w:ascii="Calibri" w:hAnsi="Calibri" w:cs="Calibri"/>
      <w:sz w:val="20"/>
      <w:szCs w:val="20"/>
    </w:rPr>
  </w:style>
  <w:style w:type="paragraph" w:styleId="14">
    <w:name w:val="List Number 2"/>
    <w:basedOn w:val="1"/>
    <w:qFormat/>
    <w:uiPriority w:val="0"/>
    <w:pPr>
      <w:tabs>
        <w:tab w:val="left" w:pos="780"/>
      </w:tabs>
      <w:spacing w:line="240" w:lineRule="auto"/>
      <w:ind w:left="780" w:hanging="420" w:hangingChars="200"/>
    </w:pPr>
    <w:rPr>
      <w:szCs w:val="20"/>
    </w:rPr>
  </w:style>
  <w:style w:type="paragraph" w:styleId="15">
    <w:name w:val="table of authorities"/>
    <w:basedOn w:val="1"/>
    <w:next w:val="1"/>
    <w:qFormat/>
    <w:uiPriority w:val="0"/>
    <w:pPr>
      <w:ind w:left="420" w:leftChars="200"/>
    </w:pPr>
  </w:style>
  <w:style w:type="paragraph" w:styleId="16">
    <w:name w:val="Note Heading"/>
    <w:basedOn w:val="1"/>
    <w:next w:val="1"/>
    <w:link w:val="135"/>
    <w:qFormat/>
    <w:uiPriority w:val="0"/>
    <w:pPr>
      <w:spacing w:line="240" w:lineRule="auto"/>
      <w:jc w:val="center"/>
    </w:pPr>
    <w:rPr>
      <w:kern w:val="0"/>
      <w:sz w:val="20"/>
      <w:szCs w:val="20"/>
    </w:rPr>
  </w:style>
  <w:style w:type="paragraph" w:styleId="17">
    <w:name w:val="List Bullet 4"/>
    <w:basedOn w:val="1"/>
    <w:qFormat/>
    <w:uiPriority w:val="0"/>
    <w:pPr>
      <w:tabs>
        <w:tab w:val="left" w:pos="1620"/>
      </w:tabs>
      <w:spacing w:line="240" w:lineRule="auto"/>
      <w:ind w:left="1620" w:leftChars="600" w:hanging="360" w:hangingChars="200"/>
    </w:pPr>
    <w:rPr>
      <w:szCs w:val="20"/>
    </w:rPr>
  </w:style>
  <w:style w:type="paragraph" w:styleId="18">
    <w:name w:val="index 8"/>
    <w:basedOn w:val="1"/>
    <w:next w:val="1"/>
    <w:qFormat/>
    <w:uiPriority w:val="0"/>
    <w:pPr>
      <w:ind w:left="1400" w:leftChars="1400"/>
    </w:pPr>
  </w:style>
  <w:style w:type="paragraph" w:styleId="19">
    <w:name w:val="E-mail Signature"/>
    <w:basedOn w:val="1"/>
    <w:link w:val="136"/>
    <w:qFormat/>
    <w:uiPriority w:val="0"/>
    <w:pPr>
      <w:spacing w:line="240" w:lineRule="auto"/>
    </w:pPr>
    <w:rPr>
      <w:kern w:val="0"/>
      <w:sz w:val="20"/>
      <w:szCs w:val="20"/>
    </w:rPr>
  </w:style>
  <w:style w:type="paragraph" w:styleId="20">
    <w:name w:val="List Number"/>
    <w:basedOn w:val="1"/>
    <w:qFormat/>
    <w:uiPriority w:val="0"/>
    <w:pPr>
      <w:tabs>
        <w:tab w:val="left" w:pos="360"/>
      </w:tabs>
      <w:spacing w:line="240" w:lineRule="auto"/>
      <w:ind w:left="360" w:hanging="360" w:hangingChars="200"/>
    </w:pPr>
    <w:rPr>
      <w:szCs w:val="20"/>
    </w:rPr>
  </w:style>
  <w:style w:type="paragraph" w:styleId="21">
    <w:name w:val="Normal Indent"/>
    <w:basedOn w:val="1"/>
    <w:link w:val="2402"/>
    <w:qFormat/>
    <w:uiPriority w:val="0"/>
    <w:pPr>
      <w:ind w:firstLine="420"/>
    </w:pPr>
    <w:rPr>
      <w:szCs w:val="20"/>
    </w:rPr>
  </w:style>
  <w:style w:type="paragraph" w:styleId="22">
    <w:name w:val="caption"/>
    <w:basedOn w:val="1"/>
    <w:next w:val="1"/>
    <w:link w:val="137"/>
    <w:qFormat/>
    <w:uiPriority w:val="0"/>
    <w:rPr>
      <w:rFonts w:ascii="Arial" w:hAnsi="Arial" w:eastAsia="黑体" w:cs="Arial"/>
      <w:sz w:val="20"/>
      <w:szCs w:val="20"/>
    </w:rPr>
  </w:style>
  <w:style w:type="paragraph" w:styleId="23">
    <w:name w:val="index 5"/>
    <w:basedOn w:val="1"/>
    <w:next w:val="1"/>
    <w:qFormat/>
    <w:uiPriority w:val="0"/>
    <w:pPr>
      <w:ind w:left="800" w:leftChars="800"/>
    </w:pPr>
  </w:style>
  <w:style w:type="paragraph" w:styleId="24">
    <w:name w:val="List Bullet"/>
    <w:basedOn w:val="1"/>
    <w:qFormat/>
    <w:uiPriority w:val="0"/>
    <w:pPr>
      <w:tabs>
        <w:tab w:val="left" w:pos="360"/>
      </w:tabs>
      <w:spacing w:line="240" w:lineRule="auto"/>
      <w:ind w:left="360" w:hanging="420" w:hangingChars="200"/>
    </w:pPr>
    <w:rPr>
      <w:szCs w:val="20"/>
    </w:rPr>
  </w:style>
  <w:style w:type="paragraph" w:styleId="25">
    <w:name w:val="envelope address"/>
    <w:basedOn w:val="1"/>
    <w:qFormat/>
    <w:uiPriority w:val="0"/>
    <w:pPr>
      <w:snapToGrid w:val="0"/>
      <w:spacing w:line="240" w:lineRule="auto"/>
      <w:ind w:left="100" w:leftChars="1400"/>
    </w:pPr>
    <w:rPr>
      <w:rFonts w:ascii="Arial" w:hAnsi="Arial" w:cs="Arial"/>
    </w:rPr>
  </w:style>
  <w:style w:type="paragraph" w:styleId="26">
    <w:name w:val="Document Map"/>
    <w:basedOn w:val="1"/>
    <w:link w:val="138"/>
    <w:qFormat/>
    <w:uiPriority w:val="0"/>
    <w:pPr>
      <w:shd w:val="clear" w:color="auto" w:fill="000080"/>
    </w:pPr>
  </w:style>
  <w:style w:type="paragraph" w:styleId="27">
    <w:name w:val="toa heading"/>
    <w:basedOn w:val="1"/>
    <w:next w:val="1"/>
    <w:qFormat/>
    <w:uiPriority w:val="0"/>
    <w:pPr>
      <w:spacing w:before="120"/>
    </w:pPr>
    <w:rPr>
      <w:rFonts w:ascii="Arial" w:hAnsi="Arial" w:cs="Arial"/>
    </w:rPr>
  </w:style>
  <w:style w:type="paragraph" w:styleId="28">
    <w:name w:val="annotation text"/>
    <w:basedOn w:val="1"/>
    <w:link w:val="139"/>
    <w:qFormat/>
    <w:uiPriority w:val="99"/>
    <w:pPr>
      <w:jc w:val="left"/>
    </w:pPr>
  </w:style>
  <w:style w:type="paragraph" w:styleId="29">
    <w:name w:val="index 6"/>
    <w:basedOn w:val="1"/>
    <w:next w:val="1"/>
    <w:qFormat/>
    <w:uiPriority w:val="0"/>
    <w:pPr>
      <w:ind w:left="1000" w:leftChars="1000"/>
    </w:pPr>
  </w:style>
  <w:style w:type="paragraph" w:styleId="30">
    <w:name w:val="Salutation"/>
    <w:basedOn w:val="1"/>
    <w:next w:val="1"/>
    <w:link w:val="140"/>
    <w:qFormat/>
    <w:uiPriority w:val="0"/>
    <w:pPr>
      <w:adjustRightInd w:val="0"/>
      <w:spacing w:before="120" w:line="293" w:lineRule="auto"/>
      <w:ind w:left="480" w:hanging="480"/>
      <w:textAlignment w:val="baseline"/>
    </w:pPr>
    <w:rPr>
      <w:rFonts w:ascii="宋体" w:hAnsi="Arial"/>
      <w:kern w:val="0"/>
      <w:szCs w:val="20"/>
    </w:rPr>
  </w:style>
  <w:style w:type="paragraph" w:styleId="31">
    <w:name w:val="Body Text 3"/>
    <w:basedOn w:val="1"/>
    <w:link w:val="141"/>
    <w:unhideWhenUsed/>
    <w:qFormat/>
    <w:uiPriority w:val="0"/>
    <w:pPr>
      <w:widowControl/>
      <w:spacing w:line="240" w:lineRule="exact"/>
      <w:jc w:val="center"/>
    </w:pPr>
    <w:rPr>
      <w:rFonts w:ascii="Plotter" w:hAnsi="Plotter"/>
      <w:bCs/>
      <w:color w:val="0000FF"/>
      <w:kern w:val="6"/>
      <w:sz w:val="18"/>
      <w:szCs w:val="21"/>
    </w:rPr>
  </w:style>
  <w:style w:type="paragraph" w:styleId="32">
    <w:name w:val="Closing"/>
    <w:basedOn w:val="1"/>
    <w:link w:val="142"/>
    <w:qFormat/>
    <w:uiPriority w:val="0"/>
    <w:pPr>
      <w:spacing w:line="240" w:lineRule="auto"/>
      <w:ind w:left="100" w:leftChars="2100"/>
    </w:pPr>
    <w:rPr>
      <w:kern w:val="0"/>
      <w:sz w:val="20"/>
      <w:szCs w:val="20"/>
    </w:rPr>
  </w:style>
  <w:style w:type="paragraph" w:styleId="33">
    <w:name w:val="List Bullet 3"/>
    <w:basedOn w:val="1"/>
    <w:qFormat/>
    <w:uiPriority w:val="0"/>
    <w:pPr>
      <w:tabs>
        <w:tab w:val="left" w:pos="1200"/>
      </w:tabs>
      <w:spacing w:line="240" w:lineRule="auto"/>
      <w:ind w:left="1200" w:leftChars="400" w:hanging="360" w:hangingChars="200"/>
    </w:pPr>
    <w:rPr>
      <w:szCs w:val="20"/>
    </w:rPr>
  </w:style>
  <w:style w:type="paragraph" w:styleId="34">
    <w:name w:val="Body Text"/>
    <w:basedOn w:val="1"/>
    <w:link w:val="143"/>
    <w:qFormat/>
    <w:uiPriority w:val="0"/>
    <w:pPr>
      <w:spacing w:after="120" w:line="240" w:lineRule="auto"/>
    </w:pPr>
  </w:style>
  <w:style w:type="paragraph" w:styleId="35">
    <w:name w:val="Body Text Indent"/>
    <w:basedOn w:val="1"/>
    <w:link w:val="144"/>
    <w:qFormat/>
    <w:uiPriority w:val="0"/>
    <w:pPr>
      <w:spacing w:after="120"/>
      <w:ind w:left="420" w:leftChars="200"/>
    </w:pPr>
  </w:style>
  <w:style w:type="paragraph" w:styleId="36">
    <w:name w:val="List Number 3"/>
    <w:basedOn w:val="1"/>
    <w:qFormat/>
    <w:uiPriority w:val="0"/>
    <w:pPr>
      <w:tabs>
        <w:tab w:val="left" w:pos="1200"/>
      </w:tabs>
      <w:spacing w:line="240" w:lineRule="auto"/>
      <w:ind w:left="1200" w:leftChars="400" w:hanging="360" w:hangingChars="200"/>
    </w:pPr>
    <w:rPr>
      <w:szCs w:val="20"/>
    </w:rPr>
  </w:style>
  <w:style w:type="paragraph" w:styleId="37">
    <w:name w:val="List 2"/>
    <w:basedOn w:val="1"/>
    <w:unhideWhenUsed/>
    <w:qFormat/>
    <w:uiPriority w:val="0"/>
    <w:pPr>
      <w:spacing w:line="360" w:lineRule="auto"/>
      <w:ind w:left="100" w:leftChars="200" w:hanging="200" w:hangingChars="200"/>
    </w:pPr>
  </w:style>
  <w:style w:type="paragraph" w:styleId="38">
    <w:name w:val="List Continue"/>
    <w:basedOn w:val="1"/>
    <w:qFormat/>
    <w:uiPriority w:val="0"/>
    <w:pPr>
      <w:spacing w:after="120" w:line="240" w:lineRule="auto"/>
      <w:ind w:left="420" w:leftChars="200"/>
    </w:pPr>
    <w:rPr>
      <w:szCs w:val="20"/>
    </w:rPr>
  </w:style>
  <w:style w:type="paragraph" w:styleId="39">
    <w:name w:val="Block Text"/>
    <w:basedOn w:val="1"/>
    <w:unhideWhenUsed/>
    <w:qFormat/>
    <w:uiPriority w:val="0"/>
    <w:pPr>
      <w:spacing w:line="360" w:lineRule="auto"/>
      <w:ind w:left="105" w:leftChars="50" w:right="105" w:rightChars="50"/>
    </w:pPr>
    <w:rPr>
      <w:szCs w:val="21"/>
    </w:rPr>
  </w:style>
  <w:style w:type="paragraph" w:styleId="40">
    <w:name w:val="List Bullet 2"/>
    <w:basedOn w:val="1"/>
    <w:qFormat/>
    <w:uiPriority w:val="0"/>
    <w:pPr>
      <w:tabs>
        <w:tab w:val="left" w:pos="360"/>
      </w:tabs>
      <w:adjustRightInd w:val="0"/>
      <w:spacing w:line="520" w:lineRule="exact"/>
      <w:ind w:firstLine="480" w:firstLineChars="200"/>
      <w:textAlignment w:val="baseline"/>
    </w:pPr>
    <w:rPr>
      <w:kern w:val="0"/>
    </w:rPr>
  </w:style>
  <w:style w:type="paragraph" w:styleId="41">
    <w:name w:val="HTML Address"/>
    <w:basedOn w:val="1"/>
    <w:link w:val="145"/>
    <w:qFormat/>
    <w:uiPriority w:val="0"/>
    <w:pPr>
      <w:spacing w:line="240" w:lineRule="auto"/>
    </w:pPr>
    <w:rPr>
      <w:i/>
      <w:iCs/>
      <w:kern w:val="0"/>
      <w:sz w:val="20"/>
      <w:szCs w:val="20"/>
    </w:rPr>
  </w:style>
  <w:style w:type="paragraph" w:styleId="42">
    <w:name w:val="index 4"/>
    <w:basedOn w:val="1"/>
    <w:next w:val="1"/>
    <w:qFormat/>
    <w:uiPriority w:val="0"/>
    <w:pPr>
      <w:ind w:left="600" w:leftChars="600"/>
    </w:pPr>
  </w:style>
  <w:style w:type="paragraph" w:styleId="43">
    <w:name w:val="toc 5"/>
    <w:basedOn w:val="1"/>
    <w:next w:val="1"/>
    <w:qFormat/>
    <w:uiPriority w:val="39"/>
    <w:pPr>
      <w:ind w:left="840"/>
      <w:jc w:val="left"/>
    </w:pPr>
    <w:rPr>
      <w:rFonts w:ascii="Calibri" w:hAnsi="Calibri" w:cs="Calibri"/>
      <w:sz w:val="20"/>
      <w:szCs w:val="20"/>
    </w:rPr>
  </w:style>
  <w:style w:type="paragraph" w:styleId="44">
    <w:name w:val="toc 3"/>
    <w:basedOn w:val="1"/>
    <w:next w:val="1"/>
    <w:qFormat/>
    <w:uiPriority w:val="39"/>
    <w:pPr>
      <w:ind w:left="420"/>
      <w:jc w:val="left"/>
    </w:pPr>
    <w:rPr>
      <w:rFonts w:ascii="Calibri" w:hAnsi="Calibri" w:cs="Calibri"/>
      <w:sz w:val="20"/>
      <w:szCs w:val="20"/>
    </w:rPr>
  </w:style>
  <w:style w:type="paragraph" w:styleId="45">
    <w:name w:val="Plain Text"/>
    <w:basedOn w:val="1"/>
    <w:link w:val="146"/>
    <w:qFormat/>
    <w:uiPriority w:val="0"/>
    <w:pPr>
      <w:spacing w:line="240" w:lineRule="auto"/>
    </w:pPr>
    <w:rPr>
      <w:rFonts w:ascii="宋体" w:hAnsi="Courier New"/>
      <w:szCs w:val="20"/>
    </w:rPr>
  </w:style>
  <w:style w:type="paragraph" w:styleId="46">
    <w:name w:val="List Bullet 5"/>
    <w:basedOn w:val="1"/>
    <w:qFormat/>
    <w:uiPriority w:val="0"/>
    <w:pPr>
      <w:tabs>
        <w:tab w:val="left" w:pos="2040"/>
      </w:tabs>
      <w:spacing w:line="240" w:lineRule="auto"/>
      <w:ind w:left="2040" w:leftChars="800" w:hanging="360" w:hangingChars="200"/>
    </w:pPr>
    <w:rPr>
      <w:szCs w:val="20"/>
    </w:rPr>
  </w:style>
  <w:style w:type="paragraph" w:styleId="47">
    <w:name w:val="List Number 4"/>
    <w:basedOn w:val="1"/>
    <w:qFormat/>
    <w:uiPriority w:val="0"/>
    <w:pPr>
      <w:tabs>
        <w:tab w:val="left" w:pos="1620"/>
      </w:tabs>
      <w:spacing w:line="240" w:lineRule="auto"/>
      <w:ind w:left="619" w:hanging="619"/>
    </w:pPr>
    <w:rPr>
      <w:szCs w:val="20"/>
    </w:rPr>
  </w:style>
  <w:style w:type="paragraph" w:styleId="48">
    <w:name w:val="toc 8"/>
    <w:basedOn w:val="1"/>
    <w:next w:val="1"/>
    <w:qFormat/>
    <w:uiPriority w:val="39"/>
    <w:pPr>
      <w:ind w:left="1470"/>
      <w:jc w:val="left"/>
    </w:pPr>
    <w:rPr>
      <w:rFonts w:ascii="Calibri" w:hAnsi="Calibri" w:cs="Calibri"/>
      <w:sz w:val="20"/>
      <w:szCs w:val="20"/>
    </w:rPr>
  </w:style>
  <w:style w:type="paragraph" w:styleId="49">
    <w:name w:val="index 3"/>
    <w:basedOn w:val="1"/>
    <w:next w:val="1"/>
    <w:qFormat/>
    <w:uiPriority w:val="0"/>
    <w:pPr>
      <w:ind w:left="400" w:leftChars="400"/>
    </w:pPr>
  </w:style>
  <w:style w:type="paragraph" w:styleId="50">
    <w:name w:val="Date"/>
    <w:basedOn w:val="1"/>
    <w:next w:val="1"/>
    <w:link w:val="147"/>
    <w:qFormat/>
    <w:uiPriority w:val="0"/>
    <w:pPr>
      <w:adjustRightInd w:val="0"/>
      <w:spacing w:line="360" w:lineRule="atLeast"/>
      <w:textAlignment w:val="baseline"/>
    </w:pPr>
    <w:rPr>
      <w:rFonts w:ascii="宋体"/>
      <w:kern w:val="0"/>
      <w:sz w:val="28"/>
      <w:szCs w:val="20"/>
    </w:rPr>
  </w:style>
  <w:style w:type="paragraph" w:styleId="51">
    <w:name w:val="Body Text Indent 2"/>
    <w:basedOn w:val="1"/>
    <w:link w:val="148"/>
    <w:qFormat/>
    <w:uiPriority w:val="0"/>
    <w:pPr>
      <w:spacing w:after="120" w:line="480" w:lineRule="auto"/>
      <w:ind w:left="420"/>
    </w:pPr>
    <w:rPr>
      <w:szCs w:val="20"/>
    </w:rPr>
  </w:style>
  <w:style w:type="paragraph" w:styleId="52">
    <w:name w:val="endnote text"/>
    <w:basedOn w:val="1"/>
    <w:link w:val="149"/>
    <w:qFormat/>
    <w:uiPriority w:val="0"/>
    <w:pPr>
      <w:snapToGrid w:val="0"/>
      <w:jc w:val="left"/>
    </w:pPr>
  </w:style>
  <w:style w:type="paragraph" w:styleId="53">
    <w:name w:val="List Continue 5"/>
    <w:basedOn w:val="1"/>
    <w:qFormat/>
    <w:uiPriority w:val="0"/>
    <w:pPr>
      <w:spacing w:after="120" w:line="240" w:lineRule="auto"/>
      <w:ind w:left="2100" w:leftChars="1000"/>
    </w:pPr>
    <w:rPr>
      <w:szCs w:val="20"/>
    </w:rPr>
  </w:style>
  <w:style w:type="paragraph" w:styleId="54">
    <w:name w:val="Balloon Text"/>
    <w:basedOn w:val="1"/>
    <w:link w:val="150"/>
    <w:qFormat/>
    <w:uiPriority w:val="99"/>
    <w:rPr>
      <w:sz w:val="15"/>
      <w:szCs w:val="18"/>
    </w:rPr>
  </w:style>
  <w:style w:type="paragraph" w:styleId="55">
    <w:name w:val="footer"/>
    <w:basedOn w:val="1"/>
    <w:link w:val="151"/>
    <w:qFormat/>
    <w:uiPriority w:val="99"/>
    <w:pPr>
      <w:pBdr>
        <w:top w:val="thickThinSmallGap" w:color="auto" w:sz="24" w:space="1"/>
      </w:pBdr>
      <w:tabs>
        <w:tab w:val="center" w:pos="4153"/>
        <w:tab w:val="right" w:pos="8306"/>
      </w:tabs>
      <w:snapToGrid w:val="0"/>
      <w:spacing w:line="240" w:lineRule="auto"/>
      <w:jc w:val="left"/>
    </w:pPr>
    <w:rPr>
      <w:sz w:val="18"/>
      <w:szCs w:val="18"/>
    </w:rPr>
  </w:style>
  <w:style w:type="paragraph" w:styleId="56">
    <w:name w:val="envelope return"/>
    <w:basedOn w:val="1"/>
    <w:qFormat/>
    <w:uiPriority w:val="0"/>
    <w:pPr>
      <w:snapToGrid w:val="0"/>
      <w:spacing w:line="240" w:lineRule="auto"/>
    </w:pPr>
    <w:rPr>
      <w:rFonts w:ascii="Arial" w:hAnsi="Arial" w:cs="Arial"/>
      <w:szCs w:val="20"/>
    </w:rPr>
  </w:style>
  <w:style w:type="paragraph" w:styleId="57">
    <w:name w:val="header"/>
    <w:basedOn w:val="1"/>
    <w:link w:val="152"/>
    <w:qFormat/>
    <w:uiPriority w:val="99"/>
    <w:pPr>
      <w:pBdr>
        <w:bottom w:val="thinThickSmallGap" w:color="auto" w:sz="24" w:space="1"/>
      </w:pBdr>
      <w:tabs>
        <w:tab w:val="center" w:pos="4153"/>
        <w:tab w:val="right" w:pos="8306"/>
      </w:tabs>
      <w:snapToGrid w:val="0"/>
      <w:spacing w:line="240" w:lineRule="auto"/>
    </w:pPr>
    <w:rPr>
      <w:sz w:val="18"/>
      <w:szCs w:val="18"/>
    </w:rPr>
  </w:style>
  <w:style w:type="paragraph" w:styleId="58">
    <w:name w:val="Signature"/>
    <w:basedOn w:val="1"/>
    <w:link w:val="153"/>
    <w:unhideWhenUsed/>
    <w:qFormat/>
    <w:uiPriority w:val="0"/>
    <w:pPr>
      <w:widowControl/>
      <w:spacing w:line="240" w:lineRule="auto"/>
      <w:ind w:left="100" w:leftChars="2100"/>
      <w:jc w:val="left"/>
    </w:pPr>
    <w:rPr>
      <w:kern w:val="0"/>
    </w:rPr>
  </w:style>
  <w:style w:type="paragraph" w:styleId="59">
    <w:name w:val="toc 1"/>
    <w:basedOn w:val="1"/>
    <w:next w:val="1"/>
    <w:qFormat/>
    <w:uiPriority w:val="39"/>
    <w:pPr>
      <w:spacing w:before="120"/>
      <w:jc w:val="left"/>
    </w:pPr>
    <w:rPr>
      <w:rFonts w:ascii="Calibri" w:hAnsi="Calibri" w:cs="Calibri"/>
      <w:b/>
      <w:bCs/>
      <w:i/>
      <w:iCs/>
    </w:rPr>
  </w:style>
  <w:style w:type="paragraph" w:styleId="60">
    <w:name w:val="List Continue 4"/>
    <w:basedOn w:val="1"/>
    <w:qFormat/>
    <w:uiPriority w:val="0"/>
    <w:pPr>
      <w:spacing w:after="120" w:line="240" w:lineRule="auto"/>
      <w:ind w:left="1680" w:leftChars="800"/>
    </w:pPr>
    <w:rPr>
      <w:szCs w:val="20"/>
    </w:rPr>
  </w:style>
  <w:style w:type="paragraph" w:styleId="61">
    <w:name w:val="toc 4"/>
    <w:basedOn w:val="1"/>
    <w:next w:val="1"/>
    <w:qFormat/>
    <w:uiPriority w:val="39"/>
    <w:pPr>
      <w:ind w:left="630"/>
      <w:jc w:val="left"/>
    </w:pPr>
    <w:rPr>
      <w:rFonts w:ascii="Calibri" w:hAnsi="Calibri" w:cs="Calibri"/>
      <w:sz w:val="20"/>
      <w:szCs w:val="20"/>
    </w:rPr>
  </w:style>
  <w:style w:type="paragraph" w:styleId="62">
    <w:name w:val="index heading"/>
    <w:basedOn w:val="1"/>
    <w:next w:val="63"/>
    <w:qFormat/>
    <w:uiPriority w:val="0"/>
    <w:rPr>
      <w:rFonts w:ascii="Arial" w:hAnsi="Arial" w:cs="Arial"/>
      <w:b/>
      <w:bCs/>
    </w:rPr>
  </w:style>
  <w:style w:type="paragraph" w:styleId="63">
    <w:name w:val="index 1"/>
    <w:basedOn w:val="1"/>
    <w:next w:val="1"/>
    <w:qFormat/>
    <w:uiPriority w:val="0"/>
  </w:style>
  <w:style w:type="paragraph" w:styleId="64">
    <w:name w:val="Subtitle"/>
    <w:basedOn w:val="1"/>
    <w:link w:val="154"/>
    <w:qFormat/>
    <w:uiPriority w:val="0"/>
    <w:pPr>
      <w:spacing w:before="240" w:after="60" w:line="312" w:lineRule="auto"/>
      <w:jc w:val="center"/>
      <w:outlineLvl w:val="1"/>
    </w:pPr>
    <w:rPr>
      <w:rFonts w:ascii="Arial" w:hAnsi="Arial"/>
      <w:b/>
      <w:bCs/>
      <w:kern w:val="28"/>
      <w:sz w:val="32"/>
      <w:szCs w:val="32"/>
    </w:rPr>
  </w:style>
  <w:style w:type="paragraph" w:styleId="65">
    <w:name w:val="List Number 5"/>
    <w:basedOn w:val="1"/>
    <w:qFormat/>
    <w:uiPriority w:val="0"/>
    <w:pPr>
      <w:tabs>
        <w:tab w:val="left" w:pos="2040"/>
      </w:tabs>
      <w:spacing w:line="240" w:lineRule="auto"/>
      <w:ind w:left="2040" w:leftChars="800" w:hanging="360" w:hangingChars="200"/>
    </w:pPr>
    <w:rPr>
      <w:szCs w:val="20"/>
    </w:rPr>
  </w:style>
  <w:style w:type="paragraph" w:styleId="66">
    <w:name w:val="List"/>
    <w:qFormat/>
    <w:uiPriority w:val="0"/>
    <w:pPr>
      <w:numPr>
        <w:ilvl w:val="0"/>
        <w:numId w:val="2"/>
      </w:numPr>
      <w:spacing w:line="420" w:lineRule="exact"/>
      <w:ind w:left="1000" w:leftChars="800" w:hanging="200" w:hangingChars="200"/>
    </w:pPr>
    <w:rPr>
      <w:rFonts w:ascii="Times New Roman" w:hAnsi="Times New Roman" w:eastAsia="楷体_GB2312" w:cs="Times New Roman"/>
      <w:kern w:val="2"/>
      <w:sz w:val="21"/>
      <w:szCs w:val="24"/>
      <w:lang w:val="en-US" w:eastAsia="zh-CN" w:bidi="ar-SA"/>
    </w:rPr>
  </w:style>
  <w:style w:type="paragraph" w:styleId="67">
    <w:name w:val="footnote text"/>
    <w:basedOn w:val="1"/>
    <w:link w:val="155"/>
    <w:qFormat/>
    <w:uiPriority w:val="0"/>
    <w:pPr>
      <w:snapToGrid w:val="0"/>
      <w:jc w:val="left"/>
    </w:pPr>
    <w:rPr>
      <w:sz w:val="18"/>
      <w:szCs w:val="18"/>
    </w:rPr>
  </w:style>
  <w:style w:type="paragraph" w:styleId="68">
    <w:name w:val="toc 6"/>
    <w:basedOn w:val="1"/>
    <w:next w:val="1"/>
    <w:qFormat/>
    <w:uiPriority w:val="39"/>
    <w:pPr>
      <w:ind w:left="1050"/>
      <w:jc w:val="left"/>
    </w:pPr>
    <w:rPr>
      <w:rFonts w:ascii="Calibri" w:hAnsi="Calibri" w:cs="Calibri"/>
      <w:sz w:val="20"/>
      <w:szCs w:val="20"/>
    </w:rPr>
  </w:style>
  <w:style w:type="paragraph" w:styleId="69">
    <w:name w:val="List 5"/>
    <w:basedOn w:val="1"/>
    <w:qFormat/>
    <w:uiPriority w:val="0"/>
    <w:pPr>
      <w:spacing w:line="240" w:lineRule="auto"/>
      <w:ind w:left="100" w:leftChars="800" w:hanging="200" w:hangingChars="200"/>
    </w:pPr>
    <w:rPr>
      <w:szCs w:val="20"/>
    </w:rPr>
  </w:style>
  <w:style w:type="paragraph" w:styleId="70">
    <w:name w:val="Body Text Indent 3"/>
    <w:basedOn w:val="1"/>
    <w:link w:val="156"/>
    <w:qFormat/>
    <w:uiPriority w:val="0"/>
    <w:pPr>
      <w:topLinePunct/>
      <w:spacing w:after="120" w:line="360" w:lineRule="auto"/>
      <w:ind w:left="420" w:firstLine="420" w:firstLineChars="200"/>
    </w:pPr>
    <w:rPr>
      <w:sz w:val="16"/>
      <w:szCs w:val="20"/>
    </w:rPr>
  </w:style>
  <w:style w:type="paragraph" w:styleId="71">
    <w:name w:val="index 7"/>
    <w:basedOn w:val="1"/>
    <w:next w:val="1"/>
    <w:qFormat/>
    <w:uiPriority w:val="0"/>
    <w:pPr>
      <w:ind w:left="1200" w:leftChars="1200"/>
    </w:pPr>
  </w:style>
  <w:style w:type="paragraph" w:styleId="72">
    <w:name w:val="index 9"/>
    <w:basedOn w:val="1"/>
    <w:next w:val="1"/>
    <w:qFormat/>
    <w:uiPriority w:val="0"/>
    <w:pPr>
      <w:ind w:left="1600" w:leftChars="1600"/>
    </w:pPr>
  </w:style>
  <w:style w:type="paragraph" w:styleId="73">
    <w:name w:val="table of figures"/>
    <w:basedOn w:val="1"/>
    <w:next w:val="1"/>
    <w:qFormat/>
    <w:uiPriority w:val="0"/>
    <w:pPr>
      <w:ind w:left="200" w:leftChars="200" w:hanging="200" w:hangingChars="200"/>
    </w:pPr>
  </w:style>
  <w:style w:type="paragraph" w:styleId="74">
    <w:name w:val="toc 2"/>
    <w:basedOn w:val="1"/>
    <w:next w:val="1"/>
    <w:qFormat/>
    <w:uiPriority w:val="39"/>
    <w:pPr>
      <w:spacing w:before="120"/>
      <w:ind w:left="210"/>
      <w:jc w:val="left"/>
    </w:pPr>
    <w:rPr>
      <w:rFonts w:ascii="Calibri" w:hAnsi="Calibri" w:cs="Calibri"/>
      <w:bCs/>
      <w:szCs w:val="22"/>
    </w:rPr>
  </w:style>
  <w:style w:type="paragraph" w:styleId="75">
    <w:name w:val="toc 9"/>
    <w:basedOn w:val="1"/>
    <w:next w:val="1"/>
    <w:qFormat/>
    <w:uiPriority w:val="39"/>
    <w:pPr>
      <w:ind w:left="1680"/>
      <w:jc w:val="left"/>
    </w:pPr>
    <w:rPr>
      <w:rFonts w:ascii="Calibri" w:hAnsi="Calibri" w:cs="Calibri"/>
      <w:sz w:val="20"/>
      <w:szCs w:val="20"/>
    </w:rPr>
  </w:style>
  <w:style w:type="paragraph" w:styleId="76">
    <w:name w:val="Body Text 2"/>
    <w:basedOn w:val="1"/>
    <w:link w:val="157"/>
    <w:qFormat/>
    <w:uiPriority w:val="0"/>
    <w:pPr>
      <w:spacing w:after="120" w:line="480" w:lineRule="auto"/>
    </w:pPr>
    <w:rPr>
      <w:szCs w:val="20"/>
    </w:rPr>
  </w:style>
  <w:style w:type="paragraph" w:styleId="77">
    <w:name w:val="List 4"/>
    <w:basedOn w:val="1"/>
    <w:qFormat/>
    <w:uiPriority w:val="0"/>
    <w:pPr>
      <w:spacing w:line="240" w:lineRule="auto"/>
      <w:ind w:left="100" w:leftChars="600" w:hanging="200" w:hangingChars="200"/>
    </w:pPr>
    <w:rPr>
      <w:szCs w:val="20"/>
    </w:rPr>
  </w:style>
  <w:style w:type="paragraph" w:styleId="78">
    <w:name w:val="List Continue 2"/>
    <w:basedOn w:val="1"/>
    <w:qFormat/>
    <w:uiPriority w:val="0"/>
    <w:pPr>
      <w:spacing w:after="120" w:line="240" w:lineRule="auto"/>
      <w:ind w:left="840" w:leftChars="400"/>
    </w:pPr>
    <w:rPr>
      <w:szCs w:val="20"/>
    </w:rPr>
  </w:style>
  <w:style w:type="paragraph" w:styleId="79">
    <w:name w:val="Message Header"/>
    <w:basedOn w:val="1"/>
    <w:link w:val="158"/>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rPr>
  </w:style>
  <w:style w:type="paragraph" w:styleId="80">
    <w:name w:val="HTML Preformatted"/>
    <w:basedOn w:val="1"/>
    <w:link w:val="159"/>
    <w:qFormat/>
    <w:uiPriority w:val="0"/>
    <w:pPr>
      <w:spacing w:line="240" w:lineRule="auto"/>
    </w:pPr>
    <w:rPr>
      <w:rFonts w:ascii="Courier New" w:hAnsi="Courier New"/>
      <w:kern w:val="0"/>
      <w:sz w:val="20"/>
      <w:szCs w:val="20"/>
    </w:rPr>
  </w:style>
  <w:style w:type="paragraph" w:styleId="81">
    <w:name w:val="Normal (Web)"/>
    <w:basedOn w:val="1"/>
    <w:unhideWhenUsed/>
    <w:qFormat/>
    <w:uiPriority w:val="99"/>
    <w:pPr>
      <w:widowControl/>
      <w:spacing w:before="100" w:beforeAutospacing="1" w:after="100" w:afterAutospacing="1" w:line="240" w:lineRule="auto"/>
      <w:jc w:val="left"/>
    </w:pPr>
    <w:rPr>
      <w:rFonts w:ascii="宋体" w:hAnsi="宋体" w:cs="宋体"/>
      <w:kern w:val="0"/>
    </w:rPr>
  </w:style>
  <w:style w:type="paragraph" w:styleId="82">
    <w:name w:val="List Continue 3"/>
    <w:basedOn w:val="1"/>
    <w:qFormat/>
    <w:uiPriority w:val="0"/>
    <w:pPr>
      <w:spacing w:after="120" w:line="240" w:lineRule="auto"/>
      <w:ind w:left="1260" w:leftChars="600"/>
    </w:pPr>
    <w:rPr>
      <w:szCs w:val="20"/>
    </w:rPr>
  </w:style>
  <w:style w:type="paragraph" w:styleId="83">
    <w:name w:val="index 2"/>
    <w:basedOn w:val="1"/>
    <w:next w:val="1"/>
    <w:qFormat/>
    <w:uiPriority w:val="0"/>
    <w:pPr>
      <w:ind w:left="200" w:leftChars="200"/>
    </w:pPr>
  </w:style>
  <w:style w:type="paragraph" w:styleId="84">
    <w:name w:val="Title"/>
    <w:basedOn w:val="1"/>
    <w:next w:val="1"/>
    <w:link w:val="160"/>
    <w:qFormat/>
    <w:uiPriority w:val="9"/>
    <w:pPr>
      <w:numPr>
        <w:ilvl w:val="0"/>
        <w:numId w:val="3"/>
      </w:numPr>
      <w:spacing w:before="240" w:after="60"/>
      <w:jc w:val="center"/>
      <w:outlineLvl w:val="0"/>
    </w:pPr>
    <w:rPr>
      <w:rFonts w:ascii="Cambria" w:hAnsi="Cambria" w:eastAsia="黑体"/>
      <w:bCs/>
      <w:sz w:val="36"/>
      <w:szCs w:val="32"/>
    </w:rPr>
  </w:style>
  <w:style w:type="paragraph" w:styleId="85">
    <w:name w:val="annotation subject"/>
    <w:basedOn w:val="28"/>
    <w:next w:val="28"/>
    <w:link w:val="161"/>
    <w:qFormat/>
    <w:uiPriority w:val="0"/>
    <w:rPr>
      <w:b/>
      <w:bCs/>
    </w:rPr>
  </w:style>
  <w:style w:type="paragraph" w:styleId="86">
    <w:name w:val="Body Text First Indent"/>
    <w:basedOn w:val="34"/>
    <w:link w:val="162"/>
    <w:unhideWhenUsed/>
    <w:qFormat/>
    <w:uiPriority w:val="0"/>
    <w:pPr>
      <w:spacing w:after="0" w:line="320" w:lineRule="exact"/>
      <w:ind w:firstLine="200" w:firstLineChars="200"/>
    </w:pPr>
    <w:rPr>
      <w:color w:val="8DB3E2"/>
    </w:rPr>
  </w:style>
  <w:style w:type="paragraph" w:styleId="87">
    <w:name w:val="Body Text First Indent 2"/>
    <w:basedOn w:val="35"/>
    <w:link w:val="163"/>
    <w:qFormat/>
    <w:uiPriority w:val="0"/>
    <w:pPr>
      <w:overflowPunct w:val="0"/>
      <w:spacing w:line="240" w:lineRule="auto"/>
      <w:ind w:left="0" w:leftChars="0" w:firstLine="210"/>
    </w:pPr>
    <w:rPr>
      <w:sz w:val="28"/>
    </w:rPr>
  </w:style>
  <w:style w:type="table" w:styleId="89">
    <w:name w:val="Table Grid"/>
    <w:basedOn w:val="88"/>
    <w:qFormat/>
    <w:uiPriority w:val="39"/>
    <w:pPr>
      <w:widowControl w:val="0"/>
      <w:jc w:val="center"/>
    </w:pPr>
    <w:rPr>
      <w:sz w:val="24"/>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table" w:styleId="90">
    <w:name w:val="Table Theme"/>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2">
    <w:name w:val="Table Colorful 3"/>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shd w:val="solid" w:color="000000" w:fill="FFFFFF"/>
      </w:tcPr>
    </w:tblStylePr>
  </w:style>
  <w:style w:type="table" w:styleId="93">
    <w:name w:val="Table Elegant"/>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styleId="94">
    <w:name w:val="Table Classic 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5">
    <w:name w:val="Table Classic 2"/>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6">
    <w:name w:val="Table Classic 4"/>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Simple 1"/>
    <w:basedOn w:val="88"/>
    <w:qFormat/>
    <w:uiPriority w:val="0"/>
    <w:pPr>
      <w:widowControl w:val="0"/>
      <w:jc w:val="both"/>
    </w:pPr>
    <w:tblPr>
      <w:tblBorders>
        <w:top w:val="single" w:color="008000" w:sz="12" w:space="0"/>
        <w:bottom w:val="single" w:color="008000" w:sz="12" w:space="0"/>
      </w:tblBorders>
    </w:tbl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8">
    <w:name w:val="Table Simple 2"/>
    <w:basedOn w:val="88"/>
    <w:qFormat/>
    <w:uiPriority w:val="0"/>
    <w:pPr>
      <w:widowControl w:val="0"/>
      <w:spacing w:line="480" w:lineRule="exact"/>
      <w:ind w:firstLine="200" w:firstLineChars="200"/>
      <w:jc w:val="both"/>
    </w:p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9">
    <w:name w:val="Table Simple 3"/>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0">
    <w:name w:val="Table Subtle 1"/>
    <w:basedOn w:val="88"/>
    <w:qFormat/>
    <w:uiPriority w:val="0"/>
    <w:pPr>
      <w:widowControl w:val="0"/>
      <w:snapToGrid w:val="0"/>
      <w:spacing w:line="360" w:lineRule="auto"/>
      <w:ind w:firstLine="200" w:firstLineChars="200"/>
      <w:jc w:val="both"/>
    </w:pPr>
    <w:tblPr>
      <w:tblStyleRowBandSize w:val="1"/>
    </w:tblPr>
    <w:tblStylePr w:type="firstRow">
      <w:rPr>
        <w:rFonts w:cs="Times New Roman"/>
      </w:rPr>
      <w:tbl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blPr/>
      <w:tcPr>
        <w:tcBorders>
          <w:top w:val="nil"/>
          <w:left w:val="nil"/>
          <w:bottom w:val="nil"/>
          <w:right w:val="single" w:color="000000" w:sz="12" w:space="0"/>
          <w:insideH w:val="nil"/>
          <w:insideV w:val="nil"/>
          <w:tl2br w:val="nil"/>
          <w:tr2bl w:val="nil"/>
        </w:tcBorders>
      </w:tcPr>
    </w:tblStylePr>
    <w:tblStylePr w:type="lastCol">
      <w:rPr>
        <w:rFonts w:cs="Times New Roman"/>
      </w:rPr>
      <w:tblPr/>
      <w:tcPr>
        <w:tcBorders>
          <w:top w:val="nil"/>
          <w:left w:val="single" w:color="000000" w:sz="12" w:space="0"/>
          <w:bottom w:val="nil"/>
          <w:right w:val="nil"/>
          <w:insideH w:val="nil"/>
          <w:insideV w:val="nil"/>
          <w:tl2br w:val="nil"/>
          <w:tr2bl w:val="nil"/>
        </w:tcBorders>
      </w:tcPr>
    </w:tblStylePr>
    <w:tblStylePr w:type="band1Horz">
      <w:rPr>
        <w:rFonts w:cs="Times New Roman"/>
      </w:rPr>
      <w:tbl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101">
    <w:name w:val="Table Subtle 2"/>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List 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List 3"/>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4">
    <w:name w:val="Table List 5"/>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5">
    <w:name w:val="Table List 6"/>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6">
    <w:name w:val="Table Grid 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7">
    <w:name w:val="Table Grid 2"/>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08">
    <w:name w:val="Table Grid 3"/>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9">
    <w:name w:val="Table Grid 8"/>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10">
    <w:name w:val="Table Web 1"/>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11">
    <w:name w:val="Table Web 2"/>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12">
    <w:name w:val="Table Web 3"/>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13">
    <w:name w:val="Table Professional"/>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shd w:val="solid" w:color="000000" w:fill="FFFFFF"/>
      </w:tcPr>
    </w:tblStylePr>
  </w:style>
  <w:style w:type="character" w:styleId="115">
    <w:name w:val="Strong"/>
    <w:qFormat/>
    <w:uiPriority w:val="0"/>
    <w:rPr>
      <w:b/>
      <w:bCs/>
    </w:rPr>
  </w:style>
  <w:style w:type="character" w:styleId="116">
    <w:name w:val="endnote reference"/>
    <w:qFormat/>
    <w:uiPriority w:val="0"/>
    <w:rPr>
      <w:vertAlign w:val="superscript"/>
    </w:rPr>
  </w:style>
  <w:style w:type="character" w:styleId="117">
    <w:name w:val="page number"/>
    <w:qFormat/>
    <w:uiPriority w:val="0"/>
  </w:style>
  <w:style w:type="character" w:styleId="118">
    <w:name w:val="FollowedHyperlink"/>
    <w:qFormat/>
    <w:uiPriority w:val="99"/>
    <w:rPr>
      <w:color w:val="800080"/>
      <w:u w:val="single"/>
    </w:rPr>
  </w:style>
  <w:style w:type="character" w:styleId="119">
    <w:name w:val="Emphasis"/>
    <w:qFormat/>
    <w:uiPriority w:val="0"/>
    <w:rPr>
      <w:color w:val="CC0000"/>
    </w:rPr>
  </w:style>
  <w:style w:type="character" w:styleId="120">
    <w:name w:val="line number"/>
    <w:qFormat/>
    <w:uiPriority w:val="0"/>
  </w:style>
  <w:style w:type="character" w:styleId="121">
    <w:name w:val="HTML Typewriter"/>
    <w:qFormat/>
    <w:uiPriority w:val="0"/>
    <w:rPr>
      <w:rFonts w:ascii="宋体" w:hAnsi="宋体" w:eastAsia="宋体" w:cs="宋体"/>
      <w:sz w:val="24"/>
      <w:szCs w:val="24"/>
    </w:rPr>
  </w:style>
  <w:style w:type="character" w:styleId="122">
    <w:name w:val="Hyperlink"/>
    <w:qFormat/>
    <w:uiPriority w:val="99"/>
    <w:rPr>
      <w:color w:val="0000FF"/>
      <w:u w:val="single"/>
    </w:rPr>
  </w:style>
  <w:style w:type="character" w:styleId="123">
    <w:name w:val="HTML Code"/>
    <w:qFormat/>
    <w:uiPriority w:val="0"/>
    <w:rPr>
      <w:rFonts w:ascii="Courier New" w:hAnsi="Courier New" w:cs="Courier New"/>
      <w:sz w:val="20"/>
      <w:szCs w:val="20"/>
    </w:rPr>
  </w:style>
  <w:style w:type="character" w:styleId="124">
    <w:name w:val="annotation reference"/>
    <w:qFormat/>
    <w:uiPriority w:val="99"/>
    <w:rPr>
      <w:sz w:val="21"/>
      <w:szCs w:val="21"/>
    </w:rPr>
  </w:style>
  <w:style w:type="character" w:styleId="125">
    <w:name w:val="footnote reference"/>
    <w:qFormat/>
    <w:uiPriority w:val="0"/>
    <w:rPr>
      <w:vertAlign w:val="superscript"/>
    </w:rPr>
  </w:style>
  <w:style w:type="character" w:customStyle="1" w:styleId="126">
    <w:name w:val="宏文本 字符1"/>
    <w:link w:val="2"/>
    <w:qFormat/>
    <w:uiPriority w:val="0"/>
    <w:rPr>
      <w:rFonts w:ascii="Courier New" w:hAnsi="Courier New" w:cs="Courier New"/>
      <w:kern w:val="2"/>
      <w:sz w:val="24"/>
      <w:szCs w:val="24"/>
    </w:rPr>
  </w:style>
  <w:style w:type="character" w:customStyle="1" w:styleId="127">
    <w:name w:val="标题 1 字符1"/>
    <w:link w:val="3"/>
    <w:qFormat/>
    <w:uiPriority w:val="9"/>
    <w:rPr>
      <w:rFonts w:eastAsia="黑体"/>
      <w:bCs/>
      <w:kern w:val="44"/>
      <w:sz w:val="28"/>
      <w:szCs w:val="44"/>
    </w:rPr>
  </w:style>
  <w:style w:type="character" w:customStyle="1" w:styleId="128">
    <w:name w:val="标题 2 字符3"/>
    <w:link w:val="4"/>
    <w:qFormat/>
    <w:uiPriority w:val="9"/>
    <w:rPr>
      <w:rFonts w:eastAsia="黑体"/>
      <w:bCs/>
      <w:kern w:val="2"/>
      <w:sz w:val="21"/>
      <w:szCs w:val="28"/>
    </w:rPr>
  </w:style>
  <w:style w:type="character" w:customStyle="1" w:styleId="129">
    <w:name w:val="标题 3 字符3"/>
    <w:link w:val="5"/>
    <w:qFormat/>
    <w:uiPriority w:val="0"/>
    <w:rPr>
      <w:rFonts w:cs="Arial"/>
      <w:kern w:val="2"/>
      <w:sz w:val="21"/>
    </w:rPr>
  </w:style>
  <w:style w:type="character" w:customStyle="1" w:styleId="130">
    <w:name w:val="标题 4 字符1"/>
    <w:link w:val="6"/>
    <w:qFormat/>
    <w:uiPriority w:val="0"/>
    <w:rPr>
      <w:rFonts w:eastAsia="黑体"/>
      <w:bCs/>
      <w:color w:val="BC0098"/>
      <w:kern w:val="2"/>
      <w:sz w:val="21"/>
      <w:szCs w:val="28"/>
    </w:rPr>
  </w:style>
  <w:style w:type="character" w:customStyle="1" w:styleId="131">
    <w:name w:val="标题 5 字符2"/>
    <w:link w:val="7"/>
    <w:qFormat/>
    <w:uiPriority w:val="9"/>
    <w:rPr>
      <w:bCs/>
      <w:kern w:val="2"/>
      <w:sz w:val="21"/>
      <w:szCs w:val="28"/>
    </w:rPr>
  </w:style>
  <w:style w:type="character" w:customStyle="1" w:styleId="132">
    <w:name w:val="标题 6 字符2"/>
    <w:link w:val="8"/>
    <w:qFormat/>
    <w:uiPriority w:val="0"/>
    <w:rPr>
      <w:bCs/>
      <w:color w:val="C00000"/>
      <w:kern w:val="2"/>
      <w:sz w:val="21"/>
      <w:szCs w:val="24"/>
    </w:rPr>
  </w:style>
  <w:style w:type="character" w:customStyle="1" w:styleId="133">
    <w:name w:val="标题 7 字符2"/>
    <w:link w:val="9"/>
    <w:qFormat/>
    <w:uiPriority w:val="0"/>
    <w:rPr>
      <w:bCs/>
      <w:color w:val="7030A0"/>
      <w:kern w:val="2"/>
      <w:sz w:val="21"/>
      <w:szCs w:val="24"/>
    </w:rPr>
  </w:style>
  <w:style w:type="character" w:customStyle="1" w:styleId="134">
    <w:name w:val="标题 8 字符1"/>
    <w:link w:val="10"/>
    <w:qFormat/>
    <w:uiPriority w:val="0"/>
    <w:rPr>
      <w:rFonts w:ascii="Arial" w:hAnsi="Arial"/>
      <w:color w:val="00B050"/>
      <w:kern w:val="2"/>
      <w:sz w:val="21"/>
      <w:szCs w:val="24"/>
    </w:rPr>
  </w:style>
  <w:style w:type="character" w:customStyle="1" w:styleId="135">
    <w:name w:val="注释标题 字符1"/>
    <w:link w:val="16"/>
    <w:qFormat/>
    <w:uiPriority w:val="0"/>
  </w:style>
  <w:style w:type="character" w:customStyle="1" w:styleId="136">
    <w:name w:val="电子邮件签名 字符1"/>
    <w:link w:val="19"/>
    <w:qFormat/>
    <w:uiPriority w:val="0"/>
  </w:style>
  <w:style w:type="character" w:customStyle="1" w:styleId="137">
    <w:name w:val="题注 字符1"/>
    <w:link w:val="22"/>
    <w:qFormat/>
    <w:uiPriority w:val="0"/>
    <w:rPr>
      <w:rFonts w:ascii="Arial" w:hAnsi="Arial" w:eastAsia="黑体" w:cs="Arial"/>
      <w:kern w:val="2"/>
    </w:rPr>
  </w:style>
  <w:style w:type="character" w:customStyle="1" w:styleId="138">
    <w:name w:val="文档结构图 字符1"/>
    <w:link w:val="26"/>
    <w:qFormat/>
    <w:uiPriority w:val="0"/>
    <w:rPr>
      <w:kern w:val="2"/>
      <w:sz w:val="21"/>
      <w:szCs w:val="24"/>
      <w:shd w:val="clear" w:color="auto" w:fill="000080"/>
    </w:rPr>
  </w:style>
  <w:style w:type="character" w:customStyle="1" w:styleId="139">
    <w:name w:val="批注文字 字符1"/>
    <w:link w:val="28"/>
    <w:qFormat/>
    <w:uiPriority w:val="99"/>
    <w:rPr>
      <w:kern w:val="2"/>
      <w:sz w:val="21"/>
      <w:szCs w:val="24"/>
    </w:rPr>
  </w:style>
  <w:style w:type="character" w:customStyle="1" w:styleId="140">
    <w:name w:val="称呼 字符1"/>
    <w:link w:val="30"/>
    <w:qFormat/>
    <w:uiPriority w:val="0"/>
    <w:rPr>
      <w:rFonts w:ascii="宋体" w:hAnsi="Arial"/>
      <w:sz w:val="24"/>
    </w:rPr>
  </w:style>
  <w:style w:type="character" w:customStyle="1" w:styleId="141">
    <w:name w:val="正文文本 3 字符1"/>
    <w:link w:val="31"/>
    <w:qFormat/>
    <w:uiPriority w:val="0"/>
    <w:rPr>
      <w:rFonts w:ascii="Plotter" w:hAnsi="Plotter"/>
      <w:bCs/>
      <w:color w:val="0000FF"/>
      <w:kern w:val="6"/>
      <w:sz w:val="18"/>
      <w:szCs w:val="21"/>
    </w:rPr>
  </w:style>
  <w:style w:type="character" w:customStyle="1" w:styleId="142">
    <w:name w:val="结束语 字符1"/>
    <w:link w:val="32"/>
    <w:qFormat/>
    <w:uiPriority w:val="0"/>
  </w:style>
  <w:style w:type="character" w:customStyle="1" w:styleId="143">
    <w:name w:val="正文文本 字符1"/>
    <w:link w:val="34"/>
    <w:qFormat/>
    <w:uiPriority w:val="0"/>
    <w:rPr>
      <w:kern w:val="2"/>
      <w:sz w:val="24"/>
      <w:szCs w:val="24"/>
    </w:rPr>
  </w:style>
  <w:style w:type="character" w:customStyle="1" w:styleId="144">
    <w:name w:val="正文文本缩进 字符1"/>
    <w:link w:val="35"/>
    <w:qFormat/>
    <w:uiPriority w:val="0"/>
    <w:rPr>
      <w:kern w:val="2"/>
      <w:sz w:val="24"/>
      <w:szCs w:val="24"/>
    </w:rPr>
  </w:style>
  <w:style w:type="character" w:customStyle="1" w:styleId="145">
    <w:name w:val="HTML 地址 字符1"/>
    <w:link w:val="41"/>
    <w:qFormat/>
    <w:uiPriority w:val="0"/>
    <w:rPr>
      <w:i/>
      <w:iCs/>
    </w:rPr>
  </w:style>
  <w:style w:type="character" w:customStyle="1" w:styleId="146">
    <w:name w:val="纯文本 字符1"/>
    <w:link w:val="45"/>
    <w:qFormat/>
    <w:uiPriority w:val="0"/>
    <w:rPr>
      <w:rFonts w:ascii="宋体" w:hAnsi="Courier New"/>
      <w:kern w:val="2"/>
      <w:sz w:val="21"/>
    </w:rPr>
  </w:style>
  <w:style w:type="character" w:customStyle="1" w:styleId="147">
    <w:name w:val="日期 字符1"/>
    <w:link w:val="50"/>
    <w:qFormat/>
    <w:uiPriority w:val="0"/>
    <w:rPr>
      <w:rFonts w:ascii="宋体"/>
      <w:sz w:val="28"/>
    </w:rPr>
  </w:style>
  <w:style w:type="character" w:customStyle="1" w:styleId="148">
    <w:name w:val="正文文本缩进 2 字符1"/>
    <w:link w:val="51"/>
    <w:qFormat/>
    <w:uiPriority w:val="0"/>
    <w:rPr>
      <w:kern w:val="2"/>
      <w:sz w:val="21"/>
    </w:rPr>
  </w:style>
  <w:style w:type="character" w:customStyle="1" w:styleId="149">
    <w:name w:val="尾注文本 字符1"/>
    <w:link w:val="52"/>
    <w:qFormat/>
    <w:uiPriority w:val="0"/>
    <w:rPr>
      <w:kern w:val="2"/>
      <w:sz w:val="21"/>
      <w:szCs w:val="24"/>
    </w:rPr>
  </w:style>
  <w:style w:type="character" w:customStyle="1" w:styleId="150">
    <w:name w:val="批注框文本 字符1"/>
    <w:link w:val="54"/>
    <w:qFormat/>
    <w:uiPriority w:val="99"/>
    <w:rPr>
      <w:kern w:val="2"/>
      <w:sz w:val="15"/>
      <w:szCs w:val="18"/>
    </w:rPr>
  </w:style>
  <w:style w:type="character" w:customStyle="1" w:styleId="151">
    <w:name w:val="页脚 字符1"/>
    <w:link w:val="55"/>
    <w:qFormat/>
    <w:uiPriority w:val="99"/>
    <w:rPr>
      <w:kern w:val="2"/>
      <w:sz w:val="18"/>
      <w:szCs w:val="18"/>
    </w:rPr>
  </w:style>
  <w:style w:type="character" w:customStyle="1" w:styleId="152">
    <w:name w:val="页眉 字符2"/>
    <w:link w:val="57"/>
    <w:qFormat/>
    <w:uiPriority w:val="99"/>
    <w:rPr>
      <w:kern w:val="2"/>
      <w:sz w:val="18"/>
      <w:szCs w:val="18"/>
    </w:rPr>
  </w:style>
  <w:style w:type="character" w:customStyle="1" w:styleId="153">
    <w:name w:val="签名 字符1"/>
    <w:link w:val="58"/>
    <w:qFormat/>
    <w:uiPriority w:val="0"/>
    <w:rPr>
      <w:sz w:val="24"/>
      <w:szCs w:val="24"/>
    </w:rPr>
  </w:style>
  <w:style w:type="character" w:customStyle="1" w:styleId="154">
    <w:name w:val="副标题 字符1"/>
    <w:link w:val="64"/>
    <w:qFormat/>
    <w:uiPriority w:val="0"/>
    <w:rPr>
      <w:rFonts w:ascii="Arial" w:hAnsi="Arial"/>
      <w:b/>
      <w:bCs/>
      <w:kern w:val="28"/>
      <w:sz w:val="32"/>
      <w:szCs w:val="32"/>
    </w:rPr>
  </w:style>
  <w:style w:type="character" w:customStyle="1" w:styleId="155">
    <w:name w:val="脚注文本 字符1"/>
    <w:link w:val="67"/>
    <w:qFormat/>
    <w:uiPriority w:val="0"/>
    <w:rPr>
      <w:kern w:val="2"/>
      <w:sz w:val="18"/>
      <w:szCs w:val="18"/>
    </w:rPr>
  </w:style>
  <w:style w:type="character" w:customStyle="1" w:styleId="156">
    <w:name w:val="正文文本缩进 3 字符1"/>
    <w:link w:val="70"/>
    <w:qFormat/>
    <w:uiPriority w:val="0"/>
    <w:rPr>
      <w:kern w:val="2"/>
      <w:sz w:val="16"/>
    </w:rPr>
  </w:style>
  <w:style w:type="character" w:customStyle="1" w:styleId="157">
    <w:name w:val="正文文本 2 字符1"/>
    <w:link w:val="76"/>
    <w:qFormat/>
    <w:uiPriority w:val="0"/>
    <w:rPr>
      <w:kern w:val="2"/>
      <w:sz w:val="21"/>
    </w:rPr>
  </w:style>
  <w:style w:type="character" w:customStyle="1" w:styleId="158">
    <w:name w:val="信息标题 字符1"/>
    <w:link w:val="79"/>
    <w:qFormat/>
    <w:uiPriority w:val="0"/>
    <w:rPr>
      <w:rFonts w:ascii="Arial" w:hAnsi="Arial"/>
      <w:kern w:val="2"/>
      <w:sz w:val="24"/>
      <w:szCs w:val="24"/>
      <w:shd w:val="pct20" w:color="auto" w:fill="auto"/>
      <w:lang w:val="en-US" w:eastAsia="zh-CN"/>
    </w:rPr>
  </w:style>
  <w:style w:type="character" w:customStyle="1" w:styleId="159">
    <w:name w:val="HTML 预设格式 字符1"/>
    <w:link w:val="80"/>
    <w:qFormat/>
    <w:uiPriority w:val="0"/>
    <w:rPr>
      <w:rFonts w:ascii="Courier New" w:hAnsi="Courier New"/>
    </w:rPr>
  </w:style>
  <w:style w:type="character" w:customStyle="1" w:styleId="160">
    <w:name w:val="标题 字符2"/>
    <w:link w:val="84"/>
    <w:qFormat/>
    <w:uiPriority w:val="9"/>
    <w:rPr>
      <w:rFonts w:ascii="Cambria" w:hAnsi="Cambria" w:eastAsia="黑体"/>
      <w:bCs/>
      <w:kern w:val="2"/>
      <w:sz w:val="36"/>
      <w:szCs w:val="32"/>
    </w:rPr>
  </w:style>
  <w:style w:type="character" w:customStyle="1" w:styleId="161">
    <w:name w:val="批注主题 字符1"/>
    <w:link w:val="85"/>
    <w:qFormat/>
    <w:uiPriority w:val="0"/>
    <w:rPr>
      <w:b/>
      <w:bCs/>
      <w:kern w:val="2"/>
      <w:sz w:val="21"/>
      <w:szCs w:val="24"/>
    </w:rPr>
  </w:style>
  <w:style w:type="character" w:customStyle="1" w:styleId="162">
    <w:name w:val="正文首行缩进 字符5"/>
    <w:link w:val="86"/>
    <w:qFormat/>
    <w:uiPriority w:val="0"/>
    <w:rPr>
      <w:color w:val="8DB3E2"/>
      <w:kern w:val="2"/>
      <w:sz w:val="21"/>
      <w:szCs w:val="24"/>
    </w:rPr>
  </w:style>
  <w:style w:type="character" w:customStyle="1" w:styleId="163">
    <w:name w:val="正文首行缩进 2 字符3"/>
    <w:link w:val="87"/>
    <w:qFormat/>
    <w:uiPriority w:val="0"/>
    <w:rPr>
      <w:kern w:val="2"/>
      <w:sz w:val="28"/>
      <w:szCs w:val="24"/>
    </w:rPr>
  </w:style>
  <w:style w:type="table" w:customStyle="1" w:styleId="164">
    <w:name w:val="浅色列表 - 强调文字颜色 31"/>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65">
    <w:name w:val="浅色列表 - 强调文字颜色 51"/>
    <w:basedOn w:val="88"/>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6">
    <w:name w:val="浅色网格 - 强调文字颜色 51"/>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7">
    <w:name w:val="中等深浅底纹 2 - 强调文字颜色 51"/>
    <w:basedOn w:val="88"/>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68">
    <w:name w:val="中等深浅网格 2 - 强调文字颜色 11"/>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69">
    <w:name w:val="中等深浅网格 3 - 强调文字颜色 11"/>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70">
    <w:name w:val="彩色网格 - 强调文字颜色 11"/>
    <w:basedOn w:val="88"/>
    <w:qFormat/>
    <w:uiPriority w:val="0"/>
    <w:rPr>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paragraph" w:customStyle="1" w:styleId="171">
    <w:name w:val="样式 首行缩进:  2 字符"/>
    <w:basedOn w:val="1"/>
    <w:link w:val="172"/>
    <w:qFormat/>
    <w:uiPriority w:val="0"/>
    <w:pPr>
      <w:spacing w:before="120" w:beforeLines="50" w:after="120" w:afterLines="50"/>
      <w:ind w:firstLine="420" w:firstLineChars="200"/>
      <w:jc w:val="center"/>
    </w:pPr>
    <w:rPr>
      <w:color w:val="FF0000"/>
      <w:szCs w:val="20"/>
    </w:rPr>
  </w:style>
  <w:style w:type="character" w:customStyle="1" w:styleId="172">
    <w:name w:val="样式 首行缩进:  2 字符 Char1"/>
    <w:link w:val="171"/>
    <w:qFormat/>
    <w:uiPriority w:val="0"/>
    <w:rPr>
      <w:color w:val="FF0000"/>
      <w:kern w:val="2"/>
      <w:sz w:val="21"/>
    </w:rPr>
  </w:style>
  <w:style w:type="paragraph" w:customStyle="1" w:styleId="173">
    <w:name w:val="表格文字图表文字  ctrl+q"/>
    <w:basedOn w:val="1"/>
    <w:qFormat/>
    <w:uiPriority w:val="0"/>
    <w:pPr>
      <w:snapToGrid w:val="0"/>
      <w:spacing w:before="20" w:after="20" w:line="240" w:lineRule="auto"/>
      <w:jc w:val="center"/>
    </w:pPr>
    <w:rPr>
      <w:rFonts w:cs="宋体"/>
      <w:color w:val="ED7D31"/>
      <w:sz w:val="15"/>
      <w:szCs w:val="20"/>
    </w:rPr>
  </w:style>
  <w:style w:type="paragraph" w:customStyle="1" w:styleId="174">
    <w:name w:val="表格文字"/>
    <w:basedOn w:val="173"/>
    <w:qFormat/>
    <w:uiPriority w:val="0"/>
  </w:style>
  <w:style w:type="paragraph" w:customStyle="1" w:styleId="175">
    <w:name w:val="样式 表格文字图表文字  ctrl+b"/>
    <w:basedOn w:val="173"/>
    <w:link w:val="176"/>
    <w:qFormat/>
    <w:uiPriority w:val="0"/>
  </w:style>
  <w:style w:type="character" w:customStyle="1" w:styleId="176">
    <w:name w:val="样式 表格文字图表文字  ctrl+b Char"/>
    <w:link w:val="175"/>
    <w:qFormat/>
    <w:uiPriority w:val="0"/>
  </w:style>
  <w:style w:type="paragraph" w:styleId="177">
    <w:name w:val="List Paragraph"/>
    <w:basedOn w:val="1"/>
    <w:qFormat/>
    <w:uiPriority w:val="34"/>
    <w:pPr>
      <w:spacing w:line="240" w:lineRule="auto"/>
      <w:ind w:firstLine="420" w:firstLineChars="200"/>
    </w:pPr>
    <w:rPr>
      <w:szCs w:val="20"/>
    </w:rPr>
  </w:style>
  <w:style w:type="paragraph" w:customStyle="1" w:styleId="178">
    <w:name w:val="TOC 标题1"/>
    <w:basedOn w:val="3"/>
    <w:next w:val="1"/>
    <w:qFormat/>
    <w:uiPriority w:val="39"/>
    <w:pPr>
      <w:keepNext/>
      <w:keepLines/>
      <w:widowControl/>
      <w:numPr>
        <w:numId w:val="0"/>
      </w:numPr>
      <w:spacing w:before="480" w:after="0" w:line="276" w:lineRule="auto"/>
      <w:jc w:val="left"/>
      <w:outlineLvl w:val="9"/>
    </w:pPr>
    <w:rPr>
      <w:rFonts w:ascii="Cambria" w:hAnsi="Cambria" w:eastAsia="宋体"/>
      <w:b/>
      <w:color w:val="365F91"/>
      <w:kern w:val="0"/>
      <w:szCs w:val="28"/>
    </w:rPr>
  </w:style>
  <w:style w:type="paragraph" w:customStyle="1" w:styleId="179">
    <w:name w:val="修订1"/>
    <w:qFormat/>
    <w:uiPriority w:val="99"/>
    <w:rPr>
      <w:rFonts w:ascii="Times New Roman" w:hAnsi="Times New Roman" w:eastAsia="宋体" w:cs="Times New Roman"/>
      <w:kern w:val="2"/>
      <w:sz w:val="24"/>
      <w:szCs w:val="24"/>
      <w:lang w:val="en-US" w:eastAsia="zh-CN" w:bidi="ar-SA"/>
    </w:rPr>
  </w:style>
  <w:style w:type="character" w:customStyle="1" w:styleId="180">
    <w:name w:val="明显强调1"/>
    <w:qFormat/>
    <w:uiPriority w:val="21"/>
    <w:rPr>
      <w:b/>
      <w:bCs/>
      <w:caps/>
      <w:color w:val="27405E"/>
      <w:spacing w:val="10"/>
    </w:rPr>
  </w:style>
  <w:style w:type="paragraph" w:styleId="181">
    <w:name w:val="No Spacing"/>
    <w:link w:val="182"/>
    <w:qFormat/>
    <w:uiPriority w:val="0"/>
    <w:pPr>
      <w:widowControl w:val="0"/>
      <w:jc w:val="center"/>
    </w:pPr>
    <w:rPr>
      <w:rFonts w:ascii="Times New Roman" w:hAnsi="Times New Roman" w:eastAsia="宋体" w:cs="Times New Roman"/>
      <w:kern w:val="2"/>
      <w:sz w:val="24"/>
      <w:szCs w:val="24"/>
      <w:lang w:val="en-US" w:eastAsia="zh-CN" w:bidi="ar-SA"/>
    </w:rPr>
  </w:style>
  <w:style w:type="character" w:customStyle="1" w:styleId="182">
    <w:name w:val="无间隔 字符1"/>
    <w:link w:val="181"/>
    <w:qFormat/>
    <w:uiPriority w:val="0"/>
    <w:rPr>
      <w:kern w:val="2"/>
      <w:sz w:val="24"/>
      <w:szCs w:val="24"/>
      <w:lang w:val="en-US" w:eastAsia="zh-CN"/>
    </w:rPr>
  </w:style>
  <w:style w:type="character" w:customStyle="1" w:styleId="183">
    <w:name w:val="不明显强调1"/>
    <w:qFormat/>
    <w:uiPriority w:val="0"/>
    <w:rPr>
      <w:i/>
      <w:iCs/>
      <w:color w:val="808080"/>
    </w:rPr>
  </w:style>
  <w:style w:type="paragraph" w:styleId="184">
    <w:name w:val="Quote"/>
    <w:basedOn w:val="1"/>
    <w:next w:val="1"/>
    <w:link w:val="185"/>
    <w:qFormat/>
    <w:uiPriority w:val="0"/>
    <w:pPr>
      <w:spacing w:line="360" w:lineRule="auto"/>
      <w:ind w:firstLine="200" w:firstLineChars="200"/>
    </w:pPr>
    <w:rPr>
      <w:rFonts w:ascii="ˎ̥" w:hAnsi="ˎ̥"/>
      <w:i/>
      <w:iCs/>
      <w:color w:val="000000"/>
      <w:szCs w:val="21"/>
    </w:rPr>
  </w:style>
  <w:style w:type="character" w:customStyle="1" w:styleId="185">
    <w:name w:val="引用 字符1"/>
    <w:link w:val="184"/>
    <w:qFormat/>
    <w:uiPriority w:val="0"/>
    <w:rPr>
      <w:rFonts w:ascii="ˎ̥" w:hAnsi="ˎ̥" w:cs="宋体"/>
      <w:i/>
      <w:iCs/>
      <w:color w:val="000000"/>
      <w:kern w:val="2"/>
      <w:sz w:val="24"/>
      <w:szCs w:val="21"/>
    </w:rPr>
  </w:style>
  <w:style w:type="paragraph" w:styleId="186">
    <w:name w:val="Intense Quote"/>
    <w:basedOn w:val="1"/>
    <w:next w:val="1"/>
    <w:link w:val="187"/>
    <w:qFormat/>
    <w:uiPriority w:val="30"/>
    <w:pPr>
      <w:pBdr>
        <w:bottom w:val="single" w:color="4F81BD" w:sz="4" w:space="4"/>
      </w:pBdr>
      <w:spacing w:before="200" w:after="280"/>
      <w:ind w:left="936" w:right="936" w:firstLine="200" w:firstLineChars="200"/>
    </w:pPr>
    <w:rPr>
      <w:rFonts w:eastAsia="仿宋"/>
      <w:b/>
      <w:bCs/>
      <w:i/>
      <w:iCs/>
      <w:color w:val="4F81BD"/>
      <w:sz w:val="28"/>
      <w:szCs w:val="20"/>
    </w:rPr>
  </w:style>
  <w:style w:type="character" w:customStyle="1" w:styleId="187">
    <w:name w:val="明显引用 字符1"/>
    <w:link w:val="186"/>
    <w:qFormat/>
    <w:uiPriority w:val="30"/>
    <w:rPr>
      <w:rFonts w:eastAsia="仿宋" w:cs="宋体"/>
      <w:b/>
      <w:bCs/>
      <w:i/>
      <w:iCs/>
      <w:color w:val="4F81BD"/>
      <w:kern w:val="2"/>
      <w:sz w:val="28"/>
    </w:rPr>
  </w:style>
  <w:style w:type="paragraph" w:customStyle="1" w:styleId="188">
    <w:name w:val="z-窗体底端1"/>
    <w:basedOn w:val="1"/>
    <w:next w:val="1"/>
    <w:link w:val="189"/>
    <w:qFormat/>
    <w:uiPriority w:val="0"/>
    <w:pPr>
      <w:pBdr>
        <w:top w:val="single" w:color="auto" w:sz="6" w:space="1"/>
      </w:pBdr>
      <w:spacing w:line="240" w:lineRule="auto"/>
      <w:jc w:val="center"/>
    </w:pPr>
    <w:rPr>
      <w:rFonts w:ascii="Arial" w:hAnsi="Arial"/>
      <w:vanish/>
      <w:spacing w:val="-20"/>
      <w:sz w:val="16"/>
      <w:szCs w:val="16"/>
    </w:rPr>
  </w:style>
  <w:style w:type="character" w:customStyle="1" w:styleId="189">
    <w:name w:val="z-窗体底端 Char1"/>
    <w:link w:val="188"/>
    <w:qFormat/>
    <w:uiPriority w:val="0"/>
    <w:rPr>
      <w:rFonts w:ascii="Arial" w:hAnsi="Arial" w:cs="Arial"/>
      <w:vanish/>
      <w:spacing w:val="-20"/>
      <w:kern w:val="2"/>
      <w:sz w:val="16"/>
      <w:szCs w:val="16"/>
    </w:rPr>
  </w:style>
  <w:style w:type="paragraph" w:customStyle="1" w:styleId="190">
    <w:name w:val="z-窗体顶端1"/>
    <w:basedOn w:val="1"/>
    <w:next w:val="1"/>
    <w:link w:val="191"/>
    <w:qFormat/>
    <w:uiPriority w:val="0"/>
    <w:pPr>
      <w:pBdr>
        <w:bottom w:val="single" w:color="auto" w:sz="6" w:space="1"/>
      </w:pBdr>
      <w:spacing w:line="240" w:lineRule="auto"/>
      <w:jc w:val="center"/>
    </w:pPr>
    <w:rPr>
      <w:rFonts w:ascii="Arial" w:hAnsi="Arial"/>
      <w:vanish/>
      <w:spacing w:val="-20"/>
      <w:sz w:val="16"/>
      <w:szCs w:val="16"/>
    </w:rPr>
  </w:style>
  <w:style w:type="character" w:customStyle="1" w:styleId="191">
    <w:name w:val="z-窗体顶端 Char1"/>
    <w:link w:val="190"/>
    <w:qFormat/>
    <w:uiPriority w:val="0"/>
    <w:rPr>
      <w:rFonts w:ascii="Arial" w:hAnsi="Arial" w:cs="Arial"/>
      <w:vanish/>
      <w:spacing w:val="-20"/>
      <w:kern w:val="2"/>
      <w:sz w:val="16"/>
      <w:szCs w:val="16"/>
    </w:rPr>
  </w:style>
  <w:style w:type="character" w:customStyle="1" w:styleId="192">
    <w:name w:val="不明显参考1"/>
    <w:qFormat/>
    <w:uiPriority w:val="31"/>
    <w:rPr>
      <w:smallCaps/>
      <w:color w:val="C0504D"/>
      <w:u w:val="single"/>
    </w:rPr>
  </w:style>
  <w:style w:type="paragraph" w:customStyle="1" w:styleId="193">
    <w:name w:val="已访问的超级链接"/>
    <w:qFormat/>
    <w:uiPriority w:val="0"/>
    <w:pPr>
      <w:widowControl w:val="0"/>
      <w:spacing w:line="480" w:lineRule="exact"/>
      <w:jc w:val="both"/>
    </w:pPr>
    <w:rPr>
      <w:rFonts w:ascii="Times New Roman" w:hAnsi="Times New Roman" w:eastAsia="宋体" w:cs="Times New Roman"/>
      <w:kern w:val="2"/>
      <w:sz w:val="24"/>
      <w:szCs w:val="24"/>
      <w:lang w:val="en-US" w:eastAsia="zh-CN" w:bidi="ar-SA"/>
    </w:rPr>
  </w:style>
  <w:style w:type="paragraph" w:customStyle="1" w:styleId="194">
    <w:name w:val="样式 111"/>
    <w:basedOn w:val="7"/>
    <w:link w:val="195"/>
    <w:qFormat/>
    <w:uiPriority w:val="0"/>
    <w:pPr>
      <w:numPr>
        <w:ilvl w:val="0"/>
        <w:numId w:val="4"/>
      </w:numPr>
      <w:snapToGrid w:val="0"/>
      <w:ind w:left="0" w:firstLine="200"/>
    </w:pPr>
  </w:style>
  <w:style w:type="character" w:customStyle="1" w:styleId="195">
    <w:name w:val="样式 111 Char"/>
    <w:link w:val="194"/>
    <w:qFormat/>
    <w:uiPriority w:val="0"/>
    <w:rPr>
      <w:bCs/>
      <w:kern w:val="2"/>
      <w:sz w:val="21"/>
      <w:szCs w:val="28"/>
    </w:rPr>
  </w:style>
  <w:style w:type="paragraph" w:customStyle="1" w:styleId="196">
    <w:name w:val="图注"/>
    <w:basedOn w:val="1"/>
    <w:link w:val="197"/>
    <w:qFormat/>
    <w:uiPriority w:val="0"/>
    <w:pPr>
      <w:adjustRightInd w:val="0"/>
      <w:snapToGrid w:val="0"/>
      <w:jc w:val="center"/>
    </w:pPr>
    <w:rPr>
      <w:rFonts w:eastAsia="黑体"/>
      <w:sz w:val="18"/>
      <w:szCs w:val="18"/>
    </w:rPr>
  </w:style>
  <w:style w:type="character" w:customStyle="1" w:styleId="197">
    <w:name w:val="图注 字符"/>
    <w:link w:val="196"/>
    <w:qFormat/>
    <w:uiPriority w:val="0"/>
    <w:rPr>
      <w:rFonts w:eastAsia="黑体"/>
      <w:kern w:val="2"/>
      <w:sz w:val="18"/>
      <w:szCs w:val="18"/>
    </w:rPr>
  </w:style>
  <w:style w:type="paragraph" w:customStyle="1" w:styleId="198">
    <w:name w:val="表注"/>
    <w:basedOn w:val="196"/>
    <w:link w:val="199"/>
    <w:qFormat/>
    <w:uiPriority w:val="0"/>
    <w:rPr>
      <w:rFonts w:cs="黑体"/>
    </w:rPr>
  </w:style>
  <w:style w:type="character" w:customStyle="1" w:styleId="199">
    <w:name w:val="表注 字符"/>
    <w:link w:val="198"/>
    <w:qFormat/>
    <w:uiPriority w:val="0"/>
    <w:rPr>
      <w:rFonts w:eastAsia="黑体" w:cs="黑体"/>
      <w:kern w:val="2"/>
      <w:sz w:val="18"/>
      <w:szCs w:val="18"/>
    </w:rPr>
  </w:style>
  <w:style w:type="paragraph" w:customStyle="1" w:styleId="200">
    <w:name w:val="内文"/>
    <w:basedOn w:val="1"/>
    <w:link w:val="201"/>
    <w:qFormat/>
    <w:uiPriority w:val="0"/>
    <w:pPr>
      <w:adjustRightInd w:val="0"/>
      <w:snapToGrid w:val="0"/>
    </w:pPr>
    <w:rPr>
      <w:rFonts w:ascii="方正书宋_GBK" w:hAnsi="方正书宋_GBK" w:eastAsia="方正书宋_GBK"/>
      <w:sz w:val="20"/>
      <w:szCs w:val="22"/>
    </w:rPr>
  </w:style>
  <w:style w:type="character" w:customStyle="1" w:styleId="201">
    <w:name w:val="内文 字符"/>
    <w:link w:val="200"/>
    <w:qFormat/>
    <w:uiPriority w:val="0"/>
    <w:rPr>
      <w:rFonts w:ascii="方正书宋_GBK" w:hAnsi="方正书宋_GBK" w:eastAsia="方正书宋_GBK"/>
      <w:kern w:val="2"/>
      <w:szCs w:val="22"/>
    </w:rPr>
  </w:style>
  <w:style w:type="paragraph" w:customStyle="1" w:styleId="202">
    <w:name w:val="表下注文"/>
    <w:basedOn w:val="1"/>
    <w:link w:val="203"/>
    <w:qFormat/>
    <w:uiPriority w:val="0"/>
    <w:pPr>
      <w:spacing w:line="240" w:lineRule="auto"/>
      <w:ind w:firstLine="200" w:firstLineChars="200"/>
      <w:jc w:val="left"/>
    </w:pPr>
    <w:rPr>
      <w:sz w:val="15"/>
      <w:szCs w:val="15"/>
    </w:rPr>
  </w:style>
  <w:style w:type="character" w:customStyle="1" w:styleId="203">
    <w:name w:val="表下注文 字符"/>
    <w:link w:val="202"/>
    <w:qFormat/>
    <w:uiPriority w:val="0"/>
    <w:rPr>
      <w:kern w:val="2"/>
      <w:sz w:val="15"/>
      <w:szCs w:val="15"/>
    </w:rPr>
  </w:style>
  <w:style w:type="paragraph" w:customStyle="1" w:styleId="204">
    <w:name w:val="备注"/>
    <w:basedOn w:val="202"/>
    <w:link w:val="205"/>
    <w:qFormat/>
    <w:uiPriority w:val="0"/>
    <w:rPr>
      <w:rFonts w:ascii="宋体" w:hAnsi="宋体" w:cs="宋体"/>
    </w:rPr>
  </w:style>
  <w:style w:type="character" w:customStyle="1" w:styleId="205">
    <w:name w:val="备注 Char"/>
    <w:link w:val="204"/>
    <w:qFormat/>
    <w:uiPriority w:val="0"/>
    <w:rPr>
      <w:rFonts w:ascii="宋体" w:hAnsi="宋体" w:eastAsia="方正书宋_GBK" w:cs="宋体"/>
      <w:kern w:val="2"/>
      <w:sz w:val="15"/>
      <w:szCs w:val="15"/>
    </w:rPr>
  </w:style>
  <w:style w:type="paragraph" w:customStyle="1" w:styleId="206">
    <w:name w:val="正文2"/>
    <w:basedOn w:val="1"/>
    <w:link w:val="207"/>
    <w:qFormat/>
    <w:uiPriority w:val="0"/>
    <w:pPr>
      <w:widowControl/>
      <w:kinsoku w:val="0"/>
      <w:autoSpaceDE w:val="0"/>
      <w:autoSpaceDN w:val="0"/>
      <w:adjustRightInd w:val="0"/>
      <w:snapToGrid w:val="0"/>
      <w:spacing w:before="91" w:line="312" w:lineRule="auto"/>
      <w:ind w:left="6" w:firstLine="369"/>
      <w:textAlignment w:val="baseline"/>
    </w:pPr>
    <w:rPr>
      <w:rFonts w:ascii="宋体" w:hAnsi="宋体" w:cs="宋体"/>
      <w:snapToGrid w:val="0"/>
      <w:color w:val="000000"/>
      <w:kern w:val="0"/>
      <w:sz w:val="20"/>
      <w:szCs w:val="20"/>
    </w:rPr>
  </w:style>
  <w:style w:type="character" w:customStyle="1" w:styleId="207">
    <w:name w:val="正文2 字符"/>
    <w:link w:val="206"/>
    <w:qFormat/>
    <w:uiPriority w:val="0"/>
    <w:rPr>
      <w:rFonts w:ascii="宋体" w:hAnsi="宋体" w:cs="宋体"/>
      <w:snapToGrid/>
      <w:color w:val="000000"/>
    </w:rPr>
  </w:style>
  <w:style w:type="paragraph" w:customStyle="1" w:styleId="208">
    <w:name w:val="TOC 标题11"/>
    <w:basedOn w:val="3"/>
    <w:next w:val="1"/>
    <w:qFormat/>
    <w:uiPriority w:val="39"/>
    <w:pPr>
      <w:keepNext/>
      <w:keepLines/>
      <w:widowControl/>
      <w:numPr>
        <w:numId w:val="0"/>
      </w:numPr>
      <w:spacing w:before="240" w:after="0" w:line="259" w:lineRule="auto"/>
      <w:ind w:firstLine="1200" w:firstLineChars="200"/>
      <w:jc w:val="left"/>
      <w:outlineLvl w:val="9"/>
    </w:pPr>
    <w:rPr>
      <w:rFonts w:ascii="等线 Light" w:hAnsi="等线 Light" w:eastAsia="等线 Light"/>
      <w:bCs w:val="0"/>
      <w:color w:val="2F5496"/>
      <w:kern w:val="0"/>
      <w:sz w:val="32"/>
      <w:szCs w:val="32"/>
    </w:rPr>
  </w:style>
  <w:style w:type="character" w:customStyle="1" w:styleId="209">
    <w:name w:val="正文首行缩进 字符"/>
    <w:qFormat/>
    <w:uiPriority w:val="0"/>
    <w:rPr>
      <w:color w:val="00B0F0"/>
      <w:kern w:val="2"/>
      <w:sz w:val="21"/>
      <w:szCs w:val="24"/>
    </w:rPr>
  </w:style>
  <w:style w:type="paragraph" w:customStyle="1" w:styleId="210">
    <w:name w:val="_Style 198"/>
    <w:basedOn w:val="34"/>
    <w:next w:val="86"/>
    <w:unhideWhenUsed/>
    <w:qFormat/>
    <w:uiPriority w:val="0"/>
    <w:pPr>
      <w:spacing w:after="0" w:line="320" w:lineRule="exact"/>
      <w:ind w:firstLine="200" w:firstLineChars="200"/>
    </w:pPr>
    <w:rPr>
      <w:color w:val="00B0F0"/>
    </w:rPr>
  </w:style>
  <w:style w:type="paragraph" w:customStyle="1" w:styleId="211">
    <w:name w:val="_Style 199"/>
    <w:basedOn w:val="34"/>
    <w:next w:val="86"/>
    <w:unhideWhenUsed/>
    <w:qFormat/>
    <w:uiPriority w:val="0"/>
    <w:pPr>
      <w:spacing w:after="0" w:line="320" w:lineRule="exact"/>
      <w:ind w:firstLine="200" w:firstLineChars="200"/>
    </w:pPr>
    <w:rPr>
      <w:color w:val="00B0F0"/>
    </w:rPr>
  </w:style>
  <w:style w:type="character" w:customStyle="1" w:styleId="212">
    <w:name w:val="未处理的提及1"/>
    <w:unhideWhenUsed/>
    <w:qFormat/>
    <w:uiPriority w:val="99"/>
    <w:rPr>
      <w:color w:val="605E5C"/>
      <w:shd w:val="clear" w:color="auto" w:fill="E1DFDD"/>
    </w:rPr>
  </w:style>
  <w:style w:type="character" w:customStyle="1" w:styleId="213">
    <w:name w:val="标题 3 字符"/>
    <w:qFormat/>
    <w:uiPriority w:val="9"/>
    <w:rPr>
      <w:rFonts w:eastAsia="宋体"/>
      <w:b/>
      <w:bCs/>
      <w:snapToGrid/>
      <w:color w:val="00B0F0"/>
      <w:szCs w:val="32"/>
    </w:rPr>
  </w:style>
  <w:style w:type="character" w:customStyle="1" w:styleId="214">
    <w:name w:val="标题 6 字符"/>
    <w:qFormat/>
    <w:uiPriority w:val="9"/>
    <w:rPr>
      <w:rFonts w:eastAsia="宋体"/>
      <w:b/>
      <w:bCs/>
      <w:snapToGrid/>
      <w:color w:val="1A1A1A"/>
      <w:sz w:val="22"/>
      <w:szCs w:val="22"/>
    </w:rPr>
  </w:style>
  <w:style w:type="character" w:customStyle="1" w:styleId="215">
    <w:name w:val="标题 7 字符"/>
    <w:qFormat/>
    <w:uiPriority w:val="9"/>
    <w:rPr>
      <w:rFonts w:eastAsia="宋体"/>
      <w:b/>
      <w:bCs/>
      <w:snapToGrid/>
      <w:color w:val="1A1A1A"/>
      <w:sz w:val="22"/>
      <w:szCs w:val="22"/>
    </w:rPr>
  </w:style>
  <w:style w:type="character" w:customStyle="1" w:styleId="216">
    <w:name w:val="标题 字符"/>
    <w:qFormat/>
    <w:uiPriority w:val="9"/>
    <w:rPr>
      <w:rFonts w:eastAsia="宋体"/>
      <w:b/>
      <w:bCs/>
      <w:snapToGrid/>
      <w:color w:val="1A1A1A"/>
      <w:sz w:val="48"/>
      <w:szCs w:val="48"/>
    </w:rPr>
  </w:style>
  <w:style w:type="table" w:customStyle="1" w:styleId="217">
    <w:name w:val="Table Normal"/>
    <w:unhideWhenUsed/>
    <w:qFormat/>
    <w:uiPriority w:val="0"/>
    <w:rPr>
      <w:rFonts w:ascii="Arial" w:hAnsi="Arial" w:eastAsia="等线" w:cs="Arial"/>
    </w:rPr>
    <w:tblPr>
      <w:tblCellMar>
        <w:top w:w="0" w:type="dxa"/>
        <w:left w:w="0" w:type="dxa"/>
        <w:bottom w:w="0" w:type="dxa"/>
        <w:right w:w="0" w:type="dxa"/>
      </w:tblCellMar>
    </w:tblPr>
  </w:style>
  <w:style w:type="paragraph" w:customStyle="1" w:styleId="218">
    <w:name w:val="标题 21"/>
    <w:basedOn w:val="3"/>
    <w:next w:val="1"/>
    <w:unhideWhenUsed/>
    <w:qFormat/>
    <w:uiPriority w:val="0"/>
    <w:pPr>
      <w:keepNext/>
      <w:keepLines/>
      <w:widowControl/>
      <w:numPr>
        <w:numId w:val="0"/>
      </w:numPr>
      <w:kinsoku w:val="0"/>
      <w:autoSpaceDE w:val="0"/>
      <w:autoSpaceDN w:val="0"/>
      <w:adjustRightInd w:val="0"/>
      <w:snapToGrid w:val="0"/>
      <w:spacing w:before="120" w:beforeLines="100" w:after="60" w:afterLines="100" w:line="440" w:lineRule="exact"/>
      <w:jc w:val="both"/>
      <w:textAlignment w:val="baseline"/>
      <w:outlineLvl w:val="1"/>
    </w:pPr>
    <w:rPr>
      <w:rFonts w:ascii="黑体" w:hAnsi="黑体"/>
      <w:b/>
      <w:bCs w:val="0"/>
      <w:snapToGrid w:val="0"/>
      <w:color w:val="BF8F00"/>
      <w:szCs w:val="32"/>
    </w:rPr>
  </w:style>
  <w:style w:type="paragraph" w:customStyle="1" w:styleId="219">
    <w:name w:val="表格图片标题"/>
    <w:basedOn w:val="1"/>
    <w:link w:val="220"/>
    <w:qFormat/>
    <w:uiPriority w:val="0"/>
    <w:pPr>
      <w:widowControl/>
      <w:kinsoku w:val="0"/>
      <w:autoSpaceDE w:val="0"/>
      <w:autoSpaceDN w:val="0"/>
      <w:adjustRightInd w:val="0"/>
      <w:snapToGrid w:val="0"/>
      <w:spacing w:line="312" w:lineRule="auto"/>
      <w:ind w:firstLine="412"/>
      <w:jc w:val="center"/>
      <w:textAlignment w:val="baseline"/>
    </w:pPr>
    <w:rPr>
      <w:rFonts w:ascii="Arial" w:hAnsi="Arial" w:cs="宋体"/>
      <w:snapToGrid w:val="0"/>
      <w:color w:val="7030A0"/>
      <w:kern w:val="0"/>
      <w:sz w:val="20"/>
      <w:szCs w:val="20"/>
    </w:rPr>
  </w:style>
  <w:style w:type="character" w:customStyle="1" w:styleId="220">
    <w:name w:val="表格图片标题 字符"/>
    <w:link w:val="219"/>
    <w:qFormat/>
    <w:uiPriority w:val="0"/>
    <w:rPr>
      <w:rFonts w:ascii="Arial" w:hAnsi="Arial" w:cs="宋体"/>
      <w:snapToGrid/>
      <w:color w:val="7030A0"/>
    </w:rPr>
  </w:style>
  <w:style w:type="paragraph" w:customStyle="1" w:styleId="221">
    <w:name w:val="表格左对齐"/>
    <w:basedOn w:val="181"/>
    <w:link w:val="222"/>
    <w:qFormat/>
    <w:uiPriority w:val="0"/>
    <w:pPr>
      <w:widowControl/>
      <w:kinsoku w:val="0"/>
      <w:autoSpaceDE w:val="0"/>
      <w:autoSpaceDN w:val="0"/>
      <w:adjustRightInd w:val="0"/>
      <w:snapToGrid w:val="0"/>
      <w:spacing w:line="312" w:lineRule="auto"/>
      <w:ind w:firstLine="412"/>
      <w:jc w:val="left"/>
      <w:textAlignment w:val="baseline"/>
    </w:pPr>
    <w:rPr>
      <w:rFonts w:ascii="Arial" w:hAnsi="Arial" w:cs="Arial"/>
      <w:snapToGrid w:val="0"/>
      <w:kern w:val="0"/>
      <w:sz w:val="20"/>
      <w:szCs w:val="21"/>
    </w:rPr>
  </w:style>
  <w:style w:type="character" w:customStyle="1" w:styleId="222">
    <w:name w:val="表格左对齐 字符"/>
    <w:link w:val="221"/>
    <w:qFormat/>
    <w:uiPriority w:val="0"/>
    <w:rPr>
      <w:rFonts w:ascii="Arial" w:hAnsi="Arial" w:cs="Arial"/>
      <w:snapToGrid/>
      <w:szCs w:val="21"/>
    </w:rPr>
  </w:style>
  <w:style w:type="character" w:customStyle="1" w:styleId="223">
    <w:name w:val="页眉 字符1"/>
    <w:semiHidden/>
    <w:qFormat/>
    <w:uiPriority w:val="99"/>
    <w:rPr>
      <w:rFonts w:ascii="Arial" w:hAnsi="Arial" w:cs="Arial"/>
      <w:snapToGrid w:val="0"/>
      <w:color w:val="000000"/>
      <w:kern w:val="0"/>
      <w:sz w:val="18"/>
      <w:szCs w:val="18"/>
    </w:rPr>
  </w:style>
  <w:style w:type="character" w:customStyle="1" w:styleId="224">
    <w:name w:val="超链接1"/>
    <w:unhideWhenUsed/>
    <w:qFormat/>
    <w:uiPriority w:val="99"/>
    <w:rPr>
      <w:color w:val="0563C1"/>
      <w:u w:val="single"/>
    </w:rPr>
  </w:style>
  <w:style w:type="character" w:customStyle="1" w:styleId="225">
    <w:name w:val="超链接2"/>
    <w:unhideWhenUsed/>
    <w:qFormat/>
    <w:uiPriority w:val="99"/>
    <w:rPr>
      <w:color w:val="0563C1"/>
      <w:u w:val="single"/>
    </w:rPr>
  </w:style>
  <w:style w:type="character" w:customStyle="1" w:styleId="226">
    <w:name w:val="标题 2 字符1"/>
    <w:semiHidden/>
    <w:qFormat/>
    <w:uiPriority w:val="9"/>
    <w:rPr>
      <w:rFonts w:ascii="等线 Light" w:hAnsi="等线 Light" w:eastAsia="等线 Light" w:cs="Times New Roman"/>
      <w:b/>
      <w:bCs/>
      <w:sz w:val="32"/>
      <w:szCs w:val="32"/>
    </w:rPr>
  </w:style>
  <w:style w:type="table" w:customStyle="1" w:styleId="227">
    <w:name w:val="Table Normal1"/>
    <w:unhideWhenUsed/>
    <w:qFormat/>
    <w:uiPriority w:val="0"/>
    <w:rPr>
      <w:rFonts w:ascii="等线" w:hAnsi="等线" w:eastAsia="等线"/>
      <w:kern w:val="2"/>
    </w:rPr>
    <w:tblPr>
      <w:tblCellMar>
        <w:top w:w="0" w:type="dxa"/>
        <w:left w:w="0" w:type="dxa"/>
        <w:bottom w:w="0" w:type="dxa"/>
        <w:right w:w="0" w:type="dxa"/>
      </w:tblCellMar>
    </w:tblPr>
  </w:style>
  <w:style w:type="table" w:customStyle="1" w:styleId="228">
    <w:name w:val="网格型1"/>
    <w:basedOn w:val="88"/>
    <w:qFormat/>
    <w:uiPriority w:val="39"/>
    <w:rPr>
      <w:rFonts w:ascii="等线" w:hAnsi="等线" w:eastAsia="等线"/>
      <w:kern w:val="2"/>
    </w:rPr>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customStyle="1" w:styleId="229">
    <w:name w:val="明显参考1"/>
    <w:qFormat/>
    <w:uiPriority w:val="32"/>
    <w:rPr>
      <w:b/>
      <w:bCs/>
      <w:smallCaps/>
      <w:color w:val="4472C4"/>
      <w:spacing w:val="5"/>
    </w:rPr>
  </w:style>
  <w:style w:type="character" w:customStyle="1" w:styleId="230">
    <w:name w:val="未处理的提及111"/>
    <w:unhideWhenUsed/>
    <w:qFormat/>
    <w:uiPriority w:val="99"/>
    <w:rPr>
      <w:color w:val="605E5C"/>
      <w:shd w:val="clear" w:color="auto" w:fill="E1DFDD"/>
    </w:rPr>
  </w:style>
  <w:style w:type="paragraph" w:customStyle="1" w:styleId="231">
    <w:name w:val="paragraph"/>
    <w:basedOn w:val="1"/>
    <w:semiHidden/>
    <w:qFormat/>
    <w:uiPriority w:val="0"/>
    <w:pPr>
      <w:widowControl/>
      <w:spacing w:before="100" w:beforeAutospacing="1" w:after="100" w:afterAutospacing="1" w:line="240" w:lineRule="auto"/>
      <w:jc w:val="left"/>
    </w:pPr>
    <w:rPr>
      <w:rFonts w:ascii="等线" w:hAnsi="等线" w:eastAsia="等线"/>
      <w:kern w:val="0"/>
      <w:sz w:val="24"/>
    </w:rPr>
  </w:style>
  <w:style w:type="character" w:customStyle="1" w:styleId="232">
    <w:name w:val="未处理的提及2"/>
    <w:unhideWhenUsed/>
    <w:qFormat/>
    <w:uiPriority w:val="99"/>
    <w:rPr>
      <w:color w:val="605E5C"/>
      <w:shd w:val="clear" w:color="auto" w:fill="E1DFDD"/>
    </w:rPr>
  </w:style>
  <w:style w:type="character" w:customStyle="1" w:styleId="233">
    <w:name w:val="正文文本首行缩进 字符"/>
    <w:qFormat/>
    <w:uiPriority w:val="99"/>
    <w:rPr>
      <w:rFonts w:ascii="Times New Roman" w:hAnsi="Times New Roman" w:eastAsia="宋体"/>
      <w:color w:val="00B0F0"/>
      <w:kern w:val="2"/>
      <w:sz w:val="21"/>
      <w:szCs w:val="24"/>
    </w:rPr>
  </w:style>
  <w:style w:type="character" w:customStyle="1" w:styleId="234">
    <w:name w:val="正文首行缩进 Char"/>
    <w:qFormat/>
    <w:uiPriority w:val="0"/>
    <w:rPr>
      <w:color w:val="00B0F0"/>
      <w:kern w:val="2"/>
      <w:sz w:val="21"/>
      <w:szCs w:val="24"/>
    </w:rPr>
  </w:style>
  <w:style w:type="paragraph" w:customStyle="1" w:styleId="235">
    <w:name w:val="表内文"/>
    <w:basedOn w:val="1"/>
    <w:link w:val="236"/>
    <w:qFormat/>
    <w:uiPriority w:val="0"/>
    <w:pPr>
      <w:autoSpaceDE w:val="0"/>
      <w:autoSpaceDN w:val="0"/>
      <w:spacing w:line="240" w:lineRule="auto"/>
      <w:jc w:val="center"/>
    </w:pPr>
    <w:rPr>
      <w:color w:val="000000"/>
      <w:kern w:val="0"/>
      <w:sz w:val="15"/>
      <w:szCs w:val="15"/>
    </w:rPr>
  </w:style>
  <w:style w:type="character" w:customStyle="1" w:styleId="236">
    <w:name w:val="表内文 字符"/>
    <w:link w:val="235"/>
    <w:qFormat/>
    <w:uiPriority w:val="0"/>
    <w:rPr>
      <w:color w:val="000000"/>
      <w:sz w:val="15"/>
      <w:szCs w:val="15"/>
    </w:rPr>
  </w:style>
  <w:style w:type="paragraph" w:customStyle="1" w:styleId="237">
    <w:name w:val="xl41"/>
    <w:basedOn w:val="1"/>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238">
    <w:name w:val="列项——（一级）"/>
    <w:qFormat/>
    <w:uiPriority w:val="0"/>
    <w:pPr>
      <w:widowControl w:val="0"/>
      <w:numPr>
        <w:ilvl w:val="0"/>
        <w:numId w:val="5"/>
      </w:numPr>
      <w:jc w:val="both"/>
    </w:pPr>
    <w:rPr>
      <w:rFonts w:ascii="宋体" w:hAnsi="Times New Roman" w:eastAsia="宋体" w:cs="Times New Roman"/>
      <w:sz w:val="21"/>
      <w:szCs w:val="21"/>
      <w:lang w:val="en-US" w:eastAsia="zh-CN" w:bidi="ar-SA"/>
    </w:rPr>
  </w:style>
  <w:style w:type="paragraph" w:customStyle="1" w:styleId="239">
    <w:name w:val="三级标题标题无缩进"/>
    <w:basedOn w:val="1"/>
    <w:qFormat/>
    <w:uiPriority w:val="0"/>
    <w:pPr>
      <w:snapToGrid w:val="0"/>
      <w:spacing w:line="400" w:lineRule="exact"/>
    </w:pPr>
    <w:rPr>
      <w:sz w:val="28"/>
    </w:rPr>
  </w:style>
  <w:style w:type="paragraph" w:customStyle="1" w:styleId="240">
    <w:name w:val="1标"/>
    <w:basedOn w:val="3"/>
    <w:link w:val="241"/>
    <w:qFormat/>
    <w:uiPriority w:val="0"/>
    <w:pPr>
      <w:keepNext/>
      <w:keepLines/>
      <w:numPr>
        <w:numId w:val="0"/>
      </w:numPr>
      <w:adjustRightInd w:val="0"/>
      <w:snapToGrid w:val="0"/>
      <w:spacing w:before="0"/>
    </w:pPr>
    <w:rPr>
      <w:szCs w:val="28"/>
    </w:rPr>
  </w:style>
  <w:style w:type="character" w:customStyle="1" w:styleId="241">
    <w:name w:val="1标 字符"/>
    <w:link w:val="240"/>
    <w:qFormat/>
    <w:uiPriority w:val="0"/>
    <w:rPr>
      <w:rFonts w:eastAsia="黑体"/>
      <w:bCs/>
      <w:kern w:val="44"/>
      <w:sz w:val="28"/>
      <w:szCs w:val="28"/>
    </w:rPr>
  </w:style>
  <w:style w:type="paragraph" w:customStyle="1" w:styleId="242">
    <w:name w:val="2标"/>
    <w:basedOn w:val="4"/>
    <w:link w:val="243"/>
    <w:qFormat/>
    <w:uiPriority w:val="0"/>
    <w:pPr>
      <w:keepNext/>
      <w:keepLines/>
      <w:numPr>
        <w:ilvl w:val="0"/>
        <w:numId w:val="0"/>
      </w:numPr>
      <w:tabs>
        <w:tab w:val="clear" w:pos="794"/>
      </w:tabs>
      <w:adjustRightInd w:val="0"/>
    </w:pPr>
    <w:rPr>
      <w:szCs w:val="22"/>
    </w:rPr>
  </w:style>
  <w:style w:type="character" w:customStyle="1" w:styleId="243">
    <w:name w:val="2标 字符"/>
    <w:link w:val="242"/>
    <w:qFormat/>
    <w:uiPriority w:val="0"/>
    <w:rPr>
      <w:rFonts w:eastAsia="黑体"/>
      <w:bCs/>
      <w:kern w:val="2"/>
      <w:sz w:val="21"/>
      <w:szCs w:val="22"/>
    </w:rPr>
  </w:style>
  <w:style w:type="paragraph" w:customStyle="1" w:styleId="244">
    <w:name w:val="1.0.1"/>
    <w:basedOn w:val="1"/>
    <w:link w:val="245"/>
    <w:qFormat/>
    <w:uiPriority w:val="0"/>
    <w:pPr>
      <w:numPr>
        <w:ilvl w:val="0"/>
        <w:numId w:val="6"/>
      </w:numPr>
      <w:spacing w:line="300" w:lineRule="auto"/>
    </w:pPr>
    <w:rPr>
      <w:rFonts w:ascii="宋体" w:hAnsi="等线"/>
      <w:sz w:val="28"/>
      <w:szCs w:val="22"/>
    </w:rPr>
  </w:style>
  <w:style w:type="character" w:customStyle="1" w:styleId="245">
    <w:name w:val="1.0.1 字符"/>
    <w:link w:val="244"/>
    <w:qFormat/>
    <w:uiPriority w:val="0"/>
    <w:rPr>
      <w:rFonts w:ascii="宋体" w:hAnsi="等线"/>
      <w:kern w:val="2"/>
      <w:sz w:val="28"/>
      <w:szCs w:val="22"/>
    </w:rPr>
  </w:style>
  <w:style w:type="paragraph" w:customStyle="1" w:styleId="246">
    <w:name w:val="2.0.1"/>
    <w:basedOn w:val="244"/>
    <w:link w:val="247"/>
    <w:qFormat/>
    <w:uiPriority w:val="0"/>
    <w:pPr>
      <w:numPr>
        <w:numId w:val="7"/>
      </w:numPr>
    </w:pPr>
  </w:style>
  <w:style w:type="character" w:customStyle="1" w:styleId="247">
    <w:name w:val="2.0.1 字符"/>
    <w:link w:val="246"/>
    <w:qFormat/>
    <w:uiPriority w:val="0"/>
    <w:rPr>
      <w:rFonts w:ascii="宋体" w:hAnsi="等线"/>
      <w:kern w:val="2"/>
      <w:sz w:val="28"/>
      <w:szCs w:val="22"/>
    </w:rPr>
  </w:style>
  <w:style w:type="paragraph" w:customStyle="1" w:styleId="248">
    <w:name w:val="表格样式"/>
    <w:basedOn w:val="22"/>
    <w:link w:val="249"/>
    <w:qFormat/>
    <w:uiPriority w:val="0"/>
    <w:pPr>
      <w:spacing w:line="240" w:lineRule="auto"/>
      <w:jc w:val="left"/>
    </w:pPr>
    <w:rPr>
      <w:rFonts w:ascii="宋体" w:hAnsi="等线 Light" w:eastAsia="宋体" w:cs="Times New Roman"/>
      <w:sz w:val="21"/>
    </w:rPr>
  </w:style>
  <w:style w:type="character" w:customStyle="1" w:styleId="249">
    <w:name w:val="表格样式 字符"/>
    <w:link w:val="248"/>
    <w:qFormat/>
    <w:uiPriority w:val="0"/>
    <w:rPr>
      <w:rFonts w:ascii="宋体" w:hAnsi="等线 Light"/>
      <w:kern w:val="2"/>
      <w:sz w:val="21"/>
    </w:rPr>
  </w:style>
  <w:style w:type="table" w:customStyle="1" w:styleId="250">
    <w:name w:val="Table Normal2"/>
    <w:unhideWhenUsed/>
    <w:qFormat/>
    <w:uiPriority w:val="0"/>
    <w:rPr>
      <w:rFonts w:ascii="Arial" w:hAnsi="Arial" w:eastAsia="等线" w:cs="Arial"/>
      <w:snapToGrid w:val="0"/>
      <w:color w:val="000000"/>
      <w:sz w:val="21"/>
      <w:szCs w:val="21"/>
    </w:rPr>
    <w:tblPr>
      <w:tblCellMar>
        <w:top w:w="0" w:type="dxa"/>
        <w:left w:w="0" w:type="dxa"/>
        <w:bottom w:w="0" w:type="dxa"/>
        <w:right w:w="0" w:type="dxa"/>
      </w:tblCellMar>
    </w:tblPr>
  </w:style>
  <w:style w:type="table" w:customStyle="1" w:styleId="251">
    <w:name w:val="网格型2"/>
    <w:basedOn w:val="88"/>
    <w:qFormat/>
    <w:uiPriority w:val="39"/>
    <w:rPr>
      <w:rFonts w:ascii="Arial" w:hAnsi="Arial" w:eastAsia="等线" w:cs="Arial"/>
      <w:snapToGrid w:val="0"/>
      <w:color w:val="000000"/>
      <w:sz w:val="21"/>
      <w:szCs w:val="21"/>
    </w:rPr>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customStyle="1" w:styleId="252">
    <w:name w:val="超链接3"/>
    <w:unhideWhenUsed/>
    <w:qFormat/>
    <w:uiPriority w:val="99"/>
    <w:rPr>
      <w:color w:val="0563C1"/>
      <w:u w:val="single"/>
    </w:rPr>
  </w:style>
  <w:style w:type="table" w:customStyle="1" w:styleId="253">
    <w:name w:val="Table Normal11"/>
    <w:unhideWhenUsed/>
    <w:qFormat/>
    <w:uiPriority w:val="0"/>
    <w:rPr>
      <w:rFonts w:ascii="等线" w:hAnsi="等线" w:eastAsia="等线"/>
      <w:snapToGrid w:val="0"/>
      <w:color w:val="000000"/>
      <w:kern w:val="2"/>
      <w:sz w:val="21"/>
      <w:szCs w:val="21"/>
    </w:rPr>
    <w:tblPr>
      <w:tblCellMar>
        <w:top w:w="0" w:type="dxa"/>
        <w:left w:w="0" w:type="dxa"/>
        <w:bottom w:w="0" w:type="dxa"/>
        <w:right w:w="0" w:type="dxa"/>
      </w:tblCellMar>
    </w:tblPr>
  </w:style>
  <w:style w:type="table" w:customStyle="1" w:styleId="254">
    <w:name w:val="网格型11"/>
    <w:basedOn w:val="88"/>
    <w:qFormat/>
    <w:uiPriority w:val="39"/>
    <w:rPr>
      <w:rFonts w:ascii="等线" w:hAnsi="等线" w:eastAsia="等线"/>
      <w:snapToGrid w:val="0"/>
      <w:color w:val="000000"/>
      <w:kern w:val="2"/>
      <w:sz w:val="21"/>
      <w:szCs w:val="21"/>
    </w:rPr>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paragraph" w:customStyle="1" w:styleId="255">
    <w:name w:val="TOC 11"/>
    <w:basedOn w:val="1"/>
    <w:next w:val="1"/>
    <w:unhideWhenUsed/>
    <w:qFormat/>
    <w:uiPriority w:val="39"/>
    <w:pPr>
      <w:widowControl/>
      <w:kinsoku w:val="0"/>
      <w:autoSpaceDE w:val="0"/>
      <w:autoSpaceDN w:val="0"/>
      <w:adjustRightInd w:val="0"/>
      <w:snapToGrid w:val="0"/>
      <w:spacing w:before="120" w:after="120" w:line="312" w:lineRule="auto"/>
      <w:textAlignment w:val="baseline"/>
    </w:pPr>
    <w:rPr>
      <w:rFonts w:ascii="等线" w:hAnsi="Arial" w:eastAsia="等线" w:cs="Arial"/>
      <w:b/>
      <w:bCs/>
      <w:caps/>
      <w:snapToGrid w:val="0"/>
      <w:color w:val="000000"/>
      <w:kern w:val="0"/>
      <w:sz w:val="20"/>
      <w:szCs w:val="20"/>
    </w:rPr>
  </w:style>
  <w:style w:type="paragraph" w:customStyle="1" w:styleId="256">
    <w:name w:val="TOC 21"/>
    <w:basedOn w:val="1"/>
    <w:next w:val="1"/>
    <w:unhideWhenUsed/>
    <w:qFormat/>
    <w:uiPriority w:val="39"/>
    <w:pPr>
      <w:widowControl/>
      <w:kinsoku w:val="0"/>
      <w:autoSpaceDE w:val="0"/>
      <w:autoSpaceDN w:val="0"/>
      <w:adjustRightInd w:val="0"/>
      <w:snapToGrid w:val="0"/>
      <w:spacing w:line="312" w:lineRule="auto"/>
      <w:ind w:left="200"/>
      <w:textAlignment w:val="baseline"/>
    </w:pPr>
    <w:rPr>
      <w:rFonts w:ascii="等线" w:hAnsi="Arial" w:eastAsia="等线" w:cs="Arial"/>
      <w:smallCaps/>
      <w:snapToGrid w:val="0"/>
      <w:color w:val="000000"/>
      <w:kern w:val="0"/>
      <w:sz w:val="20"/>
      <w:szCs w:val="20"/>
    </w:rPr>
  </w:style>
  <w:style w:type="paragraph" w:customStyle="1" w:styleId="257">
    <w:name w:val="TOC 31"/>
    <w:basedOn w:val="1"/>
    <w:next w:val="1"/>
    <w:unhideWhenUsed/>
    <w:qFormat/>
    <w:uiPriority w:val="39"/>
    <w:pPr>
      <w:widowControl/>
      <w:kinsoku w:val="0"/>
      <w:autoSpaceDE w:val="0"/>
      <w:autoSpaceDN w:val="0"/>
      <w:adjustRightInd w:val="0"/>
      <w:snapToGrid w:val="0"/>
      <w:spacing w:line="312" w:lineRule="auto"/>
      <w:ind w:left="400"/>
      <w:textAlignment w:val="baseline"/>
    </w:pPr>
    <w:rPr>
      <w:rFonts w:ascii="等线" w:hAnsi="Arial" w:eastAsia="等线" w:cs="Arial"/>
      <w:i/>
      <w:iCs/>
      <w:snapToGrid w:val="0"/>
      <w:color w:val="000000"/>
      <w:kern w:val="0"/>
      <w:sz w:val="20"/>
      <w:szCs w:val="20"/>
    </w:rPr>
  </w:style>
  <w:style w:type="paragraph" w:customStyle="1" w:styleId="258">
    <w:name w:val="TOC 41"/>
    <w:basedOn w:val="1"/>
    <w:next w:val="1"/>
    <w:unhideWhenUsed/>
    <w:qFormat/>
    <w:uiPriority w:val="39"/>
    <w:pPr>
      <w:widowControl/>
      <w:kinsoku w:val="0"/>
      <w:autoSpaceDE w:val="0"/>
      <w:autoSpaceDN w:val="0"/>
      <w:adjustRightInd w:val="0"/>
      <w:snapToGrid w:val="0"/>
      <w:spacing w:line="312" w:lineRule="auto"/>
      <w:ind w:left="600"/>
      <w:textAlignment w:val="baseline"/>
    </w:pPr>
    <w:rPr>
      <w:rFonts w:ascii="等线" w:hAnsi="Arial" w:eastAsia="等线" w:cs="Arial"/>
      <w:snapToGrid w:val="0"/>
      <w:color w:val="000000"/>
      <w:kern w:val="0"/>
      <w:sz w:val="18"/>
      <w:szCs w:val="18"/>
    </w:rPr>
  </w:style>
  <w:style w:type="paragraph" w:customStyle="1" w:styleId="259">
    <w:name w:val="TOC 51"/>
    <w:basedOn w:val="1"/>
    <w:next w:val="1"/>
    <w:unhideWhenUsed/>
    <w:qFormat/>
    <w:uiPriority w:val="39"/>
    <w:pPr>
      <w:widowControl/>
      <w:kinsoku w:val="0"/>
      <w:autoSpaceDE w:val="0"/>
      <w:autoSpaceDN w:val="0"/>
      <w:adjustRightInd w:val="0"/>
      <w:snapToGrid w:val="0"/>
      <w:spacing w:line="312" w:lineRule="auto"/>
      <w:ind w:left="800"/>
      <w:textAlignment w:val="baseline"/>
    </w:pPr>
    <w:rPr>
      <w:rFonts w:ascii="等线" w:hAnsi="Arial" w:eastAsia="等线" w:cs="Arial"/>
      <w:snapToGrid w:val="0"/>
      <w:color w:val="000000"/>
      <w:kern w:val="0"/>
      <w:sz w:val="18"/>
      <w:szCs w:val="18"/>
    </w:rPr>
  </w:style>
  <w:style w:type="paragraph" w:customStyle="1" w:styleId="260">
    <w:name w:val="TOC 61"/>
    <w:basedOn w:val="1"/>
    <w:next w:val="1"/>
    <w:unhideWhenUsed/>
    <w:qFormat/>
    <w:uiPriority w:val="39"/>
    <w:pPr>
      <w:widowControl/>
      <w:kinsoku w:val="0"/>
      <w:autoSpaceDE w:val="0"/>
      <w:autoSpaceDN w:val="0"/>
      <w:adjustRightInd w:val="0"/>
      <w:snapToGrid w:val="0"/>
      <w:spacing w:line="312" w:lineRule="auto"/>
      <w:ind w:left="1000"/>
      <w:textAlignment w:val="baseline"/>
    </w:pPr>
    <w:rPr>
      <w:rFonts w:ascii="等线" w:hAnsi="Arial" w:eastAsia="等线" w:cs="Arial"/>
      <w:snapToGrid w:val="0"/>
      <w:color w:val="000000"/>
      <w:kern w:val="0"/>
      <w:sz w:val="18"/>
      <w:szCs w:val="18"/>
    </w:rPr>
  </w:style>
  <w:style w:type="paragraph" w:customStyle="1" w:styleId="261">
    <w:name w:val="TOC 71"/>
    <w:basedOn w:val="1"/>
    <w:next w:val="1"/>
    <w:unhideWhenUsed/>
    <w:qFormat/>
    <w:uiPriority w:val="39"/>
    <w:pPr>
      <w:widowControl/>
      <w:kinsoku w:val="0"/>
      <w:autoSpaceDE w:val="0"/>
      <w:autoSpaceDN w:val="0"/>
      <w:adjustRightInd w:val="0"/>
      <w:snapToGrid w:val="0"/>
      <w:spacing w:line="312" w:lineRule="auto"/>
      <w:ind w:left="1200"/>
      <w:textAlignment w:val="baseline"/>
    </w:pPr>
    <w:rPr>
      <w:rFonts w:ascii="等线" w:hAnsi="Arial" w:eastAsia="等线" w:cs="Arial"/>
      <w:snapToGrid w:val="0"/>
      <w:color w:val="000000"/>
      <w:kern w:val="0"/>
      <w:sz w:val="18"/>
      <w:szCs w:val="18"/>
    </w:rPr>
  </w:style>
  <w:style w:type="paragraph" w:customStyle="1" w:styleId="262">
    <w:name w:val="TOC 81"/>
    <w:basedOn w:val="1"/>
    <w:next w:val="1"/>
    <w:unhideWhenUsed/>
    <w:qFormat/>
    <w:uiPriority w:val="39"/>
    <w:pPr>
      <w:widowControl/>
      <w:kinsoku w:val="0"/>
      <w:autoSpaceDE w:val="0"/>
      <w:autoSpaceDN w:val="0"/>
      <w:adjustRightInd w:val="0"/>
      <w:snapToGrid w:val="0"/>
      <w:spacing w:line="312" w:lineRule="auto"/>
      <w:ind w:left="1400"/>
      <w:textAlignment w:val="baseline"/>
    </w:pPr>
    <w:rPr>
      <w:rFonts w:ascii="等线" w:hAnsi="Arial" w:eastAsia="等线" w:cs="Arial"/>
      <w:snapToGrid w:val="0"/>
      <w:color w:val="000000"/>
      <w:kern w:val="0"/>
      <w:sz w:val="18"/>
      <w:szCs w:val="18"/>
    </w:rPr>
  </w:style>
  <w:style w:type="paragraph" w:customStyle="1" w:styleId="263">
    <w:name w:val="TOC 91"/>
    <w:basedOn w:val="1"/>
    <w:next w:val="1"/>
    <w:unhideWhenUsed/>
    <w:qFormat/>
    <w:uiPriority w:val="39"/>
    <w:pPr>
      <w:widowControl/>
      <w:kinsoku w:val="0"/>
      <w:autoSpaceDE w:val="0"/>
      <w:autoSpaceDN w:val="0"/>
      <w:adjustRightInd w:val="0"/>
      <w:snapToGrid w:val="0"/>
      <w:spacing w:line="312" w:lineRule="auto"/>
      <w:ind w:left="1600"/>
      <w:textAlignment w:val="baseline"/>
    </w:pPr>
    <w:rPr>
      <w:rFonts w:ascii="等线" w:hAnsi="Arial" w:eastAsia="等线" w:cs="Arial"/>
      <w:snapToGrid w:val="0"/>
      <w:color w:val="000000"/>
      <w:kern w:val="0"/>
      <w:sz w:val="18"/>
      <w:szCs w:val="18"/>
    </w:rPr>
  </w:style>
  <w:style w:type="character" w:customStyle="1" w:styleId="264">
    <w:name w:val="明显参考2"/>
    <w:qFormat/>
    <w:uiPriority w:val="32"/>
    <w:rPr>
      <w:b/>
      <w:bCs/>
      <w:smallCaps/>
      <w:color w:val="5B9BD5"/>
      <w:spacing w:val="5"/>
    </w:rPr>
  </w:style>
  <w:style w:type="paragraph" w:customStyle="1" w:styleId="265">
    <w:name w:val="建议修订"/>
    <w:basedOn w:val="1"/>
    <w:link w:val="266"/>
    <w:qFormat/>
    <w:uiPriority w:val="0"/>
    <w:pPr>
      <w:widowControl/>
      <w:autoSpaceDE w:val="0"/>
      <w:autoSpaceDN w:val="0"/>
      <w:spacing w:line="312" w:lineRule="auto"/>
    </w:pPr>
    <w:rPr>
      <w:rFonts w:ascii="微软雅黑" w:hAnsi="微软雅黑" w:eastAsia="微软雅黑"/>
      <w:color w:val="0000FF"/>
      <w:sz w:val="20"/>
      <w:szCs w:val="28"/>
    </w:rPr>
  </w:style>
  <w:style w:type="character" w:customStyle="1" w:styleId="266">
    <w:name w:val="建议修订 字符"/>
    <w:link w:val="265"/>
    <w:qFormat/>
    <w:uiPriority w:val="0"/>
    <w:rPr>
      <w:rFonts w:ascii="微软雅黑" w:hAnsi="微软雅黑" w:eastAsia="微软雅黑"/>
      <w:color w:val="0000FF"/>
      <w:kern w:val="2"/>
      <w:szCs w:val="28"/>
    </w:rPr>
  </w:style>
  <w:style w:type="paragraph" w:customStyle="1" w:styleId="267">
    <w:name w:val="建议新增"/>
    <w:basedOn w:val="1"/>
    <w:link w:val="268"/>
    <w:qFormat/>
    <w:uiPriority w:val="0"/>
    <w:pPr>
      <w:widowControl/>
      <w:kinsoku w:val="0"/>
      <w:autoSpaceDE w:val="0"/>
      <w:autoSpaceDN w:val="0"/>
      <w:adjustRightInd w:val="0"/>
      <w:spacing w:line="312" w:lineRule="auto"/>
      <w:textAlignment w:val="baseline"/>
    </w:pPr>
    <w:rPr>
      <w:rFonts w:ascii="微软雅黑" w:hAnsi="微软雅黑" w:eastAsia="微软雅黑"/>
      <w:color w:val="00B050"/>
      <w:sz w:val="20"/>
      <w:szCs w:val="28"/>
    </w:rPr>
  </w:style>
  <w:style w:type="character" w:customStyle="1" w:styleId="268">
    <w:name w:val="建议新增 字符"/>
    <w:link w:val="267"/>
    <w:qFormat/>
    <w:uiPriority w:val="0"/>
    <w:rPr>
      <w:rFonts w:ascii="微软雅黑" w:hAnsi="微软雅黑" w:eastAsia="微软雅黑"/>
      <w:color w:val="00B050"/>
      <w:kern w:val="2"/>
      <w:szCs w:val="28"/>
    </w:rPr>
  </w:style>
  <w:style w:type="paragraph" w:customStyle="1" w:styleId="269">
    <w:name w:val="建议删除"/>
    <w:basedOn w:val="1"/>
    <w:link w:val="270"/>
    <w:qFormat/>
    <w:uiPriority w:val="0"/>
    <w:pPr>
      <w:widowControl/>
      <w:autoSpaceDE w:val="0"/>
      <w:autoSpaceDN w:val="0"/>
      <w:spacing w:line="312" w:lineRule="auto"/>
    </w:pPr>
    <w:rPr>
      <w:rFonts w:ascii="微软雅黑" w:hAnsi="微软雅黑" w:eastAsia="微软雅黑" w:cs="宋体"/>
      <w:snapToGrid w:val="0"/>
      <w:color w:val="FF0000"/>
      <w:spacing w:val="3"/>
      <w:kern w:val="0"/>
      <w:sz w:val="20"/>
      <w:szCs w:val="20"/>
    </w:rPr>
  </w:style>
  <w:style w:type="character" w:customStyle="1" w:styleId="270">
    <w:name w:val="建议删除 字符"/>
    <w:link w:val="269"/>
    <w:qFormat/>
    <w:uiPriority w:val="0"/>
    <w:rPr>
      <w:rFonts w:ascii="微软雅黑" w:hAnsi="微软雅黑" w:eastAsia="微软雅黑" w:cs="宋体"/>
      <w:snapToGrid/>
      <w:color w:val="FF0000"/>
      <w:spacing w:val="3"/>
      <w:lang w:val="en-US" w:eastAsia="zh-CN"/>
    </w:rPr>
  </w:style>
  <w:style w:type="character" w:customStyle="1" w:styleId="271">
    <w:name w:val="明显参考3"/>
    <w:qFormat/>
    <w:uiPriority w:val="32"/>
    <w:rPr>
      <w:b/>
      <w:bCs/>
      <w:smallCaps/>
      <w:color w:val="4472C4"/>
      <w:spacing w:val="5"/>
    </w:rPr>
  </w:style>
  <w:style w:type="character" w:customStyle="1" w:styleId="272">
    <w:name w:val="标题 9 字符"/>
    <w:qFormat/>
    <w:uiPriority w:val="0"/>
    <w:rPr>
      <w:rFonts w:hint="default" w:ascii="Arial" w:hAnsi="Arial" w:cs="Arial"/>
      <w:kern w:val="2"/>
      <w:sz w:val="21"/>
      <w:szCs w:val="21"/>
    </w:rPr>
  </w:style>
  <w:style w:type="character" w:customStyle="1" w:styleId="273">
    <w:name w:val="标题 3 Char"/>
    <w:qFormat/>
    <w:uiPriority w:val="9"/>
    <w:rPr>
      <w:bCs/>
      <w:kern w:val="2"/>
      <w:sz w:val="21"/>
      <w:szCs w:val="24"/>
    </w:rPr>
  </w:style>
  <w:style w:type="character" w:customStyle="1" w:styleId="274">
    <w:name w:val="标题 5 Char"/>
    <w:qFormat/>
    <w:uiPriority w:val="9"/>
    <w:rPr>
      <w:bCs/>
      <w:color w:val="AC8300"/>
      <w:kern w:val="2"/>
      <w:sz w:val="21"/>
      <w:szCs w:val="28"/>
    </w:rPr>
  </w:style>
  <w:style w:type="character" w:customStyle="1" w:styleId="275">
    <w:name w:val="标题 6 Char"/>
    <w:qFormat/>
    <w:uiPriority w:val="0"/>
    <w:rPr>
      <w:bCs/>
      <w:color w:val="C00000"/>
      <w:kern w:val="2"/>
      <w:sz w:val="21"/>
      <w:szCs w:val="24"/>
    </w:rPr>
  </w:style>
  <w:style w:type="character" w:customStyle="1" w:styleId="276">
    <w:name w:val="标题 7 Char"/>
    <w:qFormat/>
    <w:uiPriority w:val="0"/>
    <w:rPr>
      <w:bCs/>
      <w:color w:val="7030A0"/>
      <w:kern w:val="2"/>
      <w:sz w:val="21"/>
      <w:szCs w:val="24"/>
    </w:rPr>
  </w:style>
  <w:style w:type="character" w:customStyle="1" w:styleId="277">
    <w:name w:val="标题 Char"/>
    <w:qFormat/>
    <w:uiPriority w:val="0"/>
    <w:rPr>
      <w:rFonts w:ascii="Cambria" w:hAnsi="Cambria" w:eastAsia="黑体"/>
      <w:bCs/>
      <w:kern w:val="2"/>
      <w:sz w:val="36"/>
      <w:szCs w:val="32"/>
    </w:rPr>
  </w:style>
  <w:style w:type="paragraph" w:customStyle="1" w:styleId="278">
    <w:name w:val="_Style 273"/>
    <w:basedOn w:val="1"/>
    <w:qFormat/>
    <w:uiPriority w:val="0"/>
    <w:rPr>
      <w:color w:val="000000"/>
    </w:rPr>
  </w:style>
  <w:style w:type="character" w:customStyle="1" w:styleId="279">
    <w:name w:val="正文文本 Char"/>
    <w:qFormat/>
    <w:uiPriority w:val="0"/>
    <w:rPr>
      <w:kern w:val="2"/>
      <w:sz w:val="24"/>
      <w:szCs w:val="24"/>
    </w:rPr>
  </w:style>
  <w:style w:type="character" w:customStyle="1" w:styleId="280">
    <w:name w:val="正文文本缩进 Char"/>
    <w:qFormat/>
    <w:uiPriority w:val="0"/>
    <w:rPr>
      <w:kern w:val="2"/>
      <w:sz w:val="24"/>
      <w:szCs w:val="24"/>
    </w:rPr>
  </w:style>
  <w:style w:type="character" w:customStyle="1" w:styleId="281">
    <w:name w:val="正文文本缩进 3 Char"/>
    <w:qFormat/>
    <w:uiPriority w:val="0"/>
    <w:rPr>
      <w:kern w:val="2"/>
      <w:sz w:val="16"/>
    </w:rPr>
  </w:style>
  <w:style w:type="character" w:customStyle="1" w:styleId="282">
    <w:name w:val="日期 Char"/>
    <w:qFormat/>
    <w:uiPriority w:val="0"/>
    <w:rPr>
      <w:rFonts w:ascii="宋体"/>
      <w:sz w:val="28"/>
    </w:rPr>
  </w:style>
  <w:style w:type="character" w:customStyle="1" w:styleId="283">
    <w:name w:val="正文文本 2 Char"/>
    <w:qFormat/>
    <w:uiPriority w:val="0"/>
    <w:rPr>
      <w:kern w:val="2"/>
      <w:sz w:val="21"/>
    </w:rPr>
  </w:style>
  <w:style w:type="character" w:customStyle="1" w:styleId="284">
    <w:name w:val="称呼 Char"/>
    <w:qFormat/>
    <w:uiPriority w:val="0"/>
    <w:rPr>
      <w:rFonts w:ascii="宋体" w:hAnsi="Arial"/>
      <w:sz w:val="24"/>
    </w:rPr>
  </w:style>
  <w:style w:type="character" w:customStyle="1" w:styleId="285">
    <w:name w:val="纯文本 Char"/>
    <w:qFormat/>
    <w:uiPriority w:val="0"/>
    <w:rPr>
      <w:rFonts w:ascii="宋体" w:hAnsi="Courier New"/>
      <w:kern w:val="2"/>
      <w:sz w:val="21"/>
    </w:rPr>
  </w:style>
  <w:style w:type="character" w:customStyle="1" w:styleId="286">
    <w:name w:val="正文文本缩进 2 Char"/>
    <w:qFormat/>
    <w:uiPriority w:val="0"/>
    <w:rPr>
      <w:kern w:val="2"/>
      <w:sz w:val="21"/>
    </w:rPr>
  </w:style>
  <w:style w:type="character" w:customStyle="1" w:styleId="287">
    <w:name w:val="信息标题 Char"/>
    <w:qFormat/>
    <w:uiPriority w:val="0"/>
    <w:rPr>
      <w:rFonts w:ascii="Arial" w:hAnsi="Arial"/>
      <w:kern w:val="2"/>
      <w:sz w:val="24"/>
      <w:szCs w:val="24"/>
      <w:shd w:val="pct20" w:color="auto" w:fill="auto"/>
      <w:lang w:val="en-US" w:eastAsia="zh-CN"/>
    </w:rPr>
  </w:style>
  <w:style w:type="character" w:customStyle="1" w:styleId="288">
    <w:name w:val="签名 Char"/>
    <w:qFormat/>
    <w:uiPriority w:val="0"/>
    <w:rPr>
      <w:sz w:val="24"/>
      <w:szCs w:val="24"/>
    </w:rPr>
  </w:style>
  <w:style w:type="character" w:customStyle="1" w:styleId="289">
    <w:name w:val="正文文本 3 Char"/>
    <w:qFormat/>
    <w:uiPriority w:val="0"/>
    <w:rPr>
      <w:rFonts w:ascii="Plotter" w:hAnsi="Plotter"/>
      <w:bCs/>
      <w:color w:val="0000FF"/>
      <w:kern w:val="6"/>
      <w:sz w:val="18"/>
      <w:szCs w:val="21"/>
    </w:rPr>
  </w:style>
  <w:style w:type="character" w:customStyle="1" w:styleId="290">
    <w:name w:val="注释标题 Char"/>
    <w:qFormat/>
    <w:uiPriority w:val="0"/>
  </w:style>
  <w:style w:type="character" w:customStyle="1" w:styleId="291">
    <w:name w:val="电子邮件签名 Char"/>
    <w:qFormat/>
    <w:uiPriority w:val="0"/>
  </w:style>
  <w:style w:type="character" w:customStyle="1" w:styleId="292">
    <w:name w:val="结束语 Char"/>
    <w:qFormat/>
    <w:uiPriority w:val="0"/>
  </w:style>
  <w:style w:type="character" w:customStyle="1" w:styleId="293">
    <w:name w:val="HTML 地址 Char"/>
    <w:qFormat/>
    <w:uiPriority w:val="0"/>
    <w:rPr>
      <w:i/>
      <w:iCs/>
    </w:rPr>
  </w:style>
  <w:style w:type="character" w:customStyle="1" w:styleId="294">
    <w:name w:val="正文首行缩进 2 Char"/>
    <w:qFormat/>
    <w:uiPriority w:val="0"/>
    <w:rPr>
      <w:kern w:val="2"/>
      <w:sz w:val="28"/>
      <w:szCs w:val="24"/>
    </w:rPr>
  </w:style>
  <w:style w:type="character" w:customStyle="1" w:styleId="295">
    <w:name w:val="副标题 Char"/>
    <w:qFormat/>
    <w:uiPriority w:val="0"/>
    <w:rPr>
      <w:rFonts w:ascii="Arial" w:hAnsi="Arial"/>
      <w:b/>
      <w:bCs/>
      <w:kern w:val="28"/>
      <w:sz w:val="32"/>
      <w:szCs w:val="32"/>
    </w:rPr>
  </w:style>
  <w:style w:type="character" w:customStyle="1" w:styleId="296">
    <w:name w:val="HTML 预设格式 Char"/>
    <w:qFormat/>
    <w:uiPriority w:val="0"/>
    <w:rPr>
      <w:rFonts w:ascii="Courier New" w:hAnsi="Courier New"/>
    </w:rPr>
  </w:style>
  <w:style w:type="character" w:customStyle="1" w:styleId="297">
    <w:name w:val="引用 Char"/>
    <w:qFormat/>
    <w:uiPriority w:val="0"/>
    <w:rPr>
      <w:rFonts w:ascii="ˎ̥" w:hAnsi="ˎ̥" w:cs="宋体"/>
      <w:i/>
      <w:iCs/>
      <w:color w:val="000000"/>
      <w:kern w:val="2"/>
      <w:sz w:val="24"/>
      <w:szCs w:val="21"/>
    </w:rPr>
  </w:style>
  <w:style w:type="character" w:customStyle="1" w:styleId="298">
    <w:name w:val="明显引用 Char"/>
    <w:qFormat/>
    <w:uiPriority w:val="30"/>
    <w:rPr>
      <w:rFonts w:eastAsia="仿宋" w:cs="宋体"/>
      <w:b/>
      <w:bCs/>
      <w:i/>
      <w:iCs/>
      <w:color w:val="4F81BD"/>
      <w:kern w:val="2"/>
      <w:sz w:val="28"/>
    </w:rPr>
  </w:style>
  <w:style w:type="character" w:customStyle="1" w:styleId="299">
    <w:name w:val="z-窗体底端 Char"/>
    <w:qFormat/>
    <w:uiPriority w:val="0"/>
    <w:rPr>
      <w:rFonts w:ascii="Arial" w:hAnsi="Arial" w:cs="Arial"/>
      <w:vanish/>
      <w:spacing w:val="-20"/>
      <w:kern w:val="2"/>
      <w:sz w:val="16"/>
      <w:szCs w:val="16"/>
    </w:rPr>
  </w:style>
  <w:style w:type="character" w:customStyle="1" w:styleId="300">
    <w:name w:val="z-窗体顶端 Char"/>
    <w:qFormat/>
    <w:uiPriority w:val="0"/>
    <w:rPr>
      <w:rFonts w:ascii="Arial" w:hAnsi="Arial" w:cs="Arial"/>
      <w:vanish/>
      <w:spacing w:val="-20"/>
      <w:kern w:val="2"/>
      <w:sz w:val="16"/>
      <w:szCs w:val="16"/>
    </w:rPr>
  </w:style>
  <w:style w:type="paragraph" w:customStyle="1" w:styleId="301">
    <w:name w:val="标准文件_二级条标题"/>
    <w:next w:val="1"/>
    <w:qFormat/>
    <w:uiPriority w:val="0"/>
    <w:pPr>
      <w:widowControl w:val="0"/>
      <w:spacing w:before="120" w:beforeLines="50" w:after="120" w:afterLines="50"/>
      <w:jc w:val="both"/>
      <w:outlineLvl w:val="2"/>
    </w:pPr>
    <w:rPr>
      <w:rFonts w:ascii="黑体" w:hAnsi="Times New Roman" w:eastAsia="黑体" w:cs="Times New Roman"/>
      <w:sz w:val="21"/>
      <w:lang w:val="en-US" w:eastAsia="zh-CN" w:bidi="ar-SA"/>
    </w:rPr>
  </w:style>
  <w:style w:type="paragraph" w:customStyle="1" w:styleId="302">
    <w:name w:val="标准文件_三级条标题"/>
    <w:basedOn w:val="301"/>
    <w:next w:val="1"/>
    <w:qFormat/>
    <w:uiPriority w:val="0"/>
    <w:pPr>
      <w:widowControl/>
      <w:outlineLvl w:val="3"/>
    </w:pPr>
    <w:rPr>
      <w:rFonts w:ascii="宋体" w:hAnsi="宋体" w:eastAsia="宋体"/>
    </w:rPr>
  </w:style>
  <w:style w:type="character" w:customStyle="1" w:styleId="303">
    <w:name w:val="正文文本首行缩进 字符1"/>
    <w:qFormat/>
    <w:uiPriority w:val="0"/>
    <w:rPr>
      <w:color w:val="00B0F0"/>
      <w:kern w:val="2"/>
      <w:sz w:val="21"/>
      <w:szCs w:val="24"/>
    </w:rPr>
  </w:style>
  <w:style w:type="paragraph" w:customStyle="1" w:styleId="304">
    <w:name w:val="_Style 302"/>
    <w:basedOn w:val="1"/>
    <w:next w:val="177"/>
    <w:qFormat/>
    <w:uiPriority w:val="0"/>
    <w:pPr>
      <w:spacing w:line="240" w:lineRule="auto"/>
      <w:ind w:firstLine="420" w:firstLineChars="200"/>
    </w:pPr>
    <w:rPr>
      <w:sz w:val="28"/>
    </w:rPr>
  </w:style>
  <w:style w:type="character" w:customStyle="1" w:styleId="305">
    <w:name w:val="正文文本首行缩进 2 字符"/>
    <w:qFormat/>
    <w:uiPriority w:val="0"/>
    <w:rPr>
      <w:kern w:val="2"/>
      <w:sz w:val="21"/>
      <w:szCs w:val="24"/>
    </w:rPr>
  </w:style>
  <w:style w:type="paragraph" w:customStyle="1" w:styleId="306">
    <w:name w:val="列出段落1"/>
    <w:basedOn w:val="1"/>
    <w:qFormat/>
    <w:uiPriority w:val="34"/>
    <w:pPr>
      <w:ind w:firstLine="420" w:firstLineChars="200"/>
    </w:pPr>
    <w:rPr>
      <w:rFonts w:ascii="Calibri" w:hAnsi="Calibri"/>
    </w:rPr>
  </w:style>
  <w:style w:type="table" w:customStyle="1" w:styleId="307">
    <w:name w:val="网格型 1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8">
    <w:name w:val="网格型3"/>
    <w:basedOn w:val="88"/>
    <w:qFormat/>
    <w:uiPriority w:val="39"/>
    <w:pPr>
      <w:widowControl w:val="0"/>
      <w:jc w:val="center"/>
    </w:pPr>
    <w:rPr>
      <w:rFonts w:ascii="Calibri" w:hAnsi="Calibri"/>
      <w:sz w:val="24"/>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table" w:customStyle="1" w:styleId="309">
    <w:name w:val="表格主题1"/>
    <w:basedOn w:val="8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
    <w:name w:val="彩色型 1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11">
    <w:name w:val="彩色型 3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312">
    <w:name w:val="典雅型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13">
    <w:name w:val="古典型 1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4">
    <w:name w:val="古典型 2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5">
    <w:name w:val="古典型 4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6">
    <w:name w:val="网页型 1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7">
    <w:name w:val="简明型 11"/>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8">
    <w:name w:val="网页型 3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9">
    <w:name w:val="简明型 21"/>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0">
    <w:name w:val="简明型 3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21">
    <w:name w:val="精巧型 11"/>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322">
    <w:name w:val="精巧型 2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3">
    <w:name w:val="列表型 1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4">
    <w:name w:val="列表型 3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25">
    <w:name w:val="列表型 5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26">
    <w:name w:val="列表型 6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7">
    <w:name w:val="网格型 2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28">
    <w:name w:val="网格型 3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9">
    <w:name w:val="网格型 8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0">
    <w:name w:val="网页型 2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31">
    <w:name w:val="专业型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332">
    <w:name w:val="浅色列表 - 着色 5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333">
    <w:name w:val="浅色网格 - 着色 5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334">
    <w:name w:val="中等深浅底纹 2 - 着色 51"/>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335">
    <w:name w:val="中等深浅网格 3 - 着色 1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336">
    <w:name w:val="彩色网格 - 着色 11"/>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337">
    <w:name w:val="网格型 12"/>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8">
    <w:name w:val="网格型4"/>
    <w:basedOn w:val="88"/>
    <w:qFormat/>
    <w:uiPriority w:val="39"/>
    <w:pPr>
      <w:widowControl w:val="0"/>
      <w:jc w:val="center"/>
    </w:pPr>
    <w:rPr>
      <w:rFonts w:ascii="Calibri" w:hAnsi="Calibri"/>
      <w:sz w:val="24"/>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table" w:customStyle="1" w:styleId="339">
    <w:name w:val="表格主题2"/>
    <w:basedOn w:val="8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
    <w:name w:val="彩色型 12"/>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41">
    <w:name w:val="彩色型 32"/>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342">
    <w:name w:val="典雅型2"/>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43">
    <w:name w:val="古典型 12"/>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44">
    <w:name w:val="古典型 22"/>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45">
    <w:name w:val="古典型 42"/>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46">
    <w:name w:val="网页型 12"/>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47">
    <w:name w:val="简明型 12"/>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48">
    <w:name w:val="网页型 32"/>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49">
    <w:name w:val="简明型 22"/>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50">
    <w:name w:val="简明型 32"/>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51">
    <w:name w:val="精巧型 12"/>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352">
    <w:name w:val="精巧型 22"/>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53">
    <w:name w:val="列表型 12"/>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54">
    <w:name w:val="列表型 32"/>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55">
    <w:name w:val="列表型 52"/>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56">
    <w:name w:val="列表型 62"/>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7">
    <w:name w:val="网格型 22"/>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58">
    <w:name w:val="网格型 32"/>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9">
    <w:name w:val="网格型 82"/>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60">
    <w:name w:val="网页型 22"/>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61">
    <w:name w:val="专业型2"/>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362">
    <w:name w:val="浅色列表 - 着色 52"/>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363">
    <w:name w:val="浅色网格 - 着色 52"/>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364">
    <w:name w:val="中等深浅底纹 2 - 着色 52"/>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365">
    <w:name w:val="中等深浅网格 3 - 着色 12"/>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366">
    <w:name w:val="彩色网格 - 着色 12"/>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367">
    <w:name w:val="典雅型3"/>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68">
    <w:name w:val="彩色型 13"/>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blStylePr>
  </w:style>
  <w:style w:type="table" w:customStyle="1" w:styleId="369">
    <w:name w:val="彩色型 33"/>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370">
    <w:name w:val="古典型 13"/>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371">
    <w:name w:val="古典型 43"/>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372">
    <w:name w:val="简明型 13"/>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73">
    <w:name w:val="列表型 33"/>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374">
    <w:name w:val="网格型 13"/>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5">
    <w:name w:val="网格型 23"/>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376">
    <w:name w:val="网格型 33"/>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7">
    <w:name w:val="网格型 83"/>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378">
    <w:name w:val="网页型 13"/>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StylePr>
  </w:style>
  <w:style w:type="table" w:customStyle="1" w:styleId="379">
    <w:name w:val="网页型 23"/>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StylePr>
  </w:style>
  <w:style w:type="table" w:customStyle="1" w:styleId="380">
    <w:name w:val="网页型 33"/>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StylePr>
  </w:style>
  <w:style w:type="table" w:customStyle="1" w:styleId="381">
    <w:name w:val="专业型3"/>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382">
    <w:name w:val="简明型 33"/>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83">
    <w:name w:val="精巧型 13"/>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384">
    <w:name w:val="列表型 53"/>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85">
    <w:name w:val="精巧型 23"/>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6">
    <w:name w:val="列表型 63"/>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7">
    <w:name w:val="古典型 23"/>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88">
    <w:name w:val="列表型 13"/>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9">
    <w:name w:val="简明型 23"/>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0">
    <w:name w:val="浅色列表 - 着色 31"/>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391">
    <w:name w:val="浅色列表 - 着色 53"/>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392">
    <w:name w:val="浅色网格 - 着色 53"/>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393">
    <w:name w:val="中等深浅底纹 2 - 着色 53"/>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394">
    <w:name w:val="中等深浅网格 2 - 着色 1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395">
    <w:name w:val="中等深浅网格 3 - 着色 13"/>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396">
    <w:name w:val="彩色网格 - 着色 13"/>
    <w:basedOn w:val="88"/>
    <w:unhideWhenUsed/>
    <w:qFormat/>
    <w:uiPriority w:val="73"/>
    <w:rPr>
      <w:color w:val="000000"/>
    </w:rPr>
    <w:tblPr>
      <w:tblBorders>
        <w:insideH w:val="single" w:color="FFFFFF" w:sz="4" w:space="0"/>
      </w:tblBorders>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paragraph" w:customStyle="1" w:styleId="397">
    <w:name w:val="_Style 398"/>
    <w:basedOn w:val="1"/>
    <w:next w:val="177"/>
    <w:link w:val="398"/>
    <w:qFormat/>
    <w:uiPriority w:val="0"/>
    <w:pPr>
      <w:spacing w:line="240" w:lineRule="auto"/>
      <w:ind w:firstLine="420" w:firstLineChars="200"/>
    </w:pPr>
    <w:rPr>
      <w:sz w:val="28"/>
    </w:rPr>
  </w:style>
  <w:style w:type="character" w:customStyle="1" w:styleId="398">
    <w:name w:val="正文首行缩进 2 字符"/>
    <w:link w:val="397"/>
    <w:qFormat/>
    <w:uiPriority w:val="0"/>
    <w:rPr>
      <w:kern w:val="2"/>
      <w:sz w:val="28"/>
      <w:szCs w:val="24"/>
    </w:rPr>
  </w:style>
  <w:style w:type="character" w:customStyle="1" w:styleId="399">
    <w:name w:val="正文首行缩进 字符1"/>
    <w:qFormat/>
    <w:uiPriority w:val="0"/>
    <w:rPr>
      <w:color w:val="00B0F0"/>
      <w:kern w:val="2"/>
      <w:sz w:val="21"/>
      <w:szCs w:val="24"/>
    </w:rPr>
  </w:style>
  <w:style w:type="paragraph" w:customStyle="1" w:styleId="400">
    <w:name w:val="_Style 401"/>
    <w:basedOn w:val="1"/>
    <w:next w:val="177"/>
    <w:qFormat/>
    <w:uiPriority w:val="34"/>
    <w:pPr>
      <w:spacing w:line="240" w:lineRule="auto"/>
      <w:ind w:firstLine="420" w:firstLineChars="200"/>
    </w:pPr>
    <w:rPr>
      <w:szCs w:val="20"/>
    </w:rPr>
  </w:style>
  <w:style w:type="paragraph" w:customStyle="1" w:styleId="401">
    <w:name w:val="_Style 402"/>
    <w:basedOn w:val="1"/>
    <w:next w:val="177"/>
    <w:qFormat/>
    <w:uiPriority w:val="34"/>
    <w:pPr>
      <w:spacing w:line="240" w:lineRule="auto"/>
      <w:ind w:firstLine="420" w:firstLineChars="200"/>
    </w:pPr>
    <w:rPr>
      <w:szCs w:val="20"/>
    </w:rPr>
  </w:style>
  <w:style w:type="table" w:customStyle="1" w:styleId="402">
    <w:name w:val="典雅型3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403">
    <w:name w:val="简明型 33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404">
    <w:name w:val="精巧型 13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405">
    <w:name w:val="列表型 53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406">
    <w:name w:val="精巧型 23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7">
    <w:name w:val="列表型 63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8">
    <w:name w:val="古典型 23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409">
    <w:name w:val="列表型 13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10">
    <w:name w:val="简明型 23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11">
    <w:name w:val="浅色列表 - 着色 311"/>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412">
    <w:name w:val="浅色列表 - 着色 531"/>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413">
    <w:name w:val="浅色网格 - 着色 53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414">
    <w:name w:val="中等深浅底纹 2 - 着色 531"/>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415">
    <w:name w:val="中等深浅网格 2 - 着色 11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416">
    <w:name w:val="中等深浅网格 3 - 着色 13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character" w:customStyle="1" w:styleId="417">
    <w:name w:val="正文首行缩进 字符2"/>
    <w:qFormat/>
    <w:uiPriority w:val="0"/>
    <w:rPr>
      <w:color w:val="00B0F0"/>
      <w:kern w:val="2"/>
      <w:sz w:val="21"/>
      <w:szCs w:val="24"/>
    </w:rPr>
  </w:style>
  <w:style w:type="character" w:customStyle="1" w:styleId="418">
    <w:name w:val="正文首行缩进 2 字符1"/>
    <w:qFormat/>
    <w:uiPriority w:val="0"/>
    <w:rPr>
      <w:kern w:val="2"/>
      <w:sz w:val="28"/>
      <w:szCs w:val="24"/>
    </w:rPr>
  </w:style>
  <w:style w:type="paragraph" w:customStyle="1" w:styleId="419">
    <w:name w:val="修订11"/>
    <w:qFormat/>
    <w:uiPriority w:val="0"/>
    <w:rPr>
      <w:rFonts w:ascii="Times New Roman" w:hAnsi="Times New Roman" w:eastAsia="宋体" w:cs="Times New Roman"/>
      <w:kern w:val="2"/>
      <w:sz w:val="24"/>
      <w:szCs w:val="24"/>
      <w:lang w:val="en-US" w:eastAsia="zh-CN" w:bidi="ar-SA"/>
    </w:rPr>
  </w:style>
  <w:style w:type="character" w:customStyle="1" w:styleId="420">
    <w:name w:val="明显强调11"/>
    <w:qFormat/>
    <w:uiPriority w:val="21"/>
    <w:rPr>
      <w:b/>
      <w:bCs/>
      <w:caps/>
      <w:color w:val="27405E"/>
      <w:spacing w:val="10"/>
    </w:rPr>
  </w:style>
  <w:style w:type="character" w:customStyle="1" w:styleId="421">
    <w:name w:val="不明显强调11"/>
    <w:qFormat/>
    <w:uiPriority w:val="0"/>
    <w:rPr>
      <w:i/>
      <w:iCs/>
      <w:color w:val="808080"/>
    </w:rPr>
  </w:style>
  <w:style w:type="paragraph" w:customStyle="1" w:styleId="422">
    <w:name w:val="z-窗体底端11"/>
    <w:basedOn w:val="1"/>
    <w:next w:val="1"/>
    <w:qFormat/>
    <w:uiPriority w:val="0"/>
    <w:pPr>
      <w:pBdr>
        <w:top w:val="single" w:color="auto" w:sz="6" w:space="1"/>
      </w:pBdr>
      <w:spacing w:line="240" w:lineRule="auto"/>
      <w:jc w:val="center"/>
    </w:pPr>
    <w:rPr>
      <w:rFonts w:ascii="Arial" w:hAnsi="Arial"/>
      <w:vanish/>
      <w:spacing w:val="-20"/>
      <w:sz w:val="16"/>
      <w:szCs w:val="16"/>
    </w:rPr>
  </w:style>
  <w:style w:type="paragraph" w:customStyle="1" w:styleId="423">
    <w:name w:val="z-窗体顶端11"/>
    <w:basedOn w:val="1"/>
    <w:next w:val="1"/>
    <w:qFormat/>
    <w:uiPriority w:val="0"/>
    <w:pPr>
      <w:pBdr>
        <w:bottom w:val="single" w:color="auto" w:sz="6" w:space="1"/>
      </w:pBdr>
      <w:spacing w:line="240" w:lineRule="auto"/>
      <w:jc w:val="center"/>
    </w:pPr>
    <w:rPr>
      <w:rFonts w:ascii="Arial" w:hAnsi="Arial"/>
      <w:vanish/>
      <w:spacing w:val="-20"/>
      <w:sz w:val="16"/>
      <w:szCs w:val="16"/>
    </w:rPr>
  </w:style>
  <w:style w:type="character" w:customStyle="1" w:styleId="424">
    <w:name w:val="不明显参考11"/>
    <w:qFormat/>
    <w:uiPriority w:val="31"/>
    <w:rPr>
      <w:smallCaps/>
      <w:color w:val="C0504D"/>
      <w:u w:val="single"/>
    </w:rPr>
  </w:style>
  <w:style w:type="character" w:customStyle="1" w:styleId="425">
    <w:name w:val="未处理的提及11"/>
    <w:unhideWhenUsed/>
    <w:qFormat/>
    <w:uiPriority w:val="99"/>
    <w:rPr>
      <w:color w:val="605E5C"/>
      <w:shd w:val="clear" w:color="auto" w:fill="E1DFDD"/>
    </w:rPr>
  </w:style>
  <w:style w:type="character" w:customStyle="1" w:styleId="426">
    <w:name w:val="明显参考31"/>
    <w:qFormat/>
    <w:uiPriority w:val="32"/>
    <w:rPr>
      <w:b/>
      <w:bCs/>
      <w:smallCaps/>
      <w:color w:val="4472C4"/>
      <w:spacing w:val="5"/>
    </w:rPr>
  </w:style>
  <w:style w:type="paragraph" w:customStyle="1" w:styleId="427">
    <w:name w:val="列出段落111"/>
    <w:basedOn w:val="1"/>
    <w:qFormat/>
    <w:uiPriority w:val="34"/>
    <w:pPr>
      <w:ind w:firstLine="420" w:firstLineChars="200"/>
    </w:pPr>
    <w:rPr>
      <w:rFonts w:ascii="Calibri" w:hAnsi="Calibri"/>
    </w:rPr>
  </w:style>
  <w:style w:type="paragraph" w:customStyle="1" w:styleId="428">
    <w:name w:val="_Style 3981"/>
    <w:basedOn w:val="1"/>
    <w:next w:val="177"/>
    <w:qFormat/>
    <w:uiPriority w:val="0"/>
    <w:pPr>
      <w:spacing w:line="240" w:lineRule="auto"/>
      <w:ind w:firstLine="420" w:firstLineChars="200"/>
    </w:pPr>
    <w:rPr>
      <w:sz w:val="28"/>
    </w:rPr>
  </w:style>
  <w:style w:type="paragraph" w:customStyle="1" w:styleId="429">
    <w:name w:val="_Style 4011"/>
    <w:basedOn w:val="1"/>
    <w:next w:val="177"/>
    <w:qFormat/>
    <w:uiPriority w:val="34"/>
    <w:pPr>
      <w:spacing w:line="240" w:lineRule="auto"/>
      <w:ind w:firstLine="420" w:firstLineChars="200"/>
    </w:pPr>
    <w:rPr>
      <w:szCs w:val="20"/>
    </w:rPr>
  </w:style>
  <w:style w:type="paragraph" w:customStyle="1" w:styleId="430">
    <w:name w:val="_Style 4021"/>
    <w:basedOn w:val="1"/>
    <w:next w:val="177"/>
    <w:qFormat/>
    <w:uiPriority w:val="34"/>
    <w:pPr>
      <w:spacing w:line="240" w:lineRule="auto"/>
      <w:ind w:firstLine="420" w:firstLineChars="200"/>
    </w:pPr>
    <w:rPr>
      <w:szCs w:val="20"/>
    </w:rPr>
  </w:style>
  <w:style w:type="paragraph" w:customStyle="1" w:styleId="43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32">
    <w:name w:val="二级条标题"/>
    <w:basedOn w:val="1"/>
    <w:next w:val="1"/>
    <w:qFormat/>
    <w:uiPriority w:val="0"/>
    <w:pPr>
      <w:widowControl/>
      <w:spacing w:line="240" w:lineRule="auto"/>
      <w:ind w:left="652"/>
      <w:outlineLvl w:val="3"/>
    </w:pPr>
    <w:rPr>
      <w:rFonts w:ascii="黑体" w:eastAsia="黑体"/>
      <w:kern w:val="0"/>
      <w:szCs w:val="20"/>
    </w:rPr>
  </w:style>
  <w:style w:type="paragraph" w:customStyle="1" w:styleId="433">
    <w:name w:val="附录标识"/>
    <w:basedOn w:val="434"/>
    <w:qFormat/>
    <w:uiPriority w:val="0"/>
    <w:pPr>
      <w:numPr>
        <w:ilvl w:val="0"/>
        <w:numId w:val="8"/>
      </w:numPr>
      <w:shd w:val="clear" w:color="FFFFFF" w:fill="FFFFFF"/>
      <w:tabs>
        <w:tab w:val="left" w:pos="6405"/>
        <w:tab w:val="clear" w:pos="360"/>
      </w:tabs>
      <w:spacing w:after="200"/>
    </w:pPr>
    <w:rPr>
      <w:sz w:val="21"/>
      <w:szCs w:val="21"/>
    </w:rPr>
  </w:style>
  <w:style w:type="paragraph" w:customStyle="1" w:styleId="434">
    <w:name w:val="前言、引言标题"/>
    <w:next w:val="1"/>
    <w:qFormat/>
    <w:uiPriority w:val="0"/>
    <w:pPr>
      <w:shd w:val="clear" w:color="auto" w:fill="FFFFFF"/>
      <w:spacing w:before="640" w:after="560"/>
      <w:jc w:val="center"/>
      <w:outlineLvl w:val="0"/>
    </w:pPr>
    <w:rPr>
      <w:rFonts w:ascii="黑体" w:hAnsi="Times New Roman" w:eastAsia="黑体" w:cs="Times New Roman"/>
      <w:sz w:val="32"/>
      <w:szCs w:val="32"/>
      <w:lang w:val="en-US" w:eastAsia="zh-CN" w:bidi="ar-SA"/>
    </w:rPr>
  </w:style>
  <w:style w:type="paragraph" w:customStyle="1" w:styleId="435">
    <w:name w:val="附录章标题"/>
    <w:next w:val="431"/>
    <w:qFormat/>
    <w:uiPriority w:val="0"/>
    <w:pPr>
      <w:numPr>
        <w:ilvl w:val="1"/>
        <w:numId w:val="9"/>
      </w:numPr>
      <w:wordWrap w:val="0"/>
      <w:overflowPunct w:val="0"/>
      <w:autoSpaceDE w:val="0"/>
      <w:spacing w:before="50" w:beforeLines="50" w:after="50" w:afterLines="50"/>
      <w:jc w:val="both"/>
      <w:textAlignment w:val="baseline"/>
      <w:outlineLvl w:val="1"/>
    </w:pPr>
    <w:rPr>
      <w:rFonts w:ascii="黑体" w:hAnsi="Times New Roman" w:eastAsia="黑体" w:cs="Times New Roman"/>
      <w:kern w:val="21"/>
      <w:sz w:val="21"/>
      <w:szCs w:val="21"/>
      <w:lang w:val="en-US" w:eastAsia="zh-CN" w:bidi="ar-SA"/>
    </w:rPr>
  </w:style>
  <w:style w:type="paragraph" w:customStyle="1" w:styleId="436">
    <w:name w:val="附录一级条标题"/>
    <w:basedOn w:val="435"/>
    <w:next w:val="431"/>
    <w:qFormat/>
    <w:uiPriority w:val="0"/>
    <w:pPr>
      <w:numPr>
        <w:ilvl w:val="2"/>
      </w:numPr>
      <w:autoSpaceDN w:val="0"/>
      <w:spacing w:before="0" w:beforeLines="0" w:after="0" w:afterLines="0"/>
      <w:outlineLvl w:val="2"/>
    </w:pPr>
  </w:style>
  <w:style w:type="paragraph" w:customStyle="1" w:styleId="437">
    <w:name w:val="附录二级条标题"/>
    <w:basedOn w:val="436"/>
    <w:next w:val="431"/>
    <w:qFormat/>
    <w:uiPriority w:val="0"/>
    <w:pPr>
      <w:numPr>
        <w:ilvl w:val="3"/>
      </w:numPr>
      <w:outlineLvl w:val="3"/>
    </w:pPr>
  </w:style>
  <w:style w:type="paragraph" w:customStyle="1" w:styleId="438">
    <w:name w:val="附录三级条标题"/>
    <w:basedOn w:val="437"/>
    <w:next w:val="431"/>
    <w:qFormat/>
    <w:uiPriority w:val="0"/>
    <w:pPr>
      <w:numPr>
        <w:ilvl w:val="4"/>
      </w:numPr>
      <w:outlineLvl w:val="4"/>
    </w:pPr>
  </w:style>
  <w:style w:type="paragraph" w:customStyle="1" w:styleId="439">
    <w:name w:val="附录四级条标题"/>
    <w:basedOn w:val="438"/>
    <w:next w:val="431"/>
    <w:qFormat/>
    <w:uiPriority w:val="0"/>
    <w:pPr>
      <w:numPr>
        <w:ilvl w:val="0"/>
        <w:numId w:val="10"/>
      </w:numPr>
      <w:tabs>
        <w:tab w:val="clear" w:pos="360"/>
      </w:tabs>
      <w:outlineLvl w:val="5"/>
    </w:pPr>
  </w:style>
  <w:style w:type="paragraph" w:customStyle="1" w:styleId="440">
    <w:name w:val="列项●（二级）"/>
    <w:qFormat/>
    <w:uiPriority w:val="0"/>
    <w:pPr>
      <w:numPr>
        <w:ilvl w:val="0"/>
        <w:numId w:val="11"/>
      </w:numPr>
      <w:tabs>
        <w:tab w:val="left" w:pos="840"/>
      </w:tabs>
      <w:jc w:val="both"/>
    </w:pPr>
    <w:rPr>
      <w:rFonts w:ascii="宋体" w:hAnsi="Times New Roman" w:eastAsia="宋体" w:cs="Times New Roman"/>
      <w:sz w:val="21"/>
      <w:szCs w:val="21"/>
      <w:lang w:val="en-US" w:eastAsia="zh-CN" w:bidi="ar-SA"/>
    </w:rPr>
  </w:style>
  <w:style w:type="paragraph" w:customStyle="1" w:styleId="441">
    <w:name w:val="注×："/>
    <w:qFormat/>
    <w:uiPriority w:val="0"/>
    <w:pPr>
      <w:widowControl w:val="0"/>
      <w:numPr>
        <w:ilvl w:val="0"/>
        <w:numId w:val="12"/>
      </w:numPr>
      <w:tabs>
        <w:tab w:val="left" w:pos="630"/>
        <w:tab w:val="clear" w:pos="1120"/>
      </w:tabs>
      <w:autoSpaceDE w:val="0"/>
      <w:autoSpaceDN w:val="0"/>
      <w:ind w:firstLine="0"/>
      <w:jc w:val="both"/>
    </w:pPr>
    <w:rPr>
      <w:rFonts w:ascii="宋体" w:hAnsi="Times New Roman" w:eastAsia="宋体" w:cs="Times New Roman"/>
      <w:sz w:val="18"/>
      <w:szCs w:val="18"/>
      <w:lang w:val="en-US" w:eastAsia="zh-CN" w:bidi="ar-SA"/>
    </w:rPr>
  </w:style>
  <w:style w:type="paragraph" w:customStyle="1" w:styleId="442">
    <w:name w:val="font9"/>
    <w:basedOn w:val="1"/>
    <w:qFormat/>
    <w:uiPriority w:val="0"/>
    <w:pPr>
      <w:widowControl/>
      <w:numPr>
        <w:ilvl w:val="0"/>
        <w:numId w:val="13"/>
      </w:numPr>
      <w:spacing w:before="100" w:beforeAutospacing="1" w:after="100" w:afterAutospacing="1" w:line="240" w:lineRule="auto"/>
      <w:jc w:val="left"/>
    </w:pPr>
    <w:rPr>
      <w:b/>
      <w:bCs/>
      <w:kern w:val="0"/>
      <w:sz w:val="32"/>
      <w:szCs w:val="32"/>
    </w:rPr>
  </w:style>
  <w:style w:type="paragraph" w:customStyle="1" w:styleId="443">
    <w:name w:val="二级无标题条"/>
    <w:basedOn w:val="1"/>
    <w:qFormat/>
    <w:uiPriority w:val="0"/>
    <w:pPr>
      <w:numPr>
        <w:ilvl w:val="3"/>
        <w:numId w:val="14"/>
      </w:numPr>
      <w:spacing w:line="240" w:lineRule="auto"/>
    </w:pPr>
  </w:style>
  <w:style w:type="paragraph" w:customStyle="1" w:styleId="444">
    <w:name w:val="三级无标题条"/>
    <w:basedOn w:val="1"/>
    <w:qFormat/>
    <w:uiPriority w:val="0"/>
    <w:pPr>
      <w:numPr>
        <w:ilvl w:val="4"/>
        <w:numId w:val="14"/>
      </w:numPr>
      <w:spacing w:line="240" w:lineRule="auto"/>
    </w:pPr>
  </w:style>
  <w:style w:type="paragraph" w:customStyle="1" w:styleId="445">
    <w:name w:val="四级无标题条"/>
    <w:basedOn w:val="1"/>
    <w:qFormat/>
    <w:uiPriority w:val="0"/>
    <w:pPr>
      <w:numPr>
        <w:ilvl w:val="5"/>
        <w:numId w:val="14"/>
      </w:numPr>
      <w:spacing w:line="240" w:lineRule="auto"/>
    </w:pPr>
  </w:style>
  <w:style w:type="paragraph" w:customStyle="1" w:styleId="446">
    <w:name w:val="五级无标题条"/>
    <w:basedOn w:val="1"/>
    <w:qFormat/>
    <w:uiPriority w:val="0"/>
    <w:pPr>
      <w:numPr>
        <w:ilvl w:val="6"/>
        <w:numId w:val="14"/>
      </w:numPr>
      <w:spacing w:line="240" w:lineRule="auto"/>
    </w:pPr>
  </w:style>
  <w:style w:type="paragraph" w:customStyle="1" w:styleId="447">
    <w:name w:val="一级无标题条"/>
    <w:basedOn w:val="1"/>
    <w:qFormat/>
    <w:uiPriority w:val="0"/>
    <w:pPr>
      <w:numPr>
        <w:ilvl w:val="2"/>
        <w:numId w:val="14"/>
      </w:numPr>
      <w:spacing w:line="240" w:lineRule="auto"/>
    </w:pPr>
  </w:style>
  <w:style w:type="paragraph" w:customStyle="1" w:styleId="448">
    <w:name w:val="Char Char1"/>
    <w:basedOn w:val="1"/>
    <w:qFormat/>
    <w:uiPriority w:val="0"/>
    <w:pPr>
      <w:tabs>
        <w:tab w:val="left" w:pos="4665"/>
        <w:tab w:val="left" w:pos="8970"/>
      </w:tabs>
      <w:spacing w:line="240" w:lineRule="auto"/>
      <w:ind w:firstLine="400"/>
    </w:pPr>
    <w:rPr>
      <w:rFonts w:ascii="Tahoma" w:hAnsi="Tahoma" w:cs="Tahoma"/>
      <w:sz w:val="24"/>
    </w:rPr>
  </w:style>
  <w:style w:type="character" w:customStyle="1" w:styleId="449">
    <w:name w:val="Char Char4"/>
    <w:qFormat/>
    <w:uiPriority w:val="0"/>
    <w:rPr>
      <w:kern w:val="2"/>
      <w:sz w:val="18"/>
      <w:szCs w:val="18"/>
    </w:rPr>
  </w:style>
  <w:style w:type="character" w:customStyle="1" w:styleId="450">
    <w:name w:val="Char Char3"/>
    <w:qFormat/>
    <w:uiPriority w:val="0"/>
    <w:rPr>
      <w:kern w:val="2"/>
      <w:sz w:val="18"/>
      <w:szCs w:val="18"/>
    </w:rPr>
  </w:style>
  <w:style w:type="character" w:customStyle="1" w:styleId="451">
    <w:name w:val="Char Char11"/>
    <w:qFormat/>
    <w:locked/>
    <w:uiPriority w:val="0"/>
    <w:rPr>
      <w:rFonts w:ascii="宋体" w:hAnsi="Courier New" w:eastAsia="宋体"/>
      <w:kern w:val="2"/>
      <w:sz w:val="21"/>
      <w:lang w:val="en-US" w:eastAsia="zh-CN" w:bidi="ar-SA"/>
    </w:rPr>
  </w:style>
  <w:style w:type="paragraph" w:customStyle="1" w:styleId="452">
    <w:name w:val="MTDisplayEquation"/>
    <w:basedOn w:val="1"/>
    <w:next w:val="1"/>
    <w:qFormat/>
    <w:uiPriority w:val="0"/>
    <w:pPr>
      <w:tabs>
        <w:tab w:val="center" w:pos="4820"/>
        <w:tab w:val="right" w:pos="9640"/>
      </w:tabs>
      <w:spacing w:line="240" w:lineRule="auto"/>
    </w:pPr>
  </w:style>
  <w:style w:type="character" w:customStyle="1" w:styleId="453">
    <w:name w:val="Char Char"/>
    <w:qFormat/>
    <w:locked/>
    <w:uiPriority w:val="0"/>
    <w:rPr>
      <w:rFonts w:eastAsia="宋体"/>
      <w:kern w:val="2"/>
      <w:sz w:val="21"/>
      <w:szCs w:val="24"/>
      <w:lang w:val="en-US" w:eastAsia="zh-CN" w:bidi="ar-SA"/>
    </w:rPr>
  </w:style>
  <w:style w:type="paragraph" w:customStyle="1" w:styleId="454">
    <w:name w:val="章标题"/>
    <w:next w:val="431"/>
    <w:qFormat/>
    <w:uiPriority w:val="0"/>
    <w:pPr>
      <w:spacing w:beforeLines="50" w:afterLines="50"/>
      <w:ind w:firstLine="288"/>
      <w:jc w:val="center"/>
      <w:outlineLvl w:val="1"/>
    </w:pPr>
    <w:rPr>
      <w:rFonts w:ascii="黑体" w:hAnsi="Times New Roman" w:eastAsia="黑体" w:cs="Times New Roman"/>
      <w:sz w:val="21"/>
      <w:szCs w:val="21"/>
      <w:lang w:val="en-US" w:eastAsia="zh-CN" w:bidi="ar-SA"/>
    </w:rPr>
  </w:style>
  <w:style w:type="paragraph" w:customStyle="1" w:styleId="455">
    <w:name w:val="一级条标题"/>
    <w:next w:val="431"/>
    <w:qFormat/>
    <w:uiPriority w:val="0"/>
    <w:pPr>
      <w:ind w:left="57"/>
      <w:outlineLvl w:val="2"/>
    </w:pPr>
    <w:rPr>
      <w:rFonts w:ascii="Times New Roman" w:hAnsi="Times New Roman" w:eastAsia="黑体" w:cs="Times New Roman"/>
      <w:sz w:val="21"/>
      <w:szCs w:val="21"/>
      <w:lang w:val="en-US" w:eastAsia="zh-CN" w:bidi="ar-SA"/>
    </w:rPr>
  </w:style>
  <w:style w:type="paragraph" w:customStyle="1" w:styleId="456">
    <w:name w:val="实施日期"/>
    <w:basedOn w:val="1"/>
    <w:qFormat/>
    <w:uiPriority w:val="0"/>
    <w:pPr>
      <w:framePr w:w="4000" w:h="473" w:vSpace="180" w:wrap="around" w:vAnchor="margin" w:hAnchor="margin" w:xAlign="right" w:y="13511" w:anchorLock="1"/>
      <w:widowControl/>
      <w:spacing w:line="240" w:lineRule="auto"/>
      <w:jc w:val="right"/>
    </w:pPr>
    <w:rPr>
      <w:rFonts w:eastAsia="黑体"/>
      <w:kern w:val="0"/>
      <w:sz w:val="28"/>
      <w:szCs w:val="28"/>
    </w:rPr>
  </w:style>
  <w:style w:type="paragraph" w:customStyle="1" w:styleId="457">
    <w:name w:val="Char Char Char"/>
    <w:basedOn w:val="1"/>
    <w:qFormat/>
    <w:uiPriority w:val="0"/>
    <w:pPr>
      <w:tabs>
        <w:tab w:val="left" w:pos="4665"/>
        <w:tab w:val="left" w:pos="8970"/>
      </w:tabs>
      <w:spacing w:line="240" w:lineRule="auto"/>
      <w:ind w:firstLine="400"/>
    </w:pPr>
    <w:rPr>
      <w:rFonts w:ascii="Tahoma" w:hAnsi="Tahoma" w:cs="Tahoma"/>
      <w:sz w:val="24"/>
    </w:rPr>
  </w:style>
  <w:style w:type="paragraph" w:customStyle="1" w:styleId="458">
    <w:name w:val="封面标准英文名称"/>
    <w:qFormat/>
    <w:uiPriority w:val="0"/>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459">
    <w:name w:val="正文图标题"/>
    <w:next w:val="431"/>
    <w:qFormat/>
    <w:uiPriority w:val="0"/>
    <w:pPr>
      <w:jc w:val="center"/>
    </w:pPr>
    <w:rPr>
      <w:rFonts w:ascii="黑体" w:hAnsi="Times New Roman" w:eastAsia="黑体" w:cs="Times New Roman"/>
      <w:sz w:val="21"/>
      <w:szCs w:val="21"/>
      <w:lang w:val="en-US" w:eastAsia="zh-CN" w:bidi="ar-SA"/>
    </w:rPr>
  </w:style>
  <w:style w:type="paragraph" w:customStyle="1" w:styleId="460">
    <w:name w:val="Char Char Char1"/>
    <w:basedOn w:val="1"/>
    <w:qFormat/>
    <w:uiPriority w:val="0"/>
    <w:pPr>
      <w:tabs>
        <w:tab w:val="left" w:pos="4665"/>
        <w:tab w:val="left" w:pos="8970"/>
      </w:tabs>
      <w:spacing w:line="240" w:lineRule="auto"/>
      <w:ind w:firstLine="400"/>
    </w:pPr>
    <w:rPr>
      <w:rFonts w:ascii="Tahoma" w:hAnsi="Tahoma" w:cs="Tahoma"/>
      <w:sz w:val="24"/>
    </w:rPr>
  </w:style>
  <w:style w:type="paragraph" w:customStyle="1" w:styleId="461">
    <w:name w:val="HTML 预先格式化"/>
    <w:basedOn w:val="1"/>
    <w:qFormat/>
    <w:uiPriority w:val="0"/>
    <w:pPr>
      <w:spacing w:line="240" w:lineRule="auto"/>
    </w:pPr>
    <w:rPr>
      <w:rFonts w:ascii="Courier New" w:hAnsi="Courier New" w:cs="Courier New"/>
      <w:sz w:val="20"/>
      <w:szCs w:val="20"/>
    </w:rPr>
  </w:style>
  <w:style w:type="paragraph" w:customStyle="1" w:styleId="462">
    <w:name w:val="标准标志"/>
    <w:next w:val="1"/>
    <w:qFormat/>
    <w:uiPriority w:val="0"/>
    <w:pPr>
      <w:framePr w:w="2268" w:h="1392" w:hRule="exact" w:wrap="around" w:vAnchor="margin" w:hAnchor="margin" w:x="6748" w:y="171" w:anchorLock="1"/>
      <w:shd w:val="solid" w:color="FFFFFF" w:fill="FFFFFF"/>
      <w:spacing w:line="240" w:lineRule="atLeast"/>
      <w:jc w:val="right"/>
    </w:pPr>
    <w:rPr>
      <w:rFonts w:ascii="Times New Roman" w:hAnsi="Times New Roman" w:eastAsia="宋体" w:cs="Times New Roman"/>
      <w:b/>
      <w:bCs/>
      <w:w w:val="130"/>
      <w:sz w:val="96"/>
      <w:szCs w:val="96"/>
      <w:lang w:val="en-US" w:eastAsia="zh-CN" w:bidi="ar-SA"/>
    </w:rPr>
  </w:style>
  <w:style w:type="paragraph" w:customStyle="1" w:styleId="46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240" w:lineRule="atLeast"/>
      <w:jc w:val="distribute"/>
    </w:pPr>
    <w:rPr>
      <w:rFonts w:ascii="宋体" w:hAnsi="Times New Roman" w:eastAsia="宋体" w:cs="Times New Roman"/>
      <w:b/>
      <w:bCs/>
      <w:spacing w:val="20"/>
      <w:w w:val="148"/>
      <w:sz w:val="52"/>
      <w:szCs w:val="52"/>
      <w:lang w:val="en-US" w:eastAsia="zh-CN" w:bidi="ar-SA"/>
    </w:rPr>
  </w:style>
  <w:style w:type="paragraph" w:customStyle="1" w:styleId="464">
    <w:name w:val="标准书脚_偶数页"/>
    <w:qFormat/>
    <w:uiPriority w:val="0"/>
    <w:pPr>
      <w:spacing w:before="120"/>
    </w:pPr>
    <w:rPr>
      <w:rFonts w:ascii="Times New Roman" w:hAnsi="Times New Roman" w:eastAsia="宋体" w:cs="Times New Roman"/>
      <w:sz w:val="18"/>
      <w:szCs w:val="18"/>
      <w:lang w:val="en-US" w:eastAsia="zh-CN" w:bidi="ar-SA"/>
    </w:rPr>
  </w:style>
  <w:style w:type="paragraph" w:customStyle="1" w:styleId="465">
    <w:name w:val="标准书脚_奇数页"/>
    <w:qFormat/>
    <w:uiPriority w:val="0"/>
    <w:pPr>
      <w:spacing w:before="120"/>
      <w:jc w:val="right"/>
    </w:pPr>
    <w:rPr>
      <w:rFonts w:ascii="Times New Roman" w:hAnsi="Times New Roman" w:eastAsia="宋体" w:cs="Times New Roman"/>
      <w:sz w:val="18"/>
      <w:szCs w:val="18"/>
      <w:lang w:val="en-US" w:eastAsia="zh-CN" w:bidi="ar-SA"/>
    </w:rPr>
  </w:style>
  <w:style w:type="paragraph" w:customStyle="1" w:styleId="46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szCs w:val="21"/>
      <w:lang w:val="en-US" w:eastAsia="zh-CN" w:bidi="ar-SA"/>
    </w:rPr>
  </w:style>
  <w:style w:type="paragraph" w:customStyle="1" w:styleId="467">
    <w:name w:val="标准书眉_偶数页"/>
    <w:basedOn w:val="466"/>
    <w:next w:val="1"/>
    <w:qFormat/>
    <w:uiPriority w:val="0"/>
    <w:pPr>
      <w:jc w:val="left"/>
    </w:pPr>
  </w:style>
  <w:style w:type="paragraph" w:customStyle="1" w:styleId="468">
    <w:name w:val="标准书眉一"/>
    <w:qFormat/>
    <w:uiPriority w:val="0"/>
    <w:pPr>
      <w:jc w:val="both"/>
    </w:pPr>
    <w:rPr>
      <w:rFonts w:ascii="Times New Roman" w:hAnsi="Times New Roman" w:eastAsia="宋体" w:cs="Times New Roman"/>
      <w:lang w:val="en-US" w:eastAsia="zh-CN" w:bidi="ar-SA"/>
    </w:rPr>
  </w:style>
  <w:style w:type="paragraph" w:customStyle="1" w:styleId="469">
    <w:name w:val="参考文献、索引标题"/>
    <w:basedOn w:val="434"/>
    <w:next w:val="1"/>
    <w:qFormat/>
    <w:uiPriority w:val="0"/>
    <w:pPr>
      <w:shd w:val="clear" w:color="FFFFFF" w:fill="FFFFFF"/>
      <w:spacing w:after="200"/>
    </w:pPr>
    <w:rPr>
      <w:sz w:val="21"/>
      <w:szCs w:val="21"/>
    </w:rPr>
  </w:style>
  <w:style w:type="paragraph" w:customStyle="1" w:styleId="470">
    <w:name w:val="发布部门"/>
    <w:next w:val="431"/>
    <w:qFormat/>
    <w:uiPriority w:val="0"/>
    <w:pPr>
      <w:framePr w:w="7433" w:h="585" w:hRule="exact" w:hSpace="180" w:vSpace="180" w:wrap="around" w:vAnchor="margin" w:hAnchor="margin" w:xAlign="center" w:y="14401" w:anchorLock="1"/>
      <w:jc w:val="center"/>
    </w:pPr>
    <w:rPr>
      <w:rFonts w:ascii="宋体" w:hAnsi="Times New Roman" w:eastAsia="宋体" w:cs="Times New Roman"/>
      <w:b/>
      <w:bCs/>
      <w:spacing w:val="20"/>
      <w:w w:val="135"/>
      <w:sz w:val="36"/>
      <w:szCs w:val="36"/>
      <w:lang w:val="en-US" w:eastAsia="zh-CN" w:bidi="ar-SA"/>
    </w:rPr>
  </w:style>
  <w:style w:type="paragraph" w:customStyle="1" w:styleId="47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szCs w:val="28"/>
      <w:lang w:val="en-US" w:eastAsia="zh-CN" w:bidi="ar-SA"/>
    </w:rPr>
  </w:style>
  <w:style w:type="paragraph" w:customStyle="1" w:styleId="47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szCs w:val="28"/>
      <w:lang w:val="en-US" w:eastAsia="zh-CN" w:bidi="ar-SA"/>
    </w:rPr>
  </w:style>
  <w:style w:type="paragraph" w:customStyle="1" w:styleId="473">
    <w:name w:val="封面标准号2"/>
    <w:basedOn w:val="472"/>
    <w:qFormat/>
    <w:uiPriority w:val="0"/>
    <w:pPr>
      <w:framePr w:w="9138" w:h="1244" w:hRule="exact" w:wrap="around" w:vAnchor="page" w:hAnchor="margin" w:y="2908"/>
      <w:adjustRightInd w:val="0"/>
      <w:spacing w:before="357" w:line="280" w:lineRule="exact"/>
    </w:pPr>
  </w:style>
  <w:style w:type="paragraph" w:customStyle="1" w:styleId="474">
    <w:name w:val="封面标准代替信息"/>
    <w:basedOn w:val="473"/>
    <w:qFormat/>
    <w:uiPriority w:val="0"/>
    <w:pPr>
      <w:framePr w:wrap="around"/>
      <w:spacing w:before="57"/>
    </w:pPr>
    <w:rPr>
      <w:rFonts w:ascii="宋体"/>
      <w:sz w:val="21"/>
      <w:szCs w:val="21"/>
    </w:rPr>
  </w:style>
  <w:style w:type="paragraph" w:customStyle="1" w:styleId="47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szCs w:val="52"/>
      <w:lang w:val="en-US" w:eastAsia="zh-CN" w:bidi="ar-SA"/>
    </w:rPr>
  </w:style>
  <w:style w:type="paragraph" w:customStyle="1" w:styleId="476">
    <w:name w:val="封面标准文稿编辑信息"/>
    <w:qFormat/>
    <w:uiPriority w:val="0"/>
    <w:pPr>
      <w:spacing w:before="180" w:line="180" w:lineRule="exact"/>
      <w:jc w:val="center"/>
    </w:pPr>
    <w:rPr>
      <w:rFonts w:ascii="宋体" w:hAnsi="Times New Roman" w:eastAsia="宋体" w:cs="Times New Roman"/>
      <w:sz w:val="21"/>
      <w:szCs w:val="21"/>
      <w:lang w:val="en-US" w:eastAsia="zh-CN" w:bidi="ar-SA"/>
    </w:rPr>
  </w:style>
  <w:style w:type="paragraph" w:customStyle="1" w:styleId="477">
    <w:name w:val="封面标准文稿类别"/>
    <w:qFormat/>
    <w:uiPriority w:val="0"/>
    <w:pPr>
      <w:spacing w:before="440" w:line="400" w:lineRule="exact"/>
      <w:jc w:val="center"/>
    </w:pPr>
    <w:rPr>
      <w:rFonts w:ascii="宋体" w:hAnsi="Times New Roman" w:eastAsia="宋体" w:cs="Times New Roman"/>
      <w:sz w:val="24"/>
      <w:szCs w:val="24"/>
      <w:lang w:val="en-US" w:eastAsia="zh-CN" w:bidi="ar-SA"/>
    </w:rPr>
  </w:style>
  <w:style w:type="paragraph" w:customStyle="1" w:styleId="478">
    <w:name w:val="封面一致性程度标识"/>
    <w:qFormat/>
    <w:uiPriority w:val="0"/>
    <w:pPr>
      <w:spacing w:before="440" w:line="400" w:lineRule="exact"/>
      <w:jc w:val="center"/>
    </w:pPr>
    <w:rPr>
      <w:rFonts w:ascii="宋体" w:hAnsi="Times New Roman" w:eastAsia="宋体" w:cs="Times New Roman"/>
      <w:sz w:val="28"/>
      <w:szCs w:val="28"/>
      <w:lang w:val="en-US" w:eastAsia="zh-CN" w:bidi="ar-SA"/>
    </w:rPr>
  </w:style>
  <w:style w:type="paragraph" w:customStyle="1" w:styleId="479">
    <w:name w:val="封面正文"/>
    <w:qFormat/>
    <w:uiPriority w:val="0"/>
    <w:pPr>
      <w:jc w:val="both"/>
    </w:pPr>
    <w:rPr>
      <w:rFonts w:ascii="Times New Roman" w:hAnsi="Times New Roman" w:eastAsia="宋体" w:cs="Times New Roman"/>
      <w:lang w:val="en-US" w:eastAsia="zh-CN" w:bidi="ar-SA"/>
    </w:rPr>
  </w:style>
  <w:style w:type="paragraph" w:customStyle="1" w:styleId="480">
    <w:name w:val="附录表标题"/>
    <w:next w:val="431"/>
    <w:qFormat/>
    <w:uiPriority w:val="0"/>
    <w:pPr>
      <w:jc w:val="center"/>
      <w:textAlignment w:val="baseline"/>
    </w:pPr>
    <w:rPr>
      <w:rFonts w:ascii="黑体" w:hAnsi="Times New Roman" w:eastAsia="黑体" w:cs="Times New Roman"/>
      <w:kern w:val="21"/>
      <w:sz w:val="21"/>
      <w:szCs w:val="21"/>
      <w:lang w:val="en-US" w:eastAsia="zh-CN" w:bidi="ar-SA"/>
    </w:rPr>
  </w:style>
  <w:style w:type="paragraph" w:customStyle="1" w:styleId="481">
    <w:name w:val="附录图标题"/>
    <w:next w:val="431"/>
    <w:qFormat/>
    <w:uiPriority w:val="0"/>
    <w:pPr>
      <w:jc w:val="center"/>
    </w:pPr>
    <w:rPr>
      <w:rFonts w:ascii="黑体" w:hAnsi="Times New Roman" w:eastAsia="黑体" w:cs="Times New Roman"/>
      <w:sz w:val="21"/>
      <w:szCs w:val="21"/>
      <w:lang w:val="en-US" w:eastAsia="zh-CN" w:bidi="ar-SA"/>
    </w:rPr>
  </w:style>
  <w:style w:type="paragraph" w:customStyle="1" w:styleId="482">
    <w:name w:val="附录五级条标题"/>
    <w:basedOn w:val="439"/>
    <w:next w:val="431"/>
    <w:qFormat/>
    <w:uiPriority w:val="0"/>
    <w:pPr>
      <w:numPr>
        <w:numId w:val="0"/>
      </w:numPr>
      <w:outlineLvl w:val="6"/>
    </w:pPr>
  </w:style>
  <w:style w:type="paragraph" w:customStyle="1" w:styleId="483">
    <w:name w:val="目次、标准名称标题"/>
    <w:basedOn w:val="434"/>
    <w:next w:val="431"/>
    <w:qFormat/>
    <w:uiPriority w:val="0"/>
    <w:pPr>
      <w:shd w:val="clear" w:color="FFFFFF" w:fill="FFFFFF"/>
      <w:spacing w:line="460" w:lineRule="exact"/>
    </w:pPr>
  </w:style>
  <w:style w:type="paragraph" w:customStyle="1" w:styleId="484">
    <w:name w:val="目次、索引正文"/>
    <w:qFormat/>
    <w:uiPriority w:val="0"/>
    <w:pPr>
      <w:spacing w:line="320" w:lineRule="exact"/>
      <w:jc w:val="both"/>
    </w:pPr>
    <w:rPr>
      <w:rFonts w:ascii="宋体" w:hAnsi="Times New Roman" w:eastAsia="宋体" w:cs="Times New Roman"/>
      <w:sz w:val="21"/>
      <w:szCs w:val="21"/>
      <w:lang w:val="en-US" w:eastAsia="zh-CN" w:bidi="ar-SA"/>
    </w:rPr>
  </w:style>
  <w:style w:type="paragraph" w:customStyle="1" w:styleId="485">
    <w:name w:val="其他标准称谓"/>
    <w:qFormat/>
    <w:uiPriority w:val="0"/>
    <w:pPr>
      <w:spacing w:line="240" w:lineRule="atLeast"/>
      <w:jc w:val="distribute"/>
    </w:pPr>
    <w:rPr>
      <w:rFonts w:ascii="黑体" w:hAnsi="宋体" w:eastAsia="黑体" w:cs="Times New Roman"/>
      <w:sz w:val="52"/>
      <w:szCs w:val="52"/>
      <w:lang w:val="en-US" w:eastAsia="zh-CN" w:bidi="ar-SA"/>
    </w:rPr>
  </w:style>
  <w:style w:type="paragraph" w:customStyle="1" w:styleId="486">
    <w:name w:val="其他发布部门"/>
    <w:basedOn w:val="470"/>
    <w:qFormat/>
    <w:uiPriority w:val="0"/>
    <w:pPr>
      <w:framePr w:wrap="around"/>
      <w:spacing w:line="240" w:lineRule="atLeast"/>
    </w:pPr>
    <w:rPr>
      <w:rFonts w:ascii="黑体" w:eastAsia="黑体"/>
      <w:b w:val="0"/>
      <w:bCs w:val="0"/>
    </w:rPr>
  </w:style>
  <w:style w:type="paragraph" w:customStyle="1" w:styleId="487">
    <w:name w:val="三级条标题"/>
    <w:basedOn w:val="432"/>
    <w:next w:val="431"/>
    <w:qFormat/>
    <w:uiPriority w:val="0"/>
    <w:pPr>
      <w:ind w:left="0"/>
      <w:jc w:val="left"/>
      <w:outlineLvl w:val="4"/>
    </w:pPr>
    <w:rPr>
      <w:rFonts w:ascii="Times New Roman"/>
      <w:szCs w:val="21"/>
    </w:rPr>
  </w:style>
  <w:style w:type="paragraph" w:customStyle="1" w:styleId="488">
    <w:name w:val="示例"/>
    <w:next w:val="431"/>
    <w:qFormat/>
    <w:uiPriority w:val="0"/>
    <w:pPr>
      <w:jc w:val="both"/>
    </w:pPr>
    <w:rPr>
      <w:rFonts w:ascii="宋体" w:hAnsi="Times New Roman" w:eastAsia="宋体" w:cs="Times New Roman"/>
      <w:sz w:val="18"/>
      <w:szCs w:val="18"/>
      <w:lang w:val="en-US" w:eastAsia="zh-CN" w:bidi="ar-SA"/>
    </w:rPr>
  </w:style>
  <w:style w:type="paragraph" w:customStyle="1" w:styleId="489">
    <w:name w:val="数字编号列项（二级）"/>
    <w:qFormat/>
    <w:uiPriority w:val="0"/>
    <w:pPr>
      <w:ind w:left="1260" w:leftChars="400" w:hanging="420" w:hangingChars="200"/>
      <w:jc w:val="both"/>
    </w:pPr>
    <w:rPr>
      <w:rFonts w:ascii="宋体" w:hAnsi="Times New Roman" w:eastAsia="宋体" w:cs="Times New Roman"/>
      <w:sz w:val="21"/>
      <w:szCs w:val="21"/>
      <w:lang w:val="en-US" w:eastAsia="zh-CN" w:bidi="ar-SA"/>
    </w:rPr>
  </w:style>
  <w:style w:type="paragraph" w:customStyle="1" w:styleId="490">
    <w:name w:val="四级条标题"/>
    <w:basedOn w:val="487"/>
    <w:next w:val="431"/>
    <w:qFormat/>
    <w:uiPriority w:val="0"/>
    <w:pPr>
      <w:outlineLvl w:val="5"/>
    </w:pPr>
  </w:style>
  <w:style w:type="paragraph" w:customStyle="1" w:styleId="491">
    <w:name w:val="条文脚注"/>
    <w:basedOn w:val="67"/>
    <w:qFormat/>
    <w:uiPriority w:val="0"/>
    <w:pPr>
      <w:spacing w:line="240" w:lineRule="auto"/>
      <w:ind w:left="780" w:leftChars="200" w:hanging="360" w:hangingChars="200"/>
      <w:jc w:val="both"/>
    </w:pPr>
    <w:rPr>
      <w:rFonts w:ascii="宋体"/>
    </w:rPr>
  </w:style>
  <w:style w:type="paragraph" w:customStyle="1" w:styleId="492">
    <w:name w:val="图表脚注"/>
    <w:next w:val="431"/>
    <w:qFormat/>
    <w:uiPriority w:val="0"/>
    <w:pPr>
      <w:ind w:left="300" w:leftChars="200" w:hanging="100" w:hangingChars="100"/>
      <w:jc w:val="both"/>
    </w:pPr>
    <w:rPr>
      <w:rFonts w:ascii="宋体" w:hAnsi="Times New Roman" w:eastAsia="宋体" w:cs="Times New Roman"/>
      <w:sz w:val="18"/>
      <w:szCs w:val="18"/>
      <w:lang w:val="en-US" w:eastAsia="zh-CN" w:bidi="ar-SA"/>
    </w:rPr>
  </w:style>
  <w:style w:type="paragraph" w:customStyle="1" w:styleId="493">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szCs w:val="21"/>
      <w:lang w:val="en-US" w:eastAsia="zh-CN" w:bidi="ar-SA"/>
    </w:rPr>
  </w:style>
  <w:style w:type="paragraph" w:customStyle="1" w:styleId="494">
    <w:name w:val="样式"/>
    <w:basedOn w:val="1"/>
    <w:next w:val="51"/>
    <w:qFormat/>
    <w:uiPriority w:val="0"/>
    <w:pPr>
      <w:spacing w:line="240" w:lineRule="auto"/>
      <w:ind w:firstLine="420"/>
    </w:pPr>
    <w:rPr>
      <w:rFonts w:ascii="楷体_GB2312" w:eastAsia="楷体_GB2312"/>
      <w:szCs w:val="21"/>
    </w:rPr>
  </w:style>
  <w:style w:type="paragraph" w:customStyle="1" w:styleId="495">
    <w:name w:val="五级条标题"/>
    <w:basedOn w:val="490"/>
    <w:next w:val="431"/>
    <w:qFormat/>
    <w:uiPriority w:val="0"/>
    <w:pPr>
      <w:outlineLvl w:val="6"/>
    </w:pPr>
  </w:style>
  <w:style w:type="paragraph" w:customStyle="1" w:styleId="496">
    <w:name w:val="正文表标题"/>
    <w:next w:val="431"/>
    <w:qFormat/>
    <w:uiPriority w:val="0"/>
    <w:pPr>
      <w:jc w:val="center"/>
    </w:pPr>
    <w:rPr>
      <w:rFonts w:ascii="黑体" w:hAnsi="Times New Roman" w:eastAsia="黑体" w:cs="Times New Roman"/>
      <w:sz w:val="21"/>
      <w:szCs w:val="21"/>
      <w:lang w:val="en-US" w:eastAsia="zh-CN" w:bidi="ar-SA"/>
    </w:rPr>
  </w:style>
  <w:style w:type="paragraph" w:customStyle="1" w:styleId="497">
    <w:name w:val="注："/>
    <w:next w:val="431"/>
    <w:qFormat/>
    <w:uiPriority w:val="0"/>
    <w:pPr>
      <w:widowControl w:val="0"/>
      <w:autoSpaceDE w:val="0"/>
      <w:autoSpaceDN w:val="0"/>
      <w:jc w:val="both"/>
    </w:pPr>
    <w:rPr>
      <w:rFonts w:ascii="宋体" w:hAnsi="Times New Roman" w:eastAsia="宋体" w:cs="Times New Roman"/>
      <w:sz w:val="18"/>
      <w:szCs w:val="18"/>
      <w:lang w:val="en-US" w:eastAsia="zh-CN" w:bidi="ar-SA"/>
    </w:rPr>
  </w:style>
  <w:style w:type="paragraph" w:customStyle="1" w:styleId="498">
    <w:name w:val="字母编号列项（一级）"/>
    <w:qFormat/>
    <w:uiPriority w:val="0"/>
    <w:pPr>
      <w:ind w:left="840" w:leftChars="200" w:hanging="420" w:hangingChars="200"/>
      <w:jc w:val="both"/>
    </w:pPr>
    <w:rPr>
      <w:rFonts w:ascii="宋体" w:hAnsi="Times New Roman" w:eastAsia="宋体" w:cs="Times New Roman"/>
      <w:sz w:val="21"/>
      <w:szCs w:val="21"/>
      <w:lang w:val="en-US" w:eastAsia="zh-CN" w:bidi="ar-SA"/>
    </w:rPr>
  </w:style>
  <w:style w:type="paragraph" w:customStyle="1" w:styleId="499">
    <w:name w:val="列项◆（三级）"/>
    <w:qFormat/>
    <w:uiPriority w:val="0"/>
    <w:rPr>
      <w:rFonts w:ascii="宋体" w:hAnsi="Times New Roman" w:eastAsia="宋体" w:cs="Times New Roman"/>
      <w:sz w:val="21"/>
      <w:szCs w:val="21"/>
      <w:lang w:val="en-US" w:eastAsia="zh-CN" w:bidi="ar-SA"/>
    </w:rPr>
  </w:style>
  <w:style w:type="paragraph" w:customStyle="1" w:styleId="500">
    <w:name w:val="编号列项（三级）"/>
    <w:qFormat/>
    <w:uiPriority w:val="0"/>
    <w:pPr>
      <w:ind w:left="800" w:leftChars="600" w:hanging="200" w:hangingChars="200"/>
    </w:pPr>
    <w:rPr>
      <w:rFonts w:ascii="宋体" w:hAnsi="Times New Roman" w:eastAsia="宋体" w:cs="Times New Roman"/>
      <w:sz w:val="21"/>
      <w:szCs w:val="21"/>
      <w:lang w:val="en-US" w:eastAsia="zh-CN" w:bidi="ar-SA"/>
    </w:rPr>
  </w:style>
  <w:style w:type="paragraph" w:customStyle="1" w:styleId="501">
    <w:name w:val="样式2"/>
    <w:basedOn w:val="1"/>
    <w:next w:val="35"/>
    <w:qFormat/>
    <w:uiPriority w:val="0"/>
    <w:pPr>
      <w:spacing w:after="120" w:line="240" w:lineRule="auto"/>
      <w:ind w:left="420" w:leftChars="200"/>
    </w:pPr>
    <w:rPr>
      <w:szCs w:val="21"/>
    </w:rPr>
  </w:style>
  <w:style w:type="paragraph" w:customStyle="1" w:styleId="502">
    <w:name w:val="font0"/>
    <w:basedOn w:val="1"/>
    <w:qFormat/>
    <w:uiPriority w:val="0"/>
    <w:pPr>
      <w:widowControl/>
      <w:spacing w:before="100" w:beforeAutospacing="1" w:after="100" w:afterAutospacing="1" w:line="240" w:lineRule="auto"/>
      <w:jc w:val="left"/>
    </w:pPr>
    <w:rPr>
      <w:rFonts w:ascii="宋体" w:hAnsi="宋体"/>
      <w:kern w:val="0"/>
      <w:sz w:val="24"/>
    </w:rPr>
  </w:style>
  <w:style w:type="paragraph" w:customStyle="1" w:styleId="503">
    <w:name w:val="font5"/>
    <w:basedOn w:val="1"/>
    <w:qFormat/>
    <w:uiPriority w:val="0"/>
    <w:pPr>
      <w:widowControl/>
      <w:spacing w:before="100" w:beforeAutospacing="1" w:after="100" w:afterAutospacing="1" w:line="240" w:lineRule="auto"/>
      <w:jc w:val="left"/>
    </w:pPr>
    <w:rPr>
      <w:rFonts w:ascii="宋体" w:hAnsi="宋体"/>
      <w:kern w:val="0"/>
      <w:sz w:val="24"/>
    </w:rPr>
  </w:style>
  <w:style w:type="paragraph" w:customStyle="1" w:styleId="504">
    <w:name w:val="font6"/>
    <w:basedOn w:val="1"/>
    <w:qFormat/>
    <w:uiPriority w:val="0"/>
    <w:pPr>
      <w:widowControl/>
      <w:spacing w:before="100" w:beforeAutospacing="1" w:after="100" w:afterAutospacing="1" w:line="240" w:lineRule="auto"/>
      <w:jc w:val="left"/>
    </w:pPr>
    <w:rPr>
      <w:rFonts w:ascii="宋体" w:hAnsi="宋体"/>
      <w:kern w:val="0"/>
      <w:sz w:val="18"/>
      <w:szCs w:val="18"/>
    </w:rPr>
  </w:style>
  <w:style w:type="paragraph" w:customStyle="1" w:styleId="505">
    <w:name w:val="font7"/>
    <w:basedOn w:val="1"/>
    <w:qFormat/>
    <w:uiPriority w:val="0"/>
    <w:pPr>
      <w:widowControl/>
      <w:spacing w:before="100" w:beforeAutospacing="1" w:after="100" w:afterAutospacing="1" w:line="240" w:lineRule="auto"/>
      <w:jc w:val="left"/>
    </w:pPr>
    <w:rPr>
      <w:kern w:val="0"/>
      <w:sz w:val="24"/>
    </w:rPr>
  </w:style>
  <w:style w:type="paragraph" w:customStyle="1" w:styleId="506">
    <w:name w:val="font8"/>
    <w:basedOn w:val="1"/>
    <w:qFormat/>
    <w:uiPriority w:val="0"/>
    <w:pPr>
      <w:widowControl/>
      <w:spacing w:before="100" w:beforeAutospacing="1" w:after="100" w:afterAutospacing="1" w:line="240" w:lineRule="auto"/>
      <w:jc w:val="left"/>
    </w:pPr>
    <w:rPr>
      <w:rFonts w:ascii="宋体" w:hAnsi="宋体"/>
      <w:kern w:val="0"/>
      <w:sz w:val="24"/>
      <w:u w:val="single"/>
    </w:rPr>
  </w:style>
  <w:style w:type="paragraph" w:customStyle="1" w:styleId="507">
    <w:name w:val="xl24"/>
    <w:basedOn w:val="1"/>
    <w:qFormat/>
    <w:uiPriority w:val="0"/>
    <w:pPr>
      <w:widowControl/>
      <w:spacing w:before="100" w:beforeAutospacing="1" w:after="100" w:afterAutospacing="1" w:line="240" w:lineRule="auto"/>
      <w:jc w:val="left"/>
      <w:textAlignment w:val="center"/>
    </w:pPr>
    <w:rPr>
      <w:rFonts w:ascii="宋体" w:hAnsi="宋体"/>
      <w:kern w:val="0"/>
      <w:sz w:val="24"/>
    </w:rPr>
  </w:style>
  <w:style w:type="paragraph" w:customStyle="1" w:styleId="50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0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4"/>
    </w:rPr>
  </w:style>
  <w:style w:type="paragraph" w:customStyle="1" w:styleId="51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11">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kern w:val="0"/>
      <w:sz w:val="24"/>
    </w:rPr>
  </w:style>
  <w:style w:type="paragraph" w:customStyle="1" w:styleId="512">
    <w:name w:val="xl2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4"/>
    </w:rPr>
  </w:style>
  <w:style w:type="paragraph" w:customStyle="1" w:styleId="513">
    <w:name w:val="xl3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4"/>
    </w:rPr>
  </w:style>
  <w:style w:type="paragraph" w:customStyle="1" w:styleId="514">
    <w:name w:val="xl31"/>
    <w:basedOn w:val="1"/>
    <w:qFormat/>
    <w:uiPriority w:val="0"/>
    <w:pPr>
      <w:widowControl/>
      <w:pBdr>
        <w:top w:val="single" w:color="auto" w:sz="4" w:space="0"/>
        <w:left w:val="single" w:color="auto" w:sz="4" w:space="0"/>
        <w:right w:val="single" w:color="auto" w:sz="8" w:space="0"/>
      </w:pBdr>
      <w:spacing w:before="100" w:beforeAutospacing="1" w:after="100" w:afterAutospacing="1" w:line="240" w:lineRule="auto"/>
      <w:jc w:val="center"/>
    </w:pPr>
    <w:rPr>
      <w:rFonts w:ascii="宋体" w:hAnsi="宋体"/>
      <w:kern w:val="0"/>
      <w:sz w:val="24"/>
    </w:rPr>
  </w:style>
  <w:style w:type="paragraph" w:customStyle="1" w:styleId="515">
    <w:name w:val="xl32"/>
    <w:basedOn w:val="1"/>
    <w:qFormat/>
    <w:uiPriority w:val="0"/>
    <w:pPr>
      <w:widowControl/>
      <w:pBdr>
        <w:right w:val="single" w:color="auto" w:sz="8" w:space="0"/>
      </w:pBdr>
      <w:spacing w:before="100" w:beforeAutospacing="1" w:after="100" w:afterAutospacing="1" w:line="240" w:lineRule="auto"/>
      <w:jc w:val="left"/>
    </w:pPr>
    <w:rPr>
      <w:rFonts w:ascii="宋体" w:hAnsi="宋体"/>
      <w:kern w:val="0"/>
      <w:sz w:val="24"/>
    </w:rPr>
  </w:style>
  <w:style w:type="paragraph" w:customStyle="1" w:styleId="516">
    <w:name w:val="xl3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17">
    <w:name w:val="xl34"/>
    <w:basedOn w:val="1"/>
    <w:qFormat/>
    <w:uiPriority w:val="0"/>
    <w:pPr>
      <w:widowControl/>
      <w:pBdr>
        <w:bottom w:val="single" w:color="auto" w:sz="8" w:space="0"/>
      </w:pBdr>
      <w:spacing w:before="100" w:beforeAutospacing="1" w:after="100" w:afterAutospacing="1" w:line="240" w:lineRule="auto"/>
      <w:jc w:val="center"/>
      <w:textAlignment w:val="top"/>
    </w:pPr>
    <w:rPr>
      <w:rFonts w:ascii="宋体" w:hAnsi="宋体"/>
      <w:kern w:val="0"/>
      <w:sz w:val="24"/>
      <w:u w:val="single"/>
    </w:rPr>
  </w:style>
  <w:style w:type="paragraph" w:customStyle="1" w:styleId="518">
    <w:name w:val="xl35"/>
    <w:basedOn w:val="1"/>
    <w:qFormat/>
    <w:uiPriority w:val="0"/>
    <w:pPr>
      <w:widowControl/>
      <w:pBdr>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4"/>
    </w:rPr>
  </w:style>
  <w:style w:type="paragraph" w:customStyle="1" w:styleId="519">
    <w:name w:val="xl3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20">
    <w:name w:val="xl3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21">
    <w:name w:val="xl38"/>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22">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kern w:val="0"/>
      <w:sz w:val="24"/>
    </w:rPr>
  </w:style>
  <w:style w:type="paragraph" w:customStyle="1" w:styleId="523">
    <w:name w:val="xl40"/>
    <w:basedOn w:val="1"/>
    <w:qFormat/>
    <w:uiPriority w:val="0"/>
    <w:pPr>
      <w:widowControl/>
      <w:pBdr>
        <w:top w:val="single" w:color="auto" w:sz="4" w:space="0"/>
        <w:left w:val="single" w:color="auto" w:sz="8" w:space="0"/>
        <w:bottom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24">
    <w:name w:val="xl42"/>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25">
    <w:name w:val="xl4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rFonts w:ascii="宋体" w:hAnsi="宋体"/>
      <w:kern w:val="0"/>
      <w:sz w:val="24"/>
    </w:rPr>
  </w:style>
  <w:style w:type="paragraph" w:customStyle="1" w:styleId="526">
    <w:name w:val="xl44"/>
    <w:basedOn w:val="1"/>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27">
    <w:name w:val="xl45"/>
    <w:basedOn w:val="1"/>
    <w:qFormat/>
    <w:uiPriority w:val="0"/>
    <w:pPr>
      <w:widowControl/>
      <w:pBdr>
        <w:top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4"/>
    </w:rPr>
  </w:style>
  <w:style w:type="paragraph" w:customStyle="1" w:styleId="528">
    <w:name w:val="xl4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29">
    <w:name w:val="xl47"/>
    <w:basedOn w:val="1"/>
    <w:qFormat/>
    <w:uiPriority w:val="0"/>
    <w:pPr>
      <w:widowControl/>
      <w:pBdr>
        <w:left w:val="single" w:color="auto" w:sz="4" w:space="0"/>
      </w:pBdr>
      <w:spacing w:before="100" w:beforeAutospacing="1" w:after="100" w:afterAutospacing="1" w:line="240" w:lineRule="auto"/>
      <w:jc w:val="left"/>
      <w:textAlignment w:val="center"/>
    </w:pPr>
    <w:rPr>
      <w:rFonts w:ascii="宋体" w:hAnsi="宋体"/>
      <w:kern w:val="0"/>
      <w:sz w:val="24"/>
    </w:rPr>
  </w:style>
  <w:style w:type="paragraph" w:customStyle="1" w:styleId="530">
    <w:name w:val="xl48"/>
    <w:basedOn w:val="1"/>
    <w:qFormat/>
    <w:uiPriority w:val="0"/>
    <w:pPr>
      <w:widowControl/>
      <w:spacing w:before="100" w:beforeAutospacing="1" w:after="100" w:afterAutospacing="1" w:line="240" w:lineRule="auto"/>
      <w:jc w:val="left"/>
      <w:textAlignment w:val="center"/>
    </w:pPr>
    <w:rPr>
      <w:rFonts w:ascii="宋体" w:hAnsi="宋体"/>
      <w:kern w:val="0"/>
      <w:sz w:val="24"/>
    </w:rPr>
  </w:style>
  <w:style w:type="paragraph" w:customStyle="1" w:styleId="531">
    <w:name w:val="xl49"/>
    <w:basedOn w:val="1"/>
    <w:qFormat/>
    <w:uiPriority w:val="0"/>
    <w:pPr>
      <w:widowControl/>
      <w:pBdr>
        <w:top w:val="single" w:color="auto" w:sz="4" w:space="0"/>
        <w:lef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32">
    <w:name w:val="xl50"/>
    <w:basedOn w:val="1"/>
    <w:qFormat/>
    <w:uiPriority w:val="0"/>
    <w:pPr>
      <w:widowControl/>
      <w:pBdr>
        <w:top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33">
    <w:name w:val="xl51"/>
    <w:basedOn w:val="1"/>
    <w:qFormat/>
    <w:uiPriority w:val="0"/>
    <w:pPr>
      <w:widowControl/>
      <w:pBdr>
        <w:top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4"/>
    </w:rPr>
  </w:style>
  <w:style w:type="paragraph" w:customStyle="1" w:styleId="534">
    <w:name w:val="xl52"/>
    <w:basedOn w:val="1"/>
    <w:qFormat/>
    <w:uiPriority w:val="0"/>
    <w:pPr>
      <w:widowControl/>
      <w:spacing w:before="100" w:beforeAutospacing="1" w:after="100" w:afterAutospacing="1" w:line="240" w:lineRule="auto"/>
      <w:jc w:val="center"/>
    </w:pPr>
    <w:rPr>
      <w:rFonts w:ascii="宋体" w:hAnsi="宋体"/>
      <w:b/>
      <w:bCs/>
      <w:kern w:val="0"/>
      <w:sz w:val="32"/>
      <w:szCs w:val="32"/>
    </w:rPr>
  </w:style>
  <w:style w:type="paragraph" w:customStyle="1" w:styleId="535">
    <w:name w:val="xl53"/>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36">
    <w:name w:val="xl54"/>
    <w:basedOn w:val="1"/>
    <w:qFormat/>
    <w:uiPriority w:val="0"/>
    <w:pPr>
      <w:widowControl/>
      <w:pBdr>
        <w:left w:val="single" w:color="auto" w:sz="8"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37">
    <w:name w:val="xl55"/>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38">
    <w:name w:val="xl56"/>
    <w:basedOn w:val="1"/>
    <w:qFormat/>
    <w:uiPriority w:val="0"/>
    <w:pPr>
      <w:widowControl/>
      <w:pBdr>
        <w:left w:val="single" w:color="auto" w:sz="4" w:space="0"/>
        <w:bottom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39">
    <w:name w:val="xl57"/>
    <w:basedOn w:val="1"/>
    <w:qFormat/>
    <w:uiPriority w:val="0"/>
    <w:pPr>
      <w:widowControl/>
      <w:pBdr>
        <w:bottom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40">
    <w:name w:val="xl58"/>
    <w:basedOn w:val="1"/>
    <w:qFormat/>
    <w:uiPriority w:val="0"/>
    <w:pPr>
      <w:widowControl/>
      <w:pBdr>
        <w:top w:val="single" w:color="auto" w:sz="8" w:space="0"/>
        <w:left w:val="single" w:color="auto" w:sz="8" w:space="0"/>
        <w:bottom w:val="single" w:color="auto" w:sz="4" w:space="0"/>
      </w:pBdr>
      <w:spacing w:before="100" w:beforeAutospacing="1" w:after="100" w:afterAutospacing="1" w:line="240" w:lineRule="auto"/>
      <w:jc w:val="left"/>
      <w:textAlignment w:val="center"/>
    </w:pPr>
    <w:rPr>
      <w:rFonts w:ascii="宋体" w:hAnsi="宋体"/>
      <w:kern w:val="0"/>
      <w:sz w:val="24"/>
    </w:rPr>
  </w:style>
  <w:style w:type="paragraph" w:customStyle="1" w:styleId="541">
    <w:name w:val="xl59"/>
    <w:basedOn w:val="1"/>
    <w:qFormat/>
    <w:uiPriority w:val="0"/>
    <w:pPr>
      <w:widowControl/>
      <w:pBdr>
        <w:top w:val="single" w:color="auto" w:sz="8" w:space="0"/>
        <w:bottom w:val="single" w:color="auto" w:sz="4" w:space="0"/>
      </w:pBdr>
      <w:spacing w:before="100" w:beforeAutospacing="1" w:after="100" w:afterAutospacing="1" w:line="240" w:lineRule="auto"/>
      <w:jc w:val="left"/>
      <w:textAlignment w:val="center"/>
    </w:pPr>
    <w:rPr>
      <w:rFonts w:ascii="宋体" w:hAnsi="宋体"/>
      <w:kern w:val="0"/>
      <w:sz w:val="24"/>
    </w:rPr>
  </w:style>
  <w:style w:type="paragraph" w:customStyle="1" w:styleId="542">
    <w:name w:val="xl60"/>
    <w:basedOn w:val="1"/>
    <w:qFormat/>
    <w:uiPriority w:val="0"/>
    <w:pPr>
      <w:widowControl/>
      <w:pBdr>
        <w:top w:val="single" w:color="auto" w:sz="8" w:space="0"/>
        <w:bottom w:val="single" w:color="auto" w:sz="4" w:space="0"/>
        <w:right w:val="single" w:color="auto" w:sz="8" w:space="0"/>
      </w:pBdr>
      <w:spacing w:before="100" w:beforeAutospacing="1" w:after="100" w:afterAutospacing="1" w:line="240" w:lineRule="auto"/>
      <w:jc w:val="left"/>
      <w:textAlignment w:val="center"/>
    </w:pPr>
    <w:rPr>
      <w:rFonts w:ascii="宋体" w:hAnsi="宋体"/>
      <w:kern w:val="0"/>
      <w:sz w:val="24"/>
    </w:rPr>
  </w:style>
  <w:style w:type="paragraph" w:customStyle="1" w:styleId="543">
    <w:name w:val="xl6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44">
    <w:name w:val="xl62"/>
    <w:basedOn w:val="1"/>
    <w:qFormat/>
    <w:uiPriority w:val="0"/>
    <w:pPr>
      <w:widowControl/>
      <w:pBdr>
        <w:top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4"/>
    </w:rPr>
  </w:style>
  <w:style w:type="paragraph" w:customStyle="1" w:styleId="545">
    <w:name w:val="xl6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kern w:val="0"/>
      <w:sz w:val="24"/>
    </w:rPr>
  </w:style>
  <w:style w:type="paragraph" w:customStyle="1" w:styleId="546">
    <w:name w:val="xl64"/>
    <w:basedOn w:val="1"/>
    <w:qFormat/>
    <w:uiPriority w:val="0"/>
    <w:pPr>
      <w:widowControl/>
      <w:pBdr>
        <w:bottom w:val="single" w:color="auto" w:sz="4" w:space="0"/>
      </w:pBdr>
      <w:spacing w:before="100" w:beforeAutospacing="1" w:after="100" w:afterAutospacing="1" w:line="240" w:lineRule="auto"/>
      <w:jc w:val="center"/>
      <w:textAlignment w:val="top"/>
    </w:pPr>
    <w:rPr>
      <w:rFonts w:ascii="宋体" w:hAnsi="宋体"/>
      <w:kern w:val="0"/>
      <w:sz w:val="24"/>
      <w:u w:val="single"/>
    </w:rPr>
  </w:style>
  <w:style w:type="paragraph" w:customStyle="1" w:styleId="547">
    <w:name w:val="xl65"/>
    <w:basedOn w:val="1"/>
    <w:qFormat/>
    <w:uiPriority w:val="0"/>
    <w:pPr>
      <w:widowControl/>
      <w:pBdr>
        <w:bottom w:val="single" w:color="auto" w:sz="4" w:space="0"/>
        <w:right w:val="single" w:color="auto" w:sz="8" w:space="0"/>
      </w:pBdr>
      <w:spacing w:before="100" w:beforeAutospacing="1" w:after="100" w:afterAutospacing="1" w:line="240" w:lineRule="auto"/>
      <w:jc w:val="center"/>
      <w:textAlignment w:val="top"/>
    </w:pPr>
    <w:rPr>
      <w:rFonts w:ascii="宋体" w:hAnsi="宋体"/>
      <w:kern w:val="0"/>
      <w:sz w:val="24"/>
    </w:rPr>
  </w:style>
  <w:style w:type="paragraph" w:customStyle="1" w:styleId="548">
    <w:name w:val="xl66"/>
    <w:basedOn w:val="1"/>
    <w:qFormat/>
    <w:uiPriority w:val="0"/>
    <w:pPr>
      <w:widowControl/>
      <w:pBdr>
        <w:left w:val="single" w:color="auto" w:sz="4" w:space="0"/>
        <w:bottom w:val="single" w:color="auto" w:sz="8" w:space="0"/>
      </w:pBdr>
      <w:spacing w:before="100" w:beforeAutospacing="1" w:after="100" w:afterAutospacing="1" w:line="240" w:lineRule="auto"/>
      <w:jc w:val="center"/>
      <w:textAlignment w:val="center"/>
    </w:pPr>
    <w:rPr>
      <w:rFonts w:ascii="宋体" w:hAnsi="宋体"/>
      <w:kern w:val="0"/>
      <w:sz w:val="24"/>
    </w:rPr>
  </w:style>
  <w:style w:type="paragraph" w:customStyle="1" w:styleId="549">
    <w:name w:val="xl67"/>
    <w:basedOn w:val="1"/>
    <w:qFormat/>
    <w:uiPriority w:val="0"/>
    <w:pPr>
      <w:widowControl/>
      <w:pBdr>
        <w:bottom w:val="single" w:color="auto" w:sz="8" w:space="0"/>
      </w:pBdr>
      <w:spacing w:before="100" w:beforeAutospacing="1" w:after="100" w:afterAutospacing="1" w:line="240" w:lineRule="auto"/>
      <w:jc w:val="center"/>
      <w:textAlignment w:val="center"/>
    </w:pPr>
    <w:rPr>
      <w:rFonts w:ascii="宋体" w:hAnsi="宋体"/>
      <w:kern w:val="0"/>
      <w:sz w:val="24"/>
    </w:rPr>
  </w:style>
  <w:style w:type="paragraph" w:customStyle="1" w:styleId="550">
    <w:name w:val="样式1"/>
    <w:basedOn w:val="1"/>
    <w:next w:val="35"/>
    <w:qFormat/>
    <w:uiPriority w:val="0"/>
    <w:pPr>
      <w:spacing w:after="120" w:line="240" w:lineRule="auto"/>
      <w:ind w:left="420" w:leftChars="200"/>
    </w:pPr>
    <w:rPr>
      <w:szCs w:val="21"/>
    </w:rPr>
  </w:style>
  <w:style w:type="character" w:customStyle="1" w:styleId="551">
    <w:name w:val="发布"/>
    <w:qFormat/>
    <w:uiPriority w:val="0"/>
    <w:rPr>
      <w:rFonts w:ascii="黑体" w:eastAsia="黑体"/>
      <w:spacing w:val="22"/>
      <w:w w:val="100"/>
      <w:position w:val="3"/>
      <w:sz w:val="28"/>
    </w:rPr>
  </w:style>
  <w:style w:type="paragraph" w:customStyle="1" w:styleId="552">
    <w:name w:val="Char Char2"/>
    <w:basedOn w:val="1"/>
    <w:qFormat/>
    <w:uiPriority w:val="0"/>
    <w:pPr>
      <w:spacing w:line="240" w:lineRule="auto"/>
    </w:pPr>
    <w:rPr>
      <w:rFonts w:ascii="仿宋_GB2312" w:eastAsia="仿宋_GB2312"/>
      <w:b/>
      <w:sz w:val="32"/>
      <w:szCs w:val="32"/>
    </w:rPr>
  </w:style>
  <w:style w:type="paragraph" w:customStyle="1" w:styleId="553">
    <w:name w:val="Char Char21"/>
    <w:basedOn w:val="1"/>
    <w:qFormat/>
    <w:uiPriority w:val="0"/>
    <w:pPr>
      <w:spacing w:line="240" w:lineRule="auto"/>
    </w:pPr>
    <w:rPr>
      <w:rFonts w:ascii="仿宋_GB2312" w:eastAsia="仿宋_GB2312"/>
      <w:b/>
      <w:sz w:val="32"/>
      <w:szCs w:val="32"/>
    </w:rPr>
  </w:style>
  <w:style w:type="paragraph" w:customStyle="1" w:styleId="554">
    <w:name w:val="段落正文"/>
    <w:basedOn w:val="1"/>
    <w:qFormat/>
    <w:uiPriority w:val="0"/>
    <w:pPr>
      <w:spacing w:line="300" w:lineRule="auto"/>
      <w:ind w:firstLine="482" w:firstLineChars="200"/>
    </w:pPr>
    <w:rPr>
      <w:sz w:val="24"/>
    </w:rPr>
  </w:style>
  <w:style w:type="paragraph" w:customStyle="1" w:styleId="555">
    <w:name w:val="Char Char Char Char"/>
    <w:basedOn w:val="1"/>
    <w:qFormat/>
    <w:uiPriority w:val="0"/>
    <w:pPr>
      <w:spacing w:line="240" w:lineRule="auto"/>
    </w:pPr>
    <w:rPr>
      <w:sz w:val="32"/>
      <w:szCs w:val="32"/>
    </w:rPr>
  </w:style>
  <w:style w:type="paragraph" w:customStyle="1" w:styleId="556">
    <w:name w:val="Char1 Char Char Char"/>
    <w:basedOn w:val="1"/>
    <w:qFormat/>
    <w:uiPriority w:val="0"/>
    <w:pPr>
      <w:spacing w:line="240" w:lineRule="auto"/>
    </w:pPr>
    <w:rPr>
      <w:rFonts w:ascii="Tahoma" w:hAnsi="Tahoma"/>
      <w:sz w:val="24"/>
      <w:szCs w:val="20"/>
    </w:rPr>
  </w:style>
  <w:style w:type="paragraph" w:customStyle="1" w:styleId="557">
    <w:name w:val="目录 11"/>
    <w:basedOn w:val="1"/>
    <w:next w:val="1"/>
    <w:semiHidden/>
    <w:qFormat/>
    <w:uiPriority w:val="0"/>
    <w:pPr>
      <w:spacing w:line="240" w:lineRule="auto"/>
    </w:pPr>
    <w:rPr>
      <w:spacing w:val="4"/>
      <w:sz w:val="20"/>
    </w:rPr>
  </w:style>
  <w:style w:type="paragraph" w:customStyle="1" w:styleId="558">
    <w:name w:val="目录 21"/>
    <w:basedOn w:val="1"/>
    <w:next w:val="1"/>
    <w:semiHidden/>
    <w:qFormat/>
    <w:uiPriority w:val="0"/>
    <w:pPr>
      <w:spacing w:line="240" w:lineRule="auto"/>
      <w:ind w:left="420" w:leftChars="200"/>
    </w:pPr>
    <w:rPr>
      <w:spacing w:val="4"/>
      <w:sz w:val="20"/>
    </w:rPr>
  </w:style>
  <w:style w:type="paragraph" w:customStyle="1" w:styleId="559">
    <w:name w:val="目录 31"/>
    <w:basedOn w:val="1"/>
    <w:next w:val="1"/>
    <w:semiHidden/>
    <w:qFormat/>
    <w:uiPriority w:val="0"/>
    <w:pPr>
      <w:spacing w:line="240" w:lineRule="auto"/>
      <w:ind w:left="840" w:leftChars="400"/>
    </w:pPr>
    <w:rPr>
      <w:spacing w:val="4"/>
      <w:sz w:val="20"/>
    </w:rPr>
  </w:style>
  <w:style w:type="paragraph" w:customStyle="1" w:styleId="560">
    <w:name w:val="目录 41"/>
    <w:basedOn w:val="1"/>
    <w:next w:val="1"/>
    <w:semiHidden/>
    <w:qFormat/>
    <w:uiPriority w:val="0"/>
    <w:pPr>
      <w:spacing w:line="240" w:lineRule="auto"/>
      <w:ind w:left="1260" w:leftChars="600"/>
    </w:pPr>
    <w:rPr>
      <w:spacing w:val="4"/>
      <w:sz w:val="20"/>
    </w:rPr>
  </w:style>
  <w:style w:type="paragraph" w:customStyle="1" w:styleId="561">
    <w:name w:val="目录 51"/>
    <w:basedOn w:val="1"/>
    <w:next w:val="1"/>
    <w:semiHidden/>
    <w:qFormat/>
    <w:uiPriority w:val="0"/>
    <w:pPr>
      <w:spacing w:line="240" w:lineRule="auto"/>
      <w:ind w:left="1680" w:leftChars="800"/>
    </w:pPr>
    <w:rPr>
      <w:spacing w:val="4"/>
      <w:sz w:val="20"/>
    </w:rPr>
  </w:style>
  <w:style w:type="paragraph" w:customStyle="1" w:styleId="562">
    <w:name w:val="目录 61"/>
    <w:basedOn w:val="1"/>
    <w:next w:val="1"/>
    <w:semiHidden/>
    <w:qFormat/>
    <w:uiPriority w:val="0"/>
    <w:pPr>
      <w:spacing w:line="240" w:lineRule="auto"/>
      <w:ind w:left="2100" w:leftChars="1000"/>
    </w:pPr>
    <w:rPr>
      <w:spacing w:val="4"/>
      <w:sz w:val="20"/>
    </w:rPr>
  </w:style>
  <w:style w:type="paragraph" w:customStyle="1" w:styleId="563">
    <w:name w:val="目录 71"/>
    <w:basedOn w:val="1"/>
    <w:next w:val="1"/>
    <w:semiHidden/>
    <w:qFormat/>
    <w:uiPriority w:val="0"/>
    <w:pPr>
      <w:spacing w:line="240" w:lineRule="auto"/>
      <w:ind w:left="2520" w:leftChars="1200"/>
    </w:pPr>
    <w:rPr>
      <w:spacing w:val="4"/>
      <w:sz w:val="20"/>
    </w:rPr>
  </w:style>
  <w:style w:type="paragraph" w:customStyle="1" w:styleId="564">
    <w:name w:val="目录 81"/>
    <w:basedOn w:val="1"/>
    <w:next w:val="1"/>
    <w:semiHidden/>
    <w:qFormat/>
    <w:uiPriority w:val="0"/>
    <w:pPr>
      <w:spacing w:line="240" w:lineRule="auto"/>
      <w:ind w:left="2940" w:leftChars="1400"/>
    </w:pPr>
    <w:rPr>
      <w:spacing w:val="4"/>
      <w:sz w:val="20"/>
    </w:rPr>
  </w:style>
  <w:style w:type="paragraph" w:customStyle="1" w:styleId="565">
    <w:name w:val="目录 91"/>
    <w:basedOn w:val="1"/>
    <w:next w:val="1"/>
    <w:semiHidden/>
    <w:qFormat/>
    <w:uiPriority w:val="0"/>
    <w:pPr>
      <w:spacing w:line="240" w:lineRule="auto"/>
      <w:ind w:left="3360" w:leftChars="1600"/>
    </w:pPr>
    <w:rPr>
      <w:spacing w:val="4"/>
      <w:sz w:val="20"/>
    </w:rPr>
  </w:style>
  <w:style w:type="character" w:customStyle="1" w:styleId="566">
    <w:name w:val="样式 标题 2 + 居中 Char"/>
    <w:qFormat/>
    <w:uiPriority w:val="0"/>
    <w:rPr>
      <w:rFonts w:eastAsia="黑体"/>
      <w:b/>
      <w:bCs/>
      <w:kern w:val="2"/>
      <w:sz w:val="28"/>
      <w:szCs w:val="32"/>
      <w:lang w:bidi="ar-SA"/>
    </w:rPr>
  </w:style>
  <w:style w:type="paragraph" w:customStyle="1" w:styleId="567">
    <w:name w:val="样式 标题 2 + 居中"/>
    <w:basedOn w:val="4"/>
    <w:qFormat/>
    <w:uiPriority w:val="0"/>
    <w:pPr>
      <w:keepNext/>
      <w:keepLines/>
      <w:numPr>
        <w:ilvl w:val="0"/>
        <w:numId w:val="0"/>
      </w:numPr>
      <w:tabs>
        <w:tab w:val="clear" w:pos="794"/>
      </w:tabs>
      <w:snapToGrid/>
      <w:spacing w:before="100" w:beforeLines="100" w:after="100" w:afterLines="100"/>
    </w:pPr>
    <w:rPr>
      <w:b/>
      <w:color w:val="FF0000"/>
      <w:sz w:val="28"/>
      <w:szCs w:val="32"/>
    </w:rPr>
  </w:style>
  <w:style w:type="character" w:customStyle="1" w:styleId="568">
    <w:name w:val="三级标题标题无缩进 Char"/>
    <w:qFormat/>
    <w:uiPriority w:val="0"/>
    <w:rPr>
      <w:rFonts w:eastAsia="宋体"/>
      <w:kern w:val="2"/>
      <w:sz w:val="28"/>
      <w:szCs w:val="24"/>
      <w:lang w:val="en-US" w:eastAsia="zh-CN" w:bidi="ar-SA"/>
    </w:rPr>
  </w:style>
  <w:style w:type="paragraph" w:customStyle="1" w:styleId="569">
    <w:name w:val="列出段落11"/>
    <w:basedOn w:val="1"/>
    <w:qFormat/>
    <w:uiPriority w:val="0"/>
    <w:pPr>
      <w:spacing w:beforeLines="50" w:afterLines="50" w:line="240" w:lineRule="auto"/>
      <w:ind w:firstLine="420" w:firstLineChars="200"/>
    </w:pPr>
  </w:style>
  <w:style w:type="paragraph" w:customStyle="1" w:styleId="570">
    <w:name w:val="节"/>
    <w:basedOn w:val="1"/>
    <w:qFormat/>
    <w:uiPriority w:val="0"/>
    <w:pPr>
      <w:spacing w:before="312" w:beforeLines="100" w:after="312" w:afterLines="100" w:line="300" w:lineRule="auto"/>
      <w:jc w:val="center"/>
      <w:outlineLvl w:val="1"/>
    </w:pPr>
    <w:rPr>
      <w:b/>
      <w:sz w:val="24"/>
      <w:szCs w:val="20"/>
    </w:rPr>
  </w:style>
  <w:style w:type="character" w:customStyle="1" w:styleId="571">
    <w:name w:val="规范正文 Char"/>
    <w:qFormat/>
    <w:uiPriority w:val="0"/>
    <w:rPr>
      <w:rFonts w:eastAsia="宋体"/>
      <w:kern w:val="2"/>
      <w:sz w:val="28"/>
      <w:szCs w:val="21"/>
      <w:lang w:val="en-US" w:eastAsia="zh-CN" w:bidi="ar-SA"/>
    </w:rPr>
  </w:style>
  <w:style w:type="character" w:customStyle="1" w:styleId="572">
    <w:name w:val="正文数字 Char"/>
    <w:qFormat/>
    <w:uiPriority w:val="0"/>
    <w:rPr>
      <w:rFonts w:eastAsia="宋体"/>
      <w:b/>
      <w:kern w:val="2"/>
      <w:sz w:val="28"/>
      <w:szCs w:val="24"/>
      <w:lang w:val="en-US" w:eastAsia="zh-CN" w:bidi="ar-SA"/>
    </w:rPr>
  </w:style>
  <w:style w:type="paragraph" w:customStyle="1" w:styleId="573">
    <w:name w:val="正文数字"/>
    <w:basedOn w:val="239"/>
    <w:qFormat/>
    <w:uiPriority w:val="0"/>
    <w:rPr>
      <w:b/>
    </w:rPr>
  </w:style>
  <w:style w:type="paragraph" w:customStyle="1" w:styleId="574">
    <w:name w:val="规范正文"/>
    <w:basedOn w:val="1"/>
    <w:qFormat/>
    <w:uiPriority w:val="0"/>
    <w:pPr>
      <w:spacing w:line="400" w:lineRule="exact"/>
      <w:ind w:firstLine="200" w:firstLineChars="200"/>
    </w:pPr>
    <w:rPr>
      <w:sz w:val="28"/>
      <w:szCs w:val="21"/>
    </w:rPr>
  </w:style>
  <w:style w:type="paragraph" w:customStyle="1" w:styleId="575">
    <w:name w:val="条"/>
    <w:basedOn w:val="1"/>
    <w:next w:val="1"/>
    <w:qFormat/>
    <w:uiPriority w:val="0"/>
    <w:pPr>
      <w:spacing w:line="240" w:lineRule="auto"/>
      <w:jc w:val="left"/>
      <w:outlineLvl w:val="2"/>
    </w:pPr>
    <w:rPr>
      <w:rFonts w:ascii="Calibri" w:hAnsi="Calibri"/>
      <w:szCs w:val="21"/>
    </w:rPr>
  </w:style>
  <w:style w:type="paragraph" w:customStyle="1" w:styleId="576">
    <w:name w:val="B"/>
    <w:basedOn w:val="1"/>
    <w:next w:val="1"/>
    <w:qFormat/>
    <w:uiPriority w:val="0"/>
    <w:pPr>
      <w:tabs>
        <w:tab w:val="left" w:pos="0"/>
      </w:tabs>
      <w:adjustRightInd w:val="0"/>
      <w:snapToGrid w:val="0"/>
      <w:spacing w:beforeLines="100" w:afterLines="100" w:line="360" w:lineRule="auto"/>
      <w:jc w:val="center"/>
      <w:outlineLvl w:val="3"/>
    </w:pPr>
    <w:rPr>
      <w:rFonts w:eastAsia="黑体"/>
      <w:b/>
      <w:bCs/>
      <w:kern w:val="0"/>
      <w:sz w:val="24"/>
    </w:rPr>
  </w:style>
  <w:style w:type="paragraph" w:customStyle="1" w:styleId="577">
    <w:name w:val="C"/>
    <w:basedOn w:val="1"/>
    <w:qFormat/>
    <w:uiPriority w:val="0"/>
    <w:pPr>
      <w:tabs>
        <w:tab w:val="left" w:pos="0"/>
      </w:tabs>
      <w:spacing w:line="360" w:lineRule="auto"/>
      <w:jc w:val="left"/>
      <w:outlineLvl w:val="4"/>
    </w:pPr>
    <w:rPr>
      <w:kern w:val="0"/>
      <w:sz w:val="24"/>
    </w:rPr>
  </w:style>
  <w:style w:type="paragraph" w:customStyle="1" w:styleId="578">
    <w:name w:val="D"/>
    <w:basedOn w:val="1"/>
    <w:qFormat/>
    <w:uiPriority w:val="0"/>
    <w:pPr>
      <w:tabs>
        <w:tab w:val="left" w:pos="0"/>
      </w:tabs>
      <w:spacing w:line="360" w:lineRule="auto"/>
      <w:jc w:val="left"/>
      <w:outlineLvl w:val="5"/>
    </w:pPr>
    <w:rPr>
      <w:kern w:val="0"/>
      <w:sz w:val="24"/>
      <w:lang w:val="zh-CN"/>
    </w:rPr>
  </w:style>
  <w:style w:type="paragraph" w:customStyle="1" w:styleId="579">
    <w:name w:val="2级标题"/>
    <w:basedOn w:val="1"/>
    <w:qFormat/>
    <w:uiPriority w:val="0"/>
    <w:pPr>
      <w:numPr>
        <w:ilvl w:val="1"/>
        <w:numId w:val="15"/>
      </w:numPr>
      <w:tabs>
        <w:tab w:val="left" w:pos="240"/>
      </w:tabs>
      <w:spacing w:before="480" w:after="360" w:line="240" w:lineRule="auto"/>
      <w:jc w:val="left"/>
      <w:outlineLvl w:val="1"/>
    </w:pPr>
    <w:rPr>
      <w:rFonts w:eastAsia="黑体"/>
      <w:sz w:val="30"/>
      <w:szCs w:val="20"/>
    </w:rPr>
  </w:style>
  <w:style w:type="paragraph" w:customStyle="1" w:styleId="580">
    <w:name w:val="3级标题"/>
    <w:basedOn w:val="1"/>
    <w:qFormat/>
    <w:uiPriority w:val="0"/>
    <w:pPr>
      <w:numPr>
        <w:ilvl w:val="2"/>
        <w:numId w:val="15"/>
      </w:numPr>
      <w:tabs>
        <w:tab w:val="left" w:pos="240"/>
      </w:tabs>
      <w:spacing w:before="480" w:after="360" w:line="240" w:lineRule="auto"/>
      <w:jc w:val="left"/>
      <w:outlineLvl w:val="2"/>
    </w:pPr>
    <w:rPr>
      <w:rFonts w:eastAsia="黑体"/>
      <w:sz w:val="28"/>
      <w:szCs w:val="20"/>
    </w:rPr>
  </w:style>
  <w:style w:type="paragraph" w:customStyle="1" w:styleId="581">
    <w:name w:val="样式3"/>
    <w:basedOn w:val="580"/>
    <w:qFormat/>
    <w:uiPriority w:val="0"/>
    <w:pPr>
      <w:spacing w:before="0" w:after="0" w:line="360" w:lineRule="auto"/>
      <w:jc w:val="both"/>
    </w:pPr>
    <w:rPr>
      <w:rFonts w:ascii="Arial" w:hAnsi="Arial" w:eastAsia="宋体"/>
      <w:kern w:val="0"/>
      <w:sz w:val="24"/>
      <w:lang w:val="zh-CN"/>
    </w:rPr>
  </w:style>
  <w:style w:type="paragraph" w:customStyle="1" w:styleId="582">
    <w:name w:val="二级标题格式"/>
    <w:basedOn w:val="4"/>
    <w:qFormat/>
    <w:uiPriority w:val="0"/>
    <w:pPr>
      <w:numPr>
        <w:numId w:val="16"/>
      </w:numPr>
      <w:adjustRightInd w:val="0"/>
      <w:spacing w:before="0" w:after="0" w:line="360" w:lineRule="auto"/>
    </w:pPr>
    <w:rPr>
      <w:rFonts w:ascii="黑体"/>
      <w:bCs w:val="0"/>
      <w:color w:val="FF0000"/>
      <w:kern w:val="0"/>
      <w:sz w:val="24"/>
      <w:szCs w:val="24"/>
      <w:lang w:val="zh-CN"/>
    </w:rPr>
  </w:style>
  <w:style w:type="paragraph" w:customStyle="1" w:styleId="583">
    <w:name w:val="三级标题格式"/>
    <w:basedOn w:val="5"/>
    <w:qFormat/>
    <w:uiPriority w:val="0"/>
    <w:pPr>
      <w:numPr>
        <w:numId w:val="16"/>
      </w:numPr>
      <w:spacing w:line="360" w:lineRule="auto"/>
    </w:pPr>
    <w:rPr>
      <w:bCs/>
      <w:kern w:val="0"/>
      <w:sz w:val="24"/>
      <w:lang w:val="zh-CN"/>
    </w:rPr>
  </w:style>
  <w:style w:type="paragraph" w:customStyle="1" w:styleId="584">
    <w:name w:val="四级标题格式"/>
    <w:basedOn w:val="6"/>
    <w:qFormat/>
    <w:uiPriority w:val="0"/>
    <w:pPr>
      <w:numPr>
        <w:numId w:val="16"/>
      </w:numPr>
      <w:adjustRightInd w:val="0"/>
      <w:snapToGrid w:val="0"/>
      <w:spacing w:before="0" w:line="360" w:lineRule="auto"/>
      <w:jc w:val="both"/>
    </w:pPr>
    <w:rPr>
      <w:rFonts w:ascii="Times" w:hAnsi="Times" w:eastAsia="宋体"/>
      <w:bCs w:val="0"/>
      <w:color w:val="auto"/>
      <w:kern w:val="0"/>
      <w:sz w:val="24"/>
      <w:szCs w:val="21"/>
      <w:lang w:val="zh-CN"/>
    </w:rPr>
  </w:style>
  <w:style w:type="paragraph" w:customStyle="1" w:styleId="585">
    <w:name w:val="五级标题格式"/>
    <w:basedOn w:val="7"/>
    <w:qFormat/>
    <w:uiPriority w:val="0"/>
    <w:pPr>
      <w:numPr>
        <w:numId w:val="16"/>
      </w:numPr>
      <w:spacing w:line="480" w:lineRule="exact"/>
      <w:ind w:left="0" w:firstLine="200"/>
      <w:jc w:val="both"/>
    </w:pPr>
    <w:rPr>
      <w:bCs w:val="0"/>
      <w:kern w:val="0"/>
      <w:sz w:val="24"/>
      <w:szCs w:val="24"/>
      <w:lang w:val="zh-CN"/>
    </w:rPr>
  </w:style>
  <w:style w:type="paragraph" w:customStyle="1" w:styleId="586">
    <w:name w:val="九级标题格式"/>
    <w:basedOn w:val="1"/>
    <w:qFormat/>
    <w:uiPriority w:val="0"/>
    <w:pPr>
      <w:numPr>
        <w:ilvl w:val="8"/>
        <w:numId w:val="16"/>
      </w:numPr>
      <w:spacing w:after="50" w:line="240" w:lineRule="auto"/>
      <w:outlineLvl w:val="8"/>
    </w:pPr>
    <w:rPr>
      <w:color w:val="4A442A"/>
      <w:sz w:val="24"/>
      <w:szCs w:val="20"/>
    </w:rPr>
  </w:style>
  <w:style w:type="paragraph" w:customStyle="1" w:styleId="587">
    <w:name w:val="六级标题格式"/>
    <w:basedOn w:val="1"/>
    <w:qFormat/>
    <w:uiPriority w:val="0"/>
    <w:pPr>
      <w:numPr>
        <w:ilvl w:val="5"/>
        <w:numId w:val="16"/>
      </w:numPr>
      <w:spacing w:line="480" w:lineRule="exact"/>
      <w:outlineLvl w:val="5"/>
    </w:pPr>
    <w:rPr>
      <w:sz w:val="24"/>
    </w:rPr>
  </w:style>
  <w:style w:type="paragraph" w:customStyle="1" w:styleId="588">
    <w:name w:val="七级标题格式"/>
    <w:basedOn w:val="1"/>
    <w:qFormat/>
    <w:uiPriority w:val="0"/>
    <w:pPr>
      <w:numPr>
        <w:ilvl w:val="6"/>
        <w:numId w:val="16"/>
      </w:numPr>
      <w:spacing w:line="480" w:lineRule="exact"/>
      <w:outlineLvl w:val="6"/>
    </w:pPr>
    <w:rPr>
      <w:sz w:val="24"/>
    </w:rPr>
  </w:style>
  <w:style w:type="paragraph" w:customStyle="1" w:styleId="589">
    <w:name w:val="八级正文格式"/>
    <w:basedOn w:val="1"/>
    <w:qFormat/>
    <w:uiPriority w:val="0"/>
    <w:pPr>
      <w:numPr>
        <w:ilvl w:val="7"/>
        <w:numId w:val="16"/>
      </w:numPr>
      <w:spacing w:after="50" w:line="240" w:lineRule="auto"/>
      <w:outlineLvl w:val="7"/>
    </w:pPr>
    <w:rPr>
      <w:color w:val="D99594"/>
      <w:sz w:val="24"/>
      <w:szCs w:val="20"/>
    </w:rPr>
  </w:style>
  <w:style w:type="paragraph" w:customStyle="1" w:styleId="590">
    <w:name w:val="标题3"/>
    <w:basedOn w:val="1"/>
    <w:next w:val="5"/>
    <w:qFormat/>
    <w:uiPriority w:val="0"/>
    <w:pPr>
      <w:numPr>
        <w:ilvl w:val="0"/>
        <w:numId w:val="17"/>
      </w:numPr>
      <w:adjustRightInd w:val="0"/>
      <w:snapToGrid w:val="0"/>
      <w:spacing w:line="360" w:lineRule="auto"/>
      <w:ind w:left="0" w:firstLine="0"/>
      <w:jc w:val="left"/>
      <w:outlineLvl w:val="2"/>
    </w:pPr>
    <w:rPr>
      <w:rFonts w:ascii="Arial" w:hAnsi="Arial"/>
      <w:sz w:val="24"/>
      <w:szCs w:val="21"/>
    </w:rPr>
  </w:style>
  <w:style w:type="paragraph" w:customStyle="1" w:styleId="591">
    <w:name w:val="标题3.1"/>
    <w:basedOn w:val="1"/>
    <w:next w:val="1"/>
    <w:qFormat/>
    <w:uiPriority w:val="0"/>
    <w:pPr>
      <w:numPr>
        <w:ilvl w:val="0"/>
        <w:numId w:val="18"/>
      </w:numPr>
      <w:spacing w:line="360" w:lineRule="auto"/>
      <w:jc w:val="left"/>
      <w:outlineLvl w:val="2"/>
    </w:pPr>
    <w:rPr>
      <w:rFonts w:ascii="Arial" w:hAnsi="Arial"/>
      <w:kern w:val="0"/>
      <w:sz w:val="24"/>
      <w:szCs w:val="20"/>
      <w:lang w:val="zh-CN"/>
    </w:rPr>
  </w:style>
  <w:style w:type="paragraph" w:customStyle="1" w:styleId="592">
    <w:name w:val="样式 标题3.1 + 宋体"/>
    <w:basedOn w:val="591"/>
    <w:qFormat/>
    <w:uiPriority w:val="0"/>
    <w:pPr>
      <w:ind w:left="0" w:firstLine="0"/>
      <w:jc w:val="both"/>
    </w:pPr>
    <w:rPr>
      <w:rFonts w:ascii="宋体" w:hAnsi="宋体"/>
    </w:rPr>
  </w:style>
  <w:style w:type="paragraph" w:customStyle="1" w:styleId="593">
    <w:name w:val="标题3.3"/>
    <w:basedOn w:val="1"/>
    <w:next w:val="1"/>
    <w:qFormat/>
    <w:uiPriority w:val="0"/>
    <w:pPr>
      <w:numPr>
        <w:ilvl w:val="0"/>
        <w:numId w:val="19"/>
      </w:numPr>
      <w:spacing w:line="360" w:lineRule="auto"/>
      <w:jc w:val="left"/>
      <w:outlineLvl w:val="2"/>
    </w:pPr>
    <w:rPr>
      <w:rFonts w:ascii="Arial" w:hAnsi="Arial"/>
      <w:kern w:val="0"/>
      <w:sz w:val="24"/>
      <w:szCs w:val="20"/>
      <w:lang w:val="zh-CN"/>
    </w:rPr>
  </w:style>
  <w:style w:type="paragraph" w:customStyle="1" w:styleId="594">
    <w:name w:val="标题3.4"/>
    <w:basedOn w:val="1"/>
    <w:next w:val="1"/>
    <w:qFormat/>
    <w:uiPriority w:val="0"/>
    <w:pPr>
      <w:numPr>
        <w:ilvl w:val="0"/>
        <w:numId w:val="20"/>
      </w:numPr>
      <w:spacing w:line="360" w:lineRule="auto"/>
      <w:jc w:val="left"/>
      <w:outlineLvl w:val="2"/>
    </w:pPr>
    <w:rPr>
      <w:rFonts w:ascii="Arial" w:hAnsi="Arial"/>
      <w:kern w:val="0"/>
      <w:sz w:val="24"/>
      <w:szCs w:val="20"/>
      <w:lang w:val="zh-CN"/>
    </w:rPr>
  </w:style>
  <w:style w:type="paragraph" w:customStyle="1" w:styleId="595">
    <w:name w:val="标题3.5"/>
    <w:basedOn w:val="585"/>
    <w:next w:val="1"/>
    <w:qFormat/>
    <w:uiPriority w:val="0"/>
    <w:pPr>
      <w:numPr>
        <w:ilvl w:val="0"/>
        <w:numId w:val="0"/>
      </w:numPr>
      <w:spacing w:line="360" w:lineRule="auto"/>
      <w:ind w:left="2100" w:hanging="420"/>
      <w:jc w:val="left"/>
      <w:outlineLvl w:val="2"/>
    </w:pPr>
    <w:rPr>
      <w:rFonts w:ascii="Arial" w:hAnsi="Arial"/>
      <w:szCs w:val="20"/>
    </w:rPr>
  </w:style>
  <w:style w:type="paragraph" w:customStyle="1" w:styleId="596">
    <w:name w:val="3级"/>
    <w:basedOn w:val="1"/>
    <w:next w:val="1"/>
    <w:qFormat/>
    <w:uiPriority w:val="0"/>
    <w:pPr>
      <w:numPr>
        <w:ilvl w:val="2"/>
        <w:numId w:val="21"/>
      </w:numPr>
      <w:spacing w:line="360" w:lineRule="auto"/>
      <w:jc w:val="left"/>
    </w:pPr>
    <w:rPr>
      <w:rFonts w:ascii="Arial" w:hAnsi="Arial"/>
      <w:sz w:val="24"/>
      <w:szCs w:val="21"/>
    </w:rPr>
  </w:style>
  <w:style w:type="paragraph" w:customStyle="1" w:styleId="597">
    <w:name w:val="样式 C + 段前: 7.8 磅"/>
    <w:basedOn w:val="577"/>
    <w:qFormat/>
    <w:uiPriority w:val="0"/>
    <w:pPr>
      <w:ind w:firstLine="200" w:firstLineChars="200"/>
    </w:pPr>
    <w:rPr>
      <w:szCs w:val="20"/>
    </w:rPr>
  </w:style>
  <w:style w:type="paragraph" w:customStyle="1" w:styleId="598">
    <w:name w:val="样式 C + 加粗 段前: 7.8 磅"/>
    <w:basedOn w:val="577"/>
    <w:qFormat/>
    <w:uiPriority w:val="0"/>
    <w:pPr>
      <w:ind w:firstLine="200" w:firstLineChars="200"/>
    </w:pPr>
    <w:rPr>
      <w:b/>
      <w:bCs/>
      <w:szCs w:val="20"/>
    </w:rPr>
  </w:style>
  <w:style w:type="paragraph" w:customStyle="1" w:styleId="599">
    <w:name w:val="标题4"/>
    <w:basedOn w:val="1"/>
    <w:next w:val="1"/>
    <w:qFormat/>
    <w:uiPriority w:val="0"/>
    <w:pPr>
      <w:numPr>
        <w:ilvl w:val="0"/>
        <w:numId w:val="22"/>
      </w:numPr>
      <w:autoSpaceDE w:val="0"/>
      <w:autoSpaceDN w:val="0"/>
      <w:spacing w:line="360" w:lineRule="auto"/>
      <w:ind w:left="0" w:firstLine="200" w:firstLineChars="200"/>
      <w:jc w:val="left"/>
    </w:pPr>
    <w:rPr>
      <w:color w:val="000000"/>
      <w:kern w:val="0"/>
      <w:sz w:val="20"/>
      <w:lang w:val="zh-CN"/>
    </w:rPr>
  </w:style>
  <w:style w:type="paragraph" w:customStyle="1" w:styleId="600">
    <w:name w:val="标题4.1"/>
    <w:basedOn w:val="1"/>
    <w:next w:val="1"/>
    <w:qFormat/>
    <w:uiPriority w:val="0"/>
    <w:pPr>
      <w:numPr>
        <w:ilvl w:val="0"/>
        <w:numId w:val="23"/>
      </w:numPr>
      <w:autoSpaceDE w:val="0"/>
      <w:autoSpaceDN w:val="0"/>
      <w:spacing w:line="360" w:lineRule="auto"/>
      <w:ind w:left="0" w:firstLine="200" w:firstLineChars="200"/>
      <w:jc w:val="left"/>
    </w:pPr>
    <w:rPr>
      <w:color w:val="000000"/>
      <w:kern w:val="0"/>
      <w:sz w:val="20"/>
      <w:lang w:val="zh-CN"/>
    </w:rPr>
  </w:style>
  <w:style w:type="paragraph" w:customStyle="1" w:styleId="601">
    <w:name w:val="标题4.4"/>
    <w:basedOn w:val="1"/>
    <w:next w:val="1"/>
    <w:qFormat/>
    <w:uiPriority w:val="0"/>
    <w:pPr>
      <w:numPr>
        <w:ilvl w:val="0"/>
        <w:numId w:val="24"/>
      </w:numPr>
      <w:autoSpaceDE w:val="0"/>
      <w:autoSpaceDN w:val="0"/>
      <w:adjustRightInd w:val="0"/>
      <w:spacing w:line="360" w:lineRule="auto"/>
      <w:ind w:left="0" w:firstLine="200" w:firstLineChars="200"/>
      <w:jc w:val="left"/>
      <w:outlineLvl w:val="4"/>
    </w:pPr>
    <w:rPr>
      <w:color w:val="000000"/>
      <w:kern w:val="0"/>
      <w:sz w:val="20"/>
      <w:lang w:val="zh-CN"/>
    </w:rPr>
  </w:style>
  <w:style w:type="paragraph" w:customStyle="1" w:styleId="602">
    <w:name w:val="标题4.5"/>
    <w:basedOn w:val="1"/>
    <w:next w:val="1"/>
    <w:qFormat/>
    <w:uiPriority w:val="0"/>
    <w:pPr>
      <w:numPr>
        <w:ilvl w:val="0"/>
        <w:numId w:val="25"/>
      </w:numPr>
      <w:autoSpaceDE w:val="0"/>
      <w:autoSpaceDN w:val="0"/>
      <w:adjustRightInd w:val="0"/>
      <w:spacing w:line="360" w:lineRule="auto"/>
      <w:ind w:left="0" w:firstLine="200" w:firstLineChars="200"/>
      <w:jc w:val="left"/>
      <w:outlineLvl w:val="4"/>
    </w:pPr>
    <w:rPr>
      <w:color w:val="000000"/>
      <w:kern w:val="0"/>
      <w:sz w:val="20"/>
      <w:lang w:val="zh-CN"/>
    </w:rPr>
  </w:style>
  <w:style w:type="paragraph" w:customStyle="1" w:styleId="603">
    <w:name w:val="标题4.8"/>
    <w:basedOn w:val="1"/>
    <w:next w:val="1"/>
    <w:qFormat/>
    <w:uiPriority w:val="0"/>
    <w:pPr>
      <w:numPr>
        <w:ilvl w:val="0"/>
        <w:numId w:val="26"/>
      </w:numPr>
      <w:autoSpaceDE w:val="0"/>
      <w:autoSpaceDN w:val="0"/>
      <w:adjustRightInd w:val="0"/>
      <w:spacing w:line="360" w:lineRule="auto"/>
      <w:ind w:left="0" w:firstLine="200" w:firstLineChars="200"/>
      <w:jc w:val="left"/>
    </w:pPr>
    <w:rPr>
      <w:color w:val="000000"/>
      <w:kern w:val="0"/>
      <w:sz w:val="20"/>
      <w:lang w:val="zh-CN"/>
    </w:rPr>
  </w:style>
  <w:style w:type="paragraph" w:customStyle="1" w:styleId="604">
    <w:name w:val="标题4.8.3"/>
    <w:basedOn w:val="1"/>
    <w:next w:val="1"/>
    <w:qFormat/>
    <w:uiPriority w:val="0"/>
    <w:pPr>
      <w:numPr>
        <w:ilvl w:val="0"/>
        <w:numId w:val="27"/>
      </w:numPr>
      <w:spacing w:line="360" w:lineRule="auto"/>
      <w:ind w:left="0" w:firstLine="200" w:firstLineChars="200"/>
      <w:jc w:val="left"/>
    </w:pPr>
  </w:style>
  <w:style w:type="paragraph" w:customStyle="1" w:styleId="605">
    <w:name w:val="样式5"/>
    <w:basedOn w:val="581"/>
    <w:qFormat/>
    <w:uiPriority w:val="0"/>
    <w:pPr>
      <w:numPr>
        <w:ilvl w:val="0"/>
        <w:numId w:val="0"/>
      </w:numPr>
      <w:ind w:firstLine="357"/>
    </w:pPr>
  </w:style>
  <w:style w:type="paragraph" w:customStyle="1" w:styleId="606">
    <w:name w:val="编号(1)"/>
    <w:basedOn w:val="1"/>
    <w:qFormat/>
    <w:uiPriority w:val="0"/>
    <w:pPr>
      <w:numPr>
        <w:ilvl w:val="0"/>
        <w:numId w:val="28"/>
      </w:numPr>
      <w:tabs>
        <w:tab w:val="left" w:pos="547"/>
        <w:tab w:val="left" w:pos="907"/>
        <w:tab w:val="left" w:pos="1080"/>
        <w:tab w:val="clear" w:pos="920"/>
      </w:tabs>
      <w:spacing w:line="480" w:lineRule="atLeast"/>
      <w:ind w:left="0"/>
    </w:pPr>
    <w:rPr>
      <w:sz w:val="28"/>
    </w:rPr>
  </w:style>
  <w:style w:type="paragraph" w:customStyle="1" w:styleId="607">
    <w:name w:val="编号1."/>
    <w:basedOn w:val="1"/>
    <w:qFormat/>
    <w:uiPriority w:val="0"/>
    <w:pPr>
      <w:numPr>
        <w:ilvl w:val="0"/>
        <w:numId w:val="29"/>
      </w:numPr>
      <w:tabs>
        <w:tab w:val="left" w:pos="547"/>
        <w:tab w:val="left" w:pos="1080"/>
      </w:tabs>
      <w:spacing w:line="480" w:lineRule="atLeast"/>
    </w:pPr>
    <w:rPr>
      <w:sz w:val="28"/>
    </w:rPr>
  </w:style>
  <w:style w:type="paragraph" w:customStyle="1" w:styleId="608">
    <w:name w:val="五号线1.1.1"/>
    <w:semiHidden/>
    <w:qFormat/>
    <w:uiPriority w:val="0"/>
    <w:pPr>
      <w:numPr>
        <w:ilvl w:val="1"/>
        <w:numId w:val="30"/>
      </w:numPr>
      <w:tabs>
        <w:tab w:val="left" w:pos="851"/>
        <w:tab w:val="clear" w:pos="720"/>
      </w:tabs>
      <w:spacing w:before="120" w:after="120" w:line="500" w:lineRule="exact"/>
      <w:ind w:left="851" w:hanging="851"/>
      <w:outlineLvl w:val="2"/>
    </w:pPr>
    <w:rPr>
      <w:rFonts w:ascii="宋体" w:hAnsi="Times New Roman" w:eastAsia="宋体" w:cs="Times New Roman"/>
      <w:spacing w:val="6"/>
      <w:w w:val="95"/>
      <w:sz w:val="24"/>
      <w:szCs w:val="24"/>
      <w:lang w:val="en-US" w:eastAsia="zh-CN" w:bidi="ar-SA"/>
    </w:rPr>
  </w:style>
  <w:style w:type="paragraph" w:customStyle="1" w:styleId="609">
    <w:name w:val="五号线1.1.1.1"/>
    <w:semiHidden/>
    <w:qFormat/>
    <w:uiPriority w:val="0"/>
    <w:pPr>
      <w:numPr>
        <w:ilvl w:val="2"/>
        <w:numId w:val="30"/>
      </w:numPr>
      <w:tabs>
        <w:tab w:val="left" w:pos="1505"/>
        <w:tab w:val="clear" w:pos="851"/>
      </w:tabs>
      <w:spacing w:before="120" w:after="120" w:line="500" w:lineRule="exact"/>
      <w:ind w:left="0" w:firstLine="425"/>
      <w:outlineLvl w:val="3"/>
    </w:pPr>
    <w:rPr>
      <w:rFonts w:ascii="宋体" w:hAnsi="Times New Roman" w:eastAsia="宋体" w:cs="Times New Roman"/>
      <w:spacing w:val="6"/>
      <w:w w:val="95"/>
      <w:sz w:val="24"/>
      <w:szCs w:val="24"/>
      <w:lang w:val="en-US" w:eastAsia="zh-CN" w:bidi="ar-SA"/>
    </w:rPr>
  </w:style>
  <w:style w:type="paragraph" w:customStyle="1" w:styleId="610">
    <w:name w:val="五号线1)"/>
    <w:semiHidden/>
    <w:qFormat/>
    <w:uiPriority w:val="0"/>
    <w:pPr>
      <w:numPr>
        <w:ilvl w:val="3"/>
        <w:numId w:val="30"/>
      </w:numPr>
      <w:tabs>
        <w:tab w:val="left" w:pos="927"/>
        <w:tab w:val="clear" w:pos="1505"/>
      </w:tabs>
      <w:spacing w:line="500" w:lineRule="exact"/>
      <w:ind w:firstLine="567"/>
      <w:outlineLvl w:val="4"/>
    </w:pPr>
    <w:rPr>
      <w:rFonts w:ascii="宋体" w:hAnsi="Times New Roman" w:eastAsia="宋体" w:cs="Times New Roman"/>
      <w:spacing w:val="6"/>
      <w:w w:val="95"/>
      <w:sz w:val="24"/>
      <w:szCs w:val="24"/>
      <w:lang w:val="en-US" w:eastAsia="zh-CN" w:bidi="ar-SA"/>
    </w:rPr>
  </w:style>
  <w:style w:type="paragraph" w:customStyle="1" w:styleId="611">
    <w:name w:val="五号线a)"/>
    <w:semiHidden/>
    <w:qFormat/>
    <w:uiPriority w:val="0"/>
    <w:pPr>
      <w:numPr>
        <w:ilvl w:val="4"/>
        <w:numId w:val="30"/>
      </w:numPr>
      <w:tabs>
        <w:tab w:val="left" w:pos="1069"/>
        <w:tab w:val="clear" w:pos="927"/>
      </w:tabs>
      <w:spacing w:line="500" w:lineRule="exact"/>
      <w:ind w:firstLine="709"/>
      <w:outlineLvl w:val="5"/>
    </w:pPr>
    <w:rPr>
      <w:rFonts w:ascii="宋体" w:hAnsi="Times New Roman" w:eastAsia="宋体" w:cs="Times New Roman"/>
      <w:spacing w:val="6"/>
      <w:w w:val="95"/>
      <w:sz w:val="24"/>
      <w:szCs w:val="24"/>
      <w:lang w:val="en-US" w:eastAsia="zh-CN" w:bidi="ar-SA"/>
    </w:rPr>
  </w:style>
  <w:style w:type="paragraph" w:customStyle="1" w:styleId="612">
    <w:name w:val="顺号a）"/>
    <w:basedOn w:val="35"/>
    <w:semiHidden/>
    <w:qFormat/>
    <w:uiPriority w:val="0"/>
    <w:pPr>
      <w:widowControl/>
      <w:numPr>
        <w:ilvl w:val="5"/>
        <w:numId w:val="30"/>
      </w:numPr>
      <w:tabs>
        <w:tab w:val="left" w:pos="425"/>
        <w:tab w:val="clear" w:pos="1069"/>
      </w:tabs>
      <w:spacing w:after="0" w:line="360" w:lineRule="auto"/>
      <w:ind w:left="425" w:leftChars="0" w:hanging="425"/>
    </w:pPr>
    <w:rPr>
      <w:rFonts w:ascii="宋体" w:hAnsi="Arial" w:eastAsia="华文细黑"/>
      <w:kern w:val="0"/>
      <w:sz w:val="32"/>
      <w:szCs w:val="32"/>
    </w:rPr>
  </w:style>
  <w:style w:type="paragraph" w:customStyle="1" w:styleId="613">
    <w:name w:val="样式 样式 标题 2 + 黑色 + 段前: 1 行 段后: 0.5 行"/>
    <w:basedOn w:val="1"/>
    <w:qFormat/>
    <w:uiPriority w:val="0"/>
    <w:pPr>
      <w:numPr>
        <w:ilvl w:val="1"/>
        <w:numId w:val="14"/>
      </w:numPr>
      <w:tabs>
        <w:tab w:val="left" w:pos="922"/>
      </w:tabs>
      <w:adjustRightInd w:val="0"/>
      <w:snapToGrid w:val="0"/>
      <w:spacing w:beforeLines="100" w:afterLines="50" w:line="500" w:lineRule="exact"/>
      <w:ind w:left="936" w:hanging="576"/>
      <w:jc w:val="center"/>
      <w:outlineLvl w:val="1"/>
    </w:pPr>
    <w:rPr>
      <w:rFonts w:ascii="黑体" w:hAnsi="Arial" w:eastAsia="黑体"/>
      <w:snapToGrid w:val="0"/>
      <w:color w:val="000000"/>
      <w:kern w:val="28"/>
      <w:sz w:val="24"/>
      <w:szCs w:val="20"/>
    </w:rPr>
  </w:style>
  <w:style w:type="paragraph" w:customStyle="1" w:styleId="614">
    <w:name w:val="样式 D + 左侧:  0.85 厘米"/>
    <w:basedOn w:val="578"/>
    <w:qFormat/>
    <w:uiPriority w:val="0"/>
    <w:pPr>
      <w:outlineLvl w:val="9"/>
    </w:pPr>
    <w:rPr>
      <w:snapToGrid w:val="0"/>
      <w:kern w:val="28"/>
      <w:szCs w:val="20"/>
    </w:rPr>
  </w:style>
  <w:style w:type="paragraph" w:customStyle="1" w:styleId="615">
    <w:name w:val="样式 D + 左侧:  1.27 厘米"/>
    <w:basedOn w:val="578"/>
    <w:qFormat/>
    <w:uiPriority w:val="0"/>
    <w:pPr>
      <w:outlineLvl w:val="9"/>
    </w:pPr>
    <w:rPr>
      <w:snapToGrid w:val="0"/>
      <w:kern w:val="28"/>
      <w:szCs w:val="20"/>
    </w:rPr>
  </w:style>
  <w:style w:type="paragraph" w:customStyle="1" w:styleId="616">
    <w:name w:val="正文缩进1级"/>
    <w:basedOn w:val="1"/>
    <w:qFormat/>
    <w:uiPriority w:val="0"/>
    <w:pPr>
      <w:numPr>
        <w:ilvl w:val="0"/>
        <w:numId w:val="31"/>
      </w:numPr>
      <w:snapToGrid w:val="0"/>
      <w:spacing w:after="93" w:line="360" w:lineRule="auto"/>
    </w:pPr>
    <w:rPr>
      <w:rFonts w:ascii="FuturaA Bk BT" w:hAnsi="FuturaA Bk BT"/>
      <w:b/>
      <w:kern w:val="44"/>
      <w:sz w:val="20"/>
      <w:lang w:val="zh-CN"/>
    </w:rPr>
  </w:style>
  <w:style w:type="paragraph" w:customStyle="1" w:styleId="617">
    <w:name w:val="正文缩进3级"/>
    <w:basedOn w:val="1"/>
    <w:qFormat/>
    <w:uiPriority w:val="0"/>
    <w:pPr>
      <w:numPr>
        <w:ilvl w:val="0"/>
        <w:numId w:val="32"/>
      </w:numPr>
      <w:snapToGrid w:val="0"/>
      <w:spacing w:afterLines="30" w:line="360" w:lineRule="auto"/>
      <w:ind w:left="1653"/>
    </w:pPr>
    <w:rPr>
      <w:rFonts w:ascii="FuturaA Bk BT" w:hAnsi="FuturaA Bk BT"/>
    </w:rPr>
  </w:style>
  <w:style w:type="paragraph" w:customStyle="1" w:styleId="618">
    <w:name w:val="样式 B + 段前: 1 行"/>
    <w:basedOn w:val="576"/>
    <w:qFormat/>
    <w:uiPriority w:val="0"/>
    <w:pPr>
      <w:adjustRightInd/>
      <w:snapToGrid/>
      <w:spacing w:beforeLines="0" w:afterLines="50"/>
      <w:outlineLvl w:val="9"/>
    </w:pPr>
    <w:rPr>
      <w:rFonts w:ascii="Lucida Grande" w:hAnsi="Lucida Grande"/>
      <w:color w:val="000000"/>
      <w:szCs w:val="20"/>
    </w:rPr>
  </w:style>
  <w:style w:type="paragraph" w:customStyle="1" w:styleId="619">
    <w:name w:val="样式 B + 段前: 0.5 行 段后: 0.5 行"/>
    <w:basedOn w:val="576"/>
    <w:qFormat/>
    <w:uiPriority w:val="0"/>
    <w:pPr>
      <w:spacing w:beforeLines="50" w:afterLines="50"/>
      <w:outlineLvl w:val="9"/>
    </w:pPr>
    <w:rPr>
      <w:rFonts w:ascii="宋体" w:hAnsi="宋体"/>
      <w:szCs w:val="20"/>
    </w:rPr>
  </w:style>
  <w:style w:type="paragraph" w:customStyle="1" w:styleId="620">
    <w:name w:val="条文 0"/>
    <w:next w:val="1"/>
    <w:qFormat/>
    <w:uiPriority w:val="0"/>
    <w:pPr>
      <w:numPr>
        <w:ilvl w:val="1"/>
        <w:numId w:val="33"/>
      </w:numPr>
      <w:spacing w:before="240" w:after="240"/>
    </w:pPr>
    <w:rPr>
      <w:rFonts w:ascii="Times New Roman" w:hAnsi="Times New Roman" w:eastAsia="黑体" w:cs="Times New Roman"/>
      <w:sz w:val="21"/>
      <w:lang w:val="en-US" w:eastAsia="zh-CN" w:bidi="ar-SA"/>
    </w:rPr>
  </w:style>
  <w:style w:type="paragraph" w:customStyle="1" w:styleId="621">
    <w:name w:val="条文 1"/>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622">
    <w:name w:val="条文 2"/>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623">
    <w:name w:val="条文 3"/>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624">
    <w:name w:val="条文 4"/>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625">
    <w:name w:val="条文 表"/>
    <w:next w:val="1"/>
    <w:qFormat/>
    <w:uiPriority w:val="0"/>
    <w:pPr>
      <w:jc w:val="center"/>
    </w:pPr>
    <w:rPr>
      <w:rFonts w:ascii="Times New Roman" w:hAnsi="Times New Roman" w:eastAsia="黑体" w:cs="Times New Roman"/>
      <w:sz w:val="21"/>
      <w:lang w:val="en-US" w:eastAsia="zh-CN" w:bidi="ar-SA"/>
    </w:rPr>
  </w:style>
  <w:style w:type="paragraph" w:customStyle="1" w:styleId="626">
    <w:name w:val="Middle_Topic_First"/>
    <w:basedOn w:val="1"/>
    <w:next w:val="1"/>
    <w:qFormat/>
    <w:uiPriority w:val="0"/>
    <w:pPr>
      <w:widowControl/>
      <w:numPr>
        <w:ilvl w:val="0"/>
        <w:numId w:val="34"/>
      </w:numPr>
      <w:spacing w:before="60" w:after="60" w:line="240" w:lineRule="auto"/>
      <w:jc w:val="left"/>
    </w:pPr>
    <w:rPr>
      <w:rFonts w:ascii="Arial" w:hAnsi="Arial"/>
      <w:b/>
      <w:kern w:val="0"/>
      <w:sz w:val="20"/>
      <w:szCs w:val="20"/>
      <w:lang w:val="en-GB"/>
    </w:rPr>
  </w:style>
  <w:style w:type="paragraph" w:customStyle="1" w:styleId="627">
    <w:name w:val="Right_Topic_First"/>
    <w:basedOn w:val="1"/>
    <w:qFormat/>
    <w:uiPriority w:val="0"/>
    <w:pPr>
      <w:widowControl/>
      <w:numPr>
        <w:ilvl w:val="1"/>
        <w:numId w:val="34"/>
      </w:numPr>
      <w:spacing w:before="60" w:after="60" w:line="240" w:lineRule="auto"/>
      <w:jc w:val="left"/>
    </w:pPr>
    <w:rPr>
      <w:rFonts w:ascii="Arial" w:hAnsi="Arial"/>
      <w:b/>
      <w:kern w:val="0"/>
      <w:sz w:val="20"/>
      <w:szCs w:val="20"/>
      <w:lang w:val="en-GB"/>
    </w:rPr>
  </w:style>
  <w:style w:type="paragraph" w:customStyle="1" w:styleId="628">
    <w:name w:val="Right_Topic_Second"/>
    <w:basedOn w:val="627"/>
    <w:qFormat/>
    <w:uiPriority w:val="0"/>
    <w:pPr>
      <w:numPr>
        <w:ilvl w:val="2"/>
      </w:numPr>
      <w:tabs>
        <w:tab w:val="left" w:pos="360"/>
        <w:tab w:val="left" w:pos="1260"/>
        <w:tab w:val="left" w:pos="1930"/>
      </w:tabs>
      <w:ind w:left="709" w:hanging="709"/>
    </w:pPr>
  </w:style>
  <w:style w:type="paragraph" w:customStyle="1" w:styleId="629">
    <w:name w:val="First_Point"/>
    <w:basedOn w:val="1"/>
    <w:qFormat/>
    <w:uiPriority w:val="0"/>
    <w:pPr>
      <w:widowControl/>
      <w:numPr>
        <w:ilvl w:val="0"/>
        <w:numId w:val="35"/>
      </w:numPr>
      <w:spacing w:after="60" w:line="240" w:lineRule="auto"/>
      <w:jc w:val="left"/>
    </w:pPr>
    <w:rPr>
      <w:rFonts w:ascii="Arial" w:hAnsi="Arial"/>
      <w:kern w:val="0"/>
      <w:sz w:val="20"/>
      <w:szCs w:val="20"/>
      <w:lang w:val="en-GB"/>
    </w:rPr>
  </w:style>
  <w:style w:type="paragraph" w:customStyle="1" w:styleId="630">
    <w:name w:val="表中文字"/>
    <w:qFormat/>
    <w:uiPriority w:val="0"/>
    <w:pPr>
      <w:widowControl w:val="0"/>
      <w:adjustRightInd w:val="0"/>
      <w:snapToGrid w:val="0"/>
      <w:jc w:val="center"/>
      <w:textAlignment w:val="baseline"/>
    </w:pPr>
    <w:rPr>
      <w:rFonts w:ascii="Times New Roman" w:hAnsi="Times New Roman" w:eastAsia="宋体" w:cs="Times New Roman"/>
      <w:kern w:val="2"/>
      <w:sz w:val="21"/>
      <w:szCs w:val="21"/>
      <w:lang w:val="en-US" w:eastAsia="zh-CN" w:bidi="ar-SA"/>
    </w:rPr>
  </w:style>
  <w:style w:type="paragraph" w:customStyle="1" w:styleId="63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32">
    <w:name w:val="图标名"/>
    <w:basedOn w:val="1"/>
    <w:qFormat/>
    <w:uiPriority w:val="0"/>
    <w:pPr>
      <w:adjustRightInd w:val="0"/>
      <w:snapToGrid w:val="0"/>
      <w:spacing w:line="240" w:lineRule="auto"/>
      <w:jc w:val="center"/>
    </w:pPr>
    <w:rPr>
      <w:rFonts w:eastAsia="华文细黑"/>
      <w:sz w:val="24"/>
      <w:szCs w:val="21"/>
    </w:rPr>
  </w:style>
  <w:style w:type="paragraph" w:customStyle="1" w:styleId="633">
    <w:name w:val="正文（无开头空两格）"/>
    <w:basedOn w:val="1"/>
    <w:qFormat/>
    <w:uiPriority w:val="0"/>
    <w:pPr>
      <w:spacing w:line="360" w:lineRule="auto"/>
    </w:pPr>
    <w:rPr>
      <w:spacing w:val="1"/>
      <w:sz w:val="24"/>
    </w:rPr>
  </w:style>
  <w:style w:type="paragraph" w:customStyle="1" w:styleId="634">
    <w:name w:val="条文说明"/>
    <w:basedOn w:val="1"/>
    <w:qFormat/>
    <w:uiPriority w:val="0"/>
    <w:pPr>
      <w:spacing w:line="360" w:lineRule="auto"/>
    </w:pPr>
    <w:rPr>
      <w:rFonts w:ascii="楷体_GB2312" w:eastAsia="楷体_GB2312"/>
      <w:sz w:val="24"/>
      <w:szCs w:val="22"/>
    </w:rPr>
  </w:style>
  <w:style w:type="character" w:customStyle="1" w:styleId="635">
    <w:name w:val="页眉 Char"/>
    <w:qFormat/>
    <w:uiPriority w:val="99"/>
    <w:rPr>
      <w:sz w:val="18"/>
      <w:szCs w:val="18"/>
    </w:rPr>
  </w:style>
  <w:style w:type="character" w:customStyle="1" w:styleId="636">
    <w:name w:val="页脚 Char"/>
    <w:qFormat/>
    <w:uiPriority w:val="99"/>
    <w:rPr>
      <w:sz w:val="18"/>
      <w:szCs w:val="18"/>
    </w:rPr>
  </w:style>
  <w:style w:type="character" w:customStyle="1" w:styleId="637">
    <w:name w:val="标题 1 Char"/>
    <w:qFormat/>
    <w:uiPriority w:val="9"/>
    <w:rPr>
      <w:rFonts w:ascii="Times New Roman" w:hAnsi="Times New Roman" w:eastAsia="黑体"/>
      <w:b/>
      <w:bCs/>
      <w:kern w:val="44"/>
      <w:sz w:val="28"/>
      <w:szCs w:val="44"/>
    </w:rPr>
  </w:style>
  <w:style w:type="character" w:customStyle="1" w:styleId="638">
    <w:name w:val="标题 2 Char"/>
    <w:qFormat/>
    <w:uiPriority w:val="9"/>
    <w:rPr>
      <w:rFonts w:ascii="Times New Roman" w:hAnsi="Times New Roman" w:eastAsia="黑体"/>
      <w:b/>
      <w:sz w:val="24"/>
    </w:rPr>
  </w:style>
  <w:style w:type="character" w:customStyle="1" w:styleId="639">
    <w:name w:val="标题 4 Char"/>
    <w:qFormat/>
    <w:uiPriority w:val="9"/>
    <w:rPr>
      <w:szCs w:val="21"/>
    </w:rPr>
  </w:style>
  <w:style w:type="paragraph" w:customStyle="1" w:styleId="640">
    <w:name w:val="楷体"/>
    <w:basedOn w:val="1"/>
    <w:next w:val="1"/>
    <w:qFormat/>
    <w:uiPriority w:val="0"/>
    <w:pPr>
      <w:spacing w:line="360" w:lineRule="auto"/>
      <w:ind w:firstLine="200" w:firstLineChars="200"/>
    </w:pPr>
    <w:rPr>
      <w:rFonts w:eastAsia="楷体"/>
      <w:sz w:val="24"/>
      <w:szCs w:val="21"/>
    </w:rPr>
  </w:style>
  <w:style w:type="paragraph" w:customStyle="1" w:styleId="641">
    <w:name w:val="标--楷体"/>
    <w:basedOn w:val="1"/>
    <w:next w:val="1"/>
    <w:qFormat/>
    <w:uiPriority w:val="0"/>
    <w:pPr>
      <w:spacing w:line="360" w:lineRule="auto"/>
      <w:ind w:firstLine="200" w:firstLineChars="200"/>
    </w:pPr>
    <w:rPr>
      <w:rFonts w:eastAsia="楷体"/>
      <w:sz w:val="24"/>
      <w:szCs w:val="21"/>
    </w:rPr>
  </w:style>
  <w:style w:type="character" w:customStyle="1" w:styleId="642">
    <w:name w:val="批注框文本 Char"/>
    <w:qFormat/>
    <w:uiPriority w:val="99"/>
    <w:rPr>
      <w:rFonts w:ascii="Calibri" w:hAnsi="Calibri" w:eastAsia="宋体" w:cs="Times New Roman"/>
      <w:sz w:val="18"/>
      <w:szCs w:val="18"/>
    </w:rPr>
  </w:style>
  <w:style w:type="character" w:customStyle="1" w:styleId="643">
    <w:name w:val="批注文字 Char"/>
    <w:qFormat/>
    <w:uiPriority w:val="99"/>
    <w:rPr>
      <w:rFonts w:ascii="Calibri" w:hAnsi="Calibri" w:eastAsia="宋体" w:cs="Times New Roman"/>
    </w:rPr>
  </w:style>
  <w:style w:type="character" w:customStyle="1" w:styleId="644">
    <w:name w:val="批注主题 Char"/>
    <w:qFormat/>
    <w:uiPriority w:val="0"/>
    <w:rPr>
      <w:rFonts w:ascii="Calibri" w:hAnsi="Calibri" w:eastAsia="宋体" w:cs="Times New Roman"/>
      <w:b/>
      <w:bCs/>
    </w:rPr>
  </w:style>
  <w:style w:type="paragraph" w:customStyle="1" w:styleId="645">
    <w:name w:val="样式 新标题3 + (中文) 宋体"/>
    <w:basedOn w:val="1"/>
    <w:qFormat/>
    <w:uiPriority w:val="0"/>
    <w:pPr>
      <w:spacing w:line="360" w:lineRule="auto"/>
      <w:ind w:firstLine="420" w:firstLineChars="200"/>
    </w:pPr>
    <w:rPr>
      <w:rFonts w:ascii="宋体" w:hAnsi="Courier New"/>
      <w:szCs w:val="20"/>
    </w:rPr>
  </w:style>
  <w:style w:type="character" w:customStyle="1" w:styleId="646">
    <w:name w:val="样式3 Char"/>
    <w:qFormat/>
    <w:uiPriority w:val="0"/>
    <w:rPr>
      <w:rFonts w:ascii="Arial" w:hAnsi="Arial" w:eastAsia="宋体" w:cs="Times New Roman"/>
      <w:kern w:val="0"/>
      <w:sz w:val="24"/>
      <w:szCs w:val="20"/>
    </w:rPr>
  </w:style>
  <w:style w:type="paragraph" w:customStyle="1" w:styleId="647">
    <w:name w:val="说明内容"/>
    <w:basedOn w:val="1"/>
    <w:qFormat/>
    <w:uiPriority w:val="0"/>
    <w:pPr>
      <w:tabs>
        <w:tab w:val="left" w:pos="240"/>
      </w:tabs>
      <w:spacing w:line="360" w:lineRule="auto"/>
      <w:ind w:firstLine="480" w:firstLineChars="200"/>
    </w:pPr>
    <w:rPr>
      <w:rFonts w:ascii="宋体" w:hAnsi="宋体" w:eastAsia="楷体_GB2312"/>
      <w:kern w:val="0"/>
      <w:sz w:val="24"/>
      <w:szCs w:val="20"/>
      <w:lang w:val="zh-CN"/>
    </w:rPr>
  </w:style>
  <w:style w:type="character" w:customStyle="1" w:styleId="648">
    <w:name w:val="说明内容 Char"/>
    <w:qFormat/>
    <w:uiPriority w:val="0"/>
    <w:rPr>
      <w:rFonts w:ascii="宋体" w:hAnsi="宋体" w:eastAsia="楷体_GB2312" w:cs="Times New Roman"/>
      <w:kern w:val="0"/>
      <w:sz w:val="24"/>
      <w:szCs w:val="20"/>
    </w:rPr>
  </w:style>
  <w:style w:type="paragraph" w:customStyle="1" w:styleId="649">
    <w:name w:val="样式6"/>
    <w:basedOn w:val="1"/>
    <w:qFormat/>
    <w:uiPriority w:val="0"/>
    <w:pPr>
      <w:tabs>
        <w:tab w:val="left" w:pos="240"/>
      </w:tabs>
      <w:spacing w:line="360" w:lineRule="auto"/>
      <w:ind w:firstLine="420" w:firstLineChars="200"/>
      <w:jc w:val="left"/>
      <w:outlineLvl w:val="0"/>
    </w:pPr>
    <w:rPr>
      <w:rFonts w:hAnsi="宋体"/>
      <w:kern w:val="0"/>
      <w:sz w:val="20"/>
      <w:szCs w:val="20"/>
      <w:lang w:val="zh-CN"/>
    </w:rPr>
  </w:style>
  <w:style w:type="character" w:customStyle="1" w:styleId="650">
    <w:name w:val="样式6 Char"/>
    <w:qFormat/>
    <w:uiPriority w:val="0"/>
    <w:rPr>
      <w:rFonts w:ascii="Times New Roman" w:hAnsi="宋体" w:eastAsia="宋体" w:cs="Times New Roman"/>
      <w:kern w:val="0"/>
      <w:sz w:val="20"/>
      <w:szCs w:val="20"/>
    </w:rPr>
  </w:style>
  <w:style w:type="character" w:customStyle="1" w:styleId="651">
    <w:name w:val="表中文字 Char"/>
    <w:qFormat/>
    <w:uiPriority w:val="0"/>
    <w:rPr>
      <w:rFonts w:ascii="Times New Roman" w:hAnsi="Times New Roman"/>
      <w:kern w:val="2"/>
      <w:sz w:val="21"/>
      <w:szCs w:val="21"/>
      <w:lang w:val="en-US" w:eastAsia="zh-CN" w:bidi="ar-SA"/>
    </w:rPr>
  </w:style>
  <w:style w:type="paragraph" w:customStyle="1" w:styleId="652">
    <w:name w:val="表格文字图表文字"/>
    <w:basedOn w:val="1"/>
    <w:qFormat/>
    <w:uiPriority w:val="0"/>
    <w:pPr>
      <w:snapToGrid w:val="0"/>
      <w:spacing w:line="240" w:lineRule="auto"/>
      <w:jc w:val="center"/>
    </w:pPr>
    <w:rPr>
      <w:szCs w:val="20"/>
    </w:rPr>
  </w:style>
  <w:style w:type="character" w:customStyle="1" w:styleId="653">
    <w:name w:val="标题 8 Char"/>
    <w:qFormat/>
    <w:uiPriority w:val="0"/>
    <w:rPr>
      <w:rFonts w:ascii="Cambria" w:hAnsi="Cambria" w:eastAsia="宋体" w:cs="Times New Roman"/>
      <w:kern w:val="0"/>
      <w:sz w:val="24"/>
      <w:szCs w:val="24"/>
    </w:rPr>
  </w:style>
  <w:style w:type="character" w:customStyle="1" w:styleId="654">
    <w:name w:val="标题 9 Char"/>
    <w:qFormat/>
    <w:uiPriority w:val="0"/>
    <w:rPr>
      <w:rFonts w:ascii="Cambria" w:hAnsi="Cambria" w:eastAsia="宋体" w:cs="Times New Roman"/>
      <w:kern w:val="0"/>
      <w:sz w:val="20"/>
      <w:szCs w:val="20"/>
    </w:rPr>
  </w:style>
  <w:style w:type="paragraph" w:customStyle="1" w:styleId="655">
    <w:name w:val="3"/>
    <w:basedOn w:val="5"/>
    <w:qFormat/>
    <w:uiPriority w:val="0"/>
    <w:pPr>
      <w:keepNext/>
      <w:keepLines/>
      <w:numPr>
        <w:ilvl w:val="0"/>
        <w:numId w:val="0"/>
      </w:numPr>
      <w:spacing w:line="360" w:lineRule="auto"/>
      <w:ind w:left="567" w:hanging="567"/>
    </w:pPr>
    <w:rPr>
      <w:kern w:val="0"/>
      <w:sz w:val="24"/>
      <w:lang w:val="zh-CN"/>
    </w:rPr>
  </w:style>
  <w:style w:type="character" w:customStyle="1" w:styleId="656">
    <w:name w:val="def"/>
    <w:qFormat/>
    <w:uiPriority w:val="0"/>
  </w:style>
  <w:style w:type="character" w:customStyle="1" w:styleId="657">
    <w:name w:val="标题3.1 Char"/>
    <w:qFormat/>
    <w:uiPriority w:val="0"/>
    <w:rPr>
      <w:rFonts w:ascii="Arial" w:hAnsi="Arial" w:eastAsia="宋体" w:cs="Times New Roman"/>
      <w:kern w:val="0"/>
      <w:sz w:val="24"/>
      <w:szCs w:val="20"/>
    </w:rPr>
  </w:style>
  <w:style w:type="character" w:customStyle="1" w:styleId="658">
    <w:name w:val="标题3.3 Char"/>
    <w:qFormat/>
    <w:uiPriority w:val="0"/>
    <w:rPr>
      <w:rFonts w:ascii="Arial" w:hAnsi="Arial" w:eastAsia="宋体" w:cs="Times New Roman"/>
      <w:kern w:val="0"/>
      <w:sz w:val="24"/>
      <w:szCs w:val="20"/>
    </w:rPr>
  </w:style>
  <w:style w:type="character" w:customStyle="1" w:styleId="659">
    <w:name w:val="标题3.4 Char"/>
    <w:qFormat/>
    <w:uiPriority w:val="0"/>
    <w:rPr>
      <w:rFonts w:ascii="Arial" w:hAnsi="Arial" w:eastAsia="宋体" w:cs="Times New Roman"/>
      <w:kern w:val="0"/>
      <w:sz w:val="24"/>
      <w:szCs w:val="20"/>
    </w:rPr>
  </w:style>
  <w:style w:type="character" w:customStyle="1" w:styleId="660">
    <w:name w:val="标题3.5 Char"/>
    <w:qFormat/>
    <w:uiPriority w:val="0"/>
    <w:rPr>
      <w:rFonts w:ascii="Arial" w:hAnsi="Arial" w:eastAsia="宋体" w:cs="Times New Roman"/>
      <w:kern w:val="0"/>
      <w:sz w:val="24"/>
      <w:szCs w:val="20"/>
    </w:rPr>
  </w:style>
  <w:style w:type="paragraph" w:customStyle="1" w:styleId="661">
    <w:name w:val="列项——"/>
    <w:qFormat/>
    <w:uiPriority w:val="0"/>
    <w:pPr>
      <w:widowControl w:val="0"/>
      <w:tabs>
        <w:tab w:val="left" w:pos="1140"/>
      </w:tabs>
      <w:ind w:left="840" w:hanging="420"/>
      <w:jc w:val="both"/>
    </w:pPr>
    <w:rPr>
      <w:rFonts w:ascii="宋体" w:hAnsi="Times New Roman" w:eastAsia="宋体" w:cs="Times New Roman"/>
      <w:sz w:val="21"/>
      <w:lang w:val="en-US" w:eastAsia="zh-CN" w:bidi="ar-SA"/>
    </w:rPr>
  </w:style>
  <w:style w:type="paragraph" w:customStyle="1" w:styleId="662">
    <w:name w:val="样式 二级条标题 + 宋体"/>
    <w:basedOn w:val="432"/>
    <w:qFormat/>
    <w:uiPriority w:val="0"/>
    <w:pPr>
      <w:spacing w:line="360" w:lineRule="auto"/>
      <w:ind w:left="0"/>
      <w:jc w:val="center"/>
    </w:pPr>
    <w:rPr>
      <w:rFonts w:ascii="Times New Roman" w:hAnsi="宋体"/>
      <w:sz w:val="20"/>
      <w:lang w:val="zh-CN"/>
    </w:rPr>
  </w:style>
  <w:style w:type="character" w:customStyle="1" w:styleId="663">
    <w:name w:val="样式 二级条标题 + 宋体 Char"/>
    <w:qFormat/>
    <w:uiPriority w:val="0"/>
    <w:rPr>
      <w:rFonts w:ascii="Times New Roman" w:hAnsi="宋体" w:eastAsia="黑体"/>
    </w:rPr>
  </w:style>
  <w:style w:type="character" w:customStyle="1" w:styleId="664">
    <w:name w:val="文档结构图 Char"/>
    <w:qFormat/>
    <w:uiPriority w:val="0"/>
    <w:rPr>
      <w:rFonts w:ascii="Times New Roman" w:hAnsi="Times New Roman" w:eastAsia="宋体" w:cs="Times New Roman"/>
      <w:kern w:val="0"/>
      <w:sz w:val="20"/>
      <w:szCs w:val="24"/>
      <w:shd w:val="clear" w:color="auto" w:fill="000080"/>
    </w:rPr>
  </w:style>
  <w:style w:type="paragraph" w:customStyle="1" w:styleId="665">
    <w:name w:val="样式 三级条标题 + 宋体"/>
    <w:basedOn w:val="487"/>
    <w:qFormat/>
    <w:uiPriority w:val="0"/>
    <w:pPr>
      <w:spacing w:beforeLines="50" w:afterLines="50" w:line="360" w:lineRule="auto"/>
      <w:ind w:hanging="1008"/>
      <w:jc w:val="center"/>
    </w:pPr>
    <w:rPr>
      <w:rFonts w:hAnsi="宋体"/>
      <w:sz w:val="20"/>
      <w:szCs w:val="20"/>
      <w:lang w:val="zh-CN"/>
    </w:rPr>
  </w:style>
  <w:style w:type="character" w:customStyle="1" w:styleId="666">
    <w:name w:val="样式 三级条标题 + 宋体 Char"/>
    <w:qFormat/>
    <w:uiPriority w:val="0"/>
    <w:rPr>
      <w:rFonts w:ascii="Times New Roman" w:hAnsi="宋体" w:eastAsia="黑体" w:cs="Times New Roman"/>
      <w:kern w:val="0"/>
      <w:sz w:val="20"/>
      <w:szCs w:val="20"/>
    </w:rPr>
  </w:style>
  <w:style w:type="character" w:customStyle="1" w:styleId="667">
    <w:name w:val="Char Char12"/>
    <w:qFormat/>
    <w:uiPriority w:val="0"/>
    <w:rPr>
      <w:rFonts w:ascii="Arial" w:hAnsi="Arial" w:eastAsia="微软雅黑"/>
      <w:bCs/>
      <w:kern w:val="2"/>
      <w:sz w:val="24"/>
      <w:szCs w:val="32"/>
      <w:lang w:bidi="ar-SA"/>
    </w:rPr>
  </w:style>
  <w:style w:type="paragraph" w:customStyle="1" w:styleId="668">
    <w:name w:val="标题4.2"/>
    <w:basedOn w:val="1"/>
    <w:next w:val="1"/>
    <w:qFormat/>
    <w:uiPriority w:val="0"/>
    <w:pPr>
      <w:adjustRightInd w:val="0"/>
      <w:spacing w:line="360" w:lineRule="auto"/>
      <w:ind w:firstLine="200" w:firstLineChars="200"/>
      <w:jc w:val="left"/>
    </w:pPr>
    <w:rPr>
      <w:kern w:val="0"/>
      <w:sz w:val="20"/>
      <w:lang w:val="zh-CN"/>
    </w:rPr>
  </w:style>
  <w:style w:type="character" w:customStyle="1" w:styleId="669">
    <w:name w:val="标题4.1 Char"/>
    <w:qFormat/>
    <w:uiPriority w:val="0"/>
    <w:rPr>
      <w:rFonts w:ascii="Times New Roman" w:hAnsi="Times New Roman" w:eastAsia="宋体" w:cs="Times New Roman"/>
      <w:color w:val="000000"/>
      <w:kern w:val="0"/>
      <w:sz w:val="20"/>
      <w:szCs w:val="24"/>
    </w:rPr>
  </w:style>
  <w:style w:type="character" w:customStyle="1" w:styleId="670">
    <w:name w:val="标题4.2 Char"/>
    <w:qFormat/>
    <w:uiPriority w:val="0"/>
    <w:rPr>
      <w:rFonts w:ascii="Times New Roman" w:hAnsi="Times New Roman" w:eastAsia="宋体" w:cs="Times New Roman"/>
      <w:kern w:val="0"/>
      <w:sz w:val="20"/>
      <w:szCs w:val="24"/>
    </w:rPr>
  </w:style>
  <w:style w:type="character" w:customStyle="1" w:styleId="671">
    <w:name w:val="标题4.4 Char"/>
    <w:qFormat/>
    <w:uiPriority w:val="0"/>
    <w:rPr>
      <w:rFonts w:ascii="Times New Roman" w:hAnsi="Times New Roman" w:eastAsia="宋体" w:cs="Times New Roman"/>
      <w:color w:val="000000"/>
      <w:kern w:val="0"/>
      <w:sz w:val="20"/>
      <w:szCs w:val="24"/>
    </w:rPr>
  </w:style>
  <w:style w:type="character" w:customStyle="1" w:styleId="672">
    <w:name w:val="标题4.5 Char"/>
    <w:qFormat/>
    <w:uiPriority w:val="0"/>
    <w:rPr>
      <w:rFonts w:ascii="Times New Roman" w:hAnsi="Times New Roman" w:eastAsia="宋体" w:cs="Times New Roman"/>
      <w:color w:val="000000"/>
      <w:kern w:val="0"/>
      <w:sz w:val="20"/>
      <w:szCs w:val="24"/>
    </w:rPr>
  </w:style>
  <w:style w:type="paragraph" w:customStyle="1" w:styleId="673">
    <w:name w:val="标题4.8.2"/>
    <w:basedOn w:val="1"/>
    <w:next w:val="1"/>
    <w:qFormat/>
    <w:uiPriority w:val="0"/>
    <w:pPr>
      <w:spacing w:line="360" w:lineRule="auto"/>
      <w:ind w:firstLine="200" w:firstLineChars="200"/>
      <w:jc w:val="left"/>
    </w:pPr>
    <w:rPr>
      <w:color w:val="000000"/>
      <w:kern w:val="0"/>
      <w:sz w:val="20"/>
      <w:lang w:val="zh-CN"/>
    </w:rPr>
  </w:style>
  <w:style w:type="character" w:customStyle="1" w:styleId="674">
    <w:name w:val="标题4.8 Char"/>
    <w:qFormat/>
    <w:uiPriority w:val="0"/>
    <w:rPr>
      <w:rFonts w:ascii="Times New Roman" w:hAnsi="Times New Roman" w:eastAsia="宋体" w:cs="Times New Roman"/>
      <w:color w:val="000000"/>
      <w:kern w:val="0"/>
      <w:sz w:val="20"/>
      <w:szCs w:val="24"/>
    </w:rPr>
  </w:style>
  <w:style w:type="character" w:customStyle="1" w:styleId="675">
    <w:name w:val="标题4.8.2 Char"/>
    <w:qFormat/>
    <w:uiPriority w:val="0"/>
    <w:rPr>
      <w:rFonts w:ascii="Times New Roman" w:hAnsi="Times New Roman" w:eastAsia="宋体" w:cs="Times New Roman"/>
      <w:color w:val="000000"/>
      <w:kern w:val="0"/>
      <w:sz w:val="20"/>
      <w:szCs w:val="24"/>
    </w:rPr>
  </w:style>
  <w:style w:type="paragraph" w:customStyle="1" w:styleId="676">
    <w:name w:val="E"/>
    <w:basedOn w:val="1"/>
    <w:next w:val="1"/>
    <w:qFormat/>
    <w:uiPriority w:val="0"/>
    <w:pPr>
      <w:tabs>
        <w:tab w:val="left" w:pos="0"/>
      </w:tabs>
      <w:spacing w:line="360" w:lineRule="auto"/>
      <w:jc w:val="left"/>
    </w:pPr>
  </w:style>
  <w:style w:type="paragraph" w:customStyle="1" w:styleId="677">
    <w:name w:val="表格文字格式"/>
    <w:basedOn w:val="1"/>
    <w:qFormat/>
    <w:uiPriority w:val="0"/>
    <w:pPr>
      <w:snapToGrid w:val="0"/>
      <w:spacing w:line="240" w:lineRule="auto"/>
      <w:jc w:val="center"/>
    </w:pPr>
    <w:rPr>
      <w:szCs w:val="20"/>
    </w:rPr>
  </w:style>
  <w:style w:type="character" w:customStyle="1" w:styleId="678">
    <w:name w:val="样式1 Char"/>
    <w:qFormat/>
    <w:uiPriority w:val="0"/>
    <w:rPr>
      <w:rFonts w:ascii="Arial" w:hAnsi="Arial" w:eastAsia="宋体" w:cs="Times New Roman"/>
      <w:b/>
      <w:kern w:val="0"/>
      <w:sz w:val="28"/>
      <w:szCs w:val="20"/>
    </w:rPr>
  </w:style>
  <w:style w:type="character" w:customStyle="1" w:styleId="679">
    <w:name w:val="样式2 Char"/>
    <w:qFormat/>
    <w:uiPriority w:val="0"/>
    <w:rPr>
      <w:rFonts w:ascii="Arial" w:hAnsi="Arial" w:eastAsia="黑体" w:cs="Times New Roman"/>
      <w:b/>
      <w:kern w:val="0"/>
      <w:sz w:val="24"/>
      <w:szCs w:val="20"/>
    </w:rPr>
  </w:style>
  <w:style w:type="paragraph" w:customStyle="1" w:styleId="680">
    <w:name w:val="样式4"/>
    <w:basedOn w:val="1"/>
    <w:qFormat/>
    <w:uiPriority w:val="0"/>
    <w:pPr>
      <w:tabs>
        <w:tab w:val="left" w:pos="240"/>
      </w:tabs>
      <w:spacing w:line="360" w:lineRule="auto"/>
    </w:pPr>
    <w:rPr>
      <w:rFonts w:ascii="宋体" w:hAnsi="宋体" w:eastAsia="楷体_GB2312"/>
      <w:kern w:val="0"/>
      <w:sz w:val="24"/>
      <w:szCs w:val="20"/>
      <w:lang w:val="zh-CN"/>
    </w:rPr>
  </w:style>
  <w:style w:type="character" w:customStyle="1" w:styleId="681">
    <w:name w:val="样式4 Char"/>
    <w:qFormat/>
    <w:uiPriority w:val="0"/>
    <w:rPr>
      <w:rFonts w:ascii="宋体" w:hAnsi="宋体" w:eastAsia="楷体_GB2312" w:cs="Times New Roman"/>
      <w:kern w:val="0"/>
      <w:sz w:val="24"/>
      <w:szCs w:val="20"/>
    </w:rPr>
  </w:style>
  <w:style w:type="character" w:customStyle="1" w:styleId="682">
    <w:name w:val="样式5 Char"/>
    <w:qFormat/>
    <w:uiPriority w:val="0"/>
    <w:rPr>
      <w:rFonts w:ascii="Arial" w:hAnsi="Arial" w:eastAsia="宋体" w:cs="Times New Roman"/>
      <w:kern w:val="0"/>
      <w:sz w:val="24"/>
      <w:szCs w:val="20"/>
    </w:rPr>
  </w:style>
  <w:style w:type="paragraph" w:customStyle="1" w:styleId="683">
    <w:name w:val="Char"/>
    <w:basedOn w:val="1"/>
    <w:qFormat/>
    <w:uiPriority w:val="0"/>
    <w:pPr>
      <w:spacing w:line="240" w:lineRule="auto"/>
    </w:pPr>
    <w:rPr>
      <w:rFonts w:ascii="Tahoma" w:hAnsi="Tahoma"/>
      <w:sz w:val="24"/>
      <w:szCs w:val="20"/>
    </w:rPr>
  </w:style>
  <w:style w:type="paragraph" w:customStyle="1" w:styleId="684">
    <w:name w:val="样式 标题 2 + 段前: 6 磅"/>
    <w:basedOn w:val="4"/>
    <w:qFormat/>
    <w:uiPriority w:val="0"/>
    <w:pPr>
      <w:keepNext/>
      <w:keepLines/>
      <w:numPr>
        <w:ilvl w:val="0"/>
        <w:numId w:val="0"/>
      </w:numPr>
      <w:tabs>
        <w:tab w:val="clear" w:pos="794"/>
      </w:tabs>
      <w:autoSpaceDN w:val="0"/>
      <w:adjustRightInd w:val="0"/>
      <w:spacing w:beforeLines="50" w:after="0" w:line="360" w:lineRule="auto"/>
      <w:ind w:left="780" w:hanging="360"/>
      <w:jc w:val="left"/>
      <w:textAlignment w:val="baseline"/>
    </w:pPr>
    <w:rPr>
      <w:rFonts w:ascii="黑体" w:hAnsi="Arial"/>
      <w:bCs w:val="0"/>
      <w:color w:val="FF0000"/>
      <w:kern w:val="0"/>
      <w:sz w:val="28"/>
      <w:szCs w:val="20"/>
      <w:lang w:val="zh-CN"/>
    </w:rPr>
  </w:style>
  <w:style w:type="paragraph" w:customStyle="1" w:styleId="685">
    <w:name w:val="样式 样式 小四 行距: 固定值 27 磅 + 首行缩进:  2 字符"/>
    <w:basedOn w:val="1"/>
    <w:qFormat/>
    <w:uiPriority w:val="0"/>
    <w:pPr>
      <w:spacing w:line="360" w:lineRule="auto"/>
      <w:ind w:firstLine="480" w:firstLineChars="200"/>
    </w:pPr>
    <w:rPr>
      <w:kern w:val="0"/>
      <w:sz w:val="24"/>
      <w:szCs w:val="20"/>
      <w:lang w:val="zh-CN"/>
    </w:rPr>
  </w:style>
  <w:style w:type="character" w:customStyle="1" w:styleId="686">
    <w:name w:val="样式 样式 小四 行距: 固定值 27 磅 + 首行缩进:  2 字符 Char"/>
    <w:qFormat/>
    <w:uiPriority w:val="0"/>
    <w:rPr>
      <w:rFonts w:ascii="Times New Roman" w:hAnsi="Times New Roman" w:eastAsia="宋体" w:cs="Times New Roman"/>
      <w:kern w:val="0"/>
      <w:sz w:val="24"/>
      <w:szCs w:val="20"/>
    </w:rPr>
  </w:style>
  <w:style w:type="paragraph" w:customStyle="1" w:styleId="687">
    <w:name w:val="正文1"/>
    <w:basedOn w:val="1"/>
    <w:qFormat/>
    <w:uiPriority w:val="0"/>
    <w:pPr>
      <w:spacing w:line="360" w:lineRule="auto"/>
      <w:ind w:firstLine="200" w:firstLineChars="200"/>
      <w:jc w:val="left"/>
    </w:pPr>
    <w:rPr>
      <w:rFonts w:ascii="Calibri" w:hAnsi="Calibri"/>
      <w:sz w:val="24"/>
    </w:rPr>
  </w:style>
  <w:style w:type="character" w:customStyle="1" w:styleId="688">
    <w:name w:val="一级条标题 Char"/>
    <w:qFormat/>
    <w:uiPriority w:val="0"/>
    <w:rPr>
      <w:rFonts w:ascii="黑体" w:hAnsi="Times New Roman" w:eastAsia="黑体" w:cs="Times New Roman"/>
      <w:kern w:val="0"/>
      <w:sz w:val="20"/>
      <w:szCs w:val="20"/>
    </w:rPr>
  </w:style>
  <w:style w:type="paragraph" w:customStyle="1" w:styleId="689">
    <w:name w:val="图表名"/>
    <w:basedOn w:val="1"/>
    <w:qFormat/>
    <w:uiPriority w:val="0"/>
    <w:pPr>
      <w:autoSpaceDE w:val="0"/>
      <w:autoSpaceDN w:val="0"/>
      <w:adjustRightInd w:val="0"/>
      <w:snapToGrid w:val="0"/>
      <w:spacing w:line="360" w:lineRule="auto"/>
      <w:ind w:left="720"/>
      <w:jc w:val="center"/>
      <w:textAlignment w:val="baseline"/>
    </w:pPr>
    <w:rPr>
      <w:b/>
      <w:sz w:val="24"/>
    </w:rPr>
  </w:style>
  <w:style w:type="character" w:customStyle="1" w:styleId="690">
    <w:name w:val="二级条标题 Char"/>
    <w:qFormat/>
    <w:uiPriority w:val="0"/>
    <w:rPr>
      <w:rFonts w:ascii="Times New Roman" w:hAnsi="Times New Roman" w:eastAsia="黑体" w:cs="Times New Roman"/>
      <w:b/>
      <w:kern w:val="0"/>
      <w:sz w:val="24"/>
      <w:szCs w:val="24"/>
    </w:rPr>
  </w:style>
  <w:style w:type="character" w:customStyle="1" w:styleId="691">
    <w:name w:val="Default Char"/>
    <w:qFormat/>
    <w:uiPriority w:val="0"/>
    <w:rPr>
      <w:rFonts w:ascii="Times New Roman" w:hAnsi="Times New Roman"/>
      <w:color w:val="000000"/>
      <w:sz w:val="24"/>
      <w:szCs w:val="24"/>
      <w:lang w:bidi="ar-SA"/>
    </w:rPr>
  </w:style>
  <w:style w:type="character" w:customStyle="1" w:styleId="692">
    <w:name w:val="D Char"/>
    <w:qFormat/>
    <w:uiPriority w:val="0"/>
    <w:rPr>
      <w:rFonts w:ascii="Times New Roman" w:hAnsi="Times New Roman" w:eastAsia="宋体" w:cs="Times New Roman"/>
      <w:kern w:val="0"/>
      <w:sz w:val="24"/>
      <w:szCs w:val="24"/>
    </w:rPr>
  </w:style>
  <w:style w:type="paragraph" w:customStyle="1" w:styleId="693">
    <w:name w:val="点项"/>
    <w:basedOn w:val="1"/>
    <w:qFormat/>
    <w:uiPriority w:val="0"/>
    <w:pPr>
      <w:tabs>
        <w:tab w:val="left" w:pos="0"/>
        <w:tab w:val="left" w:pos="561"/>
      </w:tabs>
      <w:adjustRightInd w:val="0"/>
      <w:snapToGrid w:val="0"/>
      <w:spacing w:line="300" w:lineRule="auto"/>
      <w:ind w:firstLine="560"/>
    </w:pPr>
    <w:rPr>
      <w:rFonts w:ascii="Arial" w:hAnsi="Arial" w:eastAsia="华文细黑"/>
      <w:snapToGrid w:val="0"/>
      <w:kern w:val="28"/>
      <w:sz w:val="28"/>
      <w:szCs w:val="28"/>
    </w:rPr>
  </w:style>
  <w:style w:type="paragraph" w:customStyle="1" w:styleId="694">
    <w:name w:val="篇标题"/>
    <w:basedOn w:val="1"/>
    <w:qFormat/>
    <w:uiPriority w:val="0"/>
    <w:pPr>
      <w:adjustRightInd w:val="0"/>
      <w:snapToGrid w:val="0"/>
      <w:spacing w:line="360" w:lineRule="auto"/>
      <w:ind w:firstLine="643"/>
      <w:jc w:val="center"/>
    </w:pPr>
    <w:rPr>
      <w:rFonts w:eastAsia="华文细黑"/>
      <w:b/>
      <w:bCs/>
      <w:snapToGrid w:val="0"/>
      <w:kern w:val="30"/>
      <w:sz w:val="32"/>
      <w:szCs w:val="30"/>
    </w:rPr>
  </w:style>
  <w:style w:type="paragraph" w:customStyle="1" w:styleId="695">
    <w:name w:val="样式 标题 4 + Arial"/>
    <w:basedOn w:val="6"/>
    <w:qFormat/>
    <w:uiPriority w:val="0"/>
    <w:pPr>
      <w:widowControl/>
      <w:numPr>
        <w:ilvl w:val="0"/>
        <w:numId w:val="0"/>
      </w:numPr>
      <w:adjustRightInd w:val="0"/>
      <w:snapToGrid w:val="0"/>
      <w:spacing w:before="0" w:line="360" w:lineRule="auto"/>
      <w:jc w:val="center"/>
    </w:pPr>
    <w:rPr>
      <w:rFonts w:ascii="Arial" w:hAnsi="Arial" w:eastAsia="宋体"/>
      <w:bCs w:val="0"/>
      <w:snapToGrid w:val="0"/>
      <w:color w:val="auto"/>
      <w:kern w:val="28"/>
      <w:sz w:val="24"/>
      <w:szCs w:val="20"/>
      <w:lang w:val="zh-CN"/>
    </w:rPr>
  </w:style>
  <w:style w:type="character" w:customStyle="1" w:styleId="696">
    <w:name w:val="样式 标题 4 + Arial Char"/>
    <w:qFormat/>
    <w:uiPriority w:val="0"/>
    <w:rPr>
      <w:rFonts w:ascii="Arial" w:hAnsi="Arial" w:eastAsia="宋体" w:cs="Times New Roman"/>
      <w:snapToGrid w:val="0"/>
      <w:kern w:val="28"/>
      <w:sz w:val="24"/>
      <w:szCs w:val="20"/>
    </w:rPr>
  </w:style>
  <w:style w:type="paragraph" w:customStyle="1" w:styleId="697">
    <w:name w:val="正文3"/>
    <w:basedOn w:val="1"/>
    <w:qFormat/>
    <w:uiPriority w:val="0"/>
    <w:pPr>
      <w:widowControl/>
      <w:adjustRightInd w:val="0"/>
      <w:snapToGrid w:val="0"/>
      <w:spacing w:line="420" w:lineRule="exact"/>
      <w:jc w:val="left"/>
    </w:pPr>
    <w:rPr>
      <w:rFonts w:eastAsia="华文细黑"/>
      <w:kern w:val="0"/>
      <w:sz w:val="24"/>
      <w:szCs w:val="21"/>
    </w:rPr>
  </w:style>
  <w:style w:type="paragraph" w:customStyle="1" w:styleId="698">
    <w:name w:val="五号线1.1"/>
    <w:semiHidden/>
    <w:qFormat/>
    <w:uiPriority w:val="0"/>
    <w:pPr>
      <w:spacing w:before="120" w:after="120" w:line="500" w:lineRule="exact"/>
      <w:ind w:left="840" w:hanging="420"/>
      <w:jc w:val="center"/>
      <w:outlineLvl w:val="1"/>
    </w:pPr>
    <w:rPr>
      <w:rFonts w:ascii="宋体" w:hAnsi="Times New Roman" w:eastAsia="宋体" w:cs="Times New Roman"/>
      <w:b/>
      <w:bCs/>
      <w:spacing w:val="6"/>
      <w:w w:val="95"/>
      <w:sz w:val="30"/>
      <w:szCs w:val="30"/>
      <w:lang w:val="en-US" w:eastAsia="zh-CN" w:bidi="ar-SA"/>
    </w:rPr>
  </w:style>
  <w:style w:type="paragraph" w:customStyle="1" w:styleId="699">
    <w:name w:val="样式 标题 3标题 3 Char Char + (西文) 宋体 行距: 固定值 27 磅"/>
    <w:basedOn w:val="5"/>
    <w:qFormat/>
    <w:uiPriority w:val="0"/>
    <w:pPr>
      <w:keepNext/>
      <w:numPr>
        <w:ilvl w:val="0"/>
        <w:numId w:val="0"/>
      </w:numPr>
      <w:spacing w:beforeLines="50" w:line="500" w:lineRule="exact"/>
      <w:ind w:left="1985"/>
    </w:pPr>
    <w:rPr>
      <w:rFonts w:ascii="黑体" w:eastAsia="黑体"/>
      <w:bCs/>
      <w:kern w:val="0"/>
      <w:sz w:val="28"/>
      <w:szCs w:val="26"/>
      <w:lang w:val="zh-CN"/>
    </w:rPr>
  </w:style>
  <w:style w:type="paragraph" w:customStyle="1" w:styleId="700">
    <w:name w:val="样式 样式 标题 3标题 3 Char Char + (西文) 宋体 行距: 固定值 27 磅 + 段后: 0.5 行2"/>
    <w:basedOn w:val="699"/>
    <w:semiHidden/>
    <w:qFormat/>
    <w:uiPriority w:val="0"/>
    <w:pPr>
      <w:ind w:left="720"/>
    </w:pPr>
  </w:style>
  <w:style w:type="paragraph" w:customStyle="1" w:styleId="701">
    <w:name w:val="表中居中"/>
    <w:basedOn w:val="630"/>
    <w:qFormat/>
    <w:uiPriority w:val="0"/>
    <w:pPr>
      <w:adjustRightInd/>
      <w:snapToGrid/>
      <w:textAlignment w:val="auto"/>
    </w:pPr>
    <w:rPr>
      <w:sz w:val="20"/>
      <w:szCs w:val="20"/>
    </w:rPr>
  </w:style>
  <w:style w:type="paragraph" w:customStyle="1" w:styleId="702">
    <w:name w:val="表中注解"/>
    <w:basedOn w:val="630"/>
    <w:qFormat/>
    <w:uiPriority w:val="0"/>
    <w:pPr>
      <w:adjustRightInd/>
      <w:snapToGrid/>
      <w:spacing w:line="500" w:lineRule="exact"/>
      <w:ind w:left="781" w:leftChars="287" w:hanging="178" w:hangingChars="85"/>
      <w:jc w:val="both"/>
      <w:textAlignment w:val="auto"/>
    </w:pPr>
    <w:rPr>
      <w:sz w:val="20"/>
      <w:szCs w:val="20"/>
    </w:rPr>
  </w:style>
  <w:style w:type="paragraph" w:customStyle="1" w:styleId="703">
    <w:name w:val="表名"/>
    <w:basedOn w:val="632"/>
    <w:qFormat/>
    <w:uiPriority w:val="0"/>
    <w:pPr>
      <w:spacing w:line="500" w:lineRule="exact"/>
    </w:pPr>
    <w:rPr>
      <w:rFonts w:eastAsia="黑体"/>
      <w:sz w:val="21"/>
    </w:rPr>
  </w:style>
  <w:style w:type="paragraph" w:customStyle="1" w:styleId="704">
    <w:name w:val="样式 标题 3 + 段前: 0.5 行"/>
    <w:basedOn w:val="5"/>
    <w:next w:val="5"/>
    <w:qFormat/>
    <w:uiPriority w:val="0"/>
    <w:pPr>
      <w:numPr>
        <w:ilvl w:val="0"/>
        <w:numId w:val="0"/>
      </w:numPr>
      <w:spacing w:beforeLines="50" w:line="300" w:lineRule="auto"/>
      <w:ind w:left="1200" w:hanging="360"/>
    </w:pPr>
    <w:rPr>
      <w:rFonts w:eastAsia="华文细黑"/>
      <w:bCs/>
      <w:snapToGrid w:val="0"/>
      <w:kern w:val="28"/>
      <w:sz w:val="24"/>
      <w:lang w:val="zh-CN"/>
    </w:rPr>
  </w:style>
  <w:style w:type="character" w:customStyle="1" w:styleId="705">
    <w:name w:val="章标题 Char"/>
    <w:qFormat/>
    <w:uiPriority w:val="0"/>
    <w:rPr>
      <w:rFonts w:ascii="黑体" w:hAnsi="Times New Roman" w:eastAsia="黑体"/>
      <w:kern w:val="2"/>
      <w:sz w:val="21"/>
      <w:szCs w:val="21"/>
      <w:lang w:val="en-US" w:eastAsia="zh-CN" w:bidi="ar-SA"/>
    </w:rPr>
  </w:style>
  <w:style w:type="paragraph" w:customStyle="1" w:styleId="706">
    <w:name w:val="样式 标题 4 + 华文细黑 居中 左侧:  0 厘米 首行缩进:  0 厘米"/>
    <w:basedOn w:val="6"/>
    <w:qFormat/>
    <w:uiPriority w:val="0"/>
    <w:pPr>
      <w:numPr>
        <w:ilvl w:val="0"/>
        <w:numId w:val="0"/>
      </w:numPr>
      <w:snapToGrid w:val="0"/>
      <w:spacing w:before="0" w:line="300" w:lineRule="auto"/>
      <w:ind w:left="644" w:hanging="360"/>
      <w:jc w:val="center"/>
    </w:pPr>
    <w:rPr>
      <w:rFonts w:ascii="华文细黑" w:hAnsi="华文细黑" w:eastAsia="宋体"/>
      <w:bCs w:val="0"/>
      <w:color w:val="auto"/>
      <w:kern w:val="0"/>
      <w:sz w:val="24"/>
      <w:szCs w:val="20"/>
      <w:lang w:val="zh-CN"/>
    </w:rPr>
  </w:style>
  <w:style w:type="paragraph" w:customStyle="1" w:styleId="707">
    <w:name w:val="样式 黑体 居中"/>
    <w:basedOn w:val="1"/>
    <w:qFormat/>
    <w:uiPriority w:val="0"/>
    <w:pPr>
      <w:adjustRightInd w:val="0"/>
      <w:snapToGrid w:val="0"/>
      <w:spacing w:line="300" w:lineRule="auto"/>
      <w:jc w:val="center"/>
    </w:pPr>
    <w:rPr>
      <w:rFonts w:ascii="黑体" w:hAnsi="黑体"/>
      <w:sz w:val="24"/>
      <w:szCs w:val="20"/>
    </w:rPr>
  </w:style>
  <w:style w:type="paragraph" w:customStyle="1" w:styleId="708">
    <w:name w:val="样式 字母编号列项（一级） + (西文) Arial (中文) 华文细黑 小四 居中 左侧:  0.94 厘米 字距调..."/>
    <w:basedOn w:val="498"/>
    <w:qFormat/>
    <w:uiPriority w:val="0"/>
    <w:pPr>
      <w:spacing w:line="360" w:lineRule="auto"/>
      <w:ind w:left="533" w:leftChars="0" w:firstLine="0" w:firstLineChars="0"/>
      <w:jc w:val="center"/>
    </w:pPr>
    <w:rPr>
      <w:rFonts w:ascii="Arial" w:hAnsi="Arial"/>
      <w:kern w:val="28"/>
      <w:sz w:val="24"/>
      <w:szCs w:val="20"/>
    </w:rPr>
  </w:style>
  <w:style w:type="paragraph" w:customStyle="1" w:styleId="709">
    <w:name w:val="图"/>
    <w:basedOn w:val="1"/>
    <w:qFormat/>
    <w:uiPriority w:val="0"/>
    <w:pPr>
      <w:autoSpaceDE w:val="0"/>
      <w:autoSpaceDN w:val="0"/>
      <w:adjustRightInd w:val="0"/>
      <w:spacing w:line="500" w:lineRule="exact"/>
      <w:ind w:firstLine="420"/>
    </w:pPr>
    <w:rPr>
      <w:color w:val="3A3A3A"/>
      <w:sz w:val="24"/>
    </w:rPr>
  </w:style>
  <w:style w:type="paragraph" w:customStyle="1" w:styleId="710">
    <w:name w:val="样式 标题 4 + 宋体 加粗"/>
    <w:basedOn w:val="6"/>
    <w:qFormat/>
    <w:uiPriority w:val="0"/>
    <w:pPr>
      <w:widowControl/>
      <w:numPr>
        <w:ilvl w:val="0"/>
        <w:numId w:val="0"/>
      </w:numPr>
      <w:adjustRightInd w:val="0"/>
      <w:snapToGrid w:val="0"/>
      <w:spacing w:before="0" w:line="360" w:lineRule="auto"/>
      <w:ind w:left="100"/>
    </w:pPr>
    <w:rPr>
      <w:rFonts w:ascii="宋体" w:hAnsi="宋体" w:eastAsia="宋体"/>
      <w:b/>
      <w:snapToGrid w:val="0"/>
      <w:color w:val="auto"/>
      <w:kern w:val="28"/>
      <w:sz w:val="24"/>
      <w:szCs w:val="20"/>
      <w:lang w:val="zh-CN"/>
    </w:rPr>
  </w:style>
  <w:style w:type="paragraph" w:customStyle="1" w:styleId="711">
    <w:name w:val="【条文说明】"/>
    <w:basedOn w:val="45"/>
    <w:next w:val="634"/>
    <w:qFormat/>
    <w:uiPriority w:val="0"/>
    <w:pPr>
      <w:adjustRightInd w:val="0"/>
      <w:snapToGrid w:val="0"/>
      <w:spacing w:line="276" w:lineRule="auto"/>
    </w:pPr>
    <w:rPr>
      <w:rFonts w:ascii="华文仿宋" w:hAnsi="华文仿宋" w:eastAsia="华文仿宋" w:cs="Courier New"/>
      <w:lang w:val="zh-CN"/>
    </w:rPr>
  </w:style>
  <w:style w:type="paragraph" w:customStyle="1" w:styleId="712">
    <w:name w:val="Char Char Char Char1"/>
    <w:basedOn w:val="1"/>
    <w:next w:val="5"/>
    <w:qFormat/>
    <w:uiPriority w:val="0"/>
    <w:pPr>
      <w:spacing w:line="500" w:lineRule="exact"/>
      <w:ind w:firstLine="200" w:firstLineChars="200"/>
    </w:pPr>
    <w:rPr>
      <w:rFonts w:ascii="仿宋_GB2312" w:hAnsi="Arial" w:eastAsia="仿宋_GB2312" w:cs="Arial"/>
      <w:bCs/>
      <w:sz w:val="32"/>
      <w:szCs w:val="32"/>
    </w:rPr>
  </w:style>
  <w:style w:type="paragraph" w:customStyle="1" w:styleId="713">
    <w:name w:val="样式 样式 标题 3 + 段前: 0.5 行 + 黑色"/>
    <w:basedOn w:val="1"/>
    <w:qFormat/>
    <w:uiPriority w:val="0"/>
    <w:pPr>
      <w:tabs>
        <w:tab w:val="left" w:pos="720"/>
      </w:tabs>
      <w:adjustRightInd w:val="0"/>
      <w:snapToGrid w:val="0"/>
      <w:spacing w:line="360" w:lineRule="auto"/>
      <w:ind w:left="1"/>
      <w:jc w:val="left"/>
    </w:pPr>
    <w:rPr>
      <w:rFonts w:ascii="宋体" w:hAnsi="宋体"/>
      <w:snapToGrid w:val="0"/>
      <w:sz w:val="24"/>
      <w:szCs w:val="20"/>
    </w:rPr>
  </w:style>
  <w:style w:type="paragraph" w:customStyle="1" w:styleId="714">
    <w:name w:val="样式 黑色 两端对齐"/>
    <w:basedOn w:val="1"/>
    <w:qFormat/>
    <w:uiPriority w:val="0"/>
    <w:pPr>
      <w:adjustRightInd w:val="0"/>
      <w:snapToGrid w:val="0"/>
      <w:spacing w:line="500" w:lineRule="exact"/>
      <w:ind w:firstLine="720" w:firstLineChars="300"/>
    </w:pPr>
    <w:rPr>
      <w:snapToGrid w:val="0"/>
      <w:color w:val="000000"/>
      <w:kern w:val="24"/>
      <w:sz w:val="24"/>
      <w:szCs w:val="20"/>
    </w:rPr>
  </w:style>
  <w:style w:type="character" w:customStyle="1" w:styleId="715">
    <w:name w:val="正文缩进1级 Char"/>
    <w:qFormat/>
    <w:uiPriority w:val="0"/>
    <w:rPr>
      <w:rFonts w:ascii="FuturaA Bk BT" w:hAnsi="FuturaA Bk BT" w:eastAsia="宋体" w:cs="Times New Roman"/>
      <w:b/>
      <w:kern w:val="44"/>
      <w:sz w:val="20"/>
      <w:szCs w:val="24"/>
    </w:rPr>
  </w:style>
  <w:style w:type="paragraph" w:customStyle="1" w:styleId="716">
    <w:name w:val="正文－"/>
    <w:basedOn w:val="1"/>
    <w:qFormat/>
    <w:uiPriority w:val="0"/>
    <w:pPr>
      <w:adjustRightInd w:val="0"/>
      <w:snapToGrid w:val="0"/>
      <w:spacing w:line="360" w:lineRule="auto"/>
      <w:ind w:firstLine="200" w:firstLineChars="200"/>
    </w:pPr>
    <w:rPr>
      <w:rFonts w:ascii="Arial" w:hAnsi="Arial"/>
      <w:szCs w:val="21"/>
    </w:rPr>
  </w:style>
  <w:style w:type="paragraph" w:customStyle="1" w:styleId="717">
    <w:name w:val="自由格式"/>
    <w:qFormat/>
    <w:uiPriority w:val="0"/>
    <w:rPr>
      <w:rFonts w:ascii="Times New Roman" w:hAnsi="Times New Roman" w:eastAsia="ヒラギノ角ゴ Pro W3" w:cs="Times New Roman"/>
      <w:color w:val="000000"/>
      <w:lang w:val="en-US" w:eastAsia="zh-CN" w:bidi="ar-SA"/>
    </w:rPr>
  </w:style>
  <w:style w:type="paragraph" w:customStyle="1" w:styleId="718">
    <w:name w:val="正文 A"/>
    <w:qFormat/>
    <w:uiPriority w:val="0"/>
    <w:rPr>
      <w:rFonts w:ascii="Times New Roman" w:hAnsi="Times New Roman" w:eastAsia="ヒラギノ角ゴ Pro W3" w:cs="Times New Roman"/>
      <w:color w:val="000000"/>
      <w:sz w:val="24"/>
      <w:lang w:val="en-US" w:eastAsia="zh-CN" w:bidi="ar-SA"/>
    </w:rPr>
  </w:style>
  <w:style w:type="character" w:customStyle="1" w:styleId="719">
    <w:name w:val="尾注文本 Char"/>
    <w:semiHidden/>
    <w:qFormat/>
    <w:uiPriority w:val="0"/>
    <w:rPr>
      <w:rFonts w:ascii="Arial" w:hAnsi="Arial" w:eastAsia="宋体" w:cs="Times New Roman"/>
      <w:snapToGrid w:val="0"/>
      <w:kern w:val="21"/>
      <w:sz w:val="20"/>
      <w:szCs w:val="20"/>
    </w:rPr>
  </w:style>
  <w:style w:type="paragraph" w:customStyle="1" w:styleId="720">
    <w:name w:val="1 Char Char Char Char"/>
    <w:basedOn w:val="1"/>
    <w:qFormat/>
    <w:uiPriority w:val="0"/>
    <w:pPr>
      <w:spacing w:line="240" w:lineRule="auto"/>
    </w:pPr>
    <w:rPr>
      <w:rFonts w:ascii="仿宋_GB2312" w:eastAsia="仿宋_GB2312"/>
      <w:b/>
      <w:sz w:val="32"/>
      <w:szCs w:val="32"/>
    </w:rPr>
  </w:style>
  <w:style w:type="paragraph" w:customStyle="1" w:styleId="721">
    <w:name w:val="样式 标题 3标题 3 Char Chartítulo 3标题 3 Char1标题 3 Char Char Char1..."/>
    <w:basedOn w:val="5"/>
    <w:next w:val="50"/>
    <w:qFormat/>
    <w:uiPriority w:val="0"/>
    <w:pPr>
      <w:numPr>
        <w:ilvl w:val="0"/>
        <w:numId w:val="0"/>
      </w:numPr>
      <w:tabs>
        <w:tab w:val="left" w:pos="0"/>
      </w:tabs>
      <w:spacing w:line="360" w:lineRule="auto"/>
    </w:pPr>
    <w:rPr>
      <w:rFonts w:ascii="黑体" w:eastAsia="黑体"/>
      <w:b/>
      <w:bCs/>
      <w:kern w:val="0"/>
      <w:sz w:val="24"/>
      <w:lang w:val="zh-CN"/>
    </w:rPr>
  </w:style>
  <w:style w:type="paragraph" w:customStyle="1" w:styleId="722">
    <w:name w:val="表头居中"/>
    <w:basedOn w:val="21"/>
    <w:qFormat/>
    <w:uiPriority w:val="0"/>
    <w:pPr>
      <w:spacing w:line="240" w:lineRule="auto"/>
      <w:ind w:firstLine="0"/>
      <w:jc w:val="center"/>
    </w:pPr>
    <w:rPr>
      <w:kern w:val="0"/>
      <w:sz w:val="24"/>
      <w:lang w:val="zh-CN"/>
    </w:rPr>
  </w:style>
  <w:style w:type="paragraph" w:customStyle="1" w:styleId="723">
    <w:name w:val="表格，五宋"/>
    <w:qFormat/>
    <w:uiPriority w:val="0"/>
    <w:pPr>
      <w:keepNext/>
      <w:widowControl w:val="0"/>
      <w:adjustRightInd w:val="0"/>
      <w:spacing w:line="360" w:lineRule="exact"/>
      <w:jc w:val="center"/>
    </w:pPr>
    <w:rPr>
      <w:rFonts w:ascii="宋体" w:hAnsi="宋体" w:eastAsia="宋体" w:cs="Times New Roman"/>
      <w:sz w:val="21"/>
      <w:lang w:val="en-US" w:eastAsia="zh-CN" w:bidi="ar-SA"/>
    </w:rPr>
  </w:style>
  <w:style w:type="paragraph" w:customStyle="1" w:styleId="724">
    <w:name w:val="列表1"/>
    <w:basedOn w:val="66"/>
    <w:qFormat/>
    <w:uiPriority w:val="0"/>
    <w:pPr>
      <w:numPr>
        <w:ilvl w:val="0"/>
        <w:numId w:val="0"/>
      </w:numPr>
      <w:spacing w:line="240" w:lineRule="auto"/>
      <w:ind w:firstLine="54"/>
      <w:jc w:val="center"/>
      <w:outlineLvl w:val="6"/>
    </w:pPr>
    <w:rPr>
      <w:rFonts w:ascii="宋体" w:hAnsi="宋体" w:eastAsia="宋体"/>
      <w:spacing w:val="-6"/>
      <w:kern w:val="0"/>
      <w:szCs w:val="21"/>
    </w:rPr>
  </w:style>
  <w:style w:type="paragraph" w:customStyle="1" w:styleId="725">
    <w:name w:val="标准文本"/>
    <w:basedOn w:val="1"/>
    <w:qFormat/>
    <w:uiPriority w:val="0"/>
    <w:pPr>
      <w:spacing w:line="400" w:lineRule="exact"/>
      <w:ind w:firstLine="480" w:firstLineChars="200"/>
    </w:pPr>
    <w:rPr>
      <w:rFonts w:ascii="黑体" w:hAnsi="宋体"/>
      <w:sz w:val="24"/>
    </w:rPr>
  </w:style>
  <w:style w:type="paragraph" w:customStyle="1" w:styleId="726">
    <w:name w:val="Char Char Char Char Char Char1 Char Char Char Char"/>
    <w:basedOn w:val="1"/>
    <w:qFormat/>
    <w:uiPriority w:val="0"/>
    <w:pPr>
      <w:spacing w:line="240" w:lineRule="auto"/>
    </w:pPr>
    <w:rPr>
      <w:rFonts w:ascii="仿宋_GB2312" w:eastAsia="仿宋_GB2312"/>
      <w:b/>
      <w:sz w:val="32"/>
      <w:szCs w:val="32"/>
    </w:rPr>
  </w:style>
  <w:style w:type="paragraph" w:customStyle="1" w:styleId="727">
    <w:name w:val="Char Char5"/>
    <w:basedOn w:val="1"/>
    <w:qFormat/>
    <w:uiPriority w:val="0"/>
    <w:pPr>
      <w:tabs>
        <w:tab w:val="left" w:pos="432"/>
      </w:tabs>
      <w:spacing w:line="240" w:lineRule="auto"/>
      <w:ind w:left="432" w:hanging="432"/>
    </w:pPr>
    <w:rPr>
      <w:sz w:val="24"/>
    </w:rPr>
  </w:style>
  <w:style w:type="paragraph" w:customStyle="1" w:styleId="728">
    <w:name w:val="表格"/>
    <w:basedOn w:val="1"/>
    <w:qFormat/>
    <w:uiPriority w:val="0"/>
    <w:pPr>
      <w:adjustRightInd w:val="0"/>
      <w:snapToGrid w:val="0"/>
      <w:spacing w:line="240" w:lineRule="auto"/>
      <w:jc w:val="center"/>
    </w:pPr>
    <w:rPr>
      <w:rFonts w:ascii="宋体" w:hAnsi="宋体"/>
      <w:color w:val="000000"/>
      <w:sz w:val="24"/>
    </w:rPr>
  </w:style>
  <w:style w:type="paragraph" w:customStyle="1" w:styleId="729">
    <w:name w:val="样式 标题 4 + 加粗"/>
    <w:basedOn w:val="6"/>
    <w:qFormat/>
    <w:uiPriority w:val="0"/>
    <w:pPr>
      <w:numPr>
        <w:ilvl w:val="0"/>
        <w:numId w:val="0"/>
      </w:numPr>
      <w:spacing w:before="360" w:afterLines="50" w:line="360" w:lineRule="auto"/>
      <w:ind w:left="454"/>
      <w:jc w:val="center"/>
    </w:pPr>
    <w:rPr>
      <w:rFonts w:ascii="Arial" w:hAnsi="Arial" w:eastAsia="宋体"/>
      <w:b/>
      <w:color w:val="auto"/>
      <w:kern w:val="28"/>
      <w:lang w:val="zh-CN"/>
    </w:rPr>
  </w:style>
  <w:style w:type="character" w:customStyle="1" w:styleId="730">
    <w:name w:val="样式 标题 4 + 加粗 Char"/>
    <w:qFormat/>
    <w:uiPriority w:val="0"/>
    <w:rPr>
      <w:rFonts w:ascii="Arial" w:hAnsi="Arial" w:eastAsia="宋体" w:cs="Times New Roman"/>
      <w:b/>
      <w:bCs/>
      <w:kern w:val="28"/>
      <w:sz w:val="28"/>
      <w:szCs w:val="28"/>
    </w:rPr>
  </w:style>
  <w:style w:type="paragraph" w:customStyle="1" w:styleId="731">
    <w:name w:val="样式 标题 3 + 红色 段前: 0.5 行"/>
    <w:basedOn w:val="5"/>
    <w:qFormat/>
    <w:uiPriority w:val="0"/>
    <w:pPr>
      <w:numPr>
        <w:ilvl w:val="0"/>
        <w:numId w:val="0"/>
      </w:numPr>
      <w:tabs>
        <w:tab w:val="left" w:pos="0"/>
      </w:tabs>
      <w:spacing w:beforeLines="50" w:line="360" w:lineRule="auto"/>
      <w:ind w:left="567" w:hanging="567"/>
    </w:pPr>
    <w:rPr>
      <w:bCs/>
      <w:color w:val="FF0000"/>
      <w:kern w:val="0"/>
      <w:sz w:val="28"/>
      <w:lang w:val="zh-CN"/>
    </w:rPr>
  </w:style>
  <w:style w:type="paragraph" w:customStyle="1" w:styleId="732">
    <w:name w:val="样式 标题 3 + 加粗 段前: 0.5 行"/>
    <w:basedOn w:val="5"/>
    <w:qFormat/>
    <w:uiPriority w:val="0"/>
    <w:pPr>
      <w:numPr>
        <w:ilvl w:val="0"/>
        <w:numId w:val="0"/>
      </w:numPr>
      <w:tabs>
        <w:tab w:val="left" w:pos="0"/>
      </w:tabs>
      <w:spacing w:beforeLines="50" w:line="360" w:lineRule="auto"/>
      <w:ind w:left="567" w:hanging="567"/>
    </w:pPr>
    <w:rPr>
      <w:b/>
      <w:kern w:val="0"/>
      <w:sz w:val="28"/>
      <w:lang w:val="zh-CN"/>
    </w:rPr>
  </w:style>
  <w:style w:type="paragraph" w:customStyle="1" w:styleId="733">
    <w:name w:val="标题 11"/>
    <w:next w:val="718"/>
    <w:qFormat/>
    <w:uiPriority w:val="0"/>
    <w:pPr>
      <w:widowControl w:val="0"/>
      <w:spacing w:before="312" w:line="500" w:lineRule="exact"/>
      <w:jc w:val="center"/>
      <w:outlineLvl w:val="0"/>
    </w:pPr>
    <w:rPr>
      <w:rFonts w:ascii="Lucida Grande" w:hAnsi="Lucida Grande" w:eastAsia="ヒラギノ角ゴ Pro W3" w:cs="Times New Roman"/>
      <w:b/>
      <w:color w:val="000000"/>
      <w:kern w:val="28"/>
      <w:sz w:val="28"/>
      <w:lang w:val="en-US" w:eastAsia="zh-CN" w:bidi="ar-SA"/>
    </w:rPr>
  </w:style>
  <w:style w:type="paragraph" w:customStyle="1" w:styleId="734">
    <w:name w:val="标题 31"/>
    <w:next w:val="718"/>
    <w:qFormat/>
    <w:uiPriority w:val="0"/>
    <w:pPr>
      <w:widowControl w:val="0"/>
      <w:tabs>
        <w:tab w:val="left" w:pos="0"/>
      </w:tabs>
      <w:spacing w:before="156" w:line="500" w:lineRule="exact"/>
      <w:jc w:val="both"/>
      <w:outlineLvl w:val="2"/>
    </w:pPr>
    <w:rPr>
      <w:rFonts w:ascii="Lucida Grande" w:hAnsi="Lucida Grande" w:eastAsia="ヒラギノ角ゴ Pro W3" w:cs="Times New Roman"/>
      <w:color w:val="000000"/>
      <w:kern w:val="21"/>
      <w:sz w:val="24"/>
      <w:lang w:val="en-US" w:eastAsia="zh-CN" w:bidi="ar-SA"/>
    </w:rPr>
  </w:style>
  <w:style w:type="paragraph" w:customStyle="1" w:styleId="735">
    <w:name w:val="标题 41"/>
    <w:next w:val="718"/>
    <w:qFormat/>
    <w:uiPriority w:val="0"/>
    <w:pPr>
      <w:widowControl w:val="0"/>
      <w:spacing w:line="500" w:lineRule="exact"/>
      <w:ind w:left="900" w:hanging="864"/>
      <w:jc w:val="both"/>
      <w:outlineLvl w:val="3"/>
    </w:pPr>
    <w:rPr>
      <w:rFonts w:ascii="Lucida Grande" w:hAnsi="Lucida Grande" w:eastAsia="ヒラギノ角ゴ Pro W3" w:cs="Times New Roman"/>
      <w:color w:val="000000"/>
      <w:kern w:val="24"/>
      <w:sz w:val="24"/>
      <w:lang w:val="en-US" w:eastAsia="zh-CN" w:bidi="ar-SA"/>
    </w:rPr>
  </w:style>
  <w:style w:type="character" w:customStyle="1" w:styleId="736">
    <w:name w:val="三级条标题 Char"/>
    <w:qFormat/>
    <w:uiPriority w:val="0"/>
    <w:rPr>
      <w:rFonts w:ascii="Times New Roman" w:hAnsi="Times New Roman" w:eastAsia="黑体" w:cs="Times New Roman"/>
      <w:b/>
      <w:kern w:val="0"/>
      <w:sz w:val="24"/>
      <w:szCs w:val="24"/>
    </w:rPr>
  </w:style>
  <w:style w:type="character" w:customStyle="1" w:styleId="737">
    <w:name w:val="正文文本 Char Char"/>
    <w:qFormat/>
    <w:uiPriority w:val="0"/>
    <w:rPr>
      <w:rFonts w:ascii="Arial" w:hAnsi="Arial"/>
      <w:bCs/>
      <w:szCs w:val="24"/>
    </w:rPr>
  </w:style>
  <w:style w:type="character" w:customStyle="1" w:styleId="738">
    <w:name w:val="样式 黑体"/>
    <w:qFormat/>
    <w:uiPriority w:val="0"/>
    <w:rPr>
      <w:rFonts w:ascii="黑体" w:hAnsi="黑体" w:eastAsia="黑体"/>
      <w:sz w:val="24"/>
    </w:rPr>
  </w:style>
  <w:style w:type="paragraph" w:customStyle="1" w:styleId="739">
    <w:name w:val="样式 (西文) 黑体 小四 行距: 1.5 倍行距"/>
    <w:basedOn w:val="1"/>
    <w:qFormat/>
    <w:uiPriority w:val="0"/>
    <w:pPr>
      <w:adjustRightInd w:val="0"/>
      <w:snapToGrid w:val="0"/>
      <w:spacing w:line="360" w:lineRule="auto"/>
      <w:ind w:firstLine="200" w:firstLineChars="200"/>
    </w:pPr>
    <w:rPr>
      <w:rFonts w:ascii="黑体" w:hAnsi="Arial"/>
      <w:kern w:val="0"/>
      <w:sz w:val="24"/>
      <w:szCs w:val="20"/>
    </w:rPr>
  </w:style>
  <w:style w:type="paragraph" w:customStyle="1" w:styleId="740">
    <w:name w:val="Char Char Char2 Char"/>
    <w:basedOn w:val="1"/>
    <w:qFormat/>
    <w:uiPriority w:val="0"/>
    <w:pPr>
      <w:spacing w:line="240" w:lineRule="auto"/>
      <w:ind w:firstLine="360" w:firstLineChars="150"/>
    </w:pPr>
    <w:rPr>
      <w:rFonts w:ascii="Tahoma" w:hAnsi="Tahoma"/>
      <w:sz w:val="24"/>
      <w:szCs w:val="20"/>
    </w:rPr>
  </w:style>
  <w:style w:type="character" w:customStyle="1" w:styleId="741">
    <w:name w:val="标题 3 Char Char Char"/>
    <w:semiHidden/>
    <w:qFormat/>
    <w:uiPriority w:val="0"/>
    <w:rPr>
      <w:rFonts w:ascii="黑体" w:eastAsia="黑体"/>
      <w:kern w:val="2"/>
      <w:sz w:val="26"/>
      <w:szCs w:val="26"/>
      <w:lang w:val="en-US" w:eastAsia="zh-CN" w:bidi="ar-SA"/>
    </w:rPr>
  </w:style>
  <w:style w:type="paragraph" w:customStyle="1" w:styleId="742">
    <w:name w:val="正文段落 Char Char Char Char Char Char Char Char"/>
    <w:basedOn w:val="1"/>
    <w:semiHidden/>
    <w:qFormat/>
    <w:uiPriority w:val="0"/>
    <w:pPr>
      <w:autoSpaceDE w:val="0"/>
      <w:autoSpaceDN w:val="0"/>
      <w:adjustRightInd w:val="0"/>
      <w:snapToGrid w:val="0"/>
      <w:spacing w:line="360" w:lineRule="auto"/>
      <w:ind w:firstLine="567"/>
      <w:textAlignment w:val="baseline"/>
    </w:pPr>
    <w:rPr>
      <w:rFonts w:ascii="宋体" w:hAnsi="Tms Rmn"/>
      <w:kern w:val="0"/>
      <w:sz w:val="26"/>
      <w:szCs w:val="20"/>
    </w:rPr>
  </w:style>
  <w:style w:type="character" w:customStyle="1" w:styleId="743">
    <w:name w:val="正文段落 Char Char Char Char Char Char Char Char Char"/>
    <w:semiHidden/>
    <w:qFormat/>
    <w:uiPriority w:val="0"/>
    <w:rPr>
      <w:rFonts w:ascii="宋体" w:hAnsi="Tms Rmn" w:eastAsia="宋体"/>
      <w:sz w:val="26"/>
      <w:lang w:val="en-US" w:eastAsia="zh-CN" w:bidi="ar-SA"/>
    </w:rPr>
  </w:style>
  <w:style w:type="paragraph" w:customStyle="1" w:styleId="744">
    <w:name w:val="标准"/>
    <w:basedOn w:val="1"/>
    <w:semiHidden/>
    <w:qFormat/>
    <w:uiPriority w:val="0"/>
    <w:pPr>
      <w:autoSpaceDE w:val="0"/>
      <w:autoSpaceDN w:val="0"/>
      <w:adjustRightInd w:val="0"/>
      <w:snapToGrid w:val="0"/>
      <w:spacing w:line="312" w:lineRule="atLeast"/>
      <w:ind w:firstLine="555"/>
      <w:textAlignment w:val="baseline"/>
    </w:pPr>
    <w:rPr>
      <w:rFonts w:ascii="宋体" w:hAnsi="Tms Rmn"/>
      <w:kern w:val="0"/>
      <w:sz w:val="28"/>
      <w:szCs w:val="20"/>
    </w:rPr>
  </w:style>
  <w:style w:type="paragraph" w:customStyle="1" w:styleId="745">
    <w:name w:val="报告正文"/>
    <w:basedOn w:val="1"/>
    <w:semiHidden/>
    <w:qFormat/>
    <w:uiPriority w:val="0"/>
    <w:pPr>
      <w:adjustRightInd w:val="0"/>
      <w:snapToGrid w:val="0"/>
      <w:spacing w:line="480" w:lineRule="exact"/>
      <w:ind w:firstLine="200" w:firstLineChars="200"/>
    </w:pPr>
    <w:rPr>
      <w:rFonts w:ascii="宋体"/>
      <w:color w:val="0000FF"/>
      <w:sz w:val="28"/>
      <w:szCs w:val="28"/>
    </w:rPr>
  </w:style>
  <w:style w:type="paragraph" w:customStyle="1" w:styleId="746">
    <w:name w:val="表格1"/>
    <w:semiHidden/>
    <w:qFormat/>
    <w:uiPriority w:val="0"/>
    <w:pPr>
      <w:keepNext/>
      <w:jc w:val="center"/>
    </w:pPr>
    <w:rPr>
      <w:rFonts w:ascii="宋体" w:hAnsi="Times New Roman" w:eastAsia="宋体" w:cs="Times New Roman"/>
      <w:snapToGrid w:val="0"/>
      <w:spacing w:val="6"/>
      <w:w w:val="95"/>
      <w:sz w:val="24"/>
      <w:lang w:val="en-US" w:eastAsia="zh-CN" w:bidi="ar-SA"/>
    </w:rPr>
  </w:style>
  <w:style w:type="paragraph" w:customStyle="1" w:styleId="747">
    <w:name w:val="日期1"/>
    <w:basedOn w:val="1"/>
    <w:next w:val="1"/>
    <w:semiHidden/>
    <w:qFormat/>
    <w:uiPriority w:val="0"/>
    <w:pPr>
      <w:adjustRightInd w:val="0"/>
      <w:snapToGrid w:val="0"/>
      <w:spacing w:line="360" w:lineRule="auto"/>
      <w:textAlignment w:val="baseline"/>
    </w:pPr>
    <w:rPr>
      <w:rFonts w:ascii="宋体"/>
      <w:sz w:val="28"/>
      <w:szCs w:val="20"/>
    </w:rPr>
  </w:style>
  <w:style w:type="paragraph" w:customStyle="1" w:styleId="748">
    <w:name w:val="正文文本 21"/>
    <w:basedOn w:val="1"/>
    <w:semiHidden/>
    <w:qFormat/>
    <w:uiPriority w:val="0"/>
    <w:pPr>
      <w:adjustRightInd w:val="0"/>
      <w:snapToGrid w:val="0"/>
      <w:spacing w:line="360" w:lineRule="auto"/>
      <w:ind w:firstLine="540"/>
      <w:textAlignment w:val="baseline"/>
    </w:pPr>
    <w:rPr>
      <w:sz w:val="28"/>
      <w:szCs w:val="20"/>
    </w:rPr>
  </w:style>
  <w:style w:type="character" w:customStyle="1" w:styleId="749">
    <w:name w:val="Body Text 2 Char"/>
    <w:semiHidden/>
    <w:qFormat/>
    <w:uiPriority w:val="0"/>
    <w:rPr>
      <w:rFonts w:eastAsia="宋体"/>
      <w:kern w:val="2"/>
      <w:sz w:val="28"/>
      <w:lang w:val="en-US" w:eastAsia="zh-CN" w:bidi="ar-SA"/>
    </w:rPr>
  </w:style>
  <w:style w:type="paragraph" w:customStyle="1" w:styleId="750">
    <w:name w:val="表文"/>
    <w:basedOn w:val="22"/>
    <w:semiHidden/>
    <w:qFormat/>
    <w:uiPriority w:val="0"/>
    <w:pPr>
      <w:adjustRightInd w:val="0"/>
      <w:snapToGrid w:val="0"/>
      <w:spacing w:line="320" w:lineRule="atLeast"/>
      <w:jc w:val="center"/>
      <w:textAlignment w:val="baseline"/>
    </w:pPr>
    <w:rPr>
      <w:rFonts w:ascii="Times New Roman" w:hAnsi="Times New Roman" w:eastAsia="宋体" w:cs="Times New Roman"/>
      <w:kern w:val="24"/>
      <w:sz w:val="24"/>
    </w:rPr>
  </w:style>
  <w:style w:type="paragraph" w:customStyle="1" w:styleId="751">
    <w:name w:val="纯文本11"/>
    <w:basedOn w:val="1"/>
    <w:semiHidden/>
    <w:qFormat/>
    <w:uiPriority w:val="0"/>
    <w:pPr>
      <w:adjustRightInd w:val="0"/>
      <w:snapToGrid w:val="0"/>
      <w:spacing w:line="360" w:lineRule="auto"/>
      <w:textAlignment w:val="baseline"/>
    </w:pPr>
    <w:rPr>
      <w:rFonts w:ascii="宋体"/>
      <w:kern w:val="0"/>
      <w:szCs w:val="20"/>
    </w:rPr>
  </w:style>
  <w:style w:type="paragraph" w:customStyle="1" w:styleId="752">
    <w:name w:val="样式 正文段落 Char Char Char Char Char Char Char Char + 行距: 固定值 27 磅"/>
    <w:basedOn w:val="742"/>
    <w:semiHidden/>
    <w:qFormat/>
    <w:uiPriority w:val="0"/>
    <w:pPr>
      <w:tabs>
        <w:tab w:val="left" w:pos="0"/>
      </w:tabs>
      <w:spacing w:beforeLines="20" w:line="540" w:lineRule="exact"/>
    </w:pPr>
  </w:style>
  <w:style w:type="paragraph" w:customStyle="1" w:styleId="753">
    <w:name w:val="标题1"/>
    <w:basedOn w:val="3"/>
    <w:qFormat/>
    <w:uiPriority w:val="0"/>
    <w:pPr>
      <w:keepNext/>
      <w:keepLines/>
      <w:numPr>
        <w:numId w:val="0"/>
      </w:numPr>
      <w:autoSpaceDE w:val="0"/>
      <w:autoSpaceDN w:val="0"/>
      <w:adjustRightInd w:val="0"/>
      <w:snapToGrid w:val="0"/>
      <w:spacing w:before="0" w:beforeLines="50" w:after="0" w:afterLines="50" w:line="360" w:lineRule="auto"/>
      <w:textAlignment w:val="baseline"/>
    </w:pPr>
    <w:rPr>
      <w:rFonts w:ascii="黑体" w:hAnsi="Tms Rmn"/>
      <w:bCs w:val="0"/>
      <w:szCs w:val="28"/>
      <w:lang w:val="zh-CN"/>
    </w:rPr>
  </w:style>
  <w:style w:type="paragraph" w:customStyle="1" w:styleId="754">
    <w:name w:val="样式 样式 标题 2 + (符号) 宋体 段后: 0.5 行 + 段后: 0.5 行"/>
    <w:basedOn w:val="755"/>
    <w:semiHidden/>
    <w:qFormat/>
    <w:uiPriority w:val="0"/>
    <w:pPr>
      <w:tabs>
        <w:tab w:val="left" w:pos="462"/>
        <w:tab w:val="left" w:pos="567"/>
      </w:tabs>
    </w:pPr>
  </w:style>
  <w:style w:type="paragraph" w:customStyle="1" w:styleId="755">
    <w:name w:val="样式 标题 2 + (符号) 宋体 段后: 0.5 行"/>
    <w:basedOn w:val="4"/>
    <w:semiHidden/>
    <w:qFormat/>
    <w:uiPriority w:val="0"/>
    <w:pPr>
      <w:keepNext/>
      <w:numPr>
        <w:ilvl w:val="0"/>
        <w:numId w:val="0"/>
      </w:numPr>
      <w:tabs>
        <w:tab w:val="clear" w:pos="794"/>
      </w:tabs>
      <w:adjustRightInd w:val="0"/>
      <w:spacing w:before="0" w:after="0" w:line="360" w:lineRule="auto"/>
      <w:ind w:left="578" w:hanging="578"/>
    </w:pPr>
    <w:rPr>
      <w:rFonts w:ascii="黑体" w:hAnsi="宋体"/>
      <w:b/>
      <w:bCs w:val="0"/>
      <w:color w:val="FF0000"/>
      <w:kern w:val="0"/>
      <w:sz w:val="28"/>
      <w:szCs w:val="20"/>
      <w:lang w:val="zh-CN"/>
    </w:rPr>
  </w:style>
  <w:style w:type="paragraph" w:customStyle="1" w:styleId="756">
    <w:name w:val="zw"/>
    <w:basedOn w:val="1"/>
    <w:semiHidden/>
    <w:qFormat/>
    <w:uiPriority w:val="0"/>
    <w:pPr>
      <w:widowControl/>
      <w:adjustRightInd w:val="0"/>
      <w:snapToGrid w:val="0"/>
      <w:spacing w:before="100" w:line="500" w:lineRule="exact"/>
      <w:ind w:firstLine="200" w:firstLineChars="200"/>
      <w:jc w:val="left"/>
      <w:outlineLvl w:val="0"/>
    </w:pPr>
    <w:rPr>
      <w:rFonts w:ascii="宋体" w:hAnsi="宋体"/>
      <w:bCs/>
      <w:kern w:val="0"/>
      <w:sz w:val="28"/>
      <w:szCs w:val="20"/>
    </w:rPr>
  </w:style>
  <w:style w:type="character" w:customStyle="1" w:styleId="757">
    <w:name w:val="md"/>
    <w:semiHidden/>
    <w:qFormat/>
    <w:uiPriority w:val="0"/>
  </w:style>
  <w:style w:type="paragraph" w:customStyle="1" w:styleId="758">
    <w:name w:val="样式 宋体 四号 首行缩进:  0.85 厘米 行距: 固定值 25 磅"/>
    <w:basedOn w:val="1"/>
    <w:semiHidden/>
    <w:qFormat/>
    <w:uiPriority w:val="0"/>
    <w:pPr>
      <w:adjustRightInd w:val="0"/>
      <w:snapToGrid w:val="0"/>
      <w:spacing w:before="100" w:line="500" w:lineRule="exact"/>
      <w:ind w:firstLine="482"/>
      <w:jc w:val="left"/>
      <w:textAlignment w:val="baseline"/>
    </w:pPr>
    <w:rPr>
      <w:rFonts w:ascii="宋体" w:hAnsi="宋体"/>
      <w:sz w:val="28"/>
      <w:szCs w:val="28"/>
    </w:rPr>
  </w:style>
  <w:style w:type="paragraph" w:customStyle="1" w:styleId="759">
    <w:name w:val="样式 正文段落 Char Char Char + (符号) 宋体 紧缩量  0.2 磅 行距: 固定值 27 磅"/>
    <w:basedOn w:val="760"/>
    <w:semiHidden/>
    <w:qFormat/>
    <w:uiPriority w:val="0"/>
    <w:pPr>
      <w:spacing w:line="540" w:lineRule="exact"/>
    </w:pPr>
    <w:rPr>
      <w:rFonts w:hAnsi="宋体"/>
      <w:spacing w:val="-4"/>
    </w:rPr>
  </w:style>
  <w:style w:type="paragraph" w:customStyle="1" w:styleId="760">
    <w:name w:val="正文段落 Char Char Char"/>
    <w:basedOn w:val="1"/>
    <w:semiHidden/>
    <w:qFormat/>
    <w:uiPriority w:val="0"/>
    <w:pPr>
      <w:autoSpaceDE w:val="0"/>
      <w:autoSpaceDN w:val="0"/>
      <w:adjustRightInd w:val="0"/>
      <w:snapToGrid w:val="0"/>
      <w:spacing w:line="360" w:lineRule="auto"/>
      <w:ind w:firstLine="567"/>
      <w:textAlignment w:val="baseline"/>
    </w:pPr>
    <w:rPr>
      <w:rFonts w:ascii="宋体" w:hAnsi="Tms Rmn"/>
      <w:kern w:val="0"/>
      <w:sz w:val="26"/>
      <w:szCs w:val="20"/>
    </w:rPr>
  </w:style>
  <w:style w:type="character" w:customStyle="1" w:styleId="761">
    <w:name w:val="正文段落 Char Char Char Char"/>
    <w:semiHidden/>
    <w:qFormat/>
    <w:uiPriority w:val="0"/>
    <w:rPr>
      <w:rFonts w:ascii="宋体" w:hAnsi="Tms Rmn" w:eastAsia="宋体"/>
      <w:sz w:val="26"/>
      <w:lang w:val="en-US" w:eastAsia="zh-CN" w:bidi="ar-SA"/>
    </w:rPr>
  </w:style>
  <w:style w:type="paragraph" w:customStyle="1" w:styleId="762">
    <w:name w:val="正文，四仿"/>
    <w:basedOn w:val="1"/>
    <w:semiHidden/>
    <w:qFormat/>
    <w:uiPriority w:val="0"/>
    <w:pPr>
      <w:adjustRightInd w:val="0"/>
      <w:snapToGrid w:val="0"/>
      <w:spacing w:line="460" w:lineRule="exact"/>
      <w:ind w:firstLine="567"/>
    </w:pPr>
    <w:rPr>
      <w:rFonts w:eastAsia="仿宋_GB2312"/>
      <w:sz w:val="28"/>
      <w:szCs w:val="20"/>
    </w:rPr>
  </w:style>
  <w:style w:type="paragraph" w:customStyle="1" w:styleId="763">
    <w:name w:val="样式 正文段落 + 段前: 0.2 行"/>
    <w:basedOn w:val="764"/>
    <w:semiHidden/>
    <w:qFormat/>
    <w:uiPriority w:val="0"/>
    <w:pPr>
      <w:spacing w:beforeLines="50"/>
    </w:pPr>
  </w:style>
  <w:style w:type="paragraph" w:customStyle="1" w:styleId="764">
    <w:name w:val="正文段落"/>
    <w:basedOn w:val="1"/>
    <w:semiHidden/>
    <w:qFormat/>
    <w:uiPriority w:val="0"/>
    <w:pPr>
      <w:autoSpaceDE w:val="0"/>
      <w:autoSpaceDN w:val="0"/>
      <w:adjustRightInd w:val="0"/>
      <w:snapToGrid w:val="0"/>
      <w:spacing w:beforeLines="20" w:line="360" w:lineRule="auto"/>
      <w:ind w:firstLine="567"/>
      <w:textAlignment w:val="baseline"/>
    </w:pPr>
    <w:rPr>
      <w:rFonts w:ascii="宋体" w:hAnsi="Tms Rmn"/>
      <w:kern w:val="0"/>
      <w:sz w:val="26"/>
      <w:szCs w:val="20"/>
    </w:rPr>
  </w:style>
  <w:style w:type="character" w:customStyle="1" w:styleId="765">
    <w:name w:val="light1"/>
    <w:semiHidden/>
    <w:qFormat/>
    <w:uiPriority w:val="0"/>
    <w:rPr>
      <w:sz w:val="22"/>
      <w:szCs w:val="22"/>
    </w:rPr>
  </w:style>
  <w:style w:type="paragraph" w:customStyle="1" w:styleId="766">
    <w:name w:val="正文段落 Char"/>
    <w:basedOn w:val="1"/>
    <w:semiHidden/>
    <w:qFormat/>
    <w:uiPriority w:val="0"/>
    <w:pPr>
      <w:autoSpaceDE w:val="0"/>
      <w:autoSpaceDN w:val="0"/>
      <w:adjustRightInd w:val="0"/>
      <w:snapToGrid w:val="0"/>
      <w:spacing w:line="360" w:lineRule="auto"/>
      <w:ind w:firstLine="567"/>
      <w:textAlignment w:val="baseline"/>
    </w:pPr>
    <w:rPr>
      <w:rFonts w:ascii="宋体" w:hAnsi="Tms Rmn"/>
      <w:kern w:val="0"/>
      <w:sz w:val="26"/>
      <w:szCs w:val="20"/>
    </w:rPr>
  </w:style>
  <w:style w:type="paragraph" w:customStyle="1" w:styleId="767">
    <w:name w:val="样式 正文缩进正文（首行缩进两字）表格文字表正文正文非缩进 + 13 磅 行距: 固定值 27 磅"/>
    <w:basedOn w:val="21"/>
    <w:semiHidden/>
    <w:qFormat/>
    <w:uiPriority w:val="0"/>
    <w:pPr>
      <w:widowControl/>
      <w:adjustRightInd w:val="0"/>
      <w:snapToGrid w:val="0"/>
      <w:spacing w:beforeLines="20" w:line="540" w:lineRule="exact"/>
      <w:ind w:firstLine="567"/>
      <w:jc w:val="left"/>
    </w:pPr>
    <w:rPr>
      <w:kern w:val="0"/>
      <w:sz w:val="26"/>
      <w:lang w:val="zh-CN"/>
    </w:rPr>
  </w:style>
  <w:style w:type="paragraph" w:customStyle="1" w:styleId="768">
    <w:name w:val="正文段落 Char Char"/>
    <w:basedOn w:val="1"/>
    <w:semiHidden/>
    <w:qFormat/>
    <w:uiPriority w:val="0"/>
    <w:pPr>
      <w:autoSpaceDE w:val="0"/>
      <w:autoSpaceDN w:val="0"/>
      <w:adjustRightInd w:val="0"/>
      <w:snapToGrid w:val="0"/>
      <w:spacing w:line="360" w:lineRule="auto"/>
      <w:ind w:firstLine="567"/>
      <w:textAlignment w:val="baseline"/>
    </w:pPr>
    <w:rPr>
      <w:rFonts w:ascii="宋体" w:hAnsi="Tms Rmn"/>
      <w:kern w:val="0"/>
      <w:sz w:val="26"/>
      <w:szCs w:val="20"/>
    </w:rPr>
  </w:style>
  <w:style w:type="character" w:customStyle="1" w:styleId="769">
    <w:name w:val="正文段落 Char Char Char Char Char"/>
    <w:semiHidden/>
    <w:qFormat/>
    <w:uiPriority w:val="0"/>
    <w:rPr>
      <w:rFonts w:ascii="宋体" w:hAnsi="Tms Rmn" w:eastAsia="宋体"/>
      <w:sz w:val="26"/>
      <w:lang w:val="en-US" w:eastAsia="zh-CN" w:bidi="ar-SA"/>
    </w:rPr>
  </w:style>
  <w:style w:type="paragraph" w:customStyle="1" w:styleId="770">
    <w:name w:val="正文段落 Char Char Char Char Char Char Char"/>
    <w:basedOn w:val="1"/>
    <w:semiHidden/>
    <w:qFormat/>
    <w:uiPriority w:val="0"/>
    <w:pPr>
      <w:autoSpaceDE w:val="0"/>
      <w:autoSpaceDN w:val="0"/>
      <w:adjustRightInd w:val="0"/>
      <w:snapToGrid w:val="0"/>
      <w:spacing w:line="360" w:lineRule="auto"/>
      <w:ind w:firstLine="567"/>
      <w:textAlignment w:val="baseline"/>
    </w:pPr>
    <w:rPr>
      <w:rFonts w:ascii="宋体" w:hAnsi="Tms Rmn"/>
      <w:kern w:val="0"/>
      <w:sz w:val="26"/>
      <w:szCs w:val="20"/>
    </w:rPr>
  </w:style>
  <w:style w:type="paragraph" w:customStyle="1" w:styleId="771">
    <w:name w:val="样式 正文段落 + 段前: 0.2 行1"/>
    <w:basedOn w:val="764"/>
    <w:semiHidden/>
    <w:qFormat/>
    <w:uiPriority w:val="0"/>
  </w:style>
  <w:style w:type="paragraph" w:customStyle="1" w:styleId="772">
    <w:name w:val="样式 样式 标题 3标题 3 Char Char + (西文) 宋体 行距: 固定值 27 磅 + 段后: 0.5 行"/>
    <w:basedOn w:val="699"/>
    <w:semiHidden/>
    <w:qFormat/>
    <w:uiPriority w:val="0"/>
    <w:pPr>
      <w:tabs>
        <w:tab w:val="left" w:pos="0"/>
      </w:tabs>
      <w:spacing w:beforeLines="0" w:afterLines="80" w:line="540" w:lineRule="exact"/>
      <w:ind w:left="0"/>
    </w:pPr>
    <w:rPr>
      <w:rFonts w:ascii="宋体" w:hAnsi="宋体" w:eastAsia="宋体"/>
      <w:spacing w:val="5"/>
      <w:sz w:val="24"/>
      <w:szCs w:val="20"/>
    </w:rPr>
  </w:style>
  <w:style w:type="paragraph" w:customStyle="1" w:styleId="773">
    <w:name w:val="样式 样式 样式 标题 3标题 3 Char Char + (西文) 宋体 行距: 固定值 27 磅 + 段后: 0.5 行 +..."/>
    <w:basedOn w:val="772"/>
    <w:semiHidden/>
    <w:qFormat/>
    <w:uiPriority w:val="0"/>
    <w:pPr>
      <w:spacing w:afterLines="100"/>
    </w:pPr>
  </w:style>
  <w:style w:type="paragraph" w:customStyle="1" w:styleId="774">
    <w:name w:val="样式 标题 2 + 段后: 0.5 行 行距: 固定值 27 磅1"/>
    <w:basedOn w:val="4"/>
    <w:semiHidden/>
    <w:qFormat/>
    <w:uiPriority w:val="0"/>
    <w:pPr>
      <w:keepNext/>
      <w:numPr>
        <w:ilvl w:val="0"/>
        <w:numId w:val="0"/>
      </w:numPr>
      <w:tabs>
        <w:tab w:val="left" w:pos="720"/>
        <w:tab w:val="clear" w:pos="794"/>
      </w:tabs>
      <w:adjustRightInd w:val="0"/>
      <w:spacing w:before="0" w:after="0" w:line="540" w:lineRule="exact"/>
    </w:pPr>
    <w:rPr>
      <w:rFonts w:ascii="黑体" w:hAnsi="Arial"/>
      <w:b/>
      <w:bCs w:val="0"/>
      <w:color w:val="FF0000"/>
      <w:kern w:val="0"/>
      <w:sz w:val="28"/>
      <w:szCs w:val="20"/>
      <w:lang w:val="zh-CN"/>
    </w:rPr>
  </w:style>
  <w:style w:type="paragraph" w:customStyle="1" w:styleId="775">
    <w:name w:val="样式 标题 3"/>
    <w:basedOn w:val="5"/>
    <w:semiHidden/>
    <w:qFormat/>
    <w:uiPriority w:val="0"/>
    <w:pPr>
      <w:keepNext/>
      <w:numPr>
        <w:ilvl w:val="0"/>
        <w:numId w:val="0"/>
      </w:numPr>
      <w:tabs>
        <w:tab w:val="left" w:pos="0"/>
      </w:tabs>
      <w:spacing w:line="360" w:lineRule="auto"/>
    </w:pPr>
    <w:rPr>
      <w:rFonts w:ascii="黑体"/>
      <w:bCs/>
      <w:kern w:val="0"/>
      <w:sz w:val="30"/>
      <w:szCs w:val="26"/>
      <w:lang w:val="zh-CN"/>
    </w:rPr>
  </w:style>
  <w:style w:type="paragraph" w:customStyle="1" w:styleId="776">
    <w:name w:val="xy1"/>
    <w:basedOn w:val="1"/>
    <w:semiHidden/>
    <w:qFormat/>
    <w:uiPriority w:val="0"/>
    <w:pPr>
      <w:widowControl/>
      <w:adjustRightInd w:val="0"/>
      <w:snapToGrid w:val="0"/>
      <w:spacing w:line="460" w:lineRule="exact"/>
      <w:outlineLvl w:val="0"/>
    </w:pPr>
    <w:rPr>
      <w:rFonts w:ascii="宋体"/>
      <w:kern w:val="0"/>
      <w:sz w:val="24"/>
      <w:szCs w:val="20"/>
    </w:rPr>
  </w:style>
  <w:style w:type="paragraph" w:customStyle="1" w:styleId="777">
    <w:name w:val="样式 标题 2 + 段后: 0.5 行 行距: 固定值 27 磅"/>
    <w:basedOn w:val="4"/>
    <w:semiHidden/>
    <w:qFormat/>
    <w:uiPriority w:val="0"/>
    <w:pPr>
      <w:keepNext/>
      <w:numPr>
        <w:ilvl w:val="0"/>
        <w:numId w:val="0"/>
      </w:numPr>
      <w:tabs>
        <w:tab w:val="left" w:pos="425"/>
        <w:tab w:val="left" w:pos="720"/>
        <w:tab w:val="clear" w:pos="794"/>
      </w:tabs>
      <w:adjustRightInd w:val="0"/>
      <w:spacing w:before="0" w:after="0" w:line="540" w:lineRule="exact"/>
      <w:ind w:left="578" w:hanging="578"/>
    </w:pPr>
    <w:rPr>
      <w:rFonts w:ascii="黑体" w:hAnsi="Arial"/>
      <w:b/>
      <w:bCs w:val="0"/>
      <w:color w:val="FF0000"/>
      <w:kern w:val="0"/>
      <w:sz w:val="28"/>
      <w:szCs w:val="20"/>
      <w:lang w:val="zh-CN"/>
    </w:rPr>
  </w:style>
  <w:style w:type="character" w:customStyle="1" w:styleId="778">
    <w:name w:val="样式 标题 3标题 3 Char Char + (西文) 宋体 行距: 固定值 27 磅 Char"/>
    <w:semiHidden/>
    <w:qFormat/>
    <w:uiPriority w:val="0"/>
    <w:rPr>
      <w:rFonts w:ascii="宋体" w:hAnsi="宋体" w:eastAsia="黑体" w:cs="宋体"/>
      <w:spacing w:val="5"/>
      <w:kern w:val="2"/>
      <w:sz w:val="26"/>
      <w:szCs w:val="26"/>
      <w:lang w:val="en-US" w:eastAsia="zh-CN" w:bidi="ar-SA"/>
    </w:rPr>
  </w:style>
  <w:style w:type="character" w:customStyle="1" w:styleId="779">
    <w:name w:val="样式 样式 标题 3标题 3 Char Char + (西文) 宋体 行距: 固定值 27 磅 + 段后: 0.5 行 Char"/>
    <w:semiHidden/>
    <w:qFormat/>
    <w:uiPriority w:val="0"/>
    <w:rPr>
      <w:rFonts w:ascii="宋体" w:hAnsi="宋体" w:eastAsia="黑体" w:cs="宋体"/>
      <w:spacing w:val="5"/>
      <w:kern w:val="2"/>
      <w:sz w:val="26"/>
      <w:szCs w:val="26"/>
      <w:lang w:val="en-US" w:eastAsia="zh-CN" w:bidi="ar-SA"/>
    </w:rPr>
  </w:style>
  <w:style w:type="character" w:customStyle="1" w:styleId="780">
    <w:name w:val="样式 样式 样式 标题 3标题 3 Char Char + (西文) 宋体 行距: 固定值 27 磅 + 段后: 0.5 行 +... Char"/>
    <w:semiHidden/>
    <w:qFormat/>
    <w:uiPriority w:val="0"/>
    <w:rPr>
      <w:rFonts w:ascii="宋体" w:hAnsi="宋体" w:eastAsia="黑体" w:cs="宋体"/>
      <w:spacing w:val="5"/>
      <w:kern w:val="2"/>
      <w:sz w:val="26"/>
      <w:szCs w:val="26"/>
      <w:lang w:val="en-US" w:eastAsia="zh-CN" w:bidi="ar-SA"/>
    </w:rPr>
  </w:style>
  <w:style w:type="paragraph" w:customStyle="1" w:styleId="781">
    <w:name w:val="样式 样式 正文段落 + 段前: 0.2 行1 + 段前: 0.2 行"/>
    <w:basedOn w:val="771"/>
    <w:semiHidden/>
    <w:qFormat/>
    <w:uiPriority w:val="0"/>
    <w:pPr>
      <w:spacing w:line="540" w:lineRule="exact"/>
    </w:pPr>
  </w:style>
  <w:style w:type="paragraph" w:customStyle="1" w:styleId="782">
    <w:name w:val="样式 样式 正文缩进正文（首行缩进两字）表格文字表正文正文非缩进 + 13 磅 行距: 固定值 27 磅 + 首行缩进:  0 ..."/>
    <w:basedOn w:val="767"/>
    <w:semiHidden/>
    <w:qFormat/>
    <w:uiPriority w:val="0"/>
    <w:pPr>
      <w:ind w:firstLine="0"/>
    </w:pPr>
  </w:style>
  <w:style w:type="paragraph" w:customStyle="1" w:styleId="783">
    <w:name w:val="样式 正文段落 + 段前: 0.2 行2"/>
    <w:basedOn w:val="764"/>
    <w:semiHidden/>
    <w:qFormat/>
    <w:uiPriority w:val="0"/>
    <w:pPr>
      <w:spacing w:line="540" w:lineRule="exact"/>
    </w:pPr>
  </w:style>
  <w:style w:type="paragraph" w:customStyle="1" w:styleId="784">
    <w:name w:val="样式 样式 正文段落 Char Char Char Char Char Char Char Char + 行距: 固定值 27 ..."/>
    <w:basedOn w:val="752"/>
    <w:semiHidden/>
    <w:qFormat/>
    <w:uiPriority w:val="0"/>
  </w:style>
  <w:style w:type="paragraph" w:customStyle="1" w:styleId="785">
    <w:name w:val="样式 样式 正文段落 + 段前: 0.2 行2 + 段前: 0.2 行"/>
    <w:basedOn w:val="783"/>
    <w:semiHidden/>
    <w:qFormat/>
    <w:uiPriority w:val="0"/>
  </w:style>
  <w:style w:type="paragraph" w:customStyle="1" w:styleId="786">
    <w:name w:val="样式 正文段落 + 段前: 0.2 行 行距: 固定值 27 磅"/>
    <w:basedOn w:val="764"/>
    <w:semiHidden/>
    <w:qFormat/>
    <w:uiPriority w:val="0"/>
    <w:pPr>
      <w:spacing w:line="540" w:lineRule="exact"/>
    </w:pPr>
  </w:style>
  <w:style w:type="paragraph" w:customStyle="1" w:styleId="787">
    <w:name w:val="样式 样式 正文段落 + 段前: 0.2 行 + 段前: 0.5 行 行距: 固定值 27 磅"/>
    <w:basedOn w:val="763"/>
    <w:semiHidden/>
    <w:qFormat/>
    <w:uiPriority w:val="0"/>
    <w:pPr>
      <w:spacing w:beforeLines="20" w:line="540" w:lineRule="exact"/>
    </w:pPr>
  </w:style>
  <w:style w:type="paragraph" w:customStyle="1" w:styleId="788">
    <w:name w:val="样式 样式 正文段落 + 段前: 0.2 行 + 段前: 0.5 行"/>
    <w:basedOn w:val="763"/>
    <w:semiHidden/>
    <w:qFormat/>
    <w:uiPriority w:val="0"/>
    <w:pPr>
      <w:spacing w:beforeLines="20" w:line="540" w:lineRule="exact"/>
    </w:pPr>
  </w:style>
  <w:style w:type="paragraph" w:customStyle="1" w:styleId="789">
    <w:name w:val="样式 样式 标题 3标题 3 Char Char + (西文) 宋体 行距: 固定值 27 磅 + 段后: 0.5 行1"/>
    <w:basedOn w:val="699"/>
    <w:semiHidden/>
    <w:qFormat/>
    <w:uiPriority w:val="0"/>
    <w:pPr>
      <w:tabs>
        <w:tab w:val="left" w:pos="0"/>
      </w:tabs>
      <w:spacing w:beforeLines="0" w:afterLines="50" w:line="540" w:lineRule="exact"/>
      <w:ind w:left="0"/>
    </w:pPr>
    <w:rPr>
      <w:rFonts w:ascii="宋体" w:hAnsi="宋体" w:eastAsia="宋体"/>
      <w:spacing w:val="5"/>
      <w:sz w:val="24"/>
      <w:szCs w:val="20"/>
    </w:rPr>
  </w:style>
  <w:style w:type="paragraph" w:customStyle="1" w:styleId="790">
    <w:name w:val="样式 样式 样式 标题 3标题 3 Char Char + (西文) 宋体 行距: 固定值 27 磅 + 段后: 0.5 行1 ..."/>
    <w:basedOn w:val="789"/>
    <w:semiHidden/>
    <w:qFormat/>
    <w:uiPriority w:val="0"/>
    <w:pPr>
      <w:spacing w:after="156"/>
    </w:pPr>
  </w:style>
  <w:style w:type="paragraph" w:customStyle="1" w:styleId="791">
    <w:name w:val="样式 样式 样式 标题 3标题 3 Char Char + (西文) 宋体 行距: 固定值 27 磅 + 段后: 0.5 行1 ...1"/>
    <w:basedOn w:val="789"/>
    <w:semiHidden/>
    <w:qFormat/>
    <w:uiPriority w:val="0"/>
    <w:pPr>
      <w:spacing w:after="156"/>
    </w:pPr>
  </w:style>
  <w:style w:type="paragraph" w:customStyle="1" w:styleId="792">
    <w:name w:val="样式 样式 标题 3标题 3 Char Char + (西文) 宋体 行距: 固定值 27 磅 + (符号) Tms Rmn ..."/>
    <w:basedOn w:val="699"/>
    <w:semiHidden/>
    <w:qFormat/>
    <w:uiPriority w:val="0"/>
    <w:pPr>
      <w:tabs>
        <w:tab w:val="left" w:pos="0"/>
      </w:tabs>
      <w:spacing w:beforeLines="0" w:afterLines="50" w:line="540" w:lineRule="exact"/>
      <w:ind w:left="0"/>
    </w:pPr>
    <w:rPr>
      <w:rFonts w:ascii="宋体" w:hAnsi="Tms Rmn" w:eastAsia="宋体"/>
      <w:spacing w:val="5"/>
      <w:sz w:val="24"/>
      <w:szCs w:val="20"/>
    </w:rPr>
  </w:style>
  <w:style w:type="paragraph" w:customStyle="1" w:styleId="793">
    <w:name w:val="样式 样式 样式 标题 3标题 3 Char Char + (西文) 宋体 行距: 固定值 27 磅 + (符号) Tms Rm..."/>
    <w:basedOn w:val="792"/>
    <w:semiHidden/>
    <w:qFormat/>
    <w:uiPriority w:val="0"/>
  </w:style>
  <w:style w:type="paragraph" w:customStyle="1" w:styleId="794">
    <w:name w:val="样式 样式 样式 样式 标题 3标题 3 Char Char + (西文) 宋体 行距: 固定值 27 磅 + 段后: 0.5 ..."/>
    <w:basedOn w:val="773"/>
    <w:semiHidden/>
    <w:qFormat/>
    <w:uiPriority w:val="0"/>
    <w:rPr>
      <w:sz w:val="28"/>
    </w:rPr>
  </w:style>
  <w:style w:type="paragraph" w:customStyle="1" w:styleId="795">
    <w:name w:val="样式 样式 样式 样式 标题 3标题 3 Char Char + (西文) 宋体 行距: 固定值 27 磅 + 段后: 0.5 ...1"/>
    <w:basedOn w:val="773"/>
    <w:semiHidden/>
    <w:qFormat/>
    <w:uiPriority w:val="0"/>
  </w:style>
  <w:style w:type="paragraph" w:customStyle="1" w:styleId="796">
    <w:name w:val="样式 样式 样式 标题 3标题 3 Char Char + (西文) 宋体 行距: 固定值 27 磅 + 段后: 0.5 行 +...1"/>
    <w:basedOn w:val="772"/>
    <w:semiHidden/>
    <w:qFormat/>
    <w:uiPriority w:val="0"/>
    <w:rPr>
      <w:sz w:val="28"/>
    </w:rPr>
  </w:style>
  <w:style w:type="paragraph" w:customStyle="1" w:styleId="797">
    <w:name w:val="样式 样式 样式 样式 标题 3标题 3 Char Char + (西文) 宋体 行距: 固定值 27 磅 + 段后: 0.5 ...2"/>
    <w:basedOn w:val="796"/>
    <w:semiHidden/>
    <w:qFormat/>
    <w:uiPriority w:val="0"/>
    <w:pPr>
      <w:spacing w:after="249"/>
    </w:pPr>
  </w:style>
  <w:style w:type="paragraph" w:customStyle="1" w:styleId="798">
    <w:name w:val="样式 样式 样式 样式 标题 3标题 3 Char Char + (西文) 宋体 行距: 固定值 27 磅 + 段后: 0.5 ...3"/>
    <w:basedOn w:val="796"/>
    <w:semiHidden/>
    <w:qFormat/>
    <w:uiPriority w:val="0"/>
    <w:pPr>
      <w:spacing w:after="249"/>
    </w:pPr>
    <w:rPr>
      <w:sz w:val="26"/>
      <w:szCs w:val="26"/>
    </w:rPr>
  </w:style>
  <w:style w:type="paragraph" w:customStyle="1" w:styleId="799">
    <w:name w:val="样式 样式 样式 标题 3标题 3 Char Char + (西文) 宋体 行距: 固定值 27 磅 + 段后: 0.5 行 +...2"/>
    <w:basedOn w:val="772"/>
    <w:semiHidden/>
    <w:qFormat/>
    <w:uiPriority w:val="0"/>
    <w:rPr>
      <w:color w:val="000000"/>
      <w:sz w:val="28"/>
    </w:rPr>
  </w:style>
  <w:style w:type="paragraph" w:customStyle="1" w:styleId="800">
    <w:name w:val="样式 样式 样式 样式 标题 3标题 3 Char Char + (西文) 宋体 行距: 固定值 27 磅 + 段后: 0.5 ...4"/>
    <w:basedOn w:val="799"/>
    <w:semiHidden/>
    <w:qFormat/>
    <w:uiPriority w:val="0"/>
    <w:pPr>
      <w:spacing w:after="249"/>
    </w:pPr>
    <w:rPr>
      <w:sz w:val="26"/>
      <w:szCs w:val="26"/>
    </w:rPr>
  </w:style>
  <w:style w:type="paragraph" w:customStyle="1" w:styleId="801">
    <w:name w:val="样式 样式 样式 标题 3标题 3 Char Char + (西文) 宋体 行距: 固定值 27 磅 + 段后: 0.5 行 +...3"/>
    <w:basedOn w:val="772"/>
    <w:semiHidden/>
    <w:qFormat/>
    <w:uiPriority w:val="0"/>
  </w:style>
  <w:style w:type="paragraph" w:customStyle="1" w:styleId="802">
    <w:name w:val="样式 样式 样式 标题 3标题 3 Char Char + (西文) 宋体 行距: 固定值 27 磅 + 段后: 0.5 行 +...4"/>
    <w:basedOn w:val="772"/>
    <w:semiHidden/>
    <w:qFormat/>
    <w:uiPriority w:val="0"/>
    <w:rPr>
      <w:rFonts w:ascii="Times New Roman" w:hAnsi="Times New Roman"/>
      <w:color w:val="000000"/>
      <w:sz w:val="28"/>
    </w:rPr>
  </w:style>
  <w:style w:type="paragraph" w:customStyle="1" w:styleId="803">
    <w:name w:val="样式 样式 样式 样式 标题 3标题 3 Char Char + (西文) 宋体 行距: 固定值 27 磅 + 段后: 0.5 ...5"/>
    <w:basedOn w:val="773"/>
    <w:semiHidden/>
    <w:qFormat/>
    <w:uiPriority w:val="0"/>
    <w:rPr>
      <w:sz w:val="28"/>
    </w:rPr>
  </w:style>
  <w:style w:type="paragraph" w:customStyle="1" w:styleId="804">
    <w:name w:val="样式 样式 样式 样式 样式 标题 3标题 3 Char Char + (西文) 宋体 行距: 固定值 27 磅 + 段后: 0..."/>
    <w:basedOn w:val="803"/>
    <w:semiHidden/>
    <w:qFormat/>
    <w:uiPriority w:val="0"/>
    <w:pPr>
      <w:spacing w:after="240"/>
    </w:pPr>
    <w:rPr>
      <w:sz w:val="26"/>
      <w:szCs w:val="26"/>
    </w:rPr>
  </w:style>
  <w:style w:type="paragraph" w:customStyle="1" w:styleId="805">
    <w:name w:val="样式 样式 样式 样式 样式 标题 3标题 3 Char Char + (西文) 宋体 行距: 固定值 27 磅 + 段后: 0...1"/>
    <w:basedOn w:val="803"/>
    <w:semiHidden/>
    <w:qFormat/>
    <w:uiPriority w:val="0"/>
    <w:pPr>
      <w:spacing w:after="240"/>
    </w:pPr>
    <w:rPr>
      <w:sz w:val="26"/>
      <w:szCs w:val="26"/>
    </w:rPr>
  </w:style>
  <w:style w:type="paragraph" w:customStyle="1" w:styleId="806">
    <w:name w:val="样式 样式 样式 样式 标题 3标题 3 Char Char + (西文) 宋体 行距: 固定值 27 磅 + 段后: 0.5 ...6"/>
    <w:basedOn w:val="773"/>
    <w:semiHidden/>
    <w:qFormat/>
    <w:uiPriority w:val="0"/>
  </w:style>
  <w:style w:type="paragraph" w:customStyle="1" w:styleId="807">
    <w:name w:val="报告正文 Char1"/>
    <w:basedOn w:val="1"/>
    <w:semiHidden/>
    <w:qFormat/>
    <w:uiPriority w:val="0"/>
    <w:pPr>
      <w:adjustRightInd w:val="0"/>
      <w:snapToGrid w:val="0"/>
      <w:spacing w:line="480" w:lineRule="exact"/>
      <w:ind w:firstLine="200" w:firstLineChars="200"/>
    </w:pPr>
    <w:rPr>
      <w:rFonts w:ascii="宋体"/>
      <w:color w:val="0000FF"/>
      <w:sz w:val="28"/>
      <w:szCs w:val="28"/>
    </w:rPr>
  </w:style>
  <w:style w:type="character" w:customStyle="1" w:styleId="808">
    <w:name w:val="unnamed1"/>
    <w:semiHidden/>
    <w:qFormat/>
    <w:uiPriority w:val="0"/>
  </w:style>
  <w:style w:type="paragraph" w:customStyle="1" w:styleId="809">
    <w:name w:val="小标题"/>
    <w:basedOn w:val="1"/>
    <w:semiHidden/>
    <w:qFormat/>
    <w:uiPriority w:val="0"/>
    <w:pPr>
      <w:adjustRightInd w:val="0"/>
      <w:snapToGrid w:val="0"/>
      <w:spacing w:before="60" w:after="60" w:line="560" w:lineRule="exact"/>
      <w:ind w:firstLine="480" w:firstLineChars="200"/>
    </w:pPr>
    <w:rPr>
      <w:rFonts w:ascii="宋体" w:hAnsi="宋体"/>
      <w:bCs/>
      <w:sz w:val="24"/>
      <w:szCs w:val="28"/>
    </w:rPr>
  </w:style>
  <w:style w:type="paragraph" w:customStyle="1" w:styleId="810">
    <w:name w:val="蒋样式－1"/>
    <w:basedOn w:val="1"/>
    <w:semiHidden/>
    <w:qFormat/>
    <w:uiPriority w:val="0"/>
    <w:pPr>
      <w:tabs>
        <w:tab w:val="left" w:pos="567"/>
      </w:tabs>
      <w:adjustRightInd w:val="0"/>
      <w:snapToGrid w:val="0"/>
      <w:spacing w:before="100" w:line="360" w:lineRule="auto"/>
    </w:pPr>
    <w:rPr>
      <w:rFonts w:ascii="黑体" w:eastAsia="黑体"/>
      <w:b/>
      <w:spacing w:val="16"/>
      <w:w w:val="90"/>
      <w:sz w:val="30"/>
      <w:szCs w:val="20"/>
    </w:rPr>
  </w:style>
  <w:style w:type="paragraph" w:customStyle="1" w:styleId="811">
    <w:name w:val="蒋样式－2"/>
    <w:basedOn w:val="1"/>
    <w:semiHidden/>
    <w:qFormat/>
    <w:uiPriority w:val="0"/>
    <w:pPr>
      <w:tabs>
        <w:tab w:val="left" w:pos="851"/>
      </w:tabs>
      <w:adjustRightInd w:val="0"/>
      <w:snapToGrid w:val="0"/>
      <w:spacing w:before="100" w:line="360" w:lineRule="auto"/>
      <w:jc w:val="left"/>
    </w:pPr>
    <w:rPr>
      <w:rFonts w:ascii="黑体" w:eastAsia="黑体"/>
      <w:b/>
      <w:spacing w:val="16"/>
      <w:w w:val="90"/>
      <w:sz w:val="30"/>
      <w:szCs w:val="20"/>
    </w:rPr>
  </w:style>
  <w:style w:type="paragraph" w:customStyle="1" w:styleId="812">
    <w:name w:val="蒋样式－3"/>
    <w:basedOn w:val="1"/>
    <w:semiHidden/>
    <w:qFormat/>
    <w:uiPriority w:val="0"/>
    <w:pPr>
      <w:tabs>
        <w:tab w:val="left" w:pos="1134"/>
      </w:tabs>
      <w:adjustRightInd w:val="0"/>
      <w:snapToGrid w:val="0"/>
      <w:spacing w:before="100" w:line="360" w:lineRule="auto"/>
      <w:jc w:val="left"/>
    </w:pPr>
    <w:rPr>
      <w:rFonts w:ascii="黑体" w:eastAsia="黑体"/>
      <w:bCs/>
      <w:spacing w:val="16"/>
      <w:w w:val="90"/>
      <w:sz w:val="30"/>
      <w:szCs w:val="20"/>
    </w:rPr>
  </w:style>
  <w:style w:type="character" w:customStyle="1" w:styleId="813">
    <w:name w:val="正文段落 Char1"/>
    <w:semiHidden/>
    <w:qFormat/>
    <w:uiPriority w:val="0"/>
    <w:rPr>
      <w:rFonts w:ascii="宋体" w:hAnsi="Tms Rmn" w:eastAsia="宋体"/>
      <w:sz w:val="26"/>
      <w:lang w:val="en-US" w:eastAsia="zh-CN" w:bidi="ar-SA"/>
    </w:rPr>
  </w:style>
  <w:style w:type="character" w:customStyle="1" w:styleId="814">
    <w:name w:val="样式 正文段落 + 段前: 0.2 行 Char"/>
    <w:semiHidden/>
    <w:qFormat/>
    <w:uiPriority w:val="0"/>
    <w:rPr>
      <w:rFonts w:ascii="宋体" w:hAnsi="Tms Rmn" w:eastAsia="宋体" w:cs="宋体"/>
      <w:sz w:val="26"/>
      <w:lang w:val="en-US" w:eastAsia="zh-CN" w:bidi="ar-SA"/>
    </w:rPr>
  </w:style>
  <w:style w:type="character" w:customStyle="1" w:styleId="815">
    <w:name w:val="样式 样式 正文段落 + 段前: 0.2 行 + 段前: 0.5 行 Char"/>
    <w:semiHidden/>
    <w:qFormat/>
    <w:uiPriority w:val="0"/>
    <w:rPr>
      <w:rFonts w:ascii="宋体" w:hAnsi="Tms Rmn" w:eastAsia="宋体" w:cs="宋体"/>
      <w:sz w:val="26"/>
      <w:lang w:val="en-US" w:eastAsia="zh-CN" w:bidi="ar-SA"/>
    </w:rPr>
  </w:style>
  <w:style w:type="paragraph" w:customStyle="1" w:styleId="816">
    <w:name w:val="Footer Odd"/>
    <w:basedOn w:val="55"/>
    <w:semiHidden/>
    <w:qFormat/>
    <w:uiPriority w:val="0"/>
    <w:pPr>
      <w:keepLines/>
      <w:widowControl/>
      <w:pBdr>
        <w:top w:val="single" w:color="auto" w:sz="6" w:space="2"/>
      </w:pBdr>
      <w:tabs>
        <w:tab w:val="center" w:pos="-18551"/>
        <w:tab w:val="right" w:pos="4320"/>
        <w:tab w:val="clear" w:pos="4153"/>
        <w:tab w:val="clear" w:pos="8306"/>
      </w:tabs>
      <w:adjustRightInd w:val="0"/>
      <w:snapToGrid/>
      <w:spacing w:before="600" w:line="360" w:lineRule="auto"/>
      <w:ind w:left="1080"/>
    </w:pPr>
    <w:rPr>
      <w:rFonts w:ascii="Arial" w:hAnsi="Arial"/>
      <w:spacing w:val="-4"/>
      <w:kern w:val="0"/>
      <w:sz w:val="20"/>
      <w:szCs w:val="20"/>
      <w:lang w:val="zh-CN" w:bidi="he-IL"/>
    </w:rPr>
  </w:style>
  <w:style w:type="paragraph" w:customStyle="1" w:styleId="817">
    <w:name w:val="样式 样式 样式 样式 样式 样式 标题 3标题 3 Char Char + (西文) 宋体 行距: 固定值 27 磅 + 段后..."/>
    <w:basedOn w:val="805"/>
    <w:semiHidden/>
    <w:qFormat/>
    <w:uiPriority w:val="0"/>
    <w:pPr>
      <w:spacing w:after="100"/>
    </w:pPr>
    <w:rPr>
      <w:szCs w:val="20"/>
    </w:rPr>
  </w:style>
  <w:style w:type="paragraph" w:customStyle="1" w:styleId="818">
    <w:name w:val="样式 样式 样式 样式 样式 样式 标题 3标题 3 Char Char + (西文) 宋体 行距: 固定值 27 磅 + 段后...1"/>
    <w:basedOn w:val="805"/>
    <w:semiHidden/>
    <w:qFormat/>
    <w:uiPriority w:val="0"/>
    <w:pPr>
      <w:spacing w:after="312"/>
    </w:pPr>
    <w:rPr>
      <w:rFonts w:hAnsi="Times New Roman"/>
      <w:szCs w:val="20"/>
    </w:rPr>
  </w:style>
  <w:style w:type="paragraph" w:customStyle="1" w:styleId="819">
    <w:name w:val="样式 样式 样式 样式 样式 标题 3标题 3 Char Char + (西文) 宋体 行距: 固定值 27 磅 + 段后: 0...2"/>
    <w:basedOn w:val="795"/>
    <w:semiHidden/>
    <w:qFormat/>
    <w:uiPriority w:val="0"/>
    <w:pPr>
      <w:spacing w:after="312"/>
    </w:pPr>
  </w:style>
  <w:style w:type="paragraph" w:customStyle="1" w:styleId="820">
    <w:name w:val="样式 样式 样式 正文段落 + 段前: 0.2 行 + 段前: 0.5 行 + 段前: 0.2 行"/>
    <w:basedOn w:val="788"/>
    <w:semiHidden/>
    <w:qFormat/>
    <w:uiPriority w:val="0"/>
    <w:pPr>
      <w:ind w:firstLine="0"/>
    </w:pPr>
  </w:style>
  <w:style w:type="paragraph" w:customStyle="1" w:styleId="821">
    <w:name w:val="样式 标题 1篇 + 加粗"/>
    <w:basedOn w:val="3"/>
    <w:semiHidden/>
    <w:qFormat/>
    <w:uiPriority w:val="0"/>
    <w:pPr>
      <w:keepNext/>
      <w:keepLines/>
      <w:numPr>
        <w:numId w:val="0"/>
      </w:numPr>
      <w:autoSpaceDE w:val="0"/>
      <w:autoSpaceDN w:val="0"/>
      <w:adjustRightInd w:val="0"/>
      <w:snapToGrid w:val="0"/>
      <w:spacing w:before="240" w:beforeLines="50" w:after="0" w:afterLines="50" w:line="360" w:lineRule="auto"/>
      <w:textAlignment w:val="baseline"/>
    </w:pPr>
    <w:rPr>
      <w:rFonts w:ascii="黑体" w:hAnsi="Tms Rmn"/>
      <w:szCs w:val="28"/>
      <w:lang w:val="zh-CN"/>
    </w:rPr>
  </w:style>
  <w:style w:type="paragraph" w:customStyle="1" w:styleId="822">
    <w:name w:val="样式 样式 样式 样式 样式 样式 样式 标题 3标题 3 Char Char + (西文) 宋体 行距: 固定值 27 磅 +..."/>
    <w:basedOn w:val="817"/>
    <w:semiHidden/>
    <w:qFormat/>
    <w:uiPriority w:val="0"/>
  </w:style>
  <w:style w:type="paragraph" w:customStyle="1" w:styleId="823">
    <w:name w:val="样式 样式 样式 样式 样式 样式 样式 样式 标题 3标题 3 Char Char + (西文) 宋体 行距: 固定值 27 ..."/>
    <w:basedOn w:val="822"/>
    <w:semiHidden/>
    <w:qFormat/>
    <w:uiPriority w:val="0"/>
    <w:pPr>
      <w:spacing w:after="240"/>
    </w:pPr>
  </w:style>
  <w:style w:type="paragraph" w:customStyle="1" w:styleId="824">
    <w:name w:val="样式 样式 样式 标题 2 + (符号) 宋体 段后: 0.5 行 + 段后: 0.5 行 + 段后: 0.5 行"/>
    <w:basedOn w:val="754"/>
    <w:semiHidden/>
    <w:qFormat/>
    <w:uiPriority w:val="0"/>
    <w:pPr>
      <w:spacing w:after="156"/>
    </w:pPr>
    <w:rPr>
      <w:sz w:val="26"/>
      <w:szCs w:val="26"/>
    </w:rPr>
  </w:style>
  <w:style w:type="paragraph" w:customStyle="1" w:styleId="825">
    <w:name w:val="样式 样式 样式 样式 正文段落 + 段前: 0.2 行 + 段前: 0.5 行 + 段前: 0.2 行 + 段前: 0.2 行"/>
    <w:basedOn w:val="820"/>
    <w:semiHidden/>
    <w:qFormat/>
    <w:uiPriority w:val="0"/>
    <w:pPr>
      <w:ind w:firstLine="200" w:firstLineChars="200"/>
    </w:pPr>
  </w:style>
  <w:style w:type="paragraph" w:customStyle="1" w:styleId="826">
    <w:name w:val="样式 样式 样式 样式 正文段落 + 段前: 0.2 行 + 段前: 0.5 行 + 段前: 0.2 行 + 段前: 0.2 行1"/>
    <w:basedOn w:val="820"/>
    <w:semiHidden/>
    <w:qFormat/>
    <w:uiPriority w:val="0"/>
    <w:pPr>
      <w:ind w:firstLine="200" w:firstLineChars="200"/>
    </w:pPr>
  </w:style>
  <w:style w:type="paragraph" w:customStyle="1" w:styleId="827">
    <w:name w:val="标题2"/>
    <w:basedOn w:val="1"/>
    <w:qFormat/>
    <w:uiPriority w:val="0"/>
    <w:pPr>
      <w:spacing w:line="360" w:lineRule="auto"/>
    </w:pPr>
    <w:rPr>
      <w:sz w:val="24"/>
      <w:szCs w:val="20"/>
    </w:rPr>
  </w:style>
  <w:style w:type="paragraph" w:customStyle="1" w:styleId="828">
    <w:name w:val="样式 表主题"/>
    <w:basedOn w:val="1"/>
    <w:qFormat/>
    <w:uiPriority w:val="0"/>
    <w:pPr>
      <w:spacing w:line="240" w:lineRule="auto"/>
      <w:jc w:val="center"/>
    </w:pPr>
    <w:rPr>
      <w:rFonts w:eastAsia="黑体"/>
      <w:sz w:val="18"/>
      <w:szCs w:val="20"/>
    </w:rPr>
  </w:style>
  <w:style w:type="paragraph" w:customStyle="1" w:styleId="829">
    <w:name w:val="公式"/>
    <w:basedOn w:val="1"/>
    <w:qFormat/>
    <w:uiPriority w:val="0"/>
    <w:pPr>
      <w:tabs>
        <w:tab w:val="center" w:pos="3780"/>
        <w:tab w:val="right" w:leader="middleDot" w:pos="8058"/>
      </w:tabs>
      <w:spacing w:line="240" w:lineRule="auto"/>
      <w:ind w:firstLine="408"/>
    </w:pPr>
    <w:rPr>
      <w:szCs w:val="20"/>
    </w:rPr>
  </w:style>
  <w:style w:type="paragraph" w:customStyle="1" w:styleId="830">
    <w:name w:val="条款"/>
    <w:basedOn w:val="1"/>
    <w:qFormat/>
    <w:uiPriority w:val="0"/>
    <w:pPr>
      <w:spacing w:line="360" w:lineRule="auto"/>
    </w:pPr>
    <w:rPr>
      <w:sz w:val="28"/>
      <w:szCs w:val="20"/>
    </w:rPr>
  </w:style>
  <w:style w:type="paragraph" w:customStyle="1" w:styleId="831">
    <w:name w:val="标题1.5倍"/>
    <w:basedOn w:val="1"/>
    <w:next w:val="1"/>
    <w:qFormat/>
    <w:uiPriority w:val="0"/>
    <w:pPr>
      <w:adjustRightInd w:val="0"/>
      <w:snapToGrid w:val="0"/>
      <w:spacing w:line="360" w:lineRule="auto"/>
      <w:ind w:firstLine="200" w:firstLineChars="200"/>
    </w:pPr>
    <w:rPr>
      <w:sz w:val="24"/>
    </w:rPr>
  </w:style>
  <w:style w:type="paragraph" w:customStyle="1" w:styleId="832">
    <w:name w:val="表格名称"/>
    <w:basedOn w:val="1"/>
    <w:qFormat/>
    <w:uiPriority w:val="0"/>
    <w:pPr>
      <w:snapToGrid w:val="0"/>
      <w:spacing w:beforeLines="50" w:line="360" w:lineRule="auto"/>
      <w:jc w:val="center"/>
    </w:pPr>
    <w:rPr>
      <w:rFonts w:ascii="黑体" w:hAnsi="黑体" w:eastAsia="黑体"/>
      <w:szCs w:val="20"/>
    </w:rPr>
  </w:style>
  <w:style w:type="paragraph" w:customStyle="1" w:styleId="833">
    <w:name w:val="- 首先缩进"/>
    <w:basedOn w:val="1"/>
    <w:next w:val="1"/>
    <w:qFormat/>
    <w:uiPriority w:val="0"/>
    <w:pPr>
      <w:adjustRightInd w:val="0"/>
      <w:snapToGrid w:val="0"/>
      <w:spacing w:line="360" w:lineRule="auto"/>
      <w:ind w:firstLine="560" w:firstLineChars="200"/>
      <w:jc w:val="left"/>
    </w:pPr>
    <w:rPr>
      <w:rFonts w:ascii="Calibri" w:hAnsi="Calibri"/>
      <w:sz w:val="28"/>
      <w:szCs w:val="28"/>
    </w:rPr>
  </w:style>
  <w:style w:type="paragraph" w:customStyle="1" w:styleId="834">
    <w:name w:val="Char Char Char Char Char"/>
    <w:basedOn w:val="1"/>
    <w:qFormat/>
    <w:uiPriority w:val="0"/>
    <w:pPr>
      <w:spacing w:line="240" w:lineRule="auto"/>
    </w:pPr>
    <w:rPr>
      <w:rFonts w:ascii="仿宋_GB2312" w:eastAsia="仿宋_GB2312"/>
      <w:b/>
      <w:sz w:val="32"/>
      <w:szCs w:val="32"/>
    </w:rPr>
  </w:style>
  <w:style w:type="character" w:customStyle="1" w:styleId="835">
    <w:name w:val="D Char Char"/>
    <w:qFormat/>
    <w:uiPriority w:val="0"/>
    <w:rPr>
      <w:rFonts w:ascii="Times New Roman" w:hAnsi="Times New Roman" w:eastAsia="宋体" w:cs="Times New Roman"/>
      <w:kern w:val="0"/>
      <w:sz w:val="24"/>
      <w:szCs w:val="24"/>
      <w:lang w:val="en-US" w:eastAsia="zh-CN"/>
    </w:rPr>
  </w:style>
  <w:style w:type="character" w:customStyle="1" w:styleId="836">
    <w:name w:val="批注引用1"/>
    <w:qFormat/>
    <w:uiPriority w:val="0"/>
    <w:rPr>
      <w:sz w:val="21"/>
      <w:szCs w:val="21"/>
    </w:rPr>
  </w:style>
  <w:style w:type="character" w:customStyle="1" w:styleId="837">
    <w:name w:val="标题 7 Char1"/>
    <w:semiHidden/>
    <w:qFormat/>
    <w:uiPriority w:val="0"/>
    <w:rPr>
      <w:rFonts w:ascii="Calibri" w:hAnsi="Calibri" w:eastAsia="宋体" w:cs="Times New Roman"/>
      <w:b/>
      <w:bCs/>
      <w:kern w:val="2"/>
      <w:sz w:val="24"/>
      <w:szCs w:val="24"/>
    </w:rPr>
  </w:style>
  <w:style w:type="character" w:customStyle="1" w:styleId="838">
    <w:name w:val="标题 8 Char1"/>
    <w:semiHidden/>
    <w:qFormat/>
    <w:uiPriority w:val="0"/>
    <w:rPr>
      <w:rFonts w:ascii="Cambria" w:hAnsi="Cambria" w:eastAsia="宋体" w:cs="Times New Roman"/>
      <w:kern w:val="2"/>
      <w:sz w:val="24"/>
      <w:szCs w:val="24"/>
    </w:rPr>
  </w:style>
  <w:style w:type="character" w:customStyle="1" w:styleId="839">
    <w:name w:val="标题 9 Char1"/>
    <w:semiHidden/>
    <w:qFormat/>
    <w:uiPriority w:val="0"/>
    <w:rPr>
      <w:rFonts w:ascii="Cambria" w:hAnsi="Cambria" w:eastAsia="宋体" w:cs="Times New Roman"/>
      <w:kern w:val="2"/>
      <w:sz w:val="21"/>
    </w:rPr>
  </w:style>
  <w:style w:type="character" w:customStyle="1" w:styleId="840">
    <w:name w:val="标题9 Char"/>
    <w:qFormat/>
    <w:locked/>
    <w:uiPriority w:val="0"/>
    <w:rPr>
      <w:rFonts w:ascii="Arial" w:hAnsi="Arial"/>
      <w:sz w:val="24"/>
    </w:rPr>
  </w:style>
  <w:style w:type="paragraph" w:customStyle="1" w:styleId="841">
    <w:name w:val="标题9"/>
    <w:basedOn w:val="1"/>
    <w:next w:val="1"/>
    <w:qFormat/>
    <w:uiPriority w:val="0"/>
    <w:pPr>
      <w:spacing w:line="360" w:lineRule="auto"/>
      <w:ind w:left="3905" w:hanging="360"/>
      <w:jc w:val="left"/>
      <w:outlineLvl w:val="2"/>
    </w:pPr>
    <w:rPr>
      <w:rFonts w:ascii="Arial" w:hAnsi="Arial"/>
      <w:kern w:val="0"/>
      <w:sz w:val="24"/>
      <w:szCs w:val="20"/>
      <w:lang w:val="zh-CN"/>
    </w:rPr>
  </w:style>
  <w:style w:type="character" w:customStyle="1" w:styleId="842">
    <w:name w:val="9 Char"/>
    <w:qFormat/>
    <w:locked/>
    <w:uiPriority w:val="0"/>
    <w:rPr>
      <w:rFonts w:ascii="Times New Roman" w:hAnsi="Times New Roman" w:eastAsia="黑体"/>
      <w:b/>
      <w:bCs/>
      <w:kern w:val="44"/>
      <w:sz w:val="28"/>
      <w:szCs w:val="28"/>
    </w:rPr>
  </w:style>
  <w:style w:type="paragraph" w:customStyle="1" w:styleId="843">
    <w:name w:val="9"/>
    <w:basedOn w:val="3"/>
    <w:next w:val="1"/>
    <w:qFormat/>
    <w:uiPriority w:val="0"/>
    <w:pPr>
      <w:numPr>
        <w:numId w:val="0"/>
      </w:numPr>
      <w:spacing w:before="156" w:beforeLines="50" w:after="0" w:line="360" w:lineRule="auto"/>
    </w:pPr>
    <w:rPr>
      <w:b/>
      <w:szCs w:val="28"/>
      <w:lang w:val="zh-CN"/>
    </w:rPr>
  </w:style>
  <w:style w:type="paragraph" w:customStyle="1" w:styleId="844">
    <w:name w:val="修改条文"/>
    <w:basedOn w:val="1"/>
    <w:link w:val="845"/>
    <w:qFormat/>
    <w:uiPriority w:val="0"/>
    <w:pPr>
      <w:spacing w:line="240" w:lineRule="auto"/>
    </w:pPr>
    <w:rPr>
      <w:rFonts w:ascii="Arial" w:hAnsi="Arial" w:cs="Arial"/>
      <w:spacing w:val="4"/>
      <w:sz w:val="20"/>
      <w:szCs w:val="20"/>
    </w:rPr>
  </w:style>
  <w:style w:type="character" w:customStyle="1" w:styleId="845">
    <w:name w:val="修改条文 字符"/>
    <w:link w:val="844"/>
    <w:qFormat/>
    <w:uiPriority w:val="0"/>
    <w:rPr>
      <w:rFonts w:ascii="Arial" w:hAnsi="Arial" w:cs="Arial"/>
      <w:spacing w:val="4"/>
      <w:kern w:val="2"/>
    </w:rPr>
  </w:style>
  <w:style w:type="paragraph" w:customStyle="1" w:styleId="846">
    <w:name w:val="修改后条文"/>
    <w:basedOn w:val="1"/>
    <w:link w:val="847"/>
    <w:qFormat/>
    <w:uiPriority w:val="0"/>
    <w:rPr>
      <w:rFonts w:ascii="Arial" w:hAnsi="Arial" w:cs="Arial"/>
      <w:spacing w:val="4"/>
      <w:sz w:val="20"/>
      <w:szCs w:val="20"/>
    </w:rPr>
  </w:style>
  <w:style w:type="character" w:customStyle="1" w:styleId="847">
    <w:name w:val="修改后条文 字符"/>
    <w:link w:val="846"/>
    <w:qFormat/>
    <w:uiPriority w:val="0"/>
    <w:rPr>
      <w:rFonts w:ascii="Arial" w:hAnsi="Arial" w:cs="Arial"/>
      <w:spacing w:val="4"/>
      <w:kern w:val="2"/>
    </w:rPr>
  </w:style>
  <w:style w:type="paragraph" w:customStyle="1" w:styleId="848">
    <w:name w:val="正文样式 首行缩进:  2 字符，Ctrl+Q"/>
    <w:qFormat/>
    <w:uiPriority w:val="0"/>
    <w:pPr>
      <w:widowControl w:val="0"/>
      <w:spacing w:line="400" w:lineRule="exact"/>
      <w:ind w:firstLine="420" w:firstLineChars="200"/>
      <w:jc w:val="both"/>
    </w:pPr>
    <w:rPr>
      <w:rFonts w:ascii="Times New Roman" w:hAnsi="Times New Roman" w:eastAsia="宋体" w:cs="宋体"/>
      <w:kern w:val="2"/>
      <w:sz w:val="21"/>
      <w:lang w:val="en-US" w:eastAsia="zh-CN" w:bidi="ar-SA"/>
    </w:rPr>
  </w:style>
  <w:style w:type="paragraph" w:customStyle="1" w:styleId="849">
    <w:name w:val="样式 样式 样式 首行缩进:  2 字符 + 首行缩进:  2 字符 + 加粗 首行缩进:  2 字符1"/>
    <w:basedOn w:val="1"/>
    <w:qFormat/>
    <w:uiPriority w:val="0"/>
    <w:pPr>
      <w:spacing w:after="60" w:line="400" w:lineRule="exact"/>
      <w:ind w:firstLine="422" w:firstLineChars="200"/>
    </w:pPr>
    <w:rPr>
      <w:rFonts w:cs="宋体"/>
      <w:b/>
      <w:bCs/>
      <w:szCs w:val="20"/>
    </w:rPr>
  </w:style>
  <w:style w:type="paragraph" w:customStyle="1" w:styleId="850">
    <w:name w:val="修订内容"/>
    <w:basedOn w:val="846"/>
    <w:link w:val="851"/>
    <w:qFormat/>
    <w:uiPriority w:val="0"/>
    <w:rPr>
      <w:color w:val="00B050"/>
    </w:rPr>
  </w:style>
  <w:style w:type="character" w:customStyle="1" w:styleId="851">
    <w:name w:val="修订内容 字符"/>
    <w:link w:val="850"/>
    <w:qFormat/>
    <w:uiPriority w:val="0"/>
    <w:rPr>
      <w:rFonts w:ascii="Arial" w:hAnsi="Arial" w:cs="Arial"/>
      <w:color w:val="00B050"/>
      <w:spacing w:val="4"/>
      <w:kern w:val="2"/>
    </w:rPr>
  </w:style>
  <w:style w:type="paragraph" w:customStyle="1" w:styleId="852">
    <w:name w:val="删除内容"/>
    <w:basedOn w:val="844"/>
    <w:link w:val="853"/>
    <w:qFormat/>
    <w:uiPriority w:val="0"/>
    <w:rPr>
      <w:color w:val="FF0000"/>
    </w:rPr>
  </w:style>
  <w:style w:type="character" w:customStyle="1" w:styleId="853">
    <w:name w:val="删除内容 字符"/>
    <w:link w:val="852"/>
    <w:qFormat/>
    <w:uiPriority w:val="0"/>
    <w:rPr>
      <w:rFonts w:ascii="Arial" w:hAnsi="Arial" w:cs="Arial"/>
      <w:color w:val="FF0000"/>
      <w:spacing w:val="4"/>
      <w:kern w:val="2"/>
    </w:rPr>
  </w:style>
  <w:style w:type="paragraph" w:customStyle="1" w:styleId="854">
    <w:name w:val="修订2"/>
    <w:qFormat/>
    <w:uiPriority w:val="99"/>
    <w:rPr>
      <w:rFonts w:ascii="Times New Roman" w:hAnsi="Times New Roman" w:eastAsia="宋体" w:cs="Times New Roman"/>
      <w:spacing w:val="4"/>
      <w:kern w:val="2"/>
      <w:szCs w:val="24"/>
      <w:lang w:val="en-US" w:eastAsia="zh-CN" w:bidi="ar-SA"/>
    </w:rPr>
  </w:style>
  <w:style w:type="paragraph" w:customStyle="1" w:styleId="855">
    <w:name w:val="1 小序号"/>
    <w:basedOn w:val="1"/>
    <w:link w:val="856"/>
    <w:qFormat/>
    <w:uiPriority w:val="0"/>
    <w:pPr>
      <w:spacing w:line="240" w:lineRule="auto"/>
      <w:ind w:firstLine="416" w:firstLineChars="200"/>
    </w:pPr>
    <w:rPr>
      <w:spacing w:val="4"/>
      <w:sz w:val="20"/>
      <w:szCs w:val="18"/>
    </w:rPr>
  </w:style>
  <w:style w:type="character" w:customStyle="1" w:styleId="856">
    <w:name w:val="1 小序号 字符"/>
    <w:link w:val="855"/>
    <w:qFormat/>
    <w:uiPriority w:val="0"/>
    <w:rPr>
      <w:spacing w:val="4"/>
      <w:kern w:val="2"/>
      <w:szCs w:val="18"/>
    </w:rPr>
  </w:style>
  <w:style w:type="table" w:customStyle="1" w:styleId="857">
    <w:name w:val="网格型5"/>
    <w:basedOn w:val="8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58">
    <w:name w:val="列出段落2"/>
    <w:basedOn w:val="1"/>
    <w:qFormat/>
    <w:uiPriority w:val="0"/>
    <w:pPr>
      <w:spacing w:beforeLines="50" w:afterLines="50" w:line="240" w:lineRule="auto"/>
      <w:ind w:firstLine="420" w:firstLineChars="200"/>
    </w:pPr>
  </w:style>
  <w:style w:type="paragraph" w:customStyle="1" w:styleId="859">
    <w:name w:val="删除样式"/>
    <w:basedOn w:val="846"/>
    <w:link w:val="860"/>
    <w:qFormat/>
    <w:uiPriority w:val="0"/>
    <w:pPr>
      <w:spacing w:line="240" w:lineRule="auto"/>
    </w:pPr>
    <w:rPr>
      <w:color w:val="FF0000"/>
      <w:szCs w:val="18"/>
    </w:rPr>
  </w:style>
  <w:style w:type="character" w:customStyle="1" w:styleId="860">
    <w:name w:val="删除样式 字符"/>
    <w:link w:val="859"/>
    <w:qFormat/>
    <w:uiPriority w:val="0"/>
    <w:rPr>
      <w:rFonts w:ascii="Arial" w:hAnsi="Arial" w:cs="Arial"/>
      <w:color w:val="FF0000"/>
      <w:spacing w:val="4"/>
      <w:kern w:val="2"/>
      <w:szCs w:val="18"/>
    </w:rPr>
  </w:style>
  <w:style w:type="character" w:customStyle="1" w:styleId="861">
    <w:name w:val="标题 1 Char1"/>
    <w:qFormat/>
    <w:uiPriority w:val="0"/>
    <w:rPr>
      <w:rFonts w:eastAsia="黑体"/>
      <w:bCs/>
      <w:kern w:val="44"/>
      <w:sz w:val="28"/>
      <w:szCs w:val="44"/>
    </w:rPr>
  </w:style>
  <w:style w:type="character" w:customStyle="1" w:styleId="862">
    <w:name w:val="标题 2 Char1"/>
    <w:qFormat/>
    <w:uiPriority w:val="9"/>
    <w:rPr>
      <w:rFonts w:eastAsia="黑体"/>
      <w:bCs/>
      <w:kern w:val="2"/>
      <w:sz w:val="21"/>
      <w:szCs w:val="28"/>
    </w:rPr>
  </w:style>
  <w:style w:type="character" w:customStyle="1" w:styleId="863">
    <w:name w:val="标题 3 Char1"/>
    <w:qFormat/>
    <w:uiPriority w:val="9"/>
    <w:rPr>
      <w:bCs/>
      <w:kern w:val="2"/>
      <w:sz w:val="21"/>
      <w:szCs w:val="24"/>
    </w:rPr>
  </w:style>
  <w:style w:type="character" w:customStyle="1" w:styleId="864">
    <w:name w:val="标题 5 Char1"/>
    <w:qFormat/>
    <w:uiPriority w:val="0"/>
    <w:rPr>
      <w:bCs/>
      <w:kern w:val="2"/>
      <w:sz w:val="21"/>
      <w:szCs w:val="28"/>
    </w:rPr>
  </w:style>
  <w:style w:type="table" w:customStyle="1" w:styleId="865">
    <w:name w:val="彩色型 14"/>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866">
    <w:name w:val="彩色型 34"/>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867">
    <w:name w:val="典雅型4"/>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868">
    <w:name w:val="古典型 14"/>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869">
    <w:name w:val="古典型 24"/>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870">
    <w:name w:val="古典型 44"/>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871">
    <w:name w:val="简明型 14"/>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872">
    <w:name w:val="简明型 24"/>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873">
    <w:name w:val="简明型 34"/>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874">
    <w:name w:val="精巧型 14"/>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875">
    <w:name w:val="精巧型 24"/>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876">
    <w:name w:val="列表型 14"/>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877">
    <w:name w:val="列表型 34"/>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78">
    <w:name w:val="列表型 54"/>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879">
    <w:name w:val="列表型 64"/>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80">
    <w:name w:val="网格型 14"/>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81">
    <w:name w:val="网格型 24"/>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882">
    <w:name w:val="网格型 34"/>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83">
    <w:name w:val="网格型 84"/>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884">
    <w:name w:val="网页型 14"/>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885">
    <w:name w:val="网页型 24"/>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886">
    <w:name w:val="网页型 34"/>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887">
    <w:name w:val="专业型4"/>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888">
    <w:name w:val="浅色列表 - 着色 32"/>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889">
    <w:name w:val="浅色列表 - 着色 54"/>
    <w:basedOn w:val="88"/>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890">
    <w:name w:val="浅色网格 - 着色 54"/>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891">
    <w:name w:val="中等深浅底纹 2 - 着色 54"/>
    <w:basedOn w:val="88"/>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892">
    <w:name w:val="中等深浅网格 2 - 着色 12"/>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893">
    <w:name w:val="中等深浅网格 3 - 着色 14"/>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894">
    <w:name w:val="彩色网格 - 着色 14"/>
    <w:basedOn w:val="88"/>
    <w:qFormat/>
    <w:uiPriority w:val="0"/>
    <w:rPr>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895">
    <w:name w:val="网格型 11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96">
    <w:name w:val="彩色型 11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897">
    <w:name w:val="彩色型 31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898">
    <w:name w:val="典雅型1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899">
    <w:name w:val="古典型 11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00">
    <w:name w:val="古典型 21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01">
    <w:name w:val="古典型 41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02">
    <w:name w:val="网页型 11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03">
    <w:name w:val="简明型 111"/>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04">
    <w:name w:val="网页型 31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05">
    <w:name w:val="简明型 211"/>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06">
    <w:name w:val="简明型 31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07">
    <w:name w:val="精巧型 111"/>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908">
    <w:name w:val="精巧型 21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09">
    <w:name w:val="列表型 11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10">
    <w:name w:val="列表型 31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911">
    <w:name w:val="列表型 51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912">
    <w:name w:val="列表型 61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13">
    <w:name w:val="网格型 21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914">
    <w:name w:val="网格型 31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15">
    <w:name w:val="网格型 81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916">
    <w:name w:val="网页型 21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17">
    <w:name w:val="专业型1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918">
    <w:name w:val="浅色列表 - 着色 51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919">
    <w:name w:val="浅色网格 - 着色 51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920">
    <w:name w:val="中等深浅底纹 2 - 着色 511"/>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921">
    <w:name w:val="中等深浅网格 3 - 着色 11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922">
    <w:name w:val="彩色网格 - 着色 111"/>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923">
    <w:name w:val="网格型 12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24">
    <w:name w:val="彩色型 12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925">
    <w:name w:val="彩色型 32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926">
    <w:name w:val="典雅型2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27">
    <w:name w:val="古典型 12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28">
    <w:name w:val="古典型 22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29">
    <w:name w:val="古典型 42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30">
    <w:name w:val="网页型 12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31">
    <w:name w:val="简明型 121"/>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32">
    <w:name w:val="网页型 32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33">
    <w:name w:val="简明型 221"/>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34">
    <w:name w:val="简明型 32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35">
    <w:name w:val="精巧型 121"/>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936">
    <w:name w:val="精巧型 22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37">
    <w:name w:val="列表型 12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38">
    <w:name w:val="列表型 32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939">
    <w:name w:val="列表型 52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940">
    <w:name w:val="列表型 62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41">
    <w:name w:val="网格型 22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942">
    <w:name w:val="网格型 32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43">
    <w:name w:val="网格型 82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944">
    <w:name w:val="网页型 22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45">
    <w:name w:val="专业型2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946">
    <w:name w:val="浅色列表 - 着色 52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947">
    <w:name w:val="浅色网格 - 着色 52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948">
    <w:name w:val="中等深浅底纹 2 - 着色 521"/>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949">
    <w:name w:val="中等深浅网格 3 - 着色 12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950">
    <w:name w:val="彩色网格 - 着色 121"/>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951">
    <w:name w:val="典雅型32"/>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52">
    <w:name w:val="彩色型 33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953">
    <w:name w:val="古典型 13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954">
    <w:name w:val="古典型 43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955">
    <w:name w:val="简明型 131"/>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56">
    <w:name w:val="列表型 33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957">
    <w:name w:val="网格型 13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58">
    <w:name w:val="网格型 23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959">
    <w:name w:val="网格型 33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60">
    <w:name w:val="网格型 83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961">
    <w:name w:val="专业型3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962">
    <w:name w:val="简明型 332"/>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63">
    <w:name w:val="精巧型 132"/>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964">
    <w:name w:val="列表型 532"/>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965">
    <w:name w:val="精巧型 232"/>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66">
    <w:name w:val="列表型 632"/>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67">
    <w:name w:val="古典型 232"/>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68">
    <w:name w:val="列表型 132"/>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69">
    <w:name w:val="简明型 232"/>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70">
    <w:name w:val="浅色列表 - 着色 312"/>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971">
    <w:name w:val="浅色列表 - 着色 532"/>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972">
    <w:name w:val="浅色网格 - 着色 532"/>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973">
    <w:name w:val="中等深浅底纹 2 - 着色 532"/>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974">
    <w:name w:val="中等深浅网格 2 - 着色 112"/>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975">
    <w:name w:val="中等深浅网格 3 - 着色 132"/>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976">
    <w:name w:val="彩色网格 - 着色 131"/>
    <w:basedOn w:val="88"/>
    <w:unhideWhenUsed/>
    <w:qFormat/>
    <w:uiPriority w:val="73"/>
    <w:rPr>
      <w:color w:val="000000"/>
    </w:rPr>
    <w:tblPr>
      <w:tblBorders>
        <w:insideH w:val="single" w:color="FFFFFF" w:sz="4" w:space="0"/>
      </w:tblBorders>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977">
    <w:name w:val="典雅型31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78">
    <w:name w:val="简明型 331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79">
    <w:name w:val="精巧型 131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980">
    <w:name w:val="列表型 531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981">
    <w:name w:val="精巧型 231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82">
    <w:name w:val="列表型 631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83">
    <w:name w:val="古典型 231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84">
    <w:name w:val="列表型 131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85">
    <w:name w:val="简明型 231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86">
    <w:name w:val="浅色列表 - 着色 3111"/>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987">
    <w:name w:val="浅色列表 - 着色 5311"/>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988">
    <w:name w:val="浅色网格 - 着色 531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989">
    <w:name w:val="中等深浅底纹 2 - 着色 5311"/>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990">
    <w:name w:val="中等深浅网格 2 - 着色 111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991">
    <w:name w:val="中等深浅网格 3 - 着色 131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992">
    <w:name w:val="彩色型 15"/>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993">
    <w:name w:val="彩色型 35"/>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994">
    <w:name w:val="典雅型5"/>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95">
    <w:name w:val="古典型 15"/>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96">
    <w:name w:val="古典型 25"/>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97">
    <w:name w:val="古典型 45"/>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98">
    <w:name w:val="简明型 15"/>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99">
    <w:name w:val="简明型 25"/>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00">
    <w:name w:val="简明型 35"/>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01">
    <w:name w:val="精巧型 15"/>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002">
    <w:name w:val="精巧型 25"/>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03">
    <w:name w:val="列表型 15"/>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04">
    <w:name w:val="列表型 35"/>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005">
    <w:name w:val="列表型 55"/>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006">
    <w:name w:val="列表型 65"/>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07">
    <w:name w:val="网格型 15"/>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08">
    <w:name w:val="网格型 25"/>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009">
    <w:name w:val="网格型 35"/>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10">
    <w:name w:val="网格型 85"/>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011">
    <w:name w:val="网页型 15"/>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12">
    <w:name w:val="网页型 25"/>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13">
    <w:name w:val="网页型 35"/>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14">
    <w:name w:val="专业型5"/>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015">
    <w:name w:val="浅色列表 - 着色 33"/>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016">
    <w:name w:val="浅色列表 - 着色 55"/>
    <w:basedOn w:val="88"/>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017">
    <w:name w:val="浅色网格 - 着色 55"/>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018">
    <w:name w:val="中等深浅底纹 2 - 着色 55"/>
    <w:basedOn w:val="88"/>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019">
    <w:name w:val="中等深浅网格 2 - 着色 13"/>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020">
    <w:name w:val="中等深浅网格 3 - 着色 15"/>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021">
    <w:name w:val="彩色网格 - 着色 15"/>
    <w:basedOn w:val="88"/>
    <w:qFormat/>
    <w:uiPriority w:val="0"/>
    <w:rPr>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022">
    <w:name w:val="网格型 112"/>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23">
    <w:name w:val="彩色型 112"/>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024">
    <w:name w:val="彩色型 312"/>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025">
    <w:name w:val="典雅型12"/>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26">
    <w:name w:val="古典型 112"/>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27">
    <w:name w:val="古典型 212"/>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028">
    <w:name w:val="古典型 412"/>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029">
    <w:name w:val="网页型 112"/>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30">
    <w:name w:val="简明型 112"/>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31">
    <w:name w:val="网页型 312"/>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32">
    <w:name w:val="简明型 212"/>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33">
    <w:name w:val="简明型 312"/>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34">
    <w:name w:val="精巧型 112"/>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035">
    <w:name w:val="精巧型 212"/>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36">
    <w:name w:val="列表型 112"/>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37">
    <w:name w:val="列表型 312"/>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038">
    <w:name w:val="列表型 512"/>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039">
    <w:name w:val="列表型 612"/>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40">
    <w:name w:val="网格型 212"/>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041">
    <w:name w:val="网格型 312"/>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42">
    <w:name w:val="网格型 812"/>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043">
    <w:name w:val="网页型 212"/>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44">
    <w:name w:val="专业型12"/>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045">
    <w:name w:val="浅色列表 - 着色 512"/>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046">
    <w:name w:val="浅色网格 - 着色 512"/>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047">
    <w:name w:val="中等深浅底纹 2 - 着色 512"/>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048">
    <w:name w:val="中等深浅网格 3 - 着色 112"/>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049">
    <w:name w:val="彩色网格 - 着色 112"/>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050">
    <w:name w:val="网格型 122"/>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51">
    <w:name w:val="彩色型 122"/>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052">
    <w:name w:val="彩色型 322"/>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053">
    <w:name w:val="典雅型22"/>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54">
    <w:name w:val="古典型 122"/>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55">
    <w:name w:val="古典型 222"/>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056">
    <w:name w:val="古典型 422"/>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057">
    <w:name w:val="网页型 122"/>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58">
    <w:name w:val="简明型 122"/>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59">
    <w:name w:val="网页型 322"/>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60">
    <w:name w:val="简明型 222"/>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61">
    <w:name w:val="简明型 322"/>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62">
    <w:name w:val="精巧型 122"/>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063">
    <w:name w:val="精巧型 222"/>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64">
    <w:name w:val="列表型 122"/>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65">
    <w:name w:val="列表型 322"/>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066">
    <w:name w:val="列表型 522"/>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067">
    <w:name w:val="列表型 622"/>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68">
    <w:name w:val="网格型 222"/>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069">
    <w:name w:val="网格型 322"/>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70">
    <w:name w:val="网格型 822"/>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071">
    <w:name w:val="网页型 222"/>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72">
    <w:name w:val="专业型22"/>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073">
    <w:name w:val="浅色列表 - 着色 522"/>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074">
    <w:name w:val="浅色网格 - 着色 522"/>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075">
    <w:name w:val="中等深浅底纹 2 - 着色 522"/>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076">
    <w:name w:val="中等深浅网格 3 - 着色 122"/>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077">
    <w:name w:val="彩色网格 - 着色 122"/>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078">
    <w:name w:val="典雅型33"/>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79">
    <w:name w:val="彩色型 332"/>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080">
    <w:name w:val="古典型 132"/>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1081">
    <w:name w:val="古典型 432"/>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082">
    <w:name w:val="简明型 132"/>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83">
    <w:name w:val="列表型 332"/>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1084">
    <w:name w:val="网格型 132"/>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85">
    <w:name w:val="网格型 232"/>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086">
    <w:name w:val="网格型 332"/>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87">
    <w:name w:val="网格型 832"/>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1088">
    <w:name w:val="专业型32"/>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089">
    <w:name w:val="简明型 333"/>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90">
    <w:name w:val="精巧型 133"/>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091">
    <w:name w:val="列表型 533"/>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092">
    <w:name w:val="精巧型 233"/>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93">
    <w:name w:val="列表型 633"/>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4">
    <w:name w:val="古典型 233"/>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095">
    <w:name w:val="列表型 133"/>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96">
    <w:name w:val="简明型 233"/>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97">
    <w:name w:val="浅色列表 - 着色 313"/>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098">
    <w:name w:val="浅色列表 - 着色 533"/>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099">
    <w:name w:val="浅色网格 - 着色 533"/>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100">
    <w:name w:val="中等深浅底纹 2 - 着色 533"/>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101">
    <w:name w:val="中等深浅网格 2 - 着色 113"/>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102">
    <w:name w:val="中等深浅网格 3 - 着色 133"/>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103">
    <w:name w:val="彩色网格 - 着色 132"/>
    <w:basedOn w:val="88"/>
    <w:unhideWhenUsed/>
    <w:qFormat/>
    <w:uiPriority w:val="73"/>
    <w:rPr>
      <w:color w:val="000000"/>
    </w:rPr>
    <w:tblPr>
      <w:tblBorders>
        <w:insideH w:val="single" w:color="FFFFFF" w:sz="4" w:space="0"/>
      </w:tblBorders>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1104">
    <w:name w:val="典雅型312"/>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05">
    <w:name w:val="简明型 3312"/>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06">
    <w:name w:val="精巧型 1312"/>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107">
    <w:name w:val="列表型 5312"/>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108">
    <w:name w:val="精巧型 2312"/>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09">
    <w:name w:val="列表型 6312"/>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10">
    <w:name w:val="古典型 2312"/>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111">
    <w:name w:val="列表型 1312"/>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12">
    <w:name w:val="简明型 2312"/>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13">
    <w:name w:val="浅色列表 - 着色 3112"/>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114">
    <w:name w:val="浅色列表 - 着色 5312"/>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115">
    <w:name w:val="浅色网格 - 着色 5312"/>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116">
    <w:name w:val="中等深浅底纹 2 - 着色 5312"/>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117">
    <w:name w:val="中等深浅网格 2 - 着色 1112"/>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118">
    <w:name w:val="中等深浅网格 3 - 着色 1312"/>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119">
    <w:name w:val="彩色型 16"/>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120">
    <w:name w:val="彩色型 36"/>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121">
    <w:name w:val="典雅型6"/>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22">
    <w:name w:val="古典型 16"/>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23">
    <w:name w:val="古典型 26"/>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124">
    <w:name w:val="古典型 46"/>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125">
    <w:name w:val="简明型 16"/>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26">
    <w:name w:val="简明型 26"/>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27">
    <w:name w:val="简明型 36"/>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28">
    <w:name w:val="精巧型 16"/>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129">
    <w:name w:val="精巧型 26"/>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30">
    <w:name w:val="列表型 16"/>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31">
    <w:name w:val="列表型 36"/>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132">
    <w:name w:val="列表型 56"/>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133">
    <w:name w:val="列表型 66"/>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34">
    <w:name w:val="网格型 16"/>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35">
    <w:name w:val="网格型 26"/>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136">
    <w:name w:val="网格型 36"/>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37">
    <w:name w:val="网格型 86"/>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138">
    <w:name w:val="网页型 16"/>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39">
    <w:name w:val="网页型 26"/>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40">
    <w:name w:val="网页型 36"/>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41">
    <w:name w:val="专业型6"/>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142">
    <w:name w:val="浅色列表 - 着色 34"/>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143">
    <w:name w:val="浅色列表 - 着色 56"/>
    <w:basedOn w:val="88"/>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144">
    <w:name w:val="浅色网格 - 着色 56"/>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145">
    <w:name w:val="中等深浅底纹 2 - 着色 56"/>
    <w:basedOn w:val="88"/>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146">
    <w:name w:val="中等深浅网格 2 - 着色 14"/>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147">
    <w:name w:val="中等深浅网格 3 - 着色 16"/>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148">
    <w:name w:val="彩色网格 - 着色 16"/>
    <w:basedOn w:val="88"/>
    <w:qFormat/>
    <w:uiPriority w:val="0"/>
    <w:rPr>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149">
    <w:name w:val="网格型 113"/>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50">
    <w:name w:val="彩色型 113"/>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151">
    <w:name w:val="彩色型 313"/>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152">
    <w:name w:val="典雅型13"/>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53">
    <w:name w:val="古典型 113"/>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54">
    <w:name w:val="古典型 213"/>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155">
    <w:name w:val="古典型 413"/>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156">
    <w:name w:val="网页型 113"/>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57">
    <w:name w:val="简明型 113"/>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58">
    <w:name w:val="网页型 313"/>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59">
    <w:name w:val="简明型 213"/>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60">
    <w:name w:val="简明型 313"/>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61">
    <w:name w:val="精巧型 113"/>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162">
    <w:name w:val="精巧型 213"/>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63">
    <w:name w:val="列表型 113"/>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64">
    <w:name w:val="列表型 313"/>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165">
    <w:name w:val="列表型 513"/>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166">
    <w:name w:val="列表型 613"/>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67">
    <w:name w:val="网格型 213"/>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168">
    <w:name w:val="网格型 313"/>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69">
    <w:name w:val="网格型 813"/>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170">
    <w:name w:val="网页型 213"/>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71">
    <w:name w:val="专业型13"/>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172">
    <w:name w:val="浅色列表 - 着色 513"/>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173">
    <w:name w:val="浅色网格 - 着色 513"/>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174">
    <w:name w:val="中等深浅底纹 2 - 着色 513"/>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175">
    <w:name w:val="中等深浅网格 3 - 着色 113"/>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176">
    <w:name w:val="彩色网格 - 着色 113"/>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177">
    <w:name w:val="网格型 123"/>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8">
    <w:name w:val="彩色型 123"/>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179">
    <w:name w:val="彩色型 323"/>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180">
    <w:name w:val="典雅型23"/>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81">
    <w:name w:val="古典型 123"/>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82">
    <w:name w:val="古典型 223"/>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183">
    <w:name w:val="古典型 423"/>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184">
    <w:name w:val="网页型 123"/>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85">
    <w:name w:val="简明型 123"/>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86">
    <w:name w:val="网页型 323"/>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87">
    <w:name w:val="简明型 223"/>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88">
    <w:name w:val="简明型 323"/>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89">
    <w:name w:val="精巧型 123"/>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190">
    <w:name w:val="精巧型 223"/>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91">
    <w:name w:val="列表型 123"/>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92">
    <w:name w:val="列表型 323"/>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193">
    <w:name w:val="列表型 523"/>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194">
    <w:name w:val="列表型 623"/>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5">
    <w:name w:val="网格型 223"/>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196">
    <w:name w:val="网格型 323"/>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7">
    <w:name w:val="网格型 823"/>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198">
    <w:name w:val="网页型 223"/>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99">
    <w:name w:val="专业型23"/>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200">
    <w:name w:val="浅色列表 - 着色 523"/>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201">
    <w:name w:val="浅色网格 - 着色 523"/>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202">
    <w:name w:val="中等深浅底纹 2 - 着色 523"/>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203">
    <w:name w:val="中等深浅网格 3 - 着色 123"/>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204">
    <w:name w:val="彩色网格 - 着色 123"/>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205">
    <w:name w:val="典雅型34"/>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06">
    <w:name w:val="彩色型 333"/>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207">
    <w:name w:val="古典型 133"/>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1208">
    <w:name w:val="古典型 433"/>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209">
    <w:name w:val="简明型 133"/>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10">
    <w:name w:val="列表型 333"/>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1211">
    <w:name w:val="网格型 133"/>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12">
    <w:name w:val="网格型 233"/>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213">
    <w:name w:val="网格型 333"/>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14">
    <w:name w:val="网格型 833"/>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1215">
    <w:name w:val="专业型33"/>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216">
    <w:name w:val="简明型 334"/>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17">
    <w:name w:val="精巧型 134"/>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218">
    <w:name w:val="列表型 534"/>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219">
    <w:name w:val="精巧型 234"/>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20">
    <w:name w:val="列表型 634"/>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21">
    <w:name w:val="古典型 234"/>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222">
    <w:name w:val="列表型 134"/>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23">
    <w:name w:val="简明型 234"/>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24">
    <w:name w:val="浅色列表 - 着色 314"/>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225">
    <w:name w:val="浅色列表 - 着色 534"/>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226">
    <w:name w:val="浅色网格 - 着色 534"/>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227">
    <w:name w:val="中等深浅底纹 2 - 着色 534"/>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228">
    <w:name w:val="中等深浅网格 2 - 着色 114"/>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229">
    <w:name w:val="中等深浅网格 3 - 着色 134"/>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230">
    <w:name w:val="彩色网格 - 着色 133"/>
    <w:basedOn w:val="88"/>
    <w:unhideWhenUsed/>
    <w:qFormat/>
    <w:uiPriority w:val="73"/>
    <w:rPr>
      <w:color w:val="000000"/>
    </w:rPr>
    <w:tblPr>
      <w:tblBorders>
        <w:insideH w:val="single" w:color="FFFFFF" w:sz="4" w:space="0"/>
      </w:tblBorders>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1231">
    <w:name w:val="典雅型313"/>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32">
    <w:name w:val="简明型 3313"/>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33">
    <w:name w:val="精巧型 1313"/>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234">
    <w:name w:val="列表型 5313"/>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235">
    <w:name w:val="精巧型 2313"/>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36">
    <w:name w:val="列表型 6313"/>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37">
    <w:name w:val="古典型 2313"/>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238">
    <w:name w:val="列表型 1313"/>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39">
    <w:name w:val="简明型 2313"/>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40">
    <w:name w:val="浅色列表 - 着色 3113"/>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241">
    <w:name w:val="浅色列表 - 着色 5313"/>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242">
    <w:name w:val="浅色网格 - 着色 5313"/>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243">
    <w:name w:val="中等深浅底纹 2 - 着色 5313"/>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244">
    <w:name w:val="中等深浅网格 2 - 着色 1113"/>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245">
    <w:name w:val="中等深浅网格 3 - 着色 1313"/>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246">
    <w:name w:val="彩色型 17"/>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247">
    <w:name w:val="彩色型 37"/>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248">
    <w:name w:val="典雅型7"/>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49">
    <w:name w:val="古典型 17"/>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50">
    <w:name w:val="古典型 27"/>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251">
    <w:name w:val="古典型 47"/>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252">
    <w:name w:val="简明型 17"/>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53">
    <w:name w:val="简明型 27"/>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54">
    <w:name w:val="简明型 37"/>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55">
    <w:name w:val="精巧型 17"/>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256">
    <w:name w:val="精巧型 27"/>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57">
    <w:name w:val="列表型 17"/>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58">
    <w:name w:val="列表型 37"/>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259">
    <w:name w:val="列表型 57"/>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260">
    <w:name w:val="列表型 67"/>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61">
    <w:name w:val="网格型 17"/>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62">
    <w:name w:val="网格型 27"/>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263">
    <w:name w:val="网格型 37"/>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64">
    <w:name w:val="网格型 87"/>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265">
    <w:name w:val="网页型 17"/>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66">
    <w:name w:val="网页型 27"/>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67">
    <w:name w:val="网页型 37"/>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68">
    <w:name w:val="专业型7"/>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269">
    <w:name w:val="浅色列表 - 着色 35"/>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270">
    <w:name w:val="浅色列表 - 着色 57"/>
    <w:basedOn w:val="88"/>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271">
    <w:name w:val="浅色网格 - 着色 57"/>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272">
    <w:name w:val="中等深浅底纹 2 - 着色 57"/>
    <w:basedOn w:val="88"/>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273">
    <w:name w:val="中等深浅网格 2 - 着色 15"/>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274">
    <w:name w:val="中等深浅网格 3 - 着色 17"/>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275">
    <w:name w:val="彩色网格 - 着色 17"/>
    <w:basedOn w:val="88"/>
    <w:qFormat/>
    <w:uiPriority w:val="0"/>
    <w:rPr>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276">
    <w:name w:val="网格型 114"/>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77">
    <w:name w:val="彩色型 114"/>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278">
    <w:name w:val="彩色型 314"/>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279">
    <w:name w:val="典雅型14"/>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80">
    <w:name w:val="古典型 114"/>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81">
    <w:name w:val="古典型 214"/>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282">
    <w:name w:val="古典型 414"/>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283">
    <w:name w:val="网页型 114"/>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84">
    <w:name w:val="简明型 114"/>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85">
    <w:name w:val="网页型 314"/>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86">
    <w:name w:val="简明型 214"/>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87">
    <w:name w:val="简明型 314"/>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88">
    <w:name w:val="精巧型 114"/>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289">
    <w:name w:val="精巧型 214"/>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90">
    <w:name w:val="列表型 114"/>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91">
    <w:name w:val="列表型 314"/>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292">
    <w:name w:val="列表型 514"/>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293">
    <w:name w:val="列表型 614"/>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94">
    <w:name w:val="网格型 214"/>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295">
    <w:name w:val="网格型 314"/>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96">
    <w:name w:val="网格型 814"/>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297">
    <w:name w:val="网页型 214"/>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98">
    <w:name w:val="专业型14"/>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299">
    <w:name w:val="浅色列表 - 着色 514"/>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300">
    <w:name w:val="浅色网格 - 着色 514"/>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301">
    <w:name w:val="中等深浅底纹 2 - 着色 514"/>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302">
    <w:name w:val="中等深浅网格 3 - 着色 114"/>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303">
    <w:name w:val="彩色网格 - 着色 114"/>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304">
    <w:name w:val="网格型 124"/>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05">
    <w:name w:val="彩色型 124"/>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306">
    <w:name w:val="彩色型 324"/>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307">
    <w:name w:val="典雅型24"/>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308">
    <w:name w:val="古典型 124"/>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09">
    <w:name w:val="古典型 224"/>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310">
    <w:name w:val="古典型 424"/>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311">
    <w:name w:val="网页型 124"/>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312">
    <w:name w:val="简明型 124"/>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313">
    <w:name w:val="网页型 324"/>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314">
    <w:name w:val="简明型 224"/>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15">
    <w:name w:val="简明型 324"/>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316">
    <w:name w:val="精巧型 124"/>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317">
    <w:name w:val="精巧型 224"/>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18">
    <w:name w:val="列表型 124"/>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19">
    <w:name w:val="列表型 324"/>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320">
    <w:name w:val="列表型 524"/>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321">
    <w:name w:val="列表型 624"/>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22">
    <w:name w:val="网格型 224"/>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323">
    <w:name w:val="网格型 324"/>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24">
    <w:name w:val="网格型 824"/>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325">
    <w:name w:val="网页型 224"/>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326">
    <w:name w:val="专业型24"/>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327">
    <w:name w:val="浅色列表 - 着色 524"/>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328">
    <w:name w:val="浅色网格 - 着色 524"/>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329">
    <w:name w:val="中等深浅底纹 2 - 着色 524"/>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330">
    <w:name w:val="中等深浅网格 3 - 着色 124"/>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331">
    <w:name w:val="彩色网格 - 着色 124"/>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332">
    <w:name w:val="典雅型35"/>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333">
    <w:name w:val="彩色型 334"/>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334">
    <w:name w:val="古典型 134"/>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1335">
    <w:name w:val="古典型 434"/>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336">
    <w:name w:val="简明型 134"/>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337">
    <w:name w:val="列表型 334"/>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1338">
    <w:name w:val="网格型 134"/>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39">
    <w:name w:val="网格型 234"/>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340">
    <w:name w:val="网格型 334"/>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41">
    <w:name w:val="网格型 834"/>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1342">
    <w:name w:val="专业型34"/>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343">
    <w:name w:val="简明型 335"/>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344">
    <w:name w:val="精巧型 135"/>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345">
    <w:name w:val="列表型 535"/>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346">
    <w:name w:val="精巧型 235"/>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47">
    <w:name w:val="列表型 635"/>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48">
    <w:name w:val="古典型 235"/>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349">
    <w:name w:val="列表型 135"/>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50">
    <w:name w:val="简明型 235"/>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51">
    <w:name w:val="浅色列表 - 着色 315"/>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352">
    <w:name w:val="浅色列表 - 着色 535"/>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353">
    <w:name w:val="浅色网格 - 着色 535"/>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354">
    <w:name w:val="中等深浅底纹 2 - 着色 535"/>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355">
    <w:name w:val="中等深浅网格 2 - 着色 115"/>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356">
    <w:name w:val="中等深浅网格 3 - 着色 135"/>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357">
    <w:name w:val="彩色网格 - 着色 134"/>
    <w:basedOn w:val="88"/>
    <w:unhideWhenUsed/>
    <w:qFormat/>
    <w:uiPriority w:val="73"/>
    <w:rPr>
      <w:color w:val="000000"/>
    </w:rPr>
    <w:tblPr>
      <w:tblBorders>
        <w:insideH w:val="single" w:color="FFFFFF" w:sz="4" w:space="0"/>
      </w:tblBorders>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1358">
    <w:name w:val="典雅型314"/>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359">
    <w:name w:val="简明型 3314"/>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360">
    <w:name w:val="精巧型 1314"/>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361">
    <w:name w:val="列表型 5314"/>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362">
    <w:name w:val="精巧型 2314"/>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63">
    <w:name w:val="列表型 6314"/>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64">
    <w:name w:val="古典型 2314"/>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365">
    <w:name w:val="列表型 1314"/>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66">
    <w:name w:val="简明型 2314"/>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67">
    <w:name w:val="浅色列表 - 着色 3114"/>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368">
    <w:name w:val="浅色列表 - 着色 5314"/>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369">
    <w:name w:val="浅色网格 - 着色 5314"/>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370">
    <w:name w:val="中等深浅底纹 2 - 着色 5314"/>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371">
    <w:name w:val="中等深浅网格 2 - 着色 1114"/>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372">
    <w:name w:val="中等深浅网格 3 - 着色 1314"/>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373">
    <w:name w:val="彩色型 18"/>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374">
    <w:name w:val="彩色型 38"/>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375">
    <w:name w:val="典雅型8"/>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376">
    <w:name w:val="古典型 18"/>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77">
    <w:name w:val="古典型 28"/>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378">
    <w:name w:val="古典型 48"/>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379">
    <w:name w:val="简明型 18"/>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380">
    <w:name w:val="简明型 28"/>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81">
    <w:name w:val="简明型 38"/>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382">
    <w:name w:val="精巧型 18"/>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383">
    <w:name w:val="精巧型 28"/>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84">
    <w:name w:val="列表型 18"/>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85">
    <w:name w:val="列表型 38"/>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386">
    <w:name w:val="列表型 58"/>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387">
    <w:name w:val="列表型 68"/>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88">
    <w:name w:val="网格型 18"/>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89">
    <w:name w:val="网格型 28"/>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390">
    <w:name w:val="网格型 38"/>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91">
    <w:name w:val="网格型 88"/>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392">
    <w:name w:val="网页型 18"/>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393">
    <w:name w:val="网页型 28"/>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394">
    <w:name w:val="网页型 38"/>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395">
    <w:name w:val="专业型8"/>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396">
    <w:name w:val="浅色列表 - 着色 36"/>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397">
    <w:name w:val="浅色列表 - 着色 58"/>
    <w:basedOn w:val="88"/>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398">
    <w:name w:val="浅色网格 - 着色 58"/>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399">
    <w:name w:val="中等深浅底纹 2 - 着色 58"/>
    <w:basedOn w:val="88"/>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400">
    <w:name w:val="中等深浅网格 2 - 着色 16"/>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401">
    <w:name w:val="中等深浅网格 3 - 着色 18"/>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402">
    <w:name w:val="彩色网格 - 着色 18"/>
    <w:basedOn w:val="88"/>
    <w:qFormat/>
    <w:uiPriority w:val="0"/>
    <w:rPr>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403">
    <w:name w:val="网格型 115"/>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04">
    <w:name w:val="彩色型 115"/>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405">
    <w:name w:val="彩色型 315"/>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406">
    <w:name w:val="典雅型15"/>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407">
    <w:name w:val="古典型 115"/>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08">
    <w:name w:val="古典型 215"/>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409">
    <w:name w:val="古典型 415"/>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410">
    <w:name w:val="网页型 115"/>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411">
    <w:name w:val="简明型 115"/>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12">
    <w:name w:val="网页型 315"/>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413">
    <w:name w:val="简明型 215"/>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14">
    <w:name w:val="简明型 315"/>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415">
    <w:name w:val="精巧型 115"/>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416">
    <w:name w:val="精巧型 215"/>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17">
    <w:name w:val="列表型 115"/>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18">
    <w:name w:val="列表型 315"/>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419">
    <w:name w:val="列表型 515"/>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420">
    <w:name w:val="列表型 615"/>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21">
    <w:name w:val="网格型 215"/>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422">
    <w:name w:val="网格型 315"/>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23">
    <w:name w:val="网格型 815"/>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424">
    <w:name w:val="网页型 215"/>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425">
    <w:name w:val="专业型15"/>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426">
    <w:name w:val="浅色列表 - 着色 515"/>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427">
    <w:name w:val="浅色网格 - 着色 515"/>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428">
    <w:name w:val="中等深浅底纹 2 - 着色 515"/>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429">
    <w:name w:val="中等深浅网格 3 - 着色 115"/>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430">
    <w:name w:val="彩色网格 - 着色 115"/>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431">
    <w:name w:val="网格型 125"/>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32">
    <w:name w:val="彩色型 125"/>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433">
    <w:name w:val="彩色型 325"/>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434">
    <w:name w:val="典雅型25"/>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435">
    <w:name w:val="古典型 125"/>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36">
    <w:name w:val="古典型 225"/>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437">
    <w:name w:val="古典型 425"/>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438">
    <w:name w:val="网页型 125"/>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439">
    <w:name w:val="简明型 125"/>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40">
    <w:name w:val="网页型 325"/>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441">
    <w:name w:val="简明型 225"/>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42">
    <w:name w:val="简明型 325"/>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443">
    <w:name w:val="精巧型 125"/>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444">
    <w:name w:val="精巧型 225"/>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45">
    <w:name w:val="列表型 125"/>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46">
    <w:name w:val="列表型 325"/>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447">
    <w:name w:val="列表型 525"/>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448">
    <w:name w:val="列表型 625"/>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49">
    <w:name w:val="网格型 225"/>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450">
    <w:name w:val="网格型 325"/>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51">
    <w:name w:val="网格型 825"/>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452">
    <w:name w:val="网页型 225"/>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453">
    <w:name w:val="专业型25"/>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454">
    <w:name w:val="浅色列表 - 着色 525"/>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455">
    <w:name w:val="浅色网格 - 着色 525"/>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456">
    <w:name w:val="中等深浅底纹 2 - 着色 525"/>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457">
    <w:name w:val="中等深浅网格 3 - 着色 125"/>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458">
    <w:name w:val="彩色网格 - 着色 125"/>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459">
    <w:name w:val="典雅型36"/>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460">
    <w:name w:val="彩色型 335"/>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461">
    <w:name w:val="古典型 135"/>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1462">
    <w:name w:val="古典型 435"/>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463">
    <w:name w:val="简明型 135"/>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64">
    <w:name w:val="列表型 335"/>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1465">
    <w:name w:val="网格型 135"/>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66">
    <w:name w:val="网格型 235"/>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467">
    <w:name w:val="网格型 335"/>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68">
    <w:name w:val="网格型 835"/>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1469">
    <w:name w:val="专业型35"/>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470">
    <w:name w:val="简明型 336"/>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471">
    <w:name w:val="精巧型 136"/>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472">
    <w:name w:val="列表型 536"/>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473">
    <w:name w:val="精巧型 236"/>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74">
    <w:name w:val="列表型 636"/>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75">
    <w:name w:val="古典型 236"/>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476">
    <w:name w:val="列表型 136"/>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77">
    <w:name w:val="简明型 236"/>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78">
    <w:name w:val="浅色列表 - 着色 316"/>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479">
    <w:name w:val="浅色列表 - 着色 536"/>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480">
    <w:name w:val="浅色网格 - 着色 536"/>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481">
    <w:name w:val="中等深浅底纹 2 - 着色 536"/>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482">
    <w:name w:val="中等深浅网格 2 - 着色 116"/>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483">
    <w:name w:val="中等深浅网格 3 - 着色 136"/>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484">
    <w:name w:val="彩色网格 - 着色 135"/>
    <w:basedOn w:val="88"/>
    <w:unhideWhenUsed/>
    <w:qFormat/>
    <w:uiPriority w:val="73"/>
    <w:rPr>
      <w:color w:val="000000"/>
    </w:rPr>
    <w:tblPr>
      <w:tblBorders>
        <w:insideH w:val="single" w:color="FFFFFF" w:sz="4" w:space="0"/>
      </w:tblBorders>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1485">
    <w:name w:val="典雅型315"/>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486">
    <w:name w:val="简明型 3315"/>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487">
    <w:name w:val="精巧型 1315"/>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488">
    <w:name w:val="列表型 5315"/>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489">
    <w:name w:val="精巧型 2315"/>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90">
    <w:name w:val="列表型 6315"/>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91">
    <w:name w:val="古典型 2315"/>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492">
    <w:name w:val="列表型 1315"/>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93">
    <w:name w:val="简明型 2315"/>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94">
    <w:name w:val="浅色列表 - 着色 3115"/>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495">
    <w:name w:val="浅色列表 - 着色 5315"/>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496">
    <w:name w:val="浅色网格 - 着色 5315"/>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497">
    <w:name w:val="中等深浅底纹 2 - 着色 5315"/>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498">
    <w:name w:val="中等深浅网格 2 - 着色 1115"/>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499">
    <w:name w:val="中等深浅网格 3 - 着色 1315"/>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character" w:customStyle="1" w:styleId="1500">
    <w:name w:val="正文首行缩进 Char1"/>
    <w:qFormat/>
    <w:uiPriority w:val="0"/>
    <w:rPr>
      <w:color w:val="8DB3E2"/>
      <w:kern w:val="2"/>
      <w:sz w:val="21"/>
      <w:szCs w:val="24"/>
    </w:rPr>
  </w:style>
  <w:style w:type="table" w:customStyle="1" w:styleId="1501">
    <w:name w:val="典雅型9"/>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02">
    <w:name w:val="简明型 19"/>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503">
    <w:name w:val="浅色网格 - 着色 59"/>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04">
    <w:name w:val="浅色网格 - 着色 516"/>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05">
    <w:name w:val="浅色网格 - 着色 526"/>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06">
    <w:name w:val="典雅型37"/>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07">
    <w:name w:val="简明型 337"/>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508">
    <w:name w:val="精巧型 137"/>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509">
    <w:name w:val="列表型 537"/>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510">
    <w:name w:val="精巧型 237"/>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11">
    <w:name w:val="列表型 637"/>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12">
    <w:name w:val="古典型 237"/>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513">
    <w:name w:val="列表型 137"/>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14">
    <w:name w:val="简明型 237"/>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15">
    <w:name w:val="浅色列表 - 着色 317"/>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516">
    <w:name w:val="浅色列表 - 着色 537"/>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517">
    <w:name w:val="浅色网格 - 着色 537"/>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518">
    <w:name w:val="中等深浅底纹 2 - 着色 537"/>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519">
    <w:name w:val="中等深浅网格 2 - 着色 117"/>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520">
    <w:name w:val="中等深浅网格 3 - 着色 137"/>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521">
    <w:name w:val="典雅型10"/>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22">
    <w:name w:val="简明型 110"/>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523">
    <w:name w:val="浅色网格 - 着色 510"/>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24">
    <w:name w:val="浅色网格 - 着色 517"/>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25">
    <w:name w:val="浅色网格 - 着色 527"/>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26">
    <w:name w:val="典雅型38"/>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27">
    <w:name w:val="简明型 338"/>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528">
    <w:name w:val="精巧型 138"/>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529">
    <w:name w:val="列表型 538"/>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530">
    <w:name w:val="精巧型 238"/>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31">
    <w:name w:val="列表型 638"/>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32">
    <w:name w:val="古典型 238"/>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533">
    <w:name w:val="列表型 138"/>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34">
    <w:name w:val="简明型 238"/>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35">
    <w:name w:val="浅色列表 - 着色 318"/>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536">
    <w:name w:val="浅色列表 - 着色 538"/>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537">
    <w:name w:val="浅色网格 - 着色 538"/>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538">
    <w:name w:val="中等深浅底纹 2 - 着色 538"/>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539">
    <w:name w:val="中等深浅网格 2 - 着色 118"/>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540">
    <w:name w:val="中等深浅网格 3 - 着色 138"/>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541">
    <w:name w:val="典雅型16"/>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42">
    <w:name w:val="简明型 116"/>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543">
    <w:name w:val="浅色网格 - 着色 518"/>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44">
    <w:name w:val="浅色网格 - 着色 519"/>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45">
    <w:name w:val="浅色网格 - 着色 528"/>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46">
    <w:name w:val="典雅型39"/>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47">
    <w:name w:val="简明型 339"/>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548">
    <w:name w:val="精巧型 139"/>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549">
    <w:name w:val="列表型 539"/>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550">
    <w:name w:val="精巧型 239"/>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51">
    <w:name w:val="列表型 639"/>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52">
    <w:name w:val="古典型 239"/>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553">
    <w:name w:val="列表型 139"/>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54">
    <w:name w:val="简明型 239"/>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55">
    <w:name w:val="浅色列表 - 着色 319"/>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556">
    <w:name w:val="浅色列表 - 着色 539"/>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557">
    <w:name w:val="浅色网格 - 着色 539"/>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558">
    <w:name w:val="中等深浅底纹 2 - 着色 539"/>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559">
    <w:name w:val="中等深浅网格 2 - 着色 119"/>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560">
    <w:name w:val="中等深浅网格 3 - 着色 139"/>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561">
    <w:name w:val="典雅型17"/>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62">
    <w:name w:val="简明型 117"/>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563">
    <w:name w:val="浅色网格 - 着色 520"/>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64">
    <w:name w:val="浅色网格 - 着色 5110"/>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65">
    <w:name w:val="浅色网格 - 着色 529"/>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66">
    <w:name w:val="典雅型310"/>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67">
    <w:name w:val="简明型 3310"/>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568">
    <w:name w:val="精巧型 1310"/>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569">
    <w:name w:val="列表型 5310"/>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570">
    <w:name w:val="精巧型 2310"/>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71">
    <w:name w:val="列表型 6310"/>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72">
    <w:name w:val="古典型 2310"/>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573">
    <w:name w:val="列表型 1310"/>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74">
    <w:name w:val="简明型 2310"/>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75">
    <w:name w:val="浅色列表 - 着色 3110"/>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576">
    <w:name w:val="浅色列表 - 着色 5310"/>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577">
    <w:name w:val="浅色网格 - 着色 5310"/>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578">
    <w:name w:val="中等深浅底纹 2 - 着色 5310"/>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579">
    <w:name w:val="中等深浅网格 2 - 着色 1110"/>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580">
    <w:name w:val="中等深浅网格 3 - 着色 1310"/>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581">
    <w:name w:val="彩色型 19"/>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582">
    <w:name w:val="彩色型 39"/>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583">
    <w:name w:val="典雅型18"/>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584">
    <w:name w:val="古典型 19"/>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85">
    <w:name w:val="古典型 29"/>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586">
    <w:name w:val="古典型 49"/>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587">
    <w:name w:val="简明型 118"/>
    <w:basedOn w:val="88"/>
    <w:qFormat/>
    <w:uiPriority w:val="0"/>
    <w:pPr>
      <w:widowControl w:val="0"/>
      <w:jc w:val="both"/>
    </w:pPr>
    <w:tblPr>
      <w:tblBorders>
        <w:top w:val="single" w:color="008000" w:sz="12" w:space="0"/>
        <w:bottom w:val="single" w:color="008000" w:sz="12" w:space="0"/>
      </w:tblBorders>
    </w:tbl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588">
    <w:name w:val="简明型 29"/>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89">
    <w:name w:val="简明型 39"/>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590">
    <w:name w:val="精巧型 19"/>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591">
    <w:name w:val="精巧型 29"/>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92">
    <w:name w:val="列表型 19"/>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93">
    <w:name w:val="列表型 39"/>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594">
    <w:name w:val="列表型 59"/>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595">
    <w:name w:val="列表型 69"/>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96">
    <w:name w:val="网格型 19"/>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97">
    <w:name w:val="网格型 29"/>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598">
    <w:name w:val="网格型 39"/>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99">
    <w:name w:val="网格型 89"/>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600">
    <w:name w:val="网页型 19"/>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01">
    <w:name w:val="网页型 29"/>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02">
    <w:name w:val="网页型 39"/>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03">
    <w:name w:val="专业型9"/>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604">
    <w:name w:val="浅色列表 - 着色 37"/>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605">
    <w:name w:val="浅色列表 - 着色 59"/>
    <w:basedOn w:val="88"/>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06">
    <w:name w:val="浅色网格 - 着色 530"/>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07">
    <w:name w:val="中等深浅底纹 2 - 着色 59"/>
    <w:basedOn w:val="88"/>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608">
    <w:name w:val="中等深浅网格 2 - 着色 17"/>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609">
    <w:name w:val="中等深浅网格 3 - 着色 19"/>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610">
    <w:name w:val="彩色网格 - 着色 19"/>
    <w:basedOn w:val="88"/>
    <w:qFormat/>
    <w:uiPriority w:val="0"/>
    <w:rPr>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paragraph" w:customStyle="1" w:styleId="1611">
    <w:name w:val="列表段落1"/>
    <w:basedOn w:val="1"/>
    <w:qFormat/>
    <w:uiPriority w:val="34"/>
    <w:pPr>
      <w:ind w:firstLine="420" w:firstLineChars="200"/>
    </w:pPr>
    <w:rPr>
      <w:rFonts w:ascii="Calibri" w:hAnsi="Calibri"/>
    </w:rPr>
  </w:style>
  <w:style w:type="table" w:customStyle="1" w:styleId="1612">
    <w:name w:val="网格型 116"/>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13">
    <w:name w:val="彩色型 116"/>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614">
    <w:name w:val="彩色型 316"/>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615">
    <w:name w:val="典雅型19"/>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616">
    <w:name w:val="古典型 116"/>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17">
    <w:name w:val="古典型 216"/>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618">
    <w:name w:val="古典型 416"/>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619">
    <w:name w:val="网页型 116"/>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20">
    <w:name w:val="简明型 119"/>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621">
    <w:name w:val="网页型 316"/>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22">
    <w:name w:val="简明型 216"/>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23">
    <w:name w:val="简明型 316"/>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624">
    <w:name w:val="精巧型 116"/>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625">
    <w:name w:val="精巧型 216"/>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26">
    <w:name w:val="列表型 116"/>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27">
    <w:name w:val="列表型 316"/>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628">
    <w:name w:val="列表型 516"/>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629">
    <w:name w:val="列表型 616"/>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0">
    <w:name w:val="网格型 216"/>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631">
    <w:name w:val="网格型 316"/>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2">
    <w:name w:val="网格型 816"/>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633">
    <w:name w:val="网页型 216"/>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34">
    <w:name w:val="专业型16"/>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635">
    <w:name w:val="浅色列表 - 着色 516"/>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36">
    <w:name w:val="浅色网格 - 着色 511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37">
    <w:name w:val="中等深浅底纹 2 - 着色 516"/>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638">
    <w:name w:val="中等深浅网格 3 - 着色 116"/>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639">
    <w:name w:val="彩色网格 - 着色 116"/>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640">
    <w:name w:val="网格型 126"/>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41">
    <w:name w:val="彩色型 126"/>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642">
    <w:name w:val="彩色型 326"/>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643">
    <w:name w:val="典雅型26"/>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644">
    <w:name w:val="古典型 126"/>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45">
    <w:name w:val="古典型 226"/>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646">
    <w:name w:val="古典型 426"/>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647">
    <w:name w:val="网页型 126"/>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48">
    <w:name w:val="简明型 126"/>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649">
    <w:name w:val="网页型 326"/>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50">
    <w:name w:val="简明型 226"/>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51">
    <w:name w:val="简明型 326"/>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652">
    <w:name w:val="精巧型 126"/>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653">
    <w:name w:val="精巧型 226"/>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54">
    <w:name w:val="列表型 126"/>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55">
    <w:name w:val="列表型 326"/>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656">
    <w:name w:val="列表型 526"/>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657">
    <w:name w:val="列表型 626"/>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8">
    <w:name w:val="网格型 226"/>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659">
    <w:name w:val="网格型 326"/>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60">
    <w:name w:val="网格型 826"/>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661">
    <w:name w:val="网页型 226"/>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62">
    <w:name w:val="专业型26"/>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663">
    <w:name w:val="浅色列表 - 着色 526"/>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64">
    <w:name w:val="浅色网格 - 着色 5210"/>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65">
    <w:name w:val="中等深浅底纹 2 - 着色 526"/>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666">
    <w:name w:val="中等深浅网格 3 - 着色 126"/>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667">
    <w:name w:val="彩色网格 - 着色 126"/>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668">
    <w:name w:val="典雅型316"/>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669">
    <w:name w:val="彩色型 336"/>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670">
    <w:name w:val="古典型 136"/>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1671">
    <w:name w:val="古典型 436"/>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672">
    <w:name w:val="简明型 136"/>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673">
    <w:name w:val="列表型 336"/>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1674">
    <w:name w:val="网格型 136"/>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5">
    <w:name w:val="网格型 236"/>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676">
    <w:name w:val="网格型 336"/>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7">
    <w:name w:val="网格型 836"/>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1678">
    <w:name w:val="专业型36"/>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679">
    <w:name w:val="简明型 3316"/>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680">
    <w:name w:val="精巧型 1316"/>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681">
    <w:name w:val="列表型 5316"/>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682">
    <w:name w:val="精巧型 2316"/>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83">
    <w:name w:val="列表型 6316"/>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4">
    <w:name w:val="古典型 2316"/>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685">
    <w:name w:val="列表型 1316"/>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86">
    <w:name w:val="简明型 2316"/>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87">
    <w:name w:val="浅色列表 - 着色 3116"/>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688">
    <w:name w:val="浅色列表 - 着色 5316"/>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689">
    <w:name w:val="浅色网格 - 着色 5316"/>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690">
    <w:name w:val="中等深浅底纹 2 - 着色 5316"/>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691">
    <w:name w:val="中等深浅网格 2 - 着色 1116"/>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692">
    <w:name w:val="中等深浅网格 3 - 着色 1316"/>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693">
    <w:name w:val="彩色网格 - 着色 136"/>
    <w:basedOn w:val="88"/>
    <w:unhideWhenUsed/>
    <w:qFormat/>
    <w:uiPriority w:val="73"/>
    <w:rPr>
      <w:color w:val="000000"/>
    </w:rPr>
    <w:tblPr>
      <w:tblBorders>
        <w:insideH w:val="single" w:color="FFFFFF" w:sz="4" w:space="0"/>
      </w:tblBorders>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1694">
    <w:name w:val="典雅型317"/>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695">
    <w:name w:val="简明型 3317"/>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696">
    <w:name w:val="精巧型 1317"/>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697">
    <w:name w:val="列表型 5317"/>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698">
    <w:name w:val="精巧型 2317"/>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99">
    <w:name w:val="列表型 6317"/>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00">
    <w:name w:val="古典型 2317"/>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701">
    <w:name w:val="列表型 1317"/>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02">
    <w:name w:val="简明型 2317"/>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03">
    <w:name w:val="浅色列表 - 着色 3117"/>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704">
    <w:name w:val="浅色列表 - 着色 5317"/>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705">
    <w:name w:val="浅色网格 - 着色 5317"/>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706">
    <w:name w:val="中等深浅底纹 2 - 着色 5317"/>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707">
    <w:name w:val="中等深浅网格 2 - 着色 1117"/>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708">
    <w:name w:val="中等深浅网格 3 - 着色 1317"/>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709">
    <w:name w:val="彩色型 141"/>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710">
    <w:name w:val="彩色型 34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711">
    <w:name w:val="典雅型4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712">
    <w:name w:val="古典型 14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13">
    <w:name w:val="古典型 24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714">
    <w:name w:val="古典型 44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715">
    <w:name w:val="简明型 141"/>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716">
    <w:name w:val="简明型 24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17">
    <w:name w:val="简明型 34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718">
    <w:name w:val="精巧型 14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719">
    <w:name w:val="精巧型 24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20">
    <w:name w:val="列表型 14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21">
    <w:name w:val="列表型 34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722">
    <w:name w:val="列表型 54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723">
    <w:name w:val="列表型 64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24">
    <w:name w:val="网格型 14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25">
    <w:name w:val="网格型 24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726">
    <w:name w:val="网格型 34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27">
    <w:name w:val="网格型 84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728">
    <w:name w:val="网页型 141"/>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29">
    <w:name w:val="网页型 241"/>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30">
    <w:name w:val="网页型 341"/>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31">
    <w:name w:val="专业型4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732">
    <w:name w:val="浅色列表 - 着色 321"/>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733">
    <w:name w:val="浅色列表 - 着色 541"/>
    <w:basedOn w:val="88"/>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734">
    <w:name w:val="浅色网格 - 着色 541"/>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735">
    <w:name w:val="中等深浅底纹 2 - 着色 541"/>
    <w:basedOn w:val="88"/>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736">
    <w:name w:val="中等深浅网格 2 - 着色 121"/>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737">
    <w:name w:val="中等深浅网格 3 - 着色 141"/>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738">
    <w:name w:val="彩色网格 - 着色 141"/>
    <w:basedOn w:val="88"/>
    <w:qFormat/>
    <w:uiPriority w:val="0"/>
    <w:rPr>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739">
    <w:name w:val="网格型 111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40">
    <w:name w:val="彩色型 111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741">
    <w:name w:val="彩色型 311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742">
    <w:name w:val="典雅型11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743">
    <w:name w:val="古典型 111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44">
    <w:name w:val="古典型 211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745">
    <w:name w:val="古典型 411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746">
    <w:name w:val="网页型 111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47">
    <w:name w:val="简明型 1111"/>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748">
    <w:name w:val="网页型 311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49">
    <w:name w:val="简明型 2111"/>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50">
    <w:name w:val="简明型 311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751">
    <w:name w:val="精巧型 1111"/>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752">
    <w:name w:val="精巧型 211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53">
    <w:name w:val="列表型 111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54">
    <w:name w:val="列表型 311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755">
    <w:name w:val="列表型 511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756">
    <w:name w:val="列表型 611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57">
    <w:name w:val="网格型 211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758">
    <w:name w:val="网格型 311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59">
    <w:name w:val="网格型 811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760">
    <w:name w:val="网页型 211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61">
    <w:name w:val="专业型11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762">
    <w:name w:val="浅色列表 - 着色 511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763">
    <w:name w:val="浅色网格 - 着色 5112"/>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764">
    <w:name w:val="中等深浅底纹 2 - 着色 5111"/>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765">
    <w:name w:val="中等深浅网格 3 - 着色 111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766">
    <w:name w:val="彩色网格 - 着色 1111"/>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767">
    <w:name w:val="网格型 121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68">
    <w:name w:val="彩色型 121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769">
    <w:name w:val="彩色型 321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770">
    <w:name w:val="典雅型21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771">
    <w:name w:val="古典型 121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72">
    <w:name w:val="古典型 221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773">
    <w:name w:val="古典型 421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774">
    <w:name w:val="网页型 121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75">
    <w:name w:val="简明型 1211"/>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776">
    <w:name w:val="网页型 321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77">
    <w:name w:val="简明型 2211"/>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78">
    <w:name w:val="简明型 321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779">
    <w:name w:val="精巧型 1211"/>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780">
    <w:name w:val="精巧型 221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81">
    <w:name w:val="列表型 121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82">
    <w:name w:val="列表型 321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783">
    <w:name w:val="列表型 521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784">
    <w:name w:val="列表型 621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85">
    <w:name w:val="网格型 221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786">
    <w:name w:val="网格型 321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87">
    <w:name w:val="网格型 821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788">
    <w:name w:val="网页型 221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89">
    <w:name w:val="专业型21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790">
    <w:name w:val="浅色列表 - 着色 521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791">
    <w:name w:val="浅色网格 - 着色 521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792">
    <w:name w:val="中等深浅底纹 2 - 着色 5211"/>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793">
    <w:name w:val="中等深浅网格 3 - 着色 121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794">
    <w:name w:val="彩色网格 - 着色 1211"/>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795">
    <w:name w:val="典雅型32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796">
    <w:name w:val="彩色型 331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797">
    <w:name w:val="古典型 131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1798">
    <w:name w:val="古典型 431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799">
    <w:name w:val="简明型 1311"/>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800">
    <w:name w:val="列表型 331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1801">
    <w:name w:val="网格型 131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02">
    <w:name w:val="网格型 231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803">
    <w:name w:val="网格型 331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04">
    <w:name w:val="网格型 831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1805">
    <w:name w:val="专业型31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806">
    <w:name w:val="简明型 332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807">
    <w:name w:val="精巧型 132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808">
    <w:name w:val="列表型 532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809">
    <w:name w:val="精巧型 232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10">
    <w:name w:val="列表型 632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11">
    <w:name w:val="古典型 232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812">
    <w:name w:val="列表型 132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13">
    <w:name w:val="简明型 232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14">
    <w:name w:val="浅色列表 - 着色 3121"/>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815">
    <w:name w:val="浅色列表 - 着色 5321"/>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816">
    <w:name w:val="浅色网格 - 着色 532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817">
    <w:name w:val="中等深浅底纹 2 - 着色 5321"/>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818">
    <w:name w:val="中等深浅网格 2 - 着色 112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819">
    <w:name w:val="中等深浅网格 3 - 着色 132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820">
    <w:name w:val="彩色网格 - 着色 1311"/>
    <w:basedOn w:val="88"/>
    <w:unhideWhenUsed/>
    <w:qFormat/>
    <w:uiPriority w:val="73"/>
    <w:rPr>
      <w:color w:val="000000"/>
    </w:rPr>
    <w:tblPr>
      <w:tblBorders>
        <w:insideH w:val="single" w:color="FFFFFF" w:sz="4" w:space="0"/>
      </w:tblBorders>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1821">
    <w:name w:val="典雅型311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822">
    <w:name w:val="简明型 3311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823">
    <w:name w:val="精巧型 1311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824">
    <w:name w:val="列表型 5311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825">
    <w:name w:val="精巧型 2311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26">
    <w:name w:val="列表型 6311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27">
    <w:name w:val="古典型 2311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828">
    <w:name w:val="列表型 1311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29">
    <w:name w:val="简明型 2311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30">
    <w:name w:val="浅色列表 - 着色 31111"/>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831">
    <w:name w:val="浅色列表 - 着色 53111"/>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832">
    <w:name w:val="浅色网格 - 着色 5311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833">
    <w:name w:val="中等深浅底纹 2 - 着色 53111"/>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834">
    <w:name w:val="中等深浅网格 2 - 着色 1111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835">
    <w:name w:val="中等深浅网格 3 - 着色 1311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836">
    <w:name w:val="彩色型 151"/>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837">
    <w:name w:val="彩色型 35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838">
    <w:name w:val="典雅型5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839">
    <w:name w:val="古典型 15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40">
    <w:name w:val="古典型 25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841">
    <w:name w:val="古典型 45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842">
    <w:name w:val="简明型 151"/>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843">
    <w:name w:val="简明型 25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44">
    <w:name w:val="简明型 35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845">
    <w:name w:val="精巧型 15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846">
    <w:name w:val="精巧型 25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47">
    <w:name w:val="列表型 15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48">
    <w:name w:val="列表型 35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849">
    <w:name w:val="列表型 55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850">
    <w:name w:val="列表型 65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51">
    <w:name w:val="网格型 15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52">
    <w:name w:val="网格型 25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853">
    <w:name w:val="网格型 35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54">
    <w:name w:val="网格型 85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855">
    <w:name w:val="网页型 151"/>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856">
    <w:name w:val="网页型 251"/>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857">
    <w:name w:val="网页型 351"/>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858">
    <w:name w:val="专业型5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859">
    <w:name w:val="浅色列表 - 着色 331"/>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860">
    <w:name w:val="浅色列表 - 着色 551"/>
    <w:basedOn w:val="88"/>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861">
    <w:name w:val="浅色网格 - 着色 551"/>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862">
    <w:name w:val="中等深浅底纹 2 - 着色 551"/>
    <w:basedOn w:val="88"/>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863">
    <w:name w:val="中等深浅网格 2 - 着色 131"/>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864">
    <w:name w:val="中等深浅网格 3 - 着色 151"/>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865">
    <w:name w:val="彩色网格 - 着色 151"/>
    <w:basedOn w:val="88"/>
    <w:qFormat/>
    <w:uiPriority w:val="0"/>
    <w:rPr>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866">
    <w:name w:val="网格型 112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67">
    <w:name w:val="彩色型 112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868">
    <w:name w:val="彩色型 312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869">
    <w:name w:val="典雅型12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870">
    <w:name w:val="古典型 112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71">
    <w:name w:val="古典型 212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872">
    <w:name w:val="古典型 412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873">
    <w:name w:val="网页型 112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874">
    <w:name w:val="简明型 1121"/>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875">
    <w:name w:val="网页型 312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876">
    <w:name w:val="简明型 2121"/>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77">
    <w:name w:val="简明型 312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878">
    <w:name w:val="精巧型 1121"/>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879">
    <w:name w:val="精巧型 212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80">
    <w:name w:val="列表型 112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81">
    <w:name w:val="列表型 312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882">
    <w:name w:val="列表型 512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883">
    <w:name w:val="列表型 612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84">
    <w:name w:val="网格型 212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885">
    <w:name w:val="网格型 312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86">
    <w:name w:val="网格型 812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887">
    <w:name w:val="网页型 212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888">
    <w:name w:val="专业型12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889">
    <w:name w:val="浅色列表 - 着色 512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890">
    <w:name w:val="浅色网格 - 着色 512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891">
    <w:name w:val="中等深浅底纹 2 - 着色 5121"/>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892">
    <w:name w:val="中等深浅网格 3 - 着色 112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893">
    <w:name w:val="彩色网格 - 着色 1121"/>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894">
    <w:name w:val="网格型 122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95">
    <w:name w:val="彩色型 122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896">
    <w:name w:val="彩色型 322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897">
    <w:name w:val="典雅型22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898">
    <w:name w:val="古典型 122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99">
    <w:name w:val="古典型 222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00">
    <w:name w:val="古典型 422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01">
    <w:name w:val="网页型 122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02">
    <w:name w:val="简明型 1221"/>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903">
    <w:name w:val="网页型 322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04">
    <w:name w:val="简明型 2221"/>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05">
    <w:name w:val="简明型 322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906">
    <w:name w:val="精巧型 1221"/>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907">
    <w:name w:val="精巧型 222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08">
    <w:name w:val="列表型 122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09">
    <w:name w:val="列表型 322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910">
    <w:name w:val="列表型 522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911">
    <w:name w:val="列表型 622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12">
    <w:name w:val="网格型 222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913">
    <w:name w:val="网格型 322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14">
    <w:name w:val="网格型 822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915">
    <w:name w:val="网页型 222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16">
    <w:name w:val="专业型22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917">
    <w:name w:val="浅色列表 - 着色 522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918">
    <w:name w:val="浅色网格 - 着色 522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919">
    <w:name w:val="中等深浅底纹 2 - 着色 5221"/>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920">
    <w:name w:val="中等深浅网格 3 - 着色 122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921">
    <w:name w:val="彩色网格 - 着色 1221"/>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922">
    <w:name w:val="典雅型33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923">
    <w:name w:val="彩色型 332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924">
    <w:name w:val="古典型 132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1925">
    <w:name w:val="古典型 432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926">
    <w:name w:val="简明型 1321"/>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927">
    <w:name w:val="列表型 332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1928">
    <w:name w:val="网格型 132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29">
    <w:name w:val="网格型 232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930">
    <w:name w:val="网格型 332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31">
    <w:name w:val="网格型 832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1932">
    <w:name w:val="专业型32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933">
    <w:name w:val="简明型 333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934">
    <w:name w:val="精巧型 133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935">
    <w:name w:val="列表型 533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936">
    <w:name w:val="精巧型 233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37">
    <w:name w:val="列表型 633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38">
    <w:name w:val="古典型 233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39">
    <w:name w:val="列表型 133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40">
    <w:name w:val="简明型 233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41">
    <w:name w:val="浅色列表 - 着色 3131"/>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942">
    <w:name w:val="浅色列表 - 着色 5331"/>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943">
    <w:name w:val="浅色网格 - 着色 533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944">
    <w:name w:val="中等深浅底纹 2 - 着色 5331"/>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945">
    <w:name w:val="中等深浅网格 2 - 着色 113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946">
    <w:name w:val="中等深浅网格 3 - 着色 133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947">
    <w:name w:val="彩色网格 - 着色 1321"/>
    <w:basedOn w:val="88"/>
    <w:unhideWhenUsed/>
    <w:qFormat/>
    <w:uiPriority w:val="73"/>
    <w:rPr>
      <w:color w:val="000000"/>
    </w:rPr>
    <w:tblPr>
      <w:tblBorders>
        <w:insideH w:val="single" w:color="FFFFFF" w:sz="4" w:space="0"/>
      </w:tblBorders>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1948">
    <w:name w:val="典雅型312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949">
    <w:name w:val="简明型 3312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950">
    <w:name w:val="精巧型 1312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951">
    <w:name w:val="列表型 5312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952">
    <w:name w:val="精巧型 2312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53">
    <w:name w:val="列表型 6312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54">
    <w:name w:val="古典型 2312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55">
    <w:name w:val="列表型 1312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56">
    <w:name w:val="简明型 2312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57">
    <w:name w:val="浅色列表 - 着色 31121"/>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958">
    <w:name w:val="浅色列表 - 着色 53121"/>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959">
    <w:name w:val="浅色网格 - 着色 5312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960">
    <w:name w:val="中等深浅底纹 2 - 着色 53121"/>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961">
    <w:name w:val="中等深浅网格 2 - 着色 1112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962">
    <w:name w:val="中等深浅网格 3 - 着色 1312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963">
    <w:name w:val="彩色型 161"/>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964">
    <w:name w:val="彩色型 36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965">
    <w:name w:val="典雅型6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966">
    <w:name w:val="古典型 16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67">
    <w:name w:val="古典型 26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68">
    <w:name w:val="古典型 46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69">
    <w:name w:val="简明型 161"/>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970">
    <w:name w:val="简明型 26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71">
    <w:name w:val="简明型 36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972">
    <w:name w:val="精巧型 16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973">
    <w:name w:val="精巧型 26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74">
    <w:name w:val="列表型 16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75">
    <w:name w:val="列表型 36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976">
    <w:name w:val="列表型 56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977">
    <w:name w:val="列表型 66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78">
    <w:name w:val="网格型 16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79">
    <w:name w:val="网格型 26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980">
    <w:name w:val="网格型 36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81">
    <w:name w:val="网格型 86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982">
    <w:name w:val="网页型 161"/>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83">
    <w:name w:val="网页型 261"/>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84">
    <w:name w:val="网页型 361"/>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85">
    <w:name w:val="专业型6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1986">
    <w:name w:val="浅色列表 - 着色 341"/>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987">
    <w:name w:val="浅色列表 - 着色 561"/>
    <w:basedOn w:val="88"/>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988">
    <w:name w:val="浅色网格 - 着色 561"/>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989">
    <w:name w:val="中等深浅底纹 2 - 着色 561"/>
    <w:basedOn w:val="88"/>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990">
    <w:name w:val="中等深浅网格 2 - 着色 141"/>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991">
    <w:name w:val="中等深浅网格 3 - 着色 161"/>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992">
    <w:name w:val="彩色网格 - 着色 161"/>
    <w:basedOn w:val="88"/>
    <w:qFormat/>
    <w:uiPriority w:val="0"/>
    <w:rPr>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993">
    <w:name w:val="网格型 113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94">
    <w:name w:val="彩色型 113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995">
    <w:name w:val="彩色型 313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996">
    <w:name w:val="典雅型13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997">
    <w:name w:val="古典型 113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98">
    <w:name w:val="古典型 213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99">
    <w:name w:val="古典型 413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000">
    <w:name w:val="网页型 113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001">
    <w:name w:val="简明型 1131"/>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002">
    <w:name w:val="网页型 313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003">
    <w:name w:val="简明型 2131"/>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04">
    <w:name w:val="简明型 313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005">
    <w:name w:val="精巧型 1131"/>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006">
    <w:name w:val="精巧型 213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07">
    <w:name w:val="列表型 113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08">
    <w:name w:val="列表型 313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009">
    <w:name w:val="列表型 513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010">
    <w:name w:val="列表型 613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11">
    <w:name w:val="网格型 213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012">
    <w:name w:val="网格型 313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13">
    <w:name w:val="网格型 813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014">
    <w:name w:val="网页型 213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015">
    <w:name w:val="专业型13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2016">
    <w:name w:val="浅色列表 - 着色 513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017">
    <w:name w:val="浅色网格 - 着色 513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018">
    <w:name w:val="中等深浅底纹 2 - 着色 5131"/>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019">
    <w:name w:val="中等深浅网格 3 - 着色 113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020">
    <w:name w:val="彩色网格 - 着色 1131"/>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021">
    <w:name w:val="网格型 123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22">
    <w:name w:val="彩色型 123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023">
    <w:name w:val="彩色型 323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024">
    <w:name w:val="典雅型23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025">
    <w:name w:val="古典型 123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26">
    <w:name w:val="古典型 223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027">
    <w:name w:val="古典型 423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028">
    <w:name w:val="网页型 123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029">
    <w:name w:val="简明型 1231"/>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030">
    <w:name w:val="网页型 323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031">
    <w:name w:val="简明型 2231"/>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32">
    <w:name w:val="简明型 323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033">
    <w:name w:val="精巧型 1231"/>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034">
    <w:name w:val="精巧型 223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35">
    <w:name w:val="列表型 123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36">
    <w:name w:val="列表型 323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037">
    <w:name w:val="列表型 523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038">
    <w:name w:val="列表型 623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39">
    <w:name w:val="网格型 223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040">
    <w:name w:val="网格型 323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41">
    <w:name w:val="网格型 823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042">
    <w:name w:val="网页型 223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043">
    <w:name w:val="专业型23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2044">
    <w:name w:val="浅色列表 - 着色 523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045">
    <w:name w:val="浅色网格 - 着色 523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046">
    <w:name w:val="中等深浅底纹 2 - 着色 5231"/>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047">
    <w:name w:val="中等深浅网格 3 - 着色 123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048">
    <w:name w:val="彩色网格 - 着色 1231"/>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049">
    <w:name w:val="典雅型34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050">
    <w:name w:val="彩色型 333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051">
    <w:name w:val="古典型 133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2052">
    <w:name w:val="古典型 433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053">
    <w:name w:val="简明型 1331"/>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054">
    <w:name w:val="列表型 333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2055">
    <w:name w:val="网格型 133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56">
    <w:name w:val="网格型 233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2057">
    <w:name w:val="网格型 333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58">
    <w:name w:val="网格型 833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2059">
    <w:name w:val="专业型33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2060">
    <w:name w:val="简明型 334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061">
    <w:name w:val="精巧型 134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062">
    <w:name w:val="列表型 534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063">
    <w:name w:val="精巧型 234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64">
    <w:name w:val="列表型 634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65">
    <w:name w:val="古典型 234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066">
    <w:name w:val="列表型 134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67">
    <w:name w:val="简明型 234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68">
    <w:name w:val="浅色列表 - 着色 3141"/>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2069">
    <w:name w:val="浅色列表 - 着色 5341"/>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2070">
    <w:name w:val="浅色网格 - 着色 534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2071">
    <w:name w:val="中等深浅底纹 2 - 着色 5341"/>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072">
    <w:name w:val="中等深浅网格 2 - 着色 114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2073">
    <w:name w:val="中等深浅网格 3 - 着色 134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2074">
    <w:name w:val="彩色网格 - 着色 1331"/>
    <w:basedOn w:val="88"/>
    <w:unhideWhenUsed/>
    <w:qFormat/>
    <w:uiPriority w:val="73"/>
    <w:rPr>
      <w:color w:val="000000"/>
    </w:rPr>
    <w:tblPr>
      <w:tblBorders>
        <w:insideH w:val="single" w:color="FFFFFF" w:sz="4" w:space="0"/>
      </w:tblBorders>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2075">
    <w:name w:val="典雅型313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076">
    <w:name w:val="简明型 3313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077">
    <w:name w:val="精巧型 1313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078">
    <w:name w:val="列表型 5313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079">
    <w:name w:val="精巧型 2313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80">
    <w:name w:val="列表型 6313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81">
    <w:name w:val="古典型 2313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082">
    <w:name w:val="列表型 1313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83">
    <w:name w:val="简明型 2313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84">
    <w:name w:val="浅色列表 - 着色 31131"/>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2085">
    <w:name w:val="浅色列表 - 着色 53131"/>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2086">
    <w:name w:val="浅色网格 - 着色 5313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2087">
    <w:name w:val="中等深浅底纹 2 - 着色 53131"/>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088">
    <w:name w:val="中等深浅网格 2 - 着色 1113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2089">
    <w:name w:val="中等深浅网格 3 - 着色 1313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2090">
    <w:name w:val="彩色型 171"/>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091">
    <w:name w:val="彩色型 37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092">
    <w:name w:val="典雅型7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093">
    <w:name w:val="古典型 17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94">
    <w:name w:val="古典型 27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095">
    <w:name w:val="古典型 47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096">
    <w:name w:val="简明型 171"/>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097">
    <w:name w:val="简明型 27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98">
    <w:name w:val="简明型 37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099">
    <w:name w:val="精巧型 17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100">
    <w:name w:val="精巧型 27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01">
    <w:name w:val="列表型 17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02">
    <w:name w:val="列表型 37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103">
    <w:name w:val="列表型 57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104">
    <w:name w:val="列表型 67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05">
    <w:name w:val="网格型 17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06">
    <w:name w:val="网格型 27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107">
    <w:name w:val="网格型 37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08">
    <w:name w:val="网格型 87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109">
    <w:name w:val="网页型 171"/>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10">
    <w:name w:val="网页型 271"/>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11">
    <w:name w:val="网页型 371"/>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12">
    <w:name w:val="专业型7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2113">
    <w:name w:val="浅色列表 - 着色 351"/>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2114">
    <w:name w:val="浅色列表 - 着色 571"/>
    <w:basedOn w:val="88"/>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115">
    <w:name w:val="浅色网格 - 着色 571"/>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116">
    <w:name w:val="中等深浅底纹 2 - 着色 571"/>
    <w:basedOn w:val="88"/>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117">
    <w:name w:val="中等深浅网格 2 - 着色 151"/>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2118">
    <w:name w:val="中等深浅网格 3 - 着色 171"/>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119">
    <w:name w:val="彩色网格 - 着色 171"/>
    <w:basedOn w:val="88"/>
    <w:qFormat/>
    <w:uiPriority w:val="0"/>
    <w:rPr>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120">
    <w:name w:val="网格型 114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21">
    <w:name w:val="彩色型 114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122">
    <w:name w:val="彩色型 314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123">
    <w:name w:val="典雅型14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124">
    <w:name w:val="古典型 114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25">
    <w:name w:val="古典型 214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126">
    <w:name w:val="古典型 414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127">
    <w:name w:val="网页型 114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28">
    <w:name w:val="简明型 1141"/>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129">
    <w:name w:val="网页型 314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30">
    <w:name w:val="简明型 2141"/>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31">
    <w:name w:val="简明型 314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132">
    <w:name w:val="精巧型 1141"/>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133">
    <w:name w:val="精巧型 214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34">
    <w:name w:val="列表型 114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35">
    <w:name w:val="列表型 314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136">
    <w:name w:val="列表型 514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137">
    <w:name w:val="列表型 614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38">
    <w:name w:val="网格型 214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139">
    <w:name w:val="网格型 314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40">
    <w:name w:val="网格型 814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141">
    <w:name w:val="网页型 214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42">
    <w:name w:val="专业型14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2143">
    <w:name w:val="浅色列表 - 着色 514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144">
    <w:name w:val="浅色网格 - 着色 514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145">
    <w:name w:val="中等深浅底纹 2 - 着色 5141"/>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146">
    <w:name w:val="中等深浅网格 3 - 着色 114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147">
    <w:name w:val="彩色网格 - 着色 1141"/>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148">
    <w:name w:val="网格型 124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49">
    <w:name w:val="彩色型 124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150">
    <w:name w:val="彩色型 324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151">
    <w:name w:val="典雅型24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152">
    <w:name w:val="古典型 124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53">
    <w:name w:val="古典型 224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154">
    <w:name w:val="古典型 424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155">
    <w:name w:val="网页型 124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56">
    <w:name w:val="简明型 1241"/>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157">
    <w:name w:val="网页型 324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58">
    <w:name w:val="简明型 2241"/>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59">
    <w:name w:val="简明型 324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160">
    <w:name w:val="精巧型 1241"/>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161">
    <w:name w:val="精巧型 224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62">
    <w:name w:val="列表型 124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63">
    <w:name w:val="列表型 324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164">
    <w:name w:val="列表型 524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165">
    <w:name w:val="列表型 624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66">
    <w:name w:val="网格型 224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167">
    <w:name w:val="网格型 324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68">
    <w:name w:val="网格型 824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169">
    <w:name w:val="网页型 224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70">
    <w:name w:val="专业型24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2171">
    <w:name w:val="浅色列表 - 着色 524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172">
    <w:name w:val="浅色网格 - 着色 524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173">
    <w:name w:val="中等深浅底纹 2 - 着色 5241"/>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174">
    <w:name w:val="中等深浅网格 3 - 着色 124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175">
    <w:name w:val="彩色网格 - 着色 1241"/>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176">
    <w:name w:val="典雅型35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177">
    <w:name w:val="彩色型 334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178">
    <w:name w:val="古典型 134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2179">
    <w:name w:val="古典型 434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180">
    <w:name w:val="简明型 1341"/>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181">
    <w:name w:val="列表型 334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2182">
    <w:name w:val="网格型 134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83">
    <w:name w:val="网格型 234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2184">
    <w:name w:val="网格型 334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85">
    <w:name w:val="网格型 834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2186">
    <w:name w:val="专业型34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2187">
    <w:name w:val="简明型 335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188">
    <w:name w:val="精巧型 135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189">
    <w:name w:val="列表型 535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190">
    <w:name w:val="精巧型 235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91">
    <w:name w:val="列表型 635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92">
    <w:name w:val="古典型 235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193">
    <w:name w:val="列表型 135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94">
    <w:name w:val="简明型 235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95">
    <w:name w:val="浅色列表 - 着色 3151"/>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2196">
    <w:name w:val="浅色列表 - 着色 5351"/>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2197">
    <w:name w:val="浅色网格 - 着色 535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2198">
    <w:name w:val="中等深浅底纹 2 - 着色 5351"/>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199">
    <w:name w:val="中等深浅网格 2 - 着色 115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2200">
    <w:name w:val="中等深浅网格 3 - 着色 135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2201">
    <w:name w:val="彩色网格 - 着色 1341"/>
    <w:basedOn w:val="88"/>
    <w:unhideWhenUsed/>
    <w:qFormat/>
    <w:uiPriority w:val="73"/>
    <w:rPr>
      <w:color w:val="000000"/>
    </w:rPr>
    <w:tblPr>
      <w:tblBorders>
        <w:insideH w:val="single" w:color="FFFFFF" w:sz="4" w:space="0"/>
      </w:tblBorders>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2202">
    <w:name w:val="典雅型314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203">
    <w:name w:val="简明型 3314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204">
    <w:name w:val="精巧型 1314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205">
    <w:name w:val="列表型 5314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206">
    <w:name w:val="精巧型 2314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07">
    <w:name w:val="列表型 6314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08">
    <w:name w:val="古典型 2314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09">
    <w:name w:val="列表型 1314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10">
    <w:name w:val="简明型 2314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11">
    <w:name w:val="浅色列表 - 着色 31141"/>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2212">
    <w:name w:val="浅色列表 - 着色 53141"/>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2213">
    <w:name w:val="浅色网格 - 着色 5314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2214">
    <w:name w:val="中等深浅底纹 2 - 着色 53141"/>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215">
    <w:name w:val="中等深浅网格 2 - 着色 1114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2216">
    <w:name w:val="中等深浅网格 3 - 着色 1314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2217">
    <w:name w:val="彩色型 181"/>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218">
    <w:name w:val="彩色型 38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219">
    <w:name w:val="典雅型8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220">
    <w:name w:val="古典型 18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21">
    <w:name w:val="古典型 28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22">
    <w:name w:val="古典型 48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23">
    <w:name w:val="简明型 181"/>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224">
    <w:name w:val="简明型 28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25">
    <w:name w:val="简明型 38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226">
    <w:name w:val="精巧型 18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227">
    <w:name w:val="精巧型 28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28">
    <w:name w:val="列表型 18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29">
    <w:name w:val="列表型 38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230">
    <w:name w:val="列表型 58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231">
    <w:name w:val="列表型 68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32">
    <w:name w:val="网格型 18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33">
    <w:name w:val="网格型 28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234">
    <w:name w:val="网格型 38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35">
    <w:name w:val="网格型 88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236">
    <w:name w:val="网页型 181"/>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37">
    <w:name w:val="网页型 281"/>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38">
    <w:name w:val="网页型 381"/>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39">
    <w:name w:val="专业型8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2240">
    <w:name w:val="浅色列表 - 着色 361"/>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2241">
    <w:name w:val="浅色列表 - 着色 581"/>
    <w:basedOn w:val="88"/>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242">
    <w:name w:val="浅色网格 - 着色 581"/>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243">
    <w:name w:val="中等深浅底纹 2 - 着色 581"/>
    <w:basedOn w:val="88"/>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244">
    <w:name w:val="中等深浅网格 2 - 着色 161"/>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2245">
    <w:name w:val="中等深浅网格 3 - 着色 181"/>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246">
    <w:name w:val="彩色网格 - 着色 181"/>
    <w:basedOn w:val="88"/>
    <w:qFormat/>
    <w:uiPriority w:val="0"/>
    <w:rPr>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247">
    <w:name w:val="网格型 115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48">
    <w:name w:val="彩色型 115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249">
    <w:name w:val="彩色型 315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250">
    <w:name w:val="典雅型15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251">
    <w:name w:val="古典型 115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52">
    <w:name w:val="古典型 215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53">
    <w:name w:val="古典型 415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54">
    <w:name w:val="网页型 115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55">
    <w:name w:val="简明型 1151"/>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256">
    <w:name w:val="网页型 315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57">
    <w:name w:val="简明型 2151"/>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58">
    <w:name w:val="简明型 315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259">
    <w:name w:val="精巧型 1151"/>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260">
    <w:name w:val="精巧型 215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61">
    <w:name w:val="列表型 115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62">
    <w:name w:val="列表型 315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263">
    <w:name w:val="列表型 515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264">
    <w:name w:val="列表型 615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65">
    <w:name w:val="网格型 215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266">
    <w:name w:val="网格型 315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67">
    <w:name w:val="网格型 815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268">
    <w:name w:val="网页型 215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69">
    <w:name w:val="专业型15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2270">
    <w:name w:val="浅色列表 - 着色 515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271">
    <w:name w:val="浅色网格 - 着色 515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272">
    <w:name w:val="中等深浅底纹 2 - 着色 5151"/>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273">
    <w:name w:val="中等深浅网格 3 - 着色 115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274">
    <w:name w:val="彩色网格 - 着色 1151"/>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275">
    <w:name w:val="网格型 125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76">
    <w:name w:val="彩色型 125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277">
    <w:name w:val="彩色型 325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278">
    <w:name w:val="典雅型25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279">
    <w:name w:val="古典型 125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80">
    <w:name w:val="古典型 225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81">
    <w:name w:val="古典型 425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82">
    <w:name w:val="网页型 125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83">
    <w:name w:val="简明型 1251"/>
    <w:basedOn w:val="88"/>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284">
    <w:name w:val="网页型 325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85">
    <w:name w:val="简明型 2251"/>
    <w:basedOn w:val="88"/>
    <w:qFormat/>
    <w:uiPriority w:val="0"/>
    <w:pPr>
      <w:widowControl w:val="0"/>
      <w:spacing w:line="480" w:lineRule="exact"/>
      <w:ind w:firstLine="200" w:firstLineChars="200"/>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86">
    <w:name w:val="简明型 325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287">
    <w:name w:val="精巧型 1251"/>
    <w:basedOn w:val="88"/>
    <w:qFormat/>
    <w:uiPriority w:val="0"/>
    <w:pPr>
      <w:widowControl w:val="0"/>
      <w:snapToGrid w:val="0"/>
      <w:spacing w:line="360" w:lineRule="auto"/>
      <w:ind w:firstLine="200" w:firstLineChars="200"/>
      <w:jc w:val="both"/>
    </w:pPr>
    <w:rPr>
      <w:rFonts w:ascii="Calibri" w:hAnsi="Calibri"/>
    </w:r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288">
    <w:name w:val="精巧型 225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89">
    <w:name w:val="列表型 125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90">
    <w:name w:val="列表型 325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291">
    <w:name w:val="列表型 525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292">
    <w:name w:val="列表型 625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93">
    <w:name w:val="网格型 225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294">
    <w:name w:val="网格型 325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95">
    <w:name w:val="网格型 825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296">
    <w:name w:val="网页型 225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97">
    <w:name w:val="专业型25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2298">
    <w:name w:val="浅色列表 - 着色 525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299">
    <w:name w:val="浅色网格 - 着色 525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300">
    <w:name w:val="中等深浅底纹 2 - 着色 5251"/>
    <w:basedOn w:val="88"/>
    <w:qFormat/>
    <w:uiPriority w:val="64"/>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301">
    <w:name w:val="中等深浅网格 3 - 着色 125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302">
    <w:name w:val="彩色网格 - 着色 1251"/>
    <w:basedOn w:val="88"/>
    <w:qFormat/>
    <w:uiPriority w:val="0"/>
    <w:rPr>
      <w:rFonts w:ascii="Calibri" w:hAnsi="Calibri"/>
      <w:color w:val="000000"/>
    </w:rPr>
    <w:tblPr>
      <w:tblBorders>
        <w:insideH w:val="single" w:color="FFFFFF" w:sz="4" w:space="0"/>
      </w:tblBorders>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303">
    <w:name w:val="典雅型36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304">
    <w:name w:val="彩色型 335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305">
    <w:name w:val="古典型 135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2306">
    <w:name w:val="古典型 435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307">
    <w:name w:val="简明型 1351"/>
    <w:basedOn w:val="88"/>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308">
    <w:name w:val="列表型 335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2309">
    <w:name w:val="网格型 135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10">
    <w:name w:val="网格型 235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2311">
    <w:name w:val="网格型 335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12">
    <w:name w:val="网格型 835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2313">
    <w:name w:val="专业型35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shd w:val="solid" w:color="000000" w:fill="FFFFFF"/>
      </w:tcPr>
    </w:tblStylePr>
  </w:style>
  <w:style w:type="table" w:customStyle="1" w:styleId="2314">
    <w:name w:val="简明型 336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315">
    <w:name w:val="精巧型 136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316">
    <w:name w:val="列表型 536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317">
    <w:name w:val="精巧型 236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18">
    <w:name w:val="列表型 636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19">
    <w:name w:val="古典型 236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320">
    <w:name w:val="列表型 136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21">
    <w:name w:val="简明型 236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22">
    <w:name w:val="浅色列表 - 着色 3161"/>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2323">
    <w:name w:val="浅色列表 - 着色 5361"/>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2324">
    <w:name w:val="浅色网格 - 着色 536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2325">
    <w:name w:val="中等深浅底纹 2 - 着色 5361"/>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326">
    <w:name w:val="中等深浅网格 2 - 着色 116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2327">
    <w:name w:val="中等深浅网格 3 - 着色 136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2328">
    <w:name w:val="彩色网格 - 着色 1351"/>
    <w:basedOn w:val="88"/>
    <w:unhideWhenUsed/>
    <w:qFormat/>
    <w:uiPriority w:val="73"/>
    <w:rPr>
      <w:color w:val="000000"/>
    </w:rPr>
    <w:tblPr>
      <w:tblBorders>
        <w:insideH w:val="single" w:color="FFFFFF" w:sz="4" w:space="0"/>
      </w:tblBorders>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2329">
    <w:name w:val="典雅型315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330">
    <w:name w:val="简明型 3315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331">
    <w:name w:val="精巧型 13151"/>
    <w:basedOn w:val="88"/>
    <w:qFormat/>
    <w:uiPriority w:val="0"/>
    <w:pPr>
      <w:widowControl w:val="0"/>
      <w:snapToGrid w:val="0"/>
      <w:spacing w:line="360" w:lineRule="auto"/>
      <w:ind w:firstLine="200" w:firstLineChars="200"/>
      <w:jc w:val="both"/>
    </w:p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332">
    <w:name w:val="列表型 5315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333">
    <w:name w:val="精巧型 2315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34">
    <w:name w:val="列表型 6315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35">
    <w:name w:val="古典型 2315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336">
    <w:name w:val="列表型 1315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37">
    <w:name w:val="简明型 23151"/>
    <w:basedOn w:val="88"/>
    <w:qFormat/>
    <w:uiPriority w:val="0"/>
    <w:pPr>
      <w:widowControl w:val="0"/>
      <w:spacing w:line="480" w:lineRule="exact"/>
      <w:ind w:firstLine="200" w:firstLineChars="200"/>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38">
    <w:name w:val="浅色列表 - 着色 31151"/>
    <w:basedOn w:val="88"/>
    <w:unhideWhenUsed/>
    <w:qFormat/>
    <w:uiPriority w:val="61"/>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2339">
    <w:name w:val="浅色列表 - 着色 53151"/>
    <w:basedOn w:val="8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2340">
    <w:name w:val="浅色网格 - 着色 5315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2341">
    <w:name w:val="中等深浅底纹 2 - 着色 53151"/>
    <w:basedOn w:val="8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342">
    <w:name w:val="中等深浅网格 2 - 着色 1115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2343">
    <w:name w:val="中等深浅网格 3 - 着色 1315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paragraph" w:customStyle="1" w:styleId="2344">
    <w:name w:val="msonormal"/>
    <w:basedOn w:val="1"/>
    <w:qFormat/>
    <w:uiPriority w:val="0"/>
    <w:pPr>
      <w:widowControl/>
      <w:spacing w:before="100" w:beforeAutospacing="1" w:after="100" w:afterAutospacing="1" w:line="240" w:lineRule="auto"/>
      <w:jc w:val="left"/>
    </w:pPr>
    <w:rPr>
      <w:rFonts w:ascii="宋体" w:hAnsi="宋体" w:cs="宋体"/>
      <w:kern w:val="0"/>
      <w:sz w:val="24"/>
    </w:rPr>
  </w:style>
  <w:style w:type="paragraph" w:customStyle="1" w:styleId="2345">
    <w:name w:val="xl68"/>
    <w:basedOn w:val="1"/>
    <w:qFormat/>
    <w:uiPriority w:val="0"/>
    <w:pPr>
      <w:widowControl/>
      <w:pBdr>
        <w:top w:val="single" w:color="000000" w:sz="8" w:space="0"/>
        <w:right w:val="single" w:color="000000" w:sz="8" w:space="0"/>
      </w:pBdr>
      <w:spacing w:before="100" w:beforeAutospacing="1" w:after="100" w:afterAutospacing="1" w:line="240" w:lineRule="auto"/>
      <w:jc w:val="center"/>
    </w:pPr>
    <w:rPr>
      <w:kern w:val="0"/>
      <w:sz w:val="15"/>
      <w:szCs w:val="15"/>
    </w:rPr>
  </w:style>
  <w:style w:type="paragraph" w:customStyle="1" w:styleId="2346">
    <w:name w:val="xl69"/>
    <w:basedOn w:val="1"/>
    <w:qFormat/>
    <w:uiPriority w:val="0"/>
    <w:pPr>
      <w:widowControl/>
      <w:pBdr>
        <w:right w:val="single" w:color="000000" w:sz="8" w:space="0"/>
      </w:pBdr>
      <w:spacing w:before="100" w:beforeAutospacing="1" w:after="100" w:afterAutospacing="1" w:line="240" w:lineRule="auto"/>
      <w:jc w:val="center"/>
    </w:pPr>
    <w:rPr>
      <w:kern w:val="0"/>
      <w:sz w:val="15"/>
      <w:szCs w:val="15"/>
    </w:rPr>
  </w:style>
  <w:style w:type="paragraph" w:customStyle="1" w:styleId="2347">
    <w:name w:val="xl70"/>
    <w:basedOn w:val="1"/>
    <w:qFormat/>
    <w:uiPriority w:val="0"/>
    <w:pPr>
      <w:widowControl/>
      <w:pBdr>
        <w:bottom w:val="single" w:color="000000" w:sz="8" w:space="0"/>
        <w:right w:val="single" w:color="000000" w:sz="8" w:space="0"/>
      </w:pBdr>
      <w:spacing w:before="100" w:beforeAutospacing="1" w:after="100" w:afterAutospacing="1" w:line="240" w:lineRule="auto"/>
      <w:jc w:val="left"/>
      <w:textAlignment w:val="top"/>
    </w:pPr>
    <w:rPr>
      <w:rFonts w:ascii="宋体" w:hAnsi="宋体" w:cs="宋体"/>
      <w:kern w:val="0"/>
      <w:sz w:val="24"/>
    </w:rPr>
  </w:style>
  <w:style w:type="paragraph" w:customStyle="1" w:styleId="2348">
    <w:name w:val="xl71"/>
    <w:basedOn w:val="1"/>
    <w:qFormat/>
    <w:uiPriority w:val="0"/>
    <w:pPr>
      <w:widowControl/>
      <w:pBdr>
        <w:bottom w:val="single" w:color="000000" w:sz="8" w:space="0"/>
        <w:right w:val="single" w:color="000000" w:sz="8" w:space="0"/>
      </w:pBdr>
      <w:spacing w:before="100" w:beforeAutospacing="1" w:after="100" w:afterAutospacing="1" w:line="240" w:lineRule="auto"/>
      <w:jc w:val="center"/>
    </w:pPr>
    <w:rPr>
      <w:kern w:val="0"/>
      <w:sz w:val="15"/>
      <w:szCs w:val="15"/>
    </w:rPr>
  </w:style>
  <w:style w:type="paragraph" w:customStyle="1" w:styleId="2349">
    <w:name w:val="xl72"/>
    <w:basedOn w:val="1"/>
    <w:qFormat/>
    <w:uiPriority w:val="0"/>
    <w:pPr>
      <w:widowControl/>
      <w:pBdr>
        <w:top w:val="single" w:color="000000" w:sz="8" w:space="0"/>
        <w:left w:val="single" w:color="000000" w:sz="8" w:space="0"/>
        <w:bottom w:val="single" w:color="000000" w:sz="8" w:space="0"/>
        <w:right w:val="single" w:color="000000" w:sz="8" w:space="0"/>
      </w:pBdr>
      <w:spacing w:before="100" w:beforeAutospacing="1" w:after="100" w:afterAutospacing="1" w:line="240" w:lineRule="auto"/>
      <w:jc w:val="center"/>
    </w:pPr>
    <w:rPr>
      <w:kern w:val="0"/>
      <w:sz w:val="15"/>
      <w:szCs w:val="15"/>
    </w:rPr>
  </w:style>
  <w:style w:type="paragraph" w:customStyle="1" w:styleId="2350">
    <w:name w:val="xl73"/>
    <w:basedOn w:val="1"/>
    <w:qFormat/>
    <w:uiPriority w:val="0"/>
    <w:pPr>
      <w:widowControl/>
      <w:pBdr>
        <w:top w:val="single" w:color="000000" w:sz="8" w:space="0"/>
        <w:bottom w:val="single" w:color="000000" w:sz="8" w:space="0"/>
        <w:right w:val="single" w:color="000000" w:sz="8" w:space="0"/>
      </w:pBdr>
      <w:spacing w:before="100" w:beforeAutospacing="1" w:after="100" w:afterAutospacing="1" w:line="240" w:lineRule="auto"/>
      <w:jc w:val="center"/>
    </w:pPr>
    <w:rPr>
      <w:kern w:val="0"/>
      <w:sz w:val="15"/>
      <w:szCs w:val="15"/>
    </w:rPr>
  </w:style>
  <w:style w:type="character" w:customStyle="1" w:styleId="2351">
    <w:name w:val="宏文本 字符"/>
    <w:qFormat/>
    <w:uiPriority w:val="0"/>
    <w:rPr>
      <w:rFonts w:ascii="Courier New" w:hAnsi="Courier New" w:cs="Courier New"/>
      <w:kern w:val="2"/>
      <w:sz w:val="24"/>
      <w:szCs w:val="24"/>
    </w:rPr>
  </w:style>
  <w:style w:type="character" w:customStyle="1" w:styleId="2352">
    <w:name w:val="标题 1 字符"/>
    <w:qFormat/>
    <w:uiPriority w:val="0"/>
    <w:rPr>
      <w:rFonts w:eastAsia="黑体"/>
      <w:bCs/>
      <w:kern w:val="44"/>
      <w:sz w:val="28"/>
      <w:szCs w:val="44"/>
    </w:rPr>
  </w:style>
  <w:style w:type="character" w:customStyle="1" w:styleId="2353">
    <w:name w:val="标题 2 字符"/>
    <w:qFormat/>
    <w:uiPriority w:val="9"/>
    <w:rPr>
      <w:rFonts w:eastAsia="黑体"/>
      <w:bCs/>
      <w:kern w:val="2"/>
      <w:sz w:val="21"/>
      <w:szCs w:val="28"/>
    </w:rPr>
  </w:style>
  <w:style w:type="character" w:customStyle="1" w:styleId="2354">
    <w:name w:val="标题 3 字符1"/>
    <w:qFormat/>
    <w:uiPriority w:val="9"/>
    <w:rPr>
      <w:bCs/>
      <w:kern w:val="2"/>
      <w:sz w:val="21"/>
      <w:szCs w:val="24"/>
    </w:rPr>
  </w:style>
  <w:style w:type="character" w:customStyle="1" w:styleId="2355">
    <w:name w:val="标题 4 字符"/>
    <w:qFormat/>
    <w:uiPriority w:val="0"/>
    <w:rPr>
      <w:rFonts w:eastAsia="黑体"/>
      <w:bCs/>
      <w:color w:val="BC0098"/>
      <w:kern w:val="2"/>
      <w:sz w:val="28"/>
      <w:szCs w:val="28"/>
    </w:rPr>
  </w:style>
  <w:style w:type="character" w:customStyle="1" w:styleId="2356">
    <w:name w:val="标题 5 字符"/>
    <w:qFormat/>
    <w:uiPriority w:val="0"/>
    <w:rPr>
      <w:bCs/>
      <w:kern w:val="2"/>
      <w:sz w:val="21"/>
      <w:szCs w:val="28"/>
    </w:rPr>
  </w:style>
  <w:style w:type="character" w:customStyle="1" w:styleId="2357">
    <w:name w:val="标题 6 字符1"/>
    <w:qFormat/>
    <w:uiPriority w:val="0"/>
    <w:rPr>
      <w:bCs/>
      <w:color w:val="C00000"/>
      <w:kern w:val="2"/>
      <w:sz w:val="21"/>
      <w:szCs w:val="24"/>
    </w:rPr>
  </w:style>
  <w:style w:type="character" w:customStyle="1" w:styleId="2358">
    <w:name w:val="标题 7 字符1"/>
    <w:qFormat/>
    <w:uiPriority w:val="0"/>
    <w:rPr>
      <w:bCs/>
      <w:color w:val="7030A0"/>
      <w:kern w:val="2"/>
      <w:sz w:val="21"/>
      <w:szCs w:val="24"/>
    </w:rPr>
  </w:style>
  <w:style w:type="character" w:customStyle="1" w:styleId="2359">
    <w:name w:val="标题 8 字符"/>
    <w:qFormat/>
    <w:uiPriority w:val="0"/>
    <w:rPr>
      <w:rFonts w:ascii="Arial" w:hAnsi="Arial"/>
      <w:color w:val="00B050"/>
      <w:kern w:val="2"/>
      <w:sz w:val="21"/>
      <w:szCs w:val="24"/>
    </w:rPr>
  </w:style>
  <w:style w:type="character" w:customStyle="1" w:styleId="2360">
    <w:name w:val="注释标题 字符"/>
    <w:qFormat/>
    <w:uiPriority w:val="0"/>
  </w:style>
  <w:style w:type="character" w:customStyle="1" w:styleId="2361">
    <w:name w:val="电子邮件签名 字符"/>
    <w:qFormat/>
    <w:uiPriority w:val="0"/>
  </w:style>
  <w:style w:type="character" w:customStyle="1" w:styleId="2362">
    <w:name w:val="题注 字符"/>
    <w:qFormat/>
    <w:uiPriority w:val="0"/>
    <w:rPr>
      <w:rFonts w:ascii="Arial" w:hAnsi="Arial" w:eastAsia="黑体" w:cs="Arial"/>
      <w:kern w:val="2"/>
    </w:rPr>
  </w:style>
  <w:style w:type="character" w:customStyle="1" w:styleId="2363">
    <w:name w:val="文档结构图 字符"/>
    <w:qFormat/>
    <w:uiPriority w:val="0"/>
    <w:rPr>
      <w:kern w:val="2"/>
      <w:sz w:val="21"/>
      <w:szCs w:val="24"/>
      <w:shd w:val="clear" w:color="auto" w:fill="000080"/>
    </w:rPr>
  </w:style>
  <w:style w:type="character" w:customStyle="1" w:styleId="2364">
    <w:name w:val="批注文字 字符"/>
    <w:qFormat/>
    <w:uiPriority w:val="0"/>
    <w:rPr>
      <w:kern w:val="2"/>
      <w:sz w:val="21"/>
      <w:szCs w:val="24"/>
    </w:rPr>
  </w:style>
  <w:style w:type="character" w:customStyle="1" w:styleId="2365">
    <w:name w:val="称呼 字符"/>
    <w:qFormat/>
    <w:uiPriority w:val="0"/>
    <w:rPr>
      <w:rFonts w:ascii="宋体" w:hAnsi="Arial"/>
      <w:sz w:val="24"/>
    </w:rPr>
  </w:style>
  <w:style w:type="character" w:customStyle="1" w:styleId="2366">
    <w:name w:val="正文文本 3 字符"/>
    <w:qFormat/>
    <w:uiPriority w:val="0"/>
    <w:rPr>
      <w:rFonts w:ascii="Plotter" w:hAnsi="Plotter"/>
      <w:bCs/>
      <w:color w:val="0000FF"/>
      <w:kern w:val="6"/>
      <w:sz w:val="18"/>
      <w:szCs w:val="21"/>
    </w:rPr>
  </w:style>
  <w:style w:type="character" w:customStyle="1" w:styleId="2367">
    <w:name w:val="结束语 字符"/>
    <w:qFormat/>
    <w:uiPriority w:val="0"/>
  </w:style>
  <w:style w:type="character" w:customStyle="1" w:styleId="2368">
    <w:name w:val="正文文本 字符"/>
    <w:qFormat/>
    <w:uiPriority w:val="0"/>
    <w:rPr>
      <w:kern w:val="2"/>
      <w:sz w:val="24"/>
      <w:szCs w:val="24"/>
    </w:rPr>
  </w:style>
  <w:style w:type="character" w:customStyle="1" w:styleId="2369">
    <w:name w:val="正文文本缩进 字符"/>
    <w:qFormat/>
    <w:uiPriority w:val="0"/>
    <w:rPr>
      <w:kern w:val="2"/>
      <w:sz w:val="24"/>
      <w:szCs w:val="24"/>
    </w:rPr>
  </w:style>
  <w:style w:type="character" w:customStyle="1" w:styleId="2370">
    <w:name w:val="HTML 地址 字符"/>
    <w:qFormat/>
    <w:uiPriority w:val="0"/>
    <w:rPr>
      <w:i/>
      <w:iCs/>
    </w:rPr>
  </w:style>
  <w:style w:type="character" w:customStyle="1" w:styleId="2371">
    <w:name w:val="纯文本 字符"/>
    <w:qFormat/>
    <w:uiPriority w:val="0"/>
    <w:rPr>
      <w:rFonts w:ascii="宋体" w:hAnsi="Courier New"/>
      <w:kern w:val="2"/>
      <w:sz w:val="21"/>
    </w:rPr>
  </w:style>
  <w:style w:type="character" w:customStyle="1" w:styleId="2372">
    <w:name w:val="日期 字符"/>
    <w:qFormat/>
    <w:uiPriority w:val="0"/>
    <w:rPr>
      <w:rFonts w:ascii="宋体"/>
      <w:sz w:val="28"/>
    </w:rPr>
  </w:style>
  <w:style w:type="character" w:customStyle="1" w:styleId="2373">
    <w:name w:val="正文文本缩进 2 字符"/>
    <w:qFormat/>
    <w:uiPriority w:val="0"/>
    <w:rPr>
      <w:kern w:val="2"/>
      <w:sz w:val="21"/>
    </w:rPr>
  </w:style>
  <w:style w:type="character" w:customStyle="1" w:styleId="2374">
    <w:name w:val="尾注文本 字符"/>
    <w:qFormat/>
    <w:uiPriority w:val="0"/>
    <w:rPr>
      <w:kern w:val="2"/>
      <w:sz w:val="21"/>
      <w:szCs w:val="24"/>
    </w:rPr>
  </w:style>
  <w:style w:type="character" w:customStyle="1" w:styleId="2375">
    <w:name w:val="批注框文本 字符"/>
    <w:qFormat/>
    <w:uiPriority w:val="0"/>
    <w:rPr>
      <w:kern w:val="2"/>
      <w:sz w:val="15"/>
      <w:szCs w:val="18"/>
    </w:rPr>
  </w:style>
  <w:style w:type="character" w:customStyle="1" w:styleId="2376">
    <w:name w:val="页脚 字符"/>
    <w:qFormat/>
    <w:uiPriority w:val="0"/>
    <w:rPr>
      <w:kern w:val="2"/>
      <w:sz w:val="18"/>
      <w:szCs w:val="18"/>
    </w:rPr>
  </w:style>
  <w:style w:type="character" w:customStyle="1" w:styleId="2377">
    <w:name w:val="页眉 字符"/>
    <w:qFormat/>
    <w:uiPriority w:val="0"/>
    <w:rPr>
      <w:kern w:val="2"/>
      <w:sz w:val="18"/>
      <w:szCs w:val="18"/>
    </w:rPr>
  </w:style>
  <w:style w:type="character" w:customStyle="1" w:styleId="2378">
    <w:name w:val="签名 字符"/>
    <w:qFormat/>
    <w:uiPriority w:val="0"/>
    <w:rPr>
      <w:sz w:val="24"/>
      <w:szCs w:val="24"/>
    </w:rPr>
  </w:style>
  <w:style w:type="character" w:customStyle="1" w:styleId="2379">
    <w:name w:val="副标题 字符"/>
    <w:qFormat/>
    <w:uiPriority w:val="0"/>
    <w:rPr>
      <w:rFonts w:ascii="Arial" w:hAnsi="Arial"/>
      <w:b/>
      <w:bCs/>
      <w:kern w:val="28"/>
      <w:sz w:val="32"/>
      <w:szCs w:val="32"/>
    </w:rPr>
  </w:style>
  <w:style w:type="character" w:customStyle="1" w:styleId="2380">
    <w:name w:val="脚注文本 字符"/>
    <w:qFormat/>
    <w:uiPriority w:val="0"/>
    <w:rPr>
      <w:kern w:val="2"/>
      <w:sz w:val="18"/>
      <w:szCs w:val="18"/>
    </w:rPr>
  </w:style>
  <w:style w:type="character" w:customStyle="1" w:styleId="2381">
    <w:name w:val="正文文本缩进 3 字符"/>
    <w:qFormat/>
    <w:uiPriority w:val="0"/>
    <w:rPr>
      <w:kern w:val="2"/>
      <w:sz w:val="16"/>
    </w:rPr>
  </w:style>
  <w:style w:type="character" w:customStyle="1" w:styleId="2382">
    <w:name w:val="正文文本 2 字符"/>
    <w:qFormat/>
    <w:uiPriority w:val="0"/>
    <w:rPr>
      <w:kern w:val="2"/>
      <w:sz w:val="21"/>
    </w:rPr>
  </w:style>
  <w:style w:type="character" w:customStyle="1" w:styleId="2383">
    <w:name w:val="信息标题 字符"/>
    <w:qFormat/>
    <w:uiPriority w:val="0"/>
    <w:rPr>
      <w:rFonts w:ascii="Arial" w:hAnsi="Arial"/>
      <w:kern w:val="2"/>
      <w:sz w:val="24"/>
      <w:szCs w:val="24"/>
      <w:shd w:val="pct20" w:color="auto" w:fill="auto"/>
      <w:lang w:val="en-US" w:eastAsia="zh-CN"/>
    </w:rPr>
  </w:style>
  <w:style w:type="character" w:customStyle="1" w:styleId="2384">
    <w:name w:val="HTML 预设格式 字符"/>
    <w:qFormat/>
    <w:uiPriority w:val="0"/>
    <w:rPr>
      <w:rFonts w:ascii="Courier New" w:hAnsi="Courier New"/>
    </w:rPr>
  </w:style>
  <w:style w:type="character" w:customStyle="1" w:styleId="2385">
    <w:name w:val="标题 字符1"/>
    <w:qFormat/>
    <w:uiPriority w:val="9"/>
    <w:rPr>
      <w:rFonts w:ascii="Cambria" w:hAnsi="Cambria" w:eastAsia="黑体"/>
      <w:bCs/>
      <w:kern w:val="2"/>
      <w:sz w:val="36"/>
      <w:szCs w:val="32"/>
    </w:rPr>
  </w:style>
  <w:style w:type="character" w:customStyle="1" w:styleId="2386">
    <w:name w:val="批注主题 字符"/>
    <w:qFormat/>
    <w:uiPriority w:val="0"/>
    <w:rPr>
      <w:b/>
      <w:bCs/>
      <w:kern w:val="2"/>
      <w:sz w:val="21"/>
      <w:szCs w:val="24"/>
    </w:rPr>
  </w:style>
  <w:style w:type="character" w:customStyle="1" w:styleId="2387">
    <w:name w:val="正文首行缩进 字符3"/>
    <w:qFormat/>
    <w:uiPriority w:val="0"/>
    <w:rPr>
      <w:color w:val="8DB3E2"/>
      <w:kern w:val="2"/>
      <w:sz w:val="21"/>
      <w:szCs w:val="24"/>
    </w:rPr>
  </w:style>
  <w:style w:type="character" w:customStyle="1" w:styleId="2388">
    <w:name w:val="正文首行缩进 2 字符2"/>
    <w:qFormat/>
    <w:uiPriority w:val="0"/>
    <w:rPr>
      <w:kern w:val="2"/>
      <w:sz w:val="28"/>
      <w:szCs w:val="24"/>
    </w:rPr>
  </w:style>
  <w:style w:type="character" w:customStyle="1" w:styleId="2389">
    <w:name w:val="无间隔 字符"/>
    <w:qFormat/>
    <w:uiPriority w:val="0"/>
    <w:rPr>
      <w:kern w:val="2"/>
      <w:sz w:val="24"/>
      <w:szCs w:val="24"/>
      <w:lang w:val="en-US" w:eastAsia="zh-CN"/>
    </w:rPr>
  </w:style>
  <w:style w:type="character" w:customStyle="1" w:styleId="2390">
    <w:name w:val="引用 字符"/>
    <w:qFormat/>
    <w:uiPriority w:val="0"/>
    <w:rPr>
      <w:rFonts w:ascii="ˎ̥" w:hAnsi="ˎ̥" w:cs="宋体"/>
      <w:i/>
      <w:iCs/>
      <w:color w:val="000000"/>
      <w:kern w:val="2"/>
      <w:sz w:val="24"/>
      <w:szCs w:val="21"/>
    </w:rPr>
  </w:style>
  <w:style w:type="character" w:customStyle="1" w:styleId="2391">
    <w:name w:val="明显引用 字符"/>
    <w:qFormat/>
    <w:uiPriority w:val="30"/>
    <w:rPr>
      <w:rFonts w:eastAsia="仿宋" w:cs="宋体"/>
      <w:b/>
      <w:bCs/>
      <w:i/>
      <w:iCs/>
      <w:color w:val="4F81BD"/>
      <w:kern w:val="2"/>
      <w:sz w:val="28"/>
    </w:rPr>
  </w:style>
  <w:style w:type="character" w:customStyle="1" w:styleId="2392">
    <w:name w:val="z-窗体底端 字符"/>
    <w:qFormat/>
    <w:uiPriority w:val="0"/>
    <w:rPr>
      <w:rFonts w:ascii="Arial" w:hAnsi="Arial" w:cs="Arial"/>
      <w:vanish/>
      <w:spacing w:val="-20"/>
      <w:kern w:val="2"/>
      <w:sz w:val="16"/>
      <w:szCs w:val="16"/>
    </w:rPr>
  </w:style>
  <w:style w:type="character" w:customStyle="1" w:styleId="2393">
    <w:name w:val="z-窗体顶端 字符"/>
    <w:qFormat/>
    <w:uiPriority w:val="0"/>
    <w:rPr>
      <w:rFonts w:ascii="Arial" w:hAnsi="Arial" w:cs="Arial"/>
      <w:vanish/>
      <w:spacing w:val="-20"/>
      <w:kern w:val="2"/>
      <w:sz w:val="16"/>
      <w:szCs w:val="16"/>
    </w:rPr>
  </w:style>
  <w:style w:type="character" w:customStyle="1" w:styleId="2394">
    <w:name w:val="正文文本首行缩进 字符2"/>
    <w:qFormat/>
    <w:uiPriority w:val="0"/>
    <w:rPr>
      <w:color w:val="8DB3E2"/>
      <w:kern w:val="2"/>
      <w:sz w:val="21"/>
      <w:szCs w:val="24"/>
    </w:rPr>
  </w:style>
  <w:style w:type="paragraph" w:customStyle="1" w:styleId="2395">
    <w:name w:val="_Style 2394"/>
    <w:qFormat/>
    <w:uiPriority w:val="0"/>
    <w:rPr>
      <w:rFonts w:ascii="Times New Roman" w:hAnsi="Times New Roman" w:eastAsia="宋体" w:cs="Times New Roman"/>
      <w:color w:val="000000"/>
      <w:lang w:val="en-US" w:eastAsia="zh-CN" w:bidi="ar-SA"/>
    </w:rPr>
  </w:style>
  <w:style w:type="paragraph" w:customStyle="1" w:styleId="2396">
    <w:name w:val="正文不缩进"/>
    <w:basedOn w:val="1"/>
    <w:link w:val="2397"/>
    <w:qFormat/>
    <w:uiPriority w:val="0"/>
    <w:pPr>
      <w:adjustRightInd w:val="0"/>
      <w:snapToGrid w:val="0"/>
    </w:pPr>
    <w:rPr>
      <w:szCs w:val="22"/>
    </w:rPr>
  </w:style>
  <w:style w:type="character" w:customStyle="1" w:styleId="2397">
    <w:name w:val="正文不缩进 Char"/>
    <w:link w:val="2396"/>
    <w:qFormat/>
    <w:uiPriority w:val="0"/>
    <w:rPr>
      <w:kern w:val="2"/>
      <w:sz w:val="21"/>
      <w:szCs w:val="22"/>
    </w:rPr>
  </w:style>
  <w:style w:type="character" w:customStyle="1" w:styleId="2398">
    <w:name w:val="标题 5 字符1"/>
    <w:qFormat/>
    <w:uiPriority w:val="9"/>
    <w:rPr>
      <w:bCs/>
      <w:kern w:val="2"/>
      <w:sz w:val="21"/>
      <w:szCs w:val="28"/>
    </w:rPr>
  </w:style>
  <w:style w:type="character" w:customStyle="1" w:styleId="2399">
    <w:name w:val="标题 2 字符2"/>
    <w:qFormat/>
    <w:uiPriority w:val="9"/>
  </w:style>
  <w:style w:type="character" w:customStyle="1" w:styleId="2400">
    <w:name w:val="标题 3 字符2"/>
    <w:qFormat/>
    <w:uiPriority w:val="0"/>
    <w:rPr>
      <w:bCs/>
      <w:kern w:val="2"/>
      <w:sz w:val="21"/>
      <w:szCs w:val="24"/>
    </w:rPr>
  </w:style>
  <w:style w:type="character" w:customStyle="1" w:styleId="2401">
    <w:name w:val="正文首行缩进 字符4"/>
    <w:qFormat/>
    <w:uiPriority w:val="0"/>
    <w:rPr>
      <w:color w:val="8DB3E2"/>
      <w:kern w:val="2"/>
      <w:sz w:val="21"/>
      <w:szCs w:val="24"/>
    </w:rPr>
  </w:style>
  <w:style w:type="character" w:customStyle="1" w:styleId="2402">
    <w:name w:val="正文缩进 字符"/>
    <w:link w:val="21"/>
    <w:uiPriority w:val="0"/>
    <w:rPr>
      <w:kern w:val="2"/>
      <w:sz w:val="21"/>
    </w:rPr>
  </w:style>
  <w:style w:type="paragraph" w:customStyle="1" w:styleId="2403">
    <w:name w:val="目1"/>
    <w:basedOn w:val="1"/>
    <w:link w:val="2407"/>
    <w:qFormat/>
    <w:uiPriority w:val="0"/>
    <w:pPr>
      <w:tabs>
        <w:tab w:val="right" w:leader="dot" w:pos="8296"/>
      </w:tabs>
      <w:adjustRightInd w:val="0"/>
      <w:snapToGrid w:val="0"/>
      <w:ind w:firstLine="200" w:firstLineChars="200"/>
    </w:pPr>
    <w:rPr>
      <w:szCs w:val="22"/>
    </w:rPr>
  </w:style>
  <w:style w:type="paragraph" w:customStyle="1" w:styleId="2404">
    <w:name w:val="目2"/>
    <w:basedOn w:val="1"/>
    <w:link w:val="2408"/>
    <w:qFormat/>
    <w:uiPriority w:val="0"/>
    <w:pPr>
      <w:tabs>
        <w:tab w:val="right" w:leader="dot" w:pos="8296"/>
      </w:tabs>
      <w:adjustRightInd w:val="0"/>
      <w:snapToGrid w:val="0"/>
      <w:ind w:left="200" w:leftChars="200" w:firstLine="200" w:firstLineChars="200"/>
    </w:pPr>
    <w:rPr>
      <w:szCs w:val="22"/>
    </w:rPr>
  </w:style>
  <w:style w:type="paragraph" w:customStyle="1" w:styleId="2405">
    <w:name w:val="[基本段落]"/>
    <w:basedOn w:val="1"/>
    <w:qFormat/>
    <w:uiPriority w:val="99"/>
    <w:pPr>
      <w:autoSpaceDE w:val="0"/>
      <w:autoSpaceDN w:val="0"/>
      <w:adjustRightInd w:val="0"/>
      <w:snapToGrid w:val="0"/>
      <w:spacing w:line="288" w:lineRule="auto"/>
      <w:textAlignment w:val="center"/>
    </w:pPr>
    <w:rPr>
      <w:rFonts w:ascii="Adobe 宋体 Std L" w:eastAsia="Adobe 宋体 Std L" w:cs="Adobe 宋体 Std L"/>
      <w:color w:val="000000"/>
      <w:kern w:val="0"/>
      <w:sz w:val="24"/>
      <w:lang w:val="zh-CN"/>
    </w:rPr>
  </w:style>
  <w:style w:type="paragraph" w:customStyle="1" w:styleId="2406">
    <w:name w:val="内文-空2"/>
    <w:basedOn w:val="200"/>
    <w:link w:val="2409"/>
    <w:qFormat/>
    <w:uiPriority w:val="0"/>
    <w:pPr>
      <w:ind w:firstLine="400" w:firstLineChars="200"/>
    </w:pPr>
    <w:rPr>
      <w:rFonts w:ascii="Times New Roman" w:hAnsi="Times New Roman" w:eastAsia="宋体"/>
      <w:sz w:val="21"/>
    </w:rPr>
  </w:style>
  <w:style w:type="character" w:customStyle="1" w:styleId="2407">
    <w:name w:val="目1 字符"/>
    <w:link w:val="2403"/>
    <w:qFormat/>
    <w:uiPriority w:val="0"/>
    <w:rPr>
      <w:kern w:val="2"/>
      <w:sz w:val="21"/>
      <w:szCs w:val="22"/>
    </w:rPr>
  </w:style>
  <w:style w:type="character" w:customStyle="1" w:styleId="2408">
    <w:name w:val="目2 字符"/>
    <w:link w:val="2404"/>
    <w:qFormat/>
    <w:uiPriority w:val="0"/>
    <w:rPr>
      <w:kern w:val="2"/>
      <w:sz w:val="21"/>
      <w:szCs w:val="22"/>
    </w:rPr>
  </w:style>
  <w:style w:type="character" w:customStyle="1" w:styleId="2409">
    <w:name w:val="内文-空2 字符"/>
    <w:link w:val="2406"/>
    <w:qFormat/>
    <w:uiPriority w:val="0"/>
    <w:rPr>
      <w:kern w:val="2"/>
      <w:sz w:val="21"/>
      <w:szCs w:val="22"/>
    </w:rPr>
  </w:style>
  <w:style w:type="character" w:styleId="2410">
    <w:name w:val="Placeholder Text"/>
    <w:basedOn w:val="114"/>
    <w:unhideWhenUsed/>
    <w:uiPriority w:val="99"/>
    <w:rPr>
      <w:color w:val="808080"/>
    </w:rPr>
  </w:style>
</w:styles>
</file>

<file path=word/_rels/document.xml.rels><?xml version="1.0" encoding="UTF-8" standalone="yes"?>
<Relationships xmlns="http://schemas.openxmlformats.org/package/2006/relationships"><Relationship Id="rId99" Type="http://schemas.openxmlformats.org/officeDocument/2006/relationships/image" Target="media/image28.wmf"/><Relationship Id="rId98" Type="http://schemas.openxmlformats.org/officeDocument/2006/relationships/oleObject" Target="embeddings/oleObject14.bin"/><Relationship Id="rId97" Type="http://schemas.openxmlformats.org/officeDocument/2006/relationships/image" Target="media/image27.png"/><Relationship Id="rId96" Type="http://schemas.openxmlformats.org/officeDocument/2006/relationships/image" Target="media/image26.png"/><Relationship Id="rId95" Type="http://schemas.openxmlformats.org/officeDocument/2006/relationships/image" Target="media/image25.png"/><Relationship Id="rId94" Type="http://schemas.openxmlformats.org/officeDocument/2006/relationships/image" Target="media/image24.png"/><Relationship Id="rId93" Type="http://schemas.openxmlformats.org/officeDocument/2006/relationships/image" Target="media/image23.wmf"/><Relationship Id="rId92" Type="http://schemas.openxmlformats.org/officeDocument/2006/relationships/oleObject" Target="embeddings/oleObject13.bin"/><Relationship Id="rId91" Type="http://schemas.openxmlformats.org/officeDocument/2006/relationships/image" Target="media/image22.wmf"/><Relationship Id="rId90" Type="http://schemas.openxmlformats.org/officeDocument/2006/relationships/oleObject" Target="embeddings/oleObject12.bin"/><Relationship Id="rId9" Type="http://schemas.openxmlformats.org/officeDocument/2006/relationships/footer" Target="footer2.xml"/><Relationship Id="rId89" Type="http://schemas.openxmlformats.org/officeDocument/2006/relationships/image" Target="media/image21.wmf"/><Relationship Id="rId88" Type="http://schemas.openxmlformats.org/officeDocument/2006/relationships/oleObject" Target="embeddings/oleObject11.bin"/><Relationship Id="rId87" Type="http://schemas.openxmlformats.org/officeDocument/2006/relationships/image" Target="media/image20.wmf"/><Relationship Id="rId86" Type="http://schemas.openxmlformats.org/officeDocument/2006/relationships/oleObject" Target="embeddings/oleObject10.bin"/><Relationship Id="rId85" Type="http://schemas.openxmlformats.org/officeDocument/2006/relationships/image" Target="media/image19.wmf"/><Relationship Id="rId84" Type="http://schemas.openxmlformats.org/officeDocument/2006/relationships/oleObject" Target="embeddings/oleObject9.bin"/><Relationship Id="rId83" Type="http://schemas.openxmlformats.org/officeDocument/2006/relationships/image" Target="media/image18.png"/><Relationship Id="rId82" Type="http://schemas.openxmlformats.org/officeDocument/2006/relationships/image" Target="media/image17.wmf"/><Relationship Id="rId81" Type="http://schemas.openxmlformats.org/officeDocument/2006/relationships/oleObject" Target="embeddings/oleObject8.bin"/><Relationship Id="rId80" Type="http://schemas.openxmlformats.org/officeDocument/2006/relationships/image" Target="media/image16.png"/><Relationship Id="rId8" Type="http://schemas.openxmlformats.org/officeDocument/2006/relationships/header" Target="header3.xml"/><Relationship Id="rId79" Type="http://schemas.openxmlformats.org/officeDocument/2006/relationships/image" Target="media/image15.png"/><Relationship Id="rId78" Type="http://schemas.openxmlformats.org/officeDocument/2006/relationships/image" Target="media/image14.png"/><Relationship Id="rId77" Type="http://schemas.openxmlformats.org/officeDocument/2006/relationships/image" Target="media/image13.wmf"/><Relationship Id="rId76" Type="http://schemas.openxmlformats.org/officeDocument/2006/relationships/oleObject" Target="embeddings/oleObject7.bin"/><Relationship Id="rId75" Type="http://schemas.openxmlformats.org/officeDocument/2006/relationships/image" Target="media/image12.wmf"/><Relationship Id="rId74" Type="http://schemas.openxmlformats.org/officeDocument/2006/relationships/oleObject" Target="embeddings/oleObject6.bin"/><Relationship Id="rId73" Type="http://schemas.openxmlformats.org/officeDocument/2006/relationships/image" Target="media/image11.png"/><Relationship Id="rId72" Type="http://schemas.openxmlformats.org/officeDocument/2006/relationships/image" Target="media/image10.png"/><Relationship Id="rId71" Type="http://schemas.openxmlformats.org/officeDocument/2006/relationships/image" Target="media/image9.png"/><Relationship Id="rId70" Type="http://schemas.openxmlformats.org/officeDocument/2006/relationships/package" Target="embeddings/Microsoft_Visio___3.vsdx"/><Relationship Id="rId7" Type="http://schemas.openxmlformats.org/officeDocument/2006/relationships/header" Target="header2.xml"/><Relationship Id="rId69" Type="http://schemas.openxmlformats.org/officeDocument/2006/relationships/image" Target="media/image8.wmf"/><Relationship Id="rId68" Type="http://schemas.openxmlformats.org/officeDocument/2006/relationships/package" Target="embeddings/Microsoft_Visio___2.vsdx"/><Relationship Id="rId67" Type="http://schemas.openxmlformats.org/officeDocument/2006/relationships/image" Target="media/image7.wmf"/><Relationship Id="rId66" Type="http://schemas.openxmlformats.org/officeDocument/2006/relationships/oleObject" Target="embeddings/oleObject5.bin"/><Relationship Id="rId65" Type="http://schemas.openxmlformats.org/officeDocument/2006/relationships/image" Target="media/image6.wmf"/><Relationship Id="rId64" Type="http://schemas.openxmlformats.org/officeDocument/2006/relationships/oleObject" Target="embeddings/oleObject4.bin"/><Relationship Id="rId63" Type="http://schemas.openxmlformats.org/officeDocument/2006/relationships/image" Target="media/image5.wmf"/><Relationship Id="rId62" Type="http://schemas.openxmlformats.org/officeDocument/2006/relationships/oleObject" Target="embeddings/oleObject3.bin"/><Relationship Id="rId61" Type="http://schemas.openxmlformats.org/officeDocument/2006/relationships/image" Target="media/image4.wmf"/><Relationship Id="rId60" Type="http://schemas.openxmlformats.org/officeDocument/2006/relationships/oleObject" Target="embeddings/oleObject2.bin"/><Relationship Id="rId6" Type="http://schemas.openxmlformats.org/officeDocument/2006/relationships/footer" Target="footer1.xml"/><Relationship Id="rId59" Type="http://schemas.openxmlformats.org/officeDocument/2006/relationships/image" Target="media/image3.wmf"/><Relationship Id="rId58" Type="http://schemas.openxmlformats.org/officeDocument/2006/relationships/package" Target="embeddings/Microsoft_Visio___1.vsdx"/><Relationship Id="rId57" Type="http://schemas.openxmlformats.org/officeDocument/2006/relationships/image" Target="media/image2.wmf"/><Relationship Id="rId56" Type="http://schemas.openxmlformats.org/officeDocument/2006/relationships/oleObject" Target="embeddings/oleObject1.bin"/><Relationship Id="rId55" Type="http://schemas.openxmlformats.org/officeDocument/2006/relationships/image" Target="media/image1.png"/><Relationship Id="rId54" Type="http://schemas.openxmlformats.org/officeDocument/2006/relationships/theme" Target="theme/theme1.xml"/><Relationship Id="rId53" Type="http://schemas.openxmlformats.org/officeDocument/2006/relationships/footer" Target="footer30.xml"/><Relationship Id="rId52" Type="http://schemas.openxmlformats.org/officeDocument/2006/relationships/footer" Target="footer29.xml"/><Relationship Id="rId51" Type="http://schemas.openxmlformats.org/officeDocument/2006/relationships/footer" Target="footer28.xml"/><Relationship Id="rId50" Type="http://schemas.openxmlformats.org/officeDocument/2006/relationships/footer" Target="footer27.xml"/><Relationship Id="rId5" Type="http://schemas.openxmlformats.org/officeDocument/2006/relationships/header" Target="header1.xml"/><Relationship Id="rId49" Type="http://schemas.openxmlformats.org/officeDocument/2006/relationships/header" Target="header19.xml"/><Relationship Id="rId48" Type="http://schemas.openxmlformats.org/officeDocument/2006/relationships/header" Target="header18.xml"/><Relationship Id="rId47" Type="http://schemas.openxmlformats.org/officeDocument/2006/relationships/footer" Target="footer26.xml"/><Relationship Id="rId46" Type="http://schemas.openxmlformats.org/officeDocument/2006/relationships/footer" Target="footer25.xml"/><Relationship Id="rId45" Type="http://schemas.openxmlformats.org/officeDocument/2006/relationships/header" Target="header17.xml"/><Relationship Id="rId44" Type="http://schemas.openxmlformats.org/officeDocument/2006/relationships/header" Target="header16.xml"/><Relationship Id="rId43" Type="http://schemas.openxmlformats.org/officeDocument/2006/relationships/footer" Target="footer24.xml"/><Relationship Id="rId42" Type="http://schemas.openxmlformats.org/officeDocument/2006/relationships/footer" Target="footer23.xml"/><Relationship Id="rId41" Type="http://schemas.openxmlformats.org/officeDocument/2006/relationships/footer" Target="footer22.xml"/><Relationship Id="rId40" Type="http://schemas.openxmlformats.org/officeDocument/2006/relationships/header" Target="header15.xml"/><Relationship Id="rId4" Type="http://schemas.openxmlformats.org/officeDocument/2006/relationships/endnotes" Target="endnotes.xml"/><Relationship Id="rId39" Type="http://schemas.openxmlformats.org/officeDocument/2006/relationships/header" Target="header14.xml"/><Relationship Id="rId38" Type="http://schemas.openxmlformats.org/officeDocument/2006/relationships/header" Target="header13.xml"/><Relationship Id="rId37" Type="http://schemas.openxmlformats.org/officeDocument/2006/relationships/footer" Target="footer21.xml"/><Relationship Id="rId36" Type="http://schemas.openxmlformats.org/officeDocument/2006/relationships/header" Target="header12.xml"/><Relationship Id="rId35" Type="http://schemas.openxmlformats.org/officeDocument/2006/relationships/footer" Target="footer20.xml"/><Relationship Id="rId34" Type="http://schemas.openxmlformats.org/officeDocument/2006/relationships/footer" Target="footer19.xml"/><Relationship Id="rId33" Type="http://schemas.openxmlformats.org/officeDocument/2006/relationships/footer" Target="footer18.xml"/><Relationship Id="rId32" Type="http://schemas.openxmlformats.org/officeDocument/2006/relationships/header" Target="header11.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header" Target="header10.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1" Type="http://schemas.openxmlformats.org/officeDocument/2006/relationships/fontTable" Target="fontTable.xml"/><Relationship Id="rId130" Type="http://schemas.microsoft.com/office/2006/relationships/keyMapCustomizations" Target="customizations.xml"/><Relationship Id="rId13" Type="http://schemas.openxmlformats.org/officeDocument/2006/relationships/footer" Target="footer4.xml"/><Relationship Id="rId129" Type="http://schemas.openxmlformats.org/officeDocument/2006/relationships/customXml" Target="../customXml/item2.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48.png"/><Relationship Id="rId125" Type="http://schemas.openxmlformats.org/officeDocument/2006/relationships/image" Target="media/image47.png"/><Relationship Id="rId124" Type="http://schemas.openxmlformats.org/officeDocument/2006/relationships/image" Target="media/image46.png"/><Relationship Id="rId123" Type="http://schemas.openxmlformats.org/officeDocument/2006/relationships/image" Target="media/image45.jpeg"/><Relationship Id="rId122" Type="http://schemas.openxmlformats.org/officeDocument/2006/relationships/image" Target="media/image44.jpeg"/><Relationship Id="rId121" Type="http://schemas.openxmlformats.org/officeDocument/2006/relationships/image" Target="media/image43.png"/><Relationship Id="rId120" Type="http://schemas.openxmlformats.org/officeDocument/2006/relationships/image" Target="media/image42.png"/><Relationship Id="rId12" Type="http://schemas.openxmlformats.org/officeDocument/2006/relationships/footer" Target="footer3.xml"/><Relationship Id="rId119" Type="http://schemas.openxmlformats.org/officeDocument/2006/relationships/image" Target="media/image41.png"/><Relationship Id="rId118" Type="http://schemas.openxmlformats.org/officeDocument/2006/relationships/image" Target="media/image40.emf"/><Relationship Id="rId117" Type="http://schemas.openxmlformats.org/officeDocument/2006/relationships/image" Target="media/image39.png"/><Relationship Id="rId116" Type="http://schemas.openxmlformats.org/officeDocument/2006/relationships/image" Target="media/image38.png"/><Relationship Id="rId115" Type="http://schemas.openxmlformats.org/officeDocument/2006/relationships/image" Target="media/image37.png"/><Relationship Id="rId114" Type="http://schemas.openxmlformats.org/officeDocument/2006/relationships/image" Target="media/image36.png"/><Relationship Id="rId113" Type="http://schemas.openxmlformats.org/officeDocument/2006/relationships/image" Target="media/image35.wmf"/><Relationship Id="rId112" Type="http://schemas.openxmlformats.org/officeDocument/2006/relationships/oleObject" Target="embeddings/oleObject21.bin"/><Relationship Id="rId111" Type="http://schemas.openxmlformats.org/officeDocument/2006/relationships/image" Target="media/image34.wmf"/><Relationship Id="rId110" Type="http://schemas.openxmlformats.org/officeDocument/2006/relationships/oleObject" Target="embeddings/oleObject20.bin"/><Relationship Id="rId11" Type="http://schemas.openxmlformats.org/officeDocument/2006/relationships/header" Target="header5.xml"/><Relationship Id="rId109" Type="http://schemas.openxmlformats.org/officeDocument/2006/relationships/image" Target="media/image33.wmf"/><Relationship Id="rId108" Type="http://schemas.openxmlformats.org/officeDocument/2006/relationships/oleObject" Target="embeddings/oleObject19.bin"/><Relationship Id="rId107" Type="http://schemas.openxmlformats.org/officeDocument/2006/relationships/image" Target="media/image32.wmf"/><Relationship Id="rId106" Type="http://schemas.openxmlformats.org/officeDocument/2006/relationships/oleObject" Target="embeddings/oleObject18.bin"/><Relationship Id="rId105" Type="http://schemas.openxmlformats.org/officeDocument/2006/relationships/image" Target="media/image31.wmf"/><Relationship Id="rId104" Type="http://schemas.openxmlformats.org/officeDocument/2006/relationships/oleObject" Target="embeddings/oleObject17.bin"/><Relationship Id="rId103" Type="http://schemas.openxmlformats.org/officeDocument/2006/relationships/image" Target="media/image30.wmf"/><Relationship Id="rId102" Type="http://schemas.openxmlformats.org/officeDocument/2006/relationships/oleObject" Target="embeddings/oleObject16.bin"/><Relationship Id="rId101" Type="http://schemas.openxmlformats.org/officeDocument/2006/relationships/image" Target="media/image29.wmf"/><Relationship Id="rId100" Type="http://schemas.openxmlformats.org/officeDocument/2006/relationships/oleObject" Target="embeddings/oleObject15.bin"/><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52C644-90E9-40DA-8AFA-6A4D3E424EF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665</Pages>
  <Words>3398</Words>
  <Characters>5183</Characters>
  <Lines>2845</Lines>
  <Paragraphs>801</Paragraphs>
  <TotalTime>216</TotalTime>
  <ScaleCrop>false</ScaleCrop>
  <LinksUpToDate>false</LinksUpToDate>
  <CharactersWithSpaces>5927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2024-11-30T10:26:00Z</dcterms:created>
  <dc:creator>duanjinyu</dc:creator>
  <cp:lastModifiedBy> 祺</cp:lastModifiedBy>
  <cp:lastPrinted>2024-11-25T16:21:00Z</cp:lastPrinted>
  <dcterms:modified xsi:type="dcterms:W3CDTF">2025-05-07T07:23:42Z</dcterms:modified>
  <dc:title>北京轨道交通昌平线一期工程</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E6ED016DEFD44DB28CD11D6CD1F520EB_12</vt:lpwstr>
  </property>
  <property fmtid="{D5CDD505-2E9C-101B-9397-08002B2CF9AE}" pid="4" name="MTWinEqns">
    <vt:bool>true</vt:bool>
  </property>
  <property fmtid="{D5CDD505-2E9C-101B-9397-08002B2CF9AE}" pid="5" name="KSOTemplateDocerSaveRecord">
    <vt:lpwstr>eyJoZGlkIjoiMjA2Njg2MDViYjg2YmYyZWIyNDQ3YjJjNmU5NDM4ZjgiLCJ1c2VySWQiOiI0MzU3NTE4NDAifQ==</vt:lpwstr>
  </property>
</Properties>
</file>